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32868650"/>
        <w:docPartObj>
          <w:docPartGallery w:val="Cover Pages"/>
          <w:docPartUnique/>
        </w:docPartObj>
      </w:sdtPr>
      <w:sdtEndPr/>
      <w:sdtContent>
        <w:p w14:paraId="3C824955" w14:textId="0609DCDD" w:rsidR="00B211BE" w:rsidRDefault="00B211BE">
          <w:r>
            <w:rPr>
              <w:noProof/>
            </w:rPr>
            <mc:AlternateContent>
              <mc:Choice Requires="wps">
                <w:drawing>
                  <wp:anchor distT="0" distB="0" distL="114300" distR="114300" simplePos="0" relativeHeight="251664384" behindDoc="0" locked="0" layoutInCell="1" allowOverlap="1" wp14:anchorId="6D440FBA" wp14:editId="671C483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5F74CFB" w14:textId="14903031" w:rsidR="00B211BE" w:rsidRDefault="00FE7FC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211BE">
                                      <w:rPr>
                                        <w:noProof/>
                                        <w:color w:val="44546A" w:themeColor="text2"/>
                                      </w:rPr>
                                      <w:t>Bogdan Nicusor Halinga (1715162)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D440FBA"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" filled="f" stroked="f" strokeweight=".5pt">
                    <v:textbox style="mso-fit-shape-to-text:t">
                      <w:txbxContent>
                        <w:p w14:paraId="75F74CFB" w14:textId="14903031" w:rsidR="00B211BE" w:rsidRDefault="00FE7FC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211BE">
                                <w:rPr>
                                  <w:noProof/>
                                  <w:color w:val="44546A" w:themeColor="text2"/>
                                </w:rPr>
                                <w:t>Bogdan Nicusor Halinga (1715162)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30AF9FD" wp14:editId="1725257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2AF43C4" w14:textId="77777777" w:rsidR="00B211BE" w:rsidRDefault="00B211B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30AF9FD"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62AF43C4" w14:textId="77777777" w:rsidR="00B211BE" w:rsidRDefault="00B211B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71C30AA" wp14:editId="5F838DB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717F31" w14:textId="048DF70D" w:rsidR="00B211BE" w:rsidRDefault="00B211BE">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71C30A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" fillcolor="#44546a [3215]" stroked="f" strokeweight="1pt">
                    <v:textbox inset="14.4pt,14.4pt,14.4pt,28.8pt">
                      <w:txbxContent>
                        <w:p w14:paraId="1E717F31" w14:textId="048DF70D" w:rsidR="00B211BE" w:rsidRDefault="00B211BE">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4E0D33D" wp14:editId="19B84DB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CBF5B0F"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45553CD" wp14:editId="187CAB4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5913316"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1C47BEC" wp14:editId="69D2C32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FFD9326" w14:textId="5A3E2CF5" w:rsidR="00B211BE" w:rsidRPr="00B211BE" w:rsidRDefault="00B211BE">
                                    <w:pPr>
                                      <w:rPr>
                                        <w:rFonts w:asciiTheme="majorHAnsi" w:eastAsiaTheme="majorEastAsia" w:hAnsiTheme="majorHAnsi" w:cstheme="majorBidi"/>
                                        <w:noProof/>
                                        <w:color w:val="4472C4" w:themeColor="accent1"/>
                                        <w:sz w:val="56"/>
                                        <w:szCs w:val="96"/>
                                      </w:rPr>
                                    </w:pPr>
                                    <w:r w:rsidRPr="00B211BE">
                                      <w:rPr>
                                        <w:rFonts w:asciiTheme="majorHAnsi" w:eastAsiaTheme="majorEastAsia" w:hAnsiTheme="majorHAnsi" w:cstheme="majorBidi"/>
                                        <w:noProof/>
                                        <w:color w:val="4472C4" w:themeColor="accent1"/>
                                        <w:sz w:val="56"/>
                                        <w:szCs w:val="56"/>
                                      </w:rPr>
                                      <w:t>Module Code: ACUA6000</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E031112" w14:textId="5B69B25C" w:rsidR="00B211BE" w:rsidRDefault="00B211BE">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Data Center Technologies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1C47BEC"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" filled="f" stroked="f" strokeweight=".5pt">
                    <v:textbox style="mso-fit-shape-to-text:t">
                      <w:txbxContent>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FFD9326" w14:textId="5A3E2CF5" w:rsidR="00B211BE" w:rsidRPr="00B211BE" w:rsidRDefault="00B211BE">
                              <w:pPr>
                                <w:rPr>
                                  <w:rFonts w:asciiTheme="majorHAnsi" w:eastAsiaTheme="majorEastAsia" w:hAnsiTheme="majorHAnsi" w:cstheme="majorBidi"/>
                                  <w:noProof/>
                                  <w:color w:val="4472C4" w:themeColor="accent1"/>
                                  <w:sz w:val="56"/>
                                  <w:szCs w:val="96"/>
                                </w:rPr>
                              </w:pPr>
                              <w:r w:rsidRPr="00B211BE">
                                <w:rPr>
                                  <w:rFonts w:asciiTheme="majorHAnsi" w:eastAsiaTheme="majorEastAsia" w:hAnsiTheme="majorHAnsi" w:cstheme="majorBidi"/>
                                  <w:noProof/>
                                  <w:color w:val="4472C4" w:themeColor="accent1"/>
                                  <w:sz w:val="56"/>
                                  <w:szCs w:val="56"/>
                                </w:rPr>
                                <w:t>Module Code: ACUA6000</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E031112" w14:textId="5B69B25C" w:rsidR="00B211BE" w:rsidRDefault="00B211BE">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Data Center Technologies</w:t>
                              </w:r>
                            </w:p>
                          </w:sdtContent>
                        </w:sdt>
                      </w:txbxContent>
                    </v:textbox>
                    <w10:wrap type="square" anchorx="page" anchory="page"/>
                  </v:shape>
                </w:pict>
              </mc:Fallback>
            </mc:AlternateContent>
          </w:r>
        </w:p>
        <w:p w14:paraId="548DF664" w14:textId="5594C43F" w:rsidR="00B211BE" w:rsidRDefault="00B211BE">
          <w:r>
            <w:br w:type="page"/>
          </w:r>
        </w:p>
      </w:sdtContent>
    </w:sdt>
    <w:p w14:paraId="252E9E57" w14:textId="77777777" w:rsidR="00B211BE" w:rsidRPr="002D53B5" w:rsidRDefault="00B211BE" w:rsidP="00B211BE">
      <w:pPr>
        <w:pStyle w:val="Heading1"/>
        <w:pageBreakBefore/>
        <w:rPr>
          <w:i/>
          <w:iCs/>
          <w:color w:val="auto"/>
          <w:sz w:val="20"/>
          <w:szCs w:val="20"/>
        </w:rPr>
      </w:pPr>
      <w:bookmarkStart w:id="0" w:name="_Toc60134739"/>
      <w:bookmarkStart w:id="1" w:name="_Toc60671129"/>
      <w:r w:rsidRPr="002D53B5">
        <w:rPr>
          <w:i/>
          <w:iCs/>
          <w:color w:val="auto"/>
          <w:sz w:val="20"/>
          <w:szCs w:val="20"/>
        </w:rPr>
        <w:lastRenderedPageBreak/>
        <w:t>Abstract</w:t>
      </w:r>
      <w:bookmarkEnd w:id="0"/>
      <w:bookmarkEnd w:id="1"/>
    </w:p>
    <w:p w14:paraId="087D23D6" w14:textId="77777777" w:rsidR="00B211BE" w:rsidRPr="002D53B5" w:rsidRDefault="00B211BE" w:rsidP="00B211BE">
      <w:pPr>
        <w:rPr>
          <w:rFonts w:ascii="Times New Roman" w:hAnsi="Times New Roman" w:cs="Times New Roman"/>
          <w:i/>
          <w:iCs/>
          <w:sz w:val="20"/>
          <w:szCs w:val="20"/>
        </w:rPr>
      </w:pPr>
      <w:r w:rsidRPr="002D53B5">
        <w:rPr>
          <w:rFonts w:ascii="Times New Roman" w:hAnsi="Times New Roman" w:cs="Times New Roman"/>
          <w:i/>
          <w:iCs/>
          <w:sz w:val="20"/>
          <w:szCs w:val="20"/>
        </w:rPr>
        <w:tab/>
        <w:t xml:space="preserve">Data centre acts as integral part within the enterprise that is designed for supporting business application and render wide range of services. This comprises of data storage, backup &amp; recovery, management, e-commerce transactions, online gaming communities, artificial intelligence and many more that leads to creation on affirmative impact on the ways in which services are being delivered by the organisation. It is important that all the associated factors are being considered by the organisation so that they can deal with different aspects such as load balancing, security, management, RPO &amp; RTO and many more. The report will furnish insight into different aspects associated with design of the data centre and what all points organisation must into consideration while developing their DC. In addition to this, future recommendations will be given with respect to data centre.  </w:t>
      </w:r>
    </w:p>
    <w:p w14:paraId="66D0D4E0" w14:textId="0B4586C3" w:rsidR="00A559AC" w:rsidRPr="002D53B5" w:rsidRDefault="00FE7FCD">
      <w:pPr>
        <w:rPr>
          <w:rFonts w:ascii="Times New Roman" w:hAnsi="Times New Roman" w:cs="Times New Roman"/>
        </w:rPr>
      </w:pPr>
    </w:p>
    <w:p w14:paraId="054FAA6E" w14:textId="5C49F9AB" w:rsidR="00B211BE" w:rsidRDefault="00B211BE"/>
    <w:p w14:paraId="1CFBFD27" w14:textId="0A2B8090" w:rsidR="00B211BE" w:rsidRDefault="00B211BE"/>
    <w:p w14:paraId="41EFBB0D" w14:textId="24E7B80B" w:rsidR="00B211BE" w:rsidRDefault="00B211BE"/>
    <w:p w14:paraId="688C3B0F" w14:textId="66C2B013" w:rsidR="00B211BE" w:rsidRDefault="00B211BE"/>
    <w:p w14:paraId="55E9ABE2" w14:textId="0073D4EC" w:rsidR="00B211BE" w:rsidRDefault="00B211BE"/>
    <w:p w14:paraId="76BC10B6" w14:textId="27DA120D" w:rsidR="00B211BE" w:rsidRDefault="00B211BE"/>
    <w:p w14:paraId="73F34C5E" w14:textId="57C5B592" w:rsidR="00B211BE" w:rsidRDefault="00B211BE"/>
    <w:p w14:paraId="56D392F4" w14:textId="0DB99095" w:rsidR="00B211BE" w:rsidRDefault="00B211BE"/>
    <w:p w14:paraId="22EC53DC" w14:textId="5F59ED72" w:rsidR="00B211BE" w:rsidRDefault="00B211BE"/>
    <w:p w14:paraId="17F7160B" w14:textId="7D155F7C" w:rsidR="00B211BE" w:rsidRDefault="00B211BE"/>
    <w:p w14:paraId="37FD20CB" w14:textId="04DFD242" w:rsidR="00B211BE" w:rsidRDefault="00B211BE"/>
    <w:p w14:paraId="1991DE88" w14:textId="0C12D5DC" w:rsidR="00B211BE" w:rsidRDefault="00B211BE"/>
    <w:p w14:paraId="49A31337" w14:textId="10250AF6" w:rsidR="00B211BE" w:rsidRDefault="00B211BE"/>
    <w:p w14:paraId="78223B02" w14:textId="543EAC0B" w:rsidR="00B211BE" w:rsidRDefault="00B211BE"/>
    <w:p w14:paraId="035B06A1" w14:textId="5619FFCA" w:rsidR="00B211BE" w:rsidRDefault="00B211BE"/>
    <w:p w14:paraId="3E76D627" w14:textId="700273FA" w:rsidR="00B211BE" w:rsidRDefault="00B211BE"/>
    <w:p w14:paraId="2928278C" w14:textId="0481E4BA" w:rsidR="00B211BE" w:rsidRDefault="00B211BE"/>
    <w:p w14:paraId="06307643" w14:textId="0C358EC8" w:rsidR="00B211BE" w:rsidRDefault="00B211BE"/>
    <w:p w14:paraId="7DB34919" w14:textId="620837FF" w:rsidR="00B211BE" w:rsidRDefault="00B211BE"/>
    <w:p w14:paraId="70590B79" w14:textId="231A18FF" w:rsidR="00B211BE" w:rsidRDefault="00B211BE"/>
    <w:p w14:paraId="3B3DA1D0" w14:textId="467584B9" w:rsidR="00B211BE" w:rsidRDefault="00B211BE"/>
    <w:p w14:paraId="25719715" w14:textId="11BDCD5C" w:rsidR="00B211BE" w:rsidRDefault="00B211BE"/>
    <w:p w14:paraId="397BF5E6" w14:textId="63954A3A" w:rsidR="00B211BE" w:rsidRDefault="00B211BE"/>
    <w:p w14:paraId="714D6C75" w14:textId="4246B918" w:rsidR="00B211BE" w:rsidRDefault="00B211BE"/>
    <w:p w14:paraId="2E379979" w14:textId="260782F0" w:rsidR="00B211BE" w:rsidRDefault="00B211BE"/>
    <w:p w14:paraId="0936EBB6" w14:textId="1AFD5347" w:rsidR="00B211BE" w:rsidRDefault="00B211BE"/>
    <w:p w14:paraId="03707A14" w14:textId="0D07F5FC" w:rsidR="00B211BE" w:rsidRDefault="00B211BE"/>
    <w:p w14:paraId="0574782D" w14:textId="60330F97" w:rsidR="00B211BE" w:rsidRDefault="00B211BE"/>
    <w:p w14:paraId="21EA0B5E" w14:textId="2AC2E420" w:rsidR="00B211BE" w:rsidRDefault="00B211BE"/>
    <w:p w14:paraId="11B66456" w14:textId="1D340060" w:rsidR="00B211BE" w:rsidRDefault="00B211BE"/>
    <w:p w14:paraId="6EFF2123" w14:textId="4CA739BE" w:rsidR="00B211BE" w:rsidRDefault="00B211BE"/>
    <w:p w14:paraId="465F1BF1" w14:textId="49BFD84C" w:rsidR="00B211BE" w:rsidRDefault="00B211BE"/>
    <w:p w14:paraId="5FD9BD17" w14:textId="3F380142" w:rsidR="00B211BE" w:rsidRDefault="00B211BE"/>
    <w:p w14:paraId="62951C03" w14:textId="3AF0CF1F" w:rsidR="00B211BE" w:rsidRDefault="00B211BE"/>
    <w:p w14:paraId="4346A97C" w14:textId="08E0CFFE" w:rsidR="002D53B5" w:rsidRDefault="002D53B5"/>
    <w:p w14:paraId="339803DD" w14:textId="77777777" w:rsidR="002D53B5" w:rsidRDefault="002D53B5"/>
    <w:p w14:paraId="68530C3D" w14:textId="318A06D2" w:rsidR="00B211BE" w:rsidRPr="00170AB7" w:rsidRDefault="00B211BE" w:rsidP="00B211BE"/>
    <w:p w14:paraId="5E86C03B" w14:textId="09464012" w:rsidR="00B211BE" w:rsidRDefault="00B211BE"/>
    <w:bookmarkStart w:id="2" w:name="_Toc60671130" w:displacedByCustomXml="next"/>
    <w:sdt>
      <w:sdtPr>
        <w:id w:val="-2100548132"/>
        <w:docPartObj>
          <w:docPartGallery w:val="Table of Contents"/>
          <w:docPartUnique/>
        </w:docPartObj>
      </w:sdtPr>
      <w:sdtEndPr>
        <w:rPr>
          <w:rFonts w:asciiTheme="minorHAnsi" w:eastAsiaTheme="minorHAnsi" w:hAnsiTheme="minorHAnsi" w:cstheme="minorBidi"/>
          <w:b/>
          <w:bCs/>
          <w:noProof/>
          <w:color w:val="auto"/>
          <w:sz w:val="24"/>
          <w:szCs w:val="24"/>
          <w:lang w:val="en-GB" w:eastAsia="en-US"/>
        </w:rPr>
      </w:sdtEndPr>
      <w:sdtContent>
        <w:p w14:paraId="031571E9" w14:textId="5FAB158C" w:rsidR="002D53B5" w:rsidRDefault="002D53B5">
          <w:pPr>
            <w:pStyle w:val="TOCHeading"/>
          </w:pPr>
          <w:r>
            <w:t>Table of Contents</w:t>
          </w:r>
          <w:bookmarkEnd w:id="2"/>
        </w:p>
        <w:p w14:paraId="6CA54162" w14:textId="67AD8365" w:rsidR="002D53B5" w:rsidRDefault="002D53B5">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0671129" w:history="1">
            <w:r w:rsidRPr="00417B3D">
              <w:rPr>
                <w:rStyle w:val="Hyperlink"/>
                <w:noProof/>
              </w:rPr>
              <w:t>I.</w:t>
            </w:r>
            <w:r>
              <w:rPr>
                <w:rFonts w:eastAsiaTheme="minorEastAsia" w:cstheme="minorBidi"/>
                <w:b w:val="0"/>
                <w:bCs w:val="0"/>
                <w:i w:val="0"/>
                <w:iCs w:val="0"/>
                <w:noProof/>
                <w:lang w:eastAsia="en-GB"/>
              </w:rPr>
              <w:tab/>
            </w:r>
            <w:r w:rsidRPr="00417B3D">
              <w:rPr>
                <w:rStyle w:val="Hyperlink"/>
                <w:noProof/>
              </w:rPr>
              <w:t>Abstract</w:t>
            </w:r>
            <w:r>
              <w:rPr>
                <w:noProof/>
                <w:webHidden/>
              </w:rPr>
              <w:tab/>
            </w:r>
            <w:r>
              <w:rPr>
                <w:noProof/>
                <w:webHidden/>
              </w:rPr>
              <w:fldChar w:fldCharType="begin"/>
            </w:r>
            <w:r>
              <w:rPr>
                <w:noProof/>
                <w:webHidden/>
              </w:rPr>
              <w:instrText xml:space="preserve"> PAGEREF _Toc60671129 \h </w:instrText>
            </w:r>
            <w:r>
              <w:rPr>
                <w:noProof/>
                <w:webHidden/>
              </w:rPr>
            </w:r>
            <w:r>
              <w:rPr>
                <w:noProof/>
                <w:webHidden/>
              </w:rPr>
              <w:fldChar w:fldCharType="separate"/>
            </w:r>
            <w:r>
              <w:rPr>
                <w:noProof/>
                <w:webHidden/>
              </w:rPr>
              <w:t>1</w:t>
            </w:r>
            <w:r>
              <w:rPr>
                <w:noProof/>
                <w:webHidden/>
              </w:rPr>
              <w:fldChar w:fldCharType="end"/>
            </w:r>
          </w:hyperlink>
        </w:p>
        <w:p w14:paraId="1ACA4AEF" w14:textId="747D8185" w:rsidR="002D53B5" w:rsidRDefault="002D53B5">
          <w:pPr>
            <w:pStyle w:val="TOC1"/>
            <w:tabs>
              <w:tab w:val="right" w:leader="dot" w:pos="9016"/>
            </w:tabs>
            <w:rPr>
              <w:rFonts w:eastAsiaTheme="minorEastAsia" w:cstheme="minorBidi"/>
              <w:b w:val="0"/>
              <w:bCs w:val="0"/>
              <w:i w:val="0"/>
              <w:iCs w:val="0"/>
              <w:noProof/>
              <w:lang w:eastAsia="en-GB"/>
            </w:rPr>
          </w:pPr>
          <w:hyperlink w:anchor="_Toc60671130" w:history="1">
            <w:r w:rsidRPr="00417B3D">
              <w:rPr>
                <w:rStyle w:val="Hyperlink"/>
                <w:noProof/>
              </w:rPr>
              <w:t>Table of Contents</w:t>
            </w:r>
            <w:r>
              <w:rPr>
                <w:noProof/>
                <w:webHidden/>
              </w:rPr>
              <w:tab/>
            </w:r>
            <w:r>
              <w:rPr>
                <w:noProof/>
                <w:webHidden/>
              </w:rPr>
              <w:fldChar w:fldCharType="begin"/>
            </w:r>
            <w:r>
              <w:rPr>
                <w:noProof/>
                <w:webHidden/>
              </w:rPr>
              <w:instrText xml:space="preserve"> PAGEREF _Toc60671130 \h </w:instrText>
            </w:r>
            <w:r>
              <w:rPr>
                <w:noProof/>
                <w:webHidden/>
              </w:rPr>
            </w:r>
            <w:r>
              <w:rPr>
                <w:noProof/>
                <w:webHidden/>
              </w:rPr>
              <w:fldChar w:fldCharType="separate"/>
            </w:r>
            <w:r>
              <w:rPr>
                <w:noProof/>
                <w:webHidden/>
              </w:rPr>
              <w:t>2</w:t>
            </w:r>
            <w:r>
              <w:rPr>
                <w:noProof/>
                <w:webHidden/>
              </w:rPr>
              <w:fldChar w:fldCharType="end"/>
            </w:r>
          </w:hyperlink>
        </w:p>
        <w:p w14:paraId="5DA96FE4" w14:textId="07B99D2F" w:rsidR="002D53B5" w:rsidRDefault="002D53B5">
          <w:pPr>
            <w:pStyle w:val="TOC1"/>
            <w:tabs>
              <w:tab w:val="left" w:pos="480"/>
              <w:tab w:val="right" w:leader="dot" w:pos="9016"/>
            </w:tabs>
            <w:rPr>
              <w:rFonts w:eastAsiaTheme="minorEastAsia" w:cstheme="minorBidi"/>
              <w:b w:val="0"/>
              <w:bCs w:val="0"/>
              <w:i w:val="0"/>
              <w:iCs w:val="0"/>
              <w:noProof/>
              <w:lang w:eastAsia="en-GB"/>
            </w:rPr>
          </w:pPr>
          <w:hyperlink w:anchor="_Toc60671131" w:history="1">
            <w:r w:rsidRPr="00417B3D">
              <w:rPr>
                <w:rStyle w:val="Hyperlink"/>
                <w:noProof/>
              </w:rPr>
              <w:t>II.</w:t>
            </w:r>
            <w:r>
              <w:rPr>
                <w:rFonts w:eastAsiaTheme="minorEastAsia" w:cstheme="minorBidi"/>
                <w:b w:val="0"/>
                <w:bCs w:val="0"/>
                <w:i w:val="0"/>
                <w:iCs w:val="0"/>
                <w:noProof/>
                <w:lang w:eastAsia="en-GB"/>
              </w:rPr>
              <w:tab/>
            </w:r>
            <w:r w:rsidRPr="00417B3D">
              <w:rPr>
                <w:rStyle w:val="Hyperlink"/>
                <w:noProof/>
              </w:rPr>
              <w:t>Introduction</w:t>
            </w:r>
            <w:r>
              <w:rPr>
                <w:noProof/>
                <w:webHidden/>
              </w:rPr>
              <w:tab/>
            </w:r>
            <w:r>
              <w:rPr>
                <w:noProof/>
                <w:webHidden/>
              </w:rPr>
              <w:fldChar w:fldCharType="begin"/>
            </w:r>
            <w:r>
              <w:rPr>
                <w:noProof/>
                <w:webHidden/>
              </w:rPr>
              <w:instrText xml:space="preserve"> PAGEREF _Toc60671131 \h </w:instrText>
            </w:r>
            <w:r>
              <w:rPr>
                <w:noProof/>
                <w:webHidden/>
              </w:rPr>
            </w:r>
            <w:r>
              <w:rPr>
                <w:noProof/>
                <w:webHidden/>
              </w:rPr>
              <w:fldChar w:fldCharType="separate"/>
            </w:r>
            <w:r>
              <w:rPr>
                <w:noProof/>
                <w:webHidden/>
              </w:rPr>
              <w:t>3</w:t>
            </w:r>
            <w:r>
              <w:rPr>
                <w:noProof/>
                <w:webHidden/>
              </w:rPr>
              <w:fldChar w:fldCharType="end"/>
            </w:r>
          </w:hyperlink>
        </w:p>
        <w:p w14:paraId="48365917" w14:textId="79FD7B0E" w:rsidR="002D53B5" w:rsidRDefault="002D53B5">
          <w:pPr>
            <w:pStyle w:val="TOC2"/>
            <w:tabs>
              <w:tab w:val="right" w:leader="dot" w:pos="9016"/>
            </w:tabs>
            <w:rPr>
              <w:rFonts w:eastAsiaTheme="minorEastAsia" w:cstheme="minorBidi"/>
              <w:b w:val="0"/>
              <w:bCs w:val="0"/>
              <w:noProof/>
              <w:sz w:val="24"/>
              <w:szCs w:val="24"/>
              <w:lang w:eastAsia="en-GB"/>
            </w:rPr>
          </w:pPr>
          <w:hyperlink w:anchor="_Toc60671132" w:history="1">
            <w:r w:rsidRPr="00417B3D">
              <w:rPr>
                <w:rStyle w:val="Hyperlink"/>
                <w:i/>
                <w:iCs/>
                <w:noProof/>
              </w:rPr>
              <w:t>Overview of data centre</w:t>
            </w:r>
            <w:r>
              <w:rPr>
                <w:noProof/>
                <w:webHidden/>
              </w:rPr>
              <w:tab/>
            </w:r>
            <w:r>
              <w:rPr>
                <w:noProof/>
                <w:webHidden/>
              </w:rPr>
              <w:fldChar w:fldCharType="begin"/>
            </w:r>
            <w:r>
              <w:rPr>
                <w:noProof/>
                <w:webHidden/>
              </w:rPr>
              <w:instrText xml:space="preserve"> PAGEREF _Toc60671132 \h </w:instrText>
            </w:r>
            <w:r>
              <w:rPr>
                <w:noProof/>
                <w:webHidden/>
              </w:rPr>
            </w:r>
            <w:r>
              <w:rPr>
                <w:noProof/>
                <w:webHidden/>
              </w:rPr>
              <w:fldChar w:fldCharType="separate"/>
            </w:r>
            <w:r>
              <w:rPr>
                <w:noProof/>
                <w:webHidden/>
              </w:rPr>
              <w:t>3</w:t>
            </w:r>
            <w:r>
              <w:rPr>
                <w:noProof/>
                <w:webHidden/>
              </w:rPr>
              <w:fldChar w:fldCharType="end"/>
            </w:r>
          </w:hyperlink>
        </w:p>
        <w:p w14:paraId="6804AA55" w14:textId="5FAA3823" w:rsidR="002D53B5" w:rsidRDefault="002D53B5">
          <w:pPr>
            <w:pStyle w:val="TOC2"/>
            <w:tabs>
              <w:tab w:val="right" w:leader="dot" w:pos="9016"/>
            </w:tabs>
            <w:rPr>
              <w:rFonts w:eastAsiaTheme="minorEastAsia" w:cstheme="minorBidi"/>
              <w:b w:val="0"/>
              <w:bCs w:val="0"/>
              <w:noProof/>
              <w:sz w:val="24"/>
              <w:szCs w:val="24"/>
              <w:lang w:eastAsia="en-GB"/>
            </w:rPr>
          </w:pPr>
          <w:hyperlink w:anchor="_Toc60671133" w:history="1">
            <w:r w:rsidRPr="00417B3D">
              <w:rPr>
                <w:rStyle w:val="Hyperlink"/>
                <w:i/>
                <w:iCs/>
                <w:noProof/>
              </w:rPr>
              <w:t>Design of data centre</w:t>
            </w:r>
            <w:r>
              <w:rPr>
                <w:noProof/>
                <w:webHidden/>
              </w:rPr>
              <w:tab/>
            </w:r>
            <w:r>
              <w:rPr>
                <w:noProof/>
                <w:webHidden/>
              </w:rPr>
              <w:fldChar w:fldCharType="begin"/>
            </w:r>
            <w:r>
              <w:rPr>
                <w:noProof/>
                <w:webHidden/>
              </w:rPr>
              <w:instrText xml:space="preserve"> PAGEREF _Toc60671133 \h </w:instrText>
            </w:r>
            <w:r>
              <w:rPr>
                <w:noProof/>
                <w:webHidden/>
              </w:rPr>
            </w:r>
            <w:r>
              <w:rPr>
                <w:noProof/>
                <w:webHidden/>
              </w:rPr>
              <w:fldChar w:fldCharType="separate"/>
            </w:r>
            <w:r>
              <w:rPr>
                <w:noProof/>
                <w:webHidden/>
              </w:rPr>
              <w:t>3</w:t>
            </w:r>
            <w:r>
              <w:rPr>
                <w:noProof/>
                <w:webHidden/>
              </w:rPr>
              <w:fldChar w:fldCharType="end"/>
            </w:r>
          </w:hyperlink>
        </w:p>
        <w:p w14:paraId="16077D10" w14:textId="4FF7AFD7" w:rsidR="002D53B5" w:rsidRDefault="002D53B5">
          <w:pPr>
            <w:pStyle w:val="TOC2"/>
            <w:tabs>
              <w:tab w:val="right" w:leader="dot" w:pos="9016"/>
            </w:tabs>
            <w:rPr>
              <w:rFonts w:eastAsiaTheme="minorEastAsia" w:cstheme="minorBidi"/>
              <w:b w:val="0"/>
              <w:bCs w:val="0"/>
              <w:noProof/>
              <w:sz w:val="24"/>
              <w:szCs w:val="24"/>
              <w:lang w:eastAsia="en-GB"/>
            </w:rPr>
          </w:pPr>
          <w:hyperlink w:anchor="_Toc60671134" w:history="1">
            <w:r w:rsidRPr="00417B3D">
              <w:rPr>
                <w:rStyle w:val="Hyperlink"/>
                <w:noProof/>
              </w:rPr>
              <w:t>Points to be considered</w:t>
            </w:r>
            <w:r>
              <w:rPr>
                <w:noProof/>
                <w:webHidden/>
              </w:rPr>
              <w:tab/>
            </w:r>
            <w:r>
              <w:rPr>
                <w:noProof/>
                <w:webHidden/>
              </w:rPr>
              <w:fldChar w:fldCharType="begin"/>
            </w:r>
            <w:r>
              <w:rPr>
                <w:noProof/>
                <w:webHidden/>
              </w:rPr>
              <w:instrText xml:space="preserve"> PAGEREF _Toc60671134 \h </w:instrText>
            </w:r>
            <w:r>
              <w:rPr>
                <w:noProof/>
                <w:webHidden/>
              </w:rPr>
            </w:r>
            <w:r>
              <w:rPr>
                <w:noProof/>
                <w:webHidden/>
              </w:rPr>
              <w:fldChar w:fldCharType="separate"/>
            </w:r>
            <w:r>
              <w:rPr>
                <w:noProof/>
                <w:webHidden/>
              </w:rPr>
              <w:t>7</w:t>
            </w:r>
            <w:r>
              <w:rPr>
                <w:noProof/>
                <w:webHidden/>
              </w:rPr>
              <w:fldChar w:fldCharType="end"/>
            </w:r>
          </w:hyperlink>
        </w:p>
        <w:p w14:paraId="38557DCB" w14:textId="2CABE1C1" w:rsidR="002D53B5" w:rsidRDefault="002D53B5">
          <w:pPr>
            <w:pStyle w:val="TOC2"/>
            <w:tabs>
              <w:tab w:val="right" w:leader="dot" w:pos="9016"/>
            </w:tabs>
            <w:rPr>
              <w:rFonts w:eastAsiaTheme="minorEastAsia" w:cstheme="minorBidi"/>
              <w:b w:val="0"/>
              <w:bCs w:val="0"/>
              <w:noProof/>
              <w:sz w:val="24"/>
              <w:szCs w:val="24"/>
              <w:lang w:eastAsia="en-GB"/>
            </w:rPr>
          </w:pPr>
          <w:hyperlink w:anchor="_Toc60671135" w:history="1">
            <w:r w:rsidRPr="00417B3D">
              <w:rPr>
                <w:rStyle w:val="Hyperlink"/>
                <w:noProof/>
              </w:rPr>
              <w:t>Assets and limitations associated with data centre</w:t>
            </w:r>
            <w:r>
              <w:rPr>
                <w:noProof/>
                <w:webHidden/>
              </w:rPr>
              <w:tab/>
            </w:r>
            <w:r>
              <w:rPr>
                <w:noProof/>
                <w:webHidden/>
              </w:rPr>
              <w:fldChar w:fldCharType="begin"/>
            </w:r>
            <w:r>
              <w:rPr>
                <w:noProof/>
                <w:webHidden/>
              </w:rPr>
              <w:instrText xml:space="preserve"> PAGEREF _Toc60671135 \h </w:instrText>
            </w:r>
            <w:r>
              <w:rPr>
                <w:noProof/>
                <w:webHidden/>
              </w:rPr>
            </w:r>
            <w:r>
              <w:rPr>
                <w:noProof/>
                <w:webHidden/>
              </w:rPr>
              <w:fldChar w:fldCharType="separate"/>
            </w:r>
            <w:r>
              <w:rPr>
                <w:noProof/>
                <w:webHidden/>
              </w:rPr>
              <w:t>9</w:t>
            </w:r>
            <w:r>
              <w:rPr>
                <w:noProof/>
                <w:webHidden/>
              </w:rPr>
              <w:fldChar w:fldCharType="end"/>
            </w:r>
          </w:hyperlink>
        </w:p>
        <w:p w14:paraId="42C7AA50" w14:textId="79F57AD6" w:rsidR="002D53B5" w:rsidRDefault="002D53B5">
          <w:pPr>
            <w:pStyle w:val="TOC2"/>
            <w:tabs>
              <w:tab w:val="right" w:leader="dot" w:pos="9016"/>
            </w:tabs>
            <w:rPr>
              <w:rFonts w:eastAsiaTheme="minorEastAsia" w:cstheme="minorBidi"/>
              <w:b w:val="0"/>
              <w:bCs w:val="0"/>
              <w:noProof/>
              <w:sz w:val="24"/>
              <w:szCs w:val="24"/>
              <w:lang w:eastAsia="en-GB"/>
            </w:rPr>
          </w:pPr>
          <w:hyperlink w:anchor="_Toc60671136" w:history="1">
            <w:r w:rsidRPr="00417B3D">
              <w:rPr>
                <w:rStyle w:val="Hyperlink"/>
                <w:i/>
                <w:iCs/>
                <w:noProof/>
              </w:rPr>
              <w:t>Analysis</w:t>
            </w:r>
            <w:r>
              <w:rPr>
                <w:noProof/>
                <w:webHidden/>
              </w:rPr>
              <w:tab/>
            </w:r>
            <w:r>
              <w:rPr>
                <w:noProof/>
                <w:webHidden/>
              </w:rPr>
              <w:fldChar w:fldCharType="begin"/>
            </w:r>
            <w:r>
              <w:rPr>
                <w:noProof/>
                <w:webHidden/>
              </w:rPr>
              <w:instrText xml:space="preserve"> PAGEREF _Toc60671136 \h </w:instrText>
            </w:r>
            <w:r>
              <w:rPr>
                <w:noProof/>
                <w:webHidden/>
              </w:rPr>
            </w:r>
            <w:r>
              <w:rPr>
                <w:noProof/>
                <w:webHidden/>
              </w:rPr>
              <w:fldChar w:fldCharType="separate"/>
            </w:r>
            <w:r>
              <w:rPr>
                <w:noProof/>
                <w:webHidden/>
              </w:rPr>
              <w:t>9</w:t>
            </w:r>
            <w:r>
              <w:rPr>
                <w:noProof/>
                <w:webHidden/>
              </w:rPr>
              <w:fldChar w:fldCharType="end"/>
            </w:r>
          </w:hyperlink>
        </w:p>
        <w:p w14:paraId="00DDA98A" w14:textId="49871F13" w:rsidR="002D53B5" w:rsidRDefault="002D53B5">
          <w:pPr>
            <w:pStyle w:val="TOC1"/>
            <w:tabs>
              <w:tab w:val="left" w:pos="720"/>
              <w:tab w:val="right" w:leader="dot" w:pos="9016"/>
            </w:tabs>
            <w:rPr>
              <w:rFonts w:eastAsiaTheme="minorEastAsia" w:cstheme="minorBidi"/>
              <w:b w:val="0"/>
              <w:bCs w:val="0"/>
              <w:i w:val="0"/>
              <w:iCs w:val="0"/>
              <w:noProof/>
              <w:lang w:eastAsia="en-GB"/>
            </w:rPr>
          </w:pPr>
          <w:hyperlink w:anchor="_Toc60671137" w:history="1">
            <w:r w:rsidRPr="00417B3D">
              <w:rPr>
                <w:rStyle w:val="Hyperlink"/>
                <w:noProof/>
              </w:rPr>
              <w:t>III.</w:t>
            </w:r>
            <w:r>
              <w:rPr>
                <w:rFonts w:eastAsiaTheme="minorEastAsia" w:cstheme="minorBidi"/>
                <w:b w:val="0"/>
                <w:bCs w:val="0"/>
                <w:i w:val="0"/>
                <w:iCs w:val="0"/>
                <w:noProof/>
                <w:lang w:eastAsia="en-GB"/>
              </w:rPr>
              <w:tab/>
            </w:r>
            <w:r w:rsidRPr="00417B3D">
              <w:rPr>
                <w:rStyle w:val="Hyperlink"/>
                <w:noProof/>
              </w:rPr>
              <w:t>Conclusion</w:t>
            </w:r>
            <w:r>
              <w:rPr>
                <w:noProof/>
                <w:webHidden/>
              </w:rPr>
              <w:tab/>
            </w:r>
            <w:r>
              <w:rPr>
                <w:noProof/>
                <w:webHidden/>
              </w:rPr>
              <w:fldChar w:fldCharType="begin"/>
            </w:r>
            <w:r>
              <w:rPr>
                <w:noProof/>
                <w:webHidden/>
              </w:rPr>
              <w:instrText xml:space="preserve"> PAGEREF _Toc60671137 \h </w:instrText>
            </w:r>
            <w:r>
              <w:rPr>
                <w:noProof/>
                <w:webHidden/>
              </w:rPr>
            </w:r>
            <w:r>
              <w:rPr>
                <w:noProof/>
                <w:webHidden/>
              </w:rPr>
              <w:fldChar w:fldCharType="separate"/>
            </w:r>
            <w:r>
              <w:rPr>
                <w:noProof/>
                <w:webHidden/>
              </w:rPr>
              <w:t>10</w:t>
            </w:r>
            <w:r>
              <w:rPr>
                <w:noProof/>
                <w:webHidden/>
              </w:rPr>
              <w:fldChar w:fldCharType="end"/>
            </w:r>
          </w:hyperlink>
        </w:p>
        <w:p w14:paraId="52BDCAE1" w14:textId="7F9C4C20" w:rsidR="002D53B5" w:rsidRDefault="002D53B5">
          <w:pPr>
            <w:pStyle w:val="TOC1"/>
            <w:tabs>
              <w:tab w:val="left" w:pos="720"/>
              <w:tab w:val="right" w:leader="dot" w:pos="9016"/>
            </w:tabs>
            <w:rPr>
              <w:rFonts w:eastAsiaTheme="minorEastAsia" w:cstheme="minorBidi"/>
              <w:b w:val="0"/>
              <w:bCs w:val="0"/>
              <w:i w:val="0"/>
              <w:iCs w:val="0"/>
              <w:noProof/>
              <w:lang w:eastAsia="en-GB"/>
            </w:rPr>
          </w:pPr>
          <w:hyperlink w:anchor="_Toc60671138" w:history="1">
            <w:r w:rsidRPr="00417B3D">
              <w:rPr>
                <w:rStyle w:val="Hyperlink"/>
                <w:noProof/>
              </w:rPr>
              <w:t>IV.</w:t>
            </w:r>
            <w:r>
              <w:rPr>
                <w:rFonts w:eastAsiaTheme="minorEastAsia" w:cstheme="minorBidi"/>
                <w:b w:val="0"/>
                <w:bCs w:val="0"/>
                <w:i w:val="0"/>
                <w:iCs w:val="0"/>
                <w:noProof/>
                <w:lang w:eastAsia="en-GB"/>
              </w:rPr>
              <w:tab/>
            </w:r>
            <w:r w:rsidRPr="00417B3D">
              <w:rPr>
                <w:rStyle w:val="Hyperlink"/>
                <w:noProof/>
              </w:rPr>
              <w:t>Recommendations</w:t>
            </w:r>
            <w:r>
              <w:rPr>
                <w:noProof/>
                <w:webHidden/>
              </w:rPr>
              <w:tab/>
            </w:r>
            <w:r>
              <w:rPr>
                <w:noProof/>
                <w:webHidden/>
              </w:rPr>
              <w:fldChar w:fldCharType="begin"/>
            </w:r>
            <w:r>
              <w:rPr>
                <w:noProof/>
                <w:webHidden/>
              </w:rPr>
              <w:instrText xml:space="preserve"> PAGEREF _Toc60671138 \h </w:instrText>
            </w:r>
            <w:r>
              <w:rPr>
                <w:noProof/>
                <w:webHidden/>
              </w:rPr>
            </w:r>
            <w:r>
              <w:rPr>
                <w:noProof/>
                <w:webHidden/>
              </w:rPr>
              <w:fldChar w:fldCharType="separate"/>
            </w:r>
            <w:r>
              <w:rPr>
                <w:noProof/>
                <w:webHidden/>
              </w:rPr>
              <w:t>11</w:t>
            </w:r>
            <w:r>
              <w:rPr>
                <w:noProof/>
                <w:webHidden/>
              </w:rPr>
              <w:fldChar w:fldCharType="end"/>
            </w:r>
          </w:hyperlink>
        </w:p>
        <w:p w14:paraId="561CF8F9" w14:textId="69B70DC2" w:rsidR="002D53B5" w:rsidRDefault="002D53B5">
          <w:pPr>
            <w:pStyle w:val="TOC1"/>
            <w:tabs>
              <w:tab w:val="left" w:pos="480"/>
              <w:tab w:val="right" w:leader="dot" w:pos="9016"/>
            </w:tabs>
            <w:rPr>
              <w:rFonts w:eastAsiaTheme="minorEastAsia" w:cstheme="minorBidi"/>
              <w:b w:val="0"/>
              <w:bCs w:val="0"/>
              <w:i w:val="0"/>
              <w:iCs w:val="0"/>
              <w:noProof/>
              <w:lang w:eastAsia="en-GB"/>
            </w:rPr>
          </w:pPr>
          <w:hyperlink w:anchor="_Toc60671139" w:history="1">
            <w:r w:rsidRPr="00417B3D">
              <w:rPr>
                <w:rStyle w:val="Hyperlink"/>
                <w:noProof/>
              </w:rPr>
              <w:t>V.</w:t>
            </w:r>
            <w:r>
              <w:rPr>
                <w:rFonts w:eastAsiaTheme="minorEastAsia" w:cstheme="minorBidi"/>
                <w:b w:val="0"/>
                <w:bCs w:val="0"/>
                <w:i w:val="0"/>
                <w:iCs w:val="0"/>
                <w:noProof/>
                <w:lang w:eastAsia="en-GB"/>
              </w:rPr>
              <w:tab/>
            </w:r>
            <w:r w:rsidRPr="00417B3D">
              <w:rPr>
                <w:rStyle w:val="Hyperlink"/>
                <w:noProof/>
              </w:rPr>
              <w:t>References</w:t>
            </w:r>
            <w:r>
              <w:rPr>
                <w:noProof/>
                <w:webHidden/>
              </w:rPr>
              <w:tab/>
            </w:r>
            <w:r>
              <w:rPr>
                <w:noProof/>
                <w:webHidden/>
              </w:rPr>
              <w:fldChar w:fldCharType="begin"/>
            </w:r>
            <w:r>
              <w:rPr>
                <w:noProof/>
                <w:webHidden/>
              </w:rPr>
              <w:instrText xml:space="preserve"> PAGEREF _Toc60671139 \h </w:instrText>
            </w:r>
            <w:r>
              <w:rPr>
                <w:noProof/>
                <w:webHidden/>
              </w:rPr>
            </w:r>
            <w:r>
              <w:rPr>
                <w:noProof/>
                <w:webHidden/>
              </w:rPr>
              <w:fldChar w:fldCharType="separate"/>
            </w:r>
            <w:r>
              <w:rPr>
                <w:noProof/>
                <w:webHidden/>
              </w:rPr>
              <w:t>12</w:t>
            </w:r>
            <w:r>
              <w:rPr>
                <w:noProof/>
                <w:webHidden/>
              </w:rPr>
              <w:fldChar w:fldCharType="end"/>
            </w:r>
          </w:hyperlink>
        </w:p>
        <w:p w14:paraId="68BFB59C" w14:textId="30884897" w:rsidR="002D53B5" w:rsidRDefault="002D53B5">
          <w:r>
            <w:rPr>
              <w:b/>
              <w:bCs/>
              <w:noProof/>
            </w:rPr>
            <w:fldChar w:fldCharType="end"/>
          </w:r>
        </w:p>
      </w:sdtContent>
    </w:sdt>
    <w:p w14:paraId="671498AD" w14:textId="1C321026" w:rsidR="00B211BE" w:rsidRDefault="00B211BE"/>
    <w:p w14:paraId="47A2397A" w14:textId="12539322" w:rsidR="00B211BE" w:rsidRDefault="00B211BE"/>
    <w:p w14:paraId="2B4041BD" w14:textId="34B79586" w:rsidR="00B211BE" w:rsidRDefault="00B211BE"/>
    <w:p w14:paraId="01F00795" w14:textId="705F80B2" w:rsidR="00B211BE" w:rsidRDefault="00B211BE"/>
    <w:p w14:paraId="1AD914E5" w14:textId="150352B6" w:rsidR="00B211BE" w:rsidRDefault="00B211BE"/>
    <w:p w14:paraId="3B88C877" w14:textId="097F477D" w:rsidR="00B211BE" w:rsidRDefault="00B211BE"/>
    <w:p w14:paraId="72E63A1C" w14:textId="05502AC1" w:rsidR="00B211BE" w:rsidRDefault="00B211BE"/>
    <w:p w14:paraId="6F84D4D9" w14:textId="55E68583" w:rsidR="00B211BE" w:rsidRDefault="00B211BE"/>
    <w:p w14:paraId="079CD606" w14:textId="26CB5915" w:rsidR="00B211BE" w:rsidRDefault="00B211BE"/>
    <w:p w14:paraId="6225373E" w14:textId="48C543B4" w:rsidR="00B211BE" w:rsidRDefault="00B211BE"/>
    <w:p w14:paraId="52C325BC" w14:textId="238B72DE" w:rsidR="00B211BE" w:rsidRDefault="00B211BE"/>
    <w:p w14:paraId="37C272C2" w14:textId="39B95A96" w:rsidR="00B211BE" w:rsidRDefault="00B211BE"/>
    <w:p w14:paraId="16D50BBB" w14:textId="062FB33E" w:rsidR="00B211BE" w:rsidRDefault="00B211BE"/>
    <w:p w14:paraId="6EFC0EBD" w14:textId="56CE51DC" w:rsidR="00B211BE" w:rsidRDefault="00B211BE"/>
    <w:p w14:paraId="38010668" w14:textId="1A5FA4AB" w:rsidR="002D53B5" w:rsidRDefault="002D53B5">
      <w:r>
        <w:br w:type="page"/>
      </w:r>
    </w:p>
    <w:p w14:paraId="31DA366C" w14:textId="77777777" w:rsidR="00B211BE" w:rsidRPr="002D53B5" w:rsidRDefault="00B211BE" w:rsidP="002D53B5">
      <w:pPr>
        <w:pStyle w:val="Heading1"/>
        <w:rPr>
          <w:sz w:val="22"/>
          <w:szCs w:val="22"/>
        </w:rPr>
      </w:pPr>
      <w:bookmarkStart w:id="3" w:name="_Toc60134741"/>
      <w:bookmarkStart w:id="4" w:name="_Toc60671131"/>
      <w:r w:rsidRPr="002D53B5">
        <w:rPr>
          <w:sz w:val="21"/>
          <w:szCs w:val="21"/>
        </w:rPr>
        <w:lastRenderedPageBreak/>
        <w:t>Introduction</w:t>
      </w:r>
      <w:bookmarkEnd w:id="3"/>
      <w:bookmarkEnd w:id="4"/>
      <w:r w:rsidRPr="002D53B5">
        <w:rPr>
          <w:sz w:val="21"/>
          <w:szCs w:val="21"/>
        </w:rPr>
        <w:t xml:space="preserve"> </w:t>
      </w:r>
      <w:r w:rsidRPr="002D53B5">
        <w:rPr>
          <w:sz w:val="22"/>
          <w:szCs w:val="22"/>
        </w:rPr>
        <w:t xml:space="preserve"> </w:t>
      </w:r>
    </w:p>
    <w:p w14:paraId="1B66977E" w14:textId="3567C07D" w:rsidR="00B211BE" w:rsidRPr="002D53B5" w:rsidRDefault="00B211BE" w:rsidP="00B211BE">
      <w:pPr>
        <w:rPr>
          <w:rFonts w:ascii="Times New Roman" w:hAnsi="Times New Roman" w:cs="Times New Roman"/>
          <w:sz w:val="20"/>
          <w:szCs w:val="20"/>
        </w:rPr>
      </w:pPr>
      <w:r w:rsidRPr="00170AB7">
        <w:tab/>
      </w:r>
      <w:r w:rsidRPr="002D53B5">
        <w:rPr>
          <w:rFonts w:ascii="Times New Roman" w:hAnsi="Times New Roman" w:cs="Times New Roman"/>
          <w:sz w:val="20"/>
          <w:szCs w:val="20"/>
        </w:rPr>
        <w:t xml:space="preserve">Data centre refers to facility that is liable for centralisation of shared IT operations along with equipment’s for rationale of storage, processing as well as dissemination of application and data. It implies the physical facilities that are being possessed by organisations to house their critical data and applications. The design is entirely dependent on storage resources as well as network of computing that is liable for delivering shared information (Acton and et. al, 2017). The broader term that is information technology which denotes communication technologies that comprises of wireless network, middleware, social networking, cell phones, video conferencing and other media services that allow users to access, retrieval, storage, transmission along with manipulation of information within the digital form is defined as </w:t>
      </w:r>
      <w:r w:rsidR="002D53B5" w:rsidRPr="002D53B5">
        <w:rPr>
          <w:rFonts w:ascii="Times New Roman" w:hAnsi="Times New Roman" w:cs="Times New Roman"/>
          <w:sz w:val="20"/>
          <w:szCs w:val="20"/>
        </w:rPr>
        <w:t>ICT (</w:t>
      </w:r>
      <w:r w:rsidRPr="002D53B5">
        <w:rPr>
          <w:rFonts w:ascii="Times New Roman" w:hAnsi="Times New Roman" w:cs="Times New Roman"/>
          <w:sz w:val="20"/>
          <w:szCs w:val="20"/>
        </w:rPr>
        <w:t xml:space="preserve">information and communication technology). Basically, ICT are components and infrastructure that allow modern computing. This report is based on UWTSD, that is formed by the merger of SMU and TSD. They are looking forward to </w:t>
      </w:r>
      <w:r w:rsidR="002D53B5" w:rsidRPr="002D53B5">
        <w:rPr>
          <w:rFonts w:ascii="Times New Roman" w:hAnsi="Times New Roman" w:cs="Times New Roman"/>
          <w:sz w:val="20"/>
          <w:szCs w:val="20"/>
        </w:rPr>
        <w:t>centralising</w:t>
      </w:r>
      <w:r w:rsidRPr="002D53B5">
        <w:rPr>
          <w:rFonts w:ascii="Times New Roman" w:hAnsi="Times New Roman" w:cs="Times New Roman"/>
          <w:sz w:val="20"/>
          <w:szCs w:val="20"/>
        </w:rPr>
        <w:t xml:space="preserve"> their IT operations along with the </w:t>
      </w:r>
      <w:r w:rsidR="002D53B5" w:rsidRPr="002D53B5">
        <w:rPr>
          <w:rFonts w:ascii="Times New Roman" w:hAnsi="Times New Roman" w:cs="Times New Roman"/>
          <w:sz w:val="20"/>
          <w:szCs w:val="20"/>
        </w:rPr>
        <w:t>equipment’s</w:t>
      </w:r>
      <w:r w:rsidRPr="002D53B5">
        <w:rPr>
          <w:rFonts w:ascii="Times New Roman" w:hAnsi="Times New Roman" w:cs="Times New Roman"/>
          <w:sz w:val="20"/>
          <w:szCs w:val="20"/>
        </w:rPr>
        <w:t xml:space="preserve"> for managing ICT infrastructure. In addition to this, the report will provide an insight into designing of data centre along with various aspects related with this like fault tolerant, scalability, security and many more.  </w:t>
      </w:r>
    </w:p>
    <w:p w14:paraId="49CE7079" w14:textId="77777777" w:rsidR="00B211BE" w:rsidRPr="002D53B5" w:rsidRDefault="00B211BE" w:rsidP="00B211BE">
      <w:pPr>
        <w:pStyle w:val="Heading2"/>
        <w:rPr>
          <w:i/>
          <w:iCs/>
          <w:color w:val="auto"/>
        </w:rPr>
      </w:pPr>
      <w:bookmarkStart w:id="5" w:name="_Toc60134742"/>
      <w:bookmarkStart w:id="6" w:name="_Toc60671132"/>
      <w:r w:rsidRPr="002D53B5">
        <w:rPr>
          <w:i/>
          <w:iCs/>
          <w:color w:val="auto"/>
        </w:rPr>
        <w:t>Overview of data centre</w:t>
      </w:r>
      <w:bookmarkEnd w:id="5"/>
      <w:bookmarkEnd w:id="6"/>
      <w:r w:rsidRPr="002D53B5">
        <w:rPr>
          <w:i/>
          <w:iCs/>
          <w:color w:val="auto"/>
          <w:u w:val="none"/>
        </w:rPr>
        <w:t xml:space="preserve"> </w:t>
      </w:r>
    </w:p>
    <w:p w14:paraId="0FBDB88A" w14:textId="4866C064" w:rsidR="00B211BE" w:rsidRPr="002D53B5" w:rsidRDefault="00B211BE" w:rsidP="00B211BE">
      <w:pPr>
        <w:rPr>
          <w:rFonts w:ascii="Times New Roman" w:hAnsi="Times New Roman" w:cs="Times New Roman"/>
          <w:sz w:val="20"/>
          <w:szCs w:val="20"/>
        </w:rPr>
      </w:pPr>
      <w:r w:rsidRPr="00170AB7">
        <w:tab/>
      </w:r>
      <w:r w:rsidRPr="002D53B5">
        <w:rPr>
          <w:rFonts w:ascii="Times New Roman" w:hAnsi="Times New Roman" w:cs="Times New Roman"/>
          <w:sz w:val="20"/>
          <w:szCs w:val="20"/>
        </w:rPr>
        <w:t xml:space="preserve">Data centre is accountable for centralising the operations as well as </w:t>
      </w:r>
      <w:r w:rsidR="002D53B5" w:rsidRPr="002D53B5">
        <w:rPr>
          <w:rFonts w:ascii="Times New Roman" w:hAnsi="Times New Roman" w:cs="Times New Roman"/>
          <w:sz w:val="20"/>
          <w:szCs w:val="20"/>
        </w:rPr>
        <w:t>equipment’s</w:t>
      </w:r>
      <w:r w:rsidRPr="002D53B5">
        <w:rPr>
          <w:rFonts w:ascii="Times New Roman" w:hAnsi="Times New Roman" w:cs="Times New Roman"/>
          <w:sz w:val="20"/>
          <w:szCs w:val="20"/>
        </w:rPr>
        <w:t xml:space="preserve"> of the organisation for ensuring that there is a secured location for storage, sharing of information along with management of ample of data (Alishahi and et. al, 2019). This will further enable UWTSD to have flexibility within the ways in which they create back up, store and protect their critical assets from any kind of damage either that is natural or man-made. There are different kinds of data centres that can be utilised by businesses for building up or storing their data within them, they are specified beneath:</w:t>
      </w:r>
    </w:p>
    <w:p w14:paraId="7C5D2CCB" w14:textId="4E793950" w:rsidR="00B211BE" w:rsidRPr="002D53B5" w:rsidRDefault="00B211BE" w:rsidP="00B211BE">
      <w:pPr>
        <w:rPr>
          <w:rFonts w:ascii="Times New Roman" w:hAnsi="Times New Roman" w:cs="Times New Roman"/>
          <w:b/>
          <w:bCs/>
          <w:i/>
          <w:iCs/>
          <w:sz w:val="20"/>
          <w:szCs w:val="20"/>
        </w:rPr>
      </w:pPr>
      <w:r w:rsidRPr="002D53B5">
        <w:rPr>
          <w:rFonts w:ascii="Times New Roman" w:hAnsi="Times New Roman" w:cs="Times New Roman"/>
          <w:sz w:val="20"/>
          <w:szCs w:val="20"/>
        </w:rPr>
        <w:tab/>
      </w:r>
      <w:r w:rsidRPr="002D53B5">
        <w:rPr>
          <w:rFonts w:ascii="Times New Roman" w:hAnsi="Times New Roman" w:cs="Times New Roman"/>
          <w:b/>
          <w:bCs/>
          <w:i/>
          <w:iCs/>
          <w:sz w:val="20"/>
          <w:szCs w:val="20"/>
        </w:rPr>
        <w:t xml:space="preserve">Colocation facilities: </w:t>
      </w:r>
      <w:r w:rsidRPr="002D53B5">
        <w:rPr>
          <w:rFonts w:ascii="Times New Roman" w:hAnsi="Times New Roman" w:cs="Times New Roman"/>
          <w:sz w:val="20"/>
          <w:szCs w:val="20"/>
        </w:rPr>
        <w:t xml:space="preserve">In this case UWTSD have the option to have space on rent that is being furnished by the data centre service provider. The infrastructure is being hosted via building owner that comprises of services and </w:t>
      </w:r>
      <w:r w:rsidR="002D53B5" w:rsidRPr="002D53B5">
        <w:rPr>
          <w:rFonts w:ascii="Times New Roman" w:hAnsi="Times New Roman" w:cs="Times New Roman"/>
          <w:sz w:val="20"/>
          <w:szCs w:val="20"/>
        </w:rPr>
        <w:t>equipment</w:t>
      </w:r>
      <w:r w:rsidRPr="002D53B5">
        <w:rPr>
          <w:rFonts w:ascii="Times New Roman" w:hAnsi="Times New Roman" w:cs="Times New Roman"/>
          <w:sz w:val="20"/>
          <w:szCs w:val="20"/>
        </w:rPr>
        <w:t xml:space="preserve"> for cooling systems, power, networking, security and bandwidth. The provider of space will be accountable for renting the space will install as well as manage components like storage, data centre servers and firewalls. </w:t>
      </w:r>
    </w:p>
    <w:p w14:paraId="1D8C5D76" w14:textId="77777777" w:rsidR="00B211BE" w:rsidRPr="002D53B5" w:rsidRDefault="00B211BE" w:rsidP="00B211BE">
      <w:pPr>
        <w:rPr>
          <w:rFonts w:ascii="Times New Roman" w:hAnsi="Times New Roman" w:cs="Times New Roman"/>
          <w:b/>
          <w:bCs/>
          <w:i/>
          <w:iCs/>
          <w:sz w:val="20"/>
          <w:szCs w:val="20"/>
        </w:rPr>
      </w:pPr>
      <w:r w:rsidRPr="002D53B5">
        <w:rPr>
          <w:rFonts w:ascii="Times New Roman" w:hAnsi="Times New Roman" w:cs="Times New Roman"/>
          <w:b/>
          <w:bCs/>
          <w:i/>
          <w:iCs/>
          <w:sz w:val="20"/>
          <w:szCs w:val="20"/>
        </w:rPr>
        <w:tab/>
        <w:t xml:space="preserve">Enterprise: </w:t>
      </w:r>
      <w:r w:rsidRPr="002D53B5">
        <w:rPr>
          <w:rFonts w:ascii="Times New Roman" w:hAnsi="Times New Roman" w:cs="Times New Roman"/>
          <w:sz w:val="20"/>
          <w:szCs w:val="20"/>
        </w:rPr>
        <w:t xml:space="preserve">This denotes facility that is being owned as well as operated via business for usage. This facility will be located within the own site of organisation but basically, this will be present at off-premises at location that will render prime security, connectivity and power. Equipping as well as building up enterprise data centre needs relevant capital investment that enable firms to address their peculiar requirements in an appropriate manner (Avgerinou, Bertoldi and Castellazzi, 2017).    </w:t>
      </w:r>
    </w:p>
    <w:p w14:paraId="2CEA3922" w14:textId="1B989233"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b/>
          <w:bCs/>
          <w:i/>
          <w:iCs/>
          <w:sz w:val="20"/>
          <w:szCs w:val="20"/>
        </w:rPr>
        <w:tab/>
        <w:t>Hyperscale data centres:</w:t>
      </w:r>
      <w:r w:rsidR="002D53B5">
        <w:rPr>
          <w:rFonts w:ascii="Times New Roman" w:hAnsi="Times New Roman" w:cs="Times New Roman"/>
          <w:b/>
          <w:bCs/>
          <w:i/>
          <w:iCs/>
          <w:sz w:val="20"/>
          <w:szCs w:val="20"/>
        </w:rPr>
        <w:t xml:space="preserve"> </w:t>
      </w:r>
      <w:r w:rsidRPr="002D53B5">
        <w:rPr>
          <w:rFonts w:ascii="Times New Roman" w:hAnsi="Times New Roman" w:cs="Times New Roman"/>
          <w:sz w:val="20"/>
          <w:szCs w:val="20"/>
        </w:rPr>
        <w:t xml:space="preserve">They are designed to render the high computing that is required for big data as well as cloud storage. This aspect is accountable for providing cloud service providers with scalable and robust application along with storage capabilities to customers like UWTSD. In this case, high fibre networks are being utilised.  </w:t>
      </w:r>
    </w:p>
    <w:p w14:paraId="309E88D9" w14:textId="77777777" w:rsidR="00B211BE" w:rsidRPr="002D53B5" w:rsidRDefault="00B211BE" w:rsidP="00B211BE">
      <w:pPr>
        <w:pStyle w:val="Heading2"/>
        <w:rPr>
          <w:i/>
          <w:iCs/>
          <w:color w:val="auto"/>
        </w:rPr>
      </w:pPr>
      <w:bookmarkStart w:id="7" w:name="_Toc60134743"/>
      <w:bookmarkStart w:id="8" w:name="_Toc60671133"/>
      <w:r w:rsidRPr="002D53B5">
        <w:rPr>
          <w:i/>
          <w:iCs/>
          <w:color w:val="auto"/>
        </w:rPr>
        <w:t>Design of data centre</w:t>
      </w:r>
      <w:bookmarkEnd w:id="7"/>
      <w:bookmarkEnd w:id="8"/>
      <w:r w:rsidRPr="002D53B5">
        <w:rPr>
          <w:i/>
          <w:iCs/>
          <w:color w:val="auto"/>
          <w:u w:val="none"/>
        </w:rPr>
        <w:t xml:space="preserve">  </w:t>
      </w:r>
    </w:p>
    <w:p w14:paraId="4CF4A8D9" w14:textId="77777777" w:rsidR="00B211BE" w:rsidRPr="002D53B5" w:rsidRDefault="00B211BE" w:rsidP="00B211BE">
      <w:pPr>
        <w:rPr>
          <w:rFonts w:ascii="Times New Roman" w:hAnsi="Times New Roman" w:cs="Times New Roman"/>
          <w:sz w:val="20"/>
          <w:szCs w:val="20"/>
        </w:rPr>
      </w:pPr>
      <w:r w:rsidRPr="00170AB7">
        <w:tab/>
      </w:r>
      <w:r w:rsidRPr="002D53B5">
        <w:rPr>
          <w:rFonts w:ascii="Times New Roman" w:hAnsi="Times New Roman" w:cs="Times New Roman"/>
          <w:sz w:val="20"/>
          <w:szCs w:val="20"/>
        </w:rPr>
        <w:t>With reference to UWTSD, active-active architecture design can be utilised that will enable them within having optimised uptime. Within such kind of setup, the off-site servers have to be synced with on-site servers that are available for enabling near-instantaneous redundancy of information. This is being carried in order to make sure that in case if any of the servers fail then the load must be automatically rebalanced for other servers (Dandres and et. al, 2017). This will further enable UWTSD to provide their people or consumers with adequate services as per their requirements and their activities will also not be hampered. In addition to this, it will allow them to minimise the network traffic load as different servers can respond to the requests that are being made. Active-active is liable for rendering traffic load and availability sharing of application across the DC with business continuity, load sharing, mobility, consistency and rendering provisioning capabilities. The designing of data centre for UWTSD is provided beneath:</w:t>
      </w:r>
    </w:p>
    <w:p w14:paraId="60FE79A0" w14:textId="77777777" w:rsidR="00B211BE" w:rsidRPr="002D53B5" w:rsidRDefault="00B211BE" w:rsidP="00B211BE">
      <w:pPr>
        <w:rPr>
          <w:rFonts w:ascii="Times New Roman" w:hAnsi="Times New Roman" w:cs="Times New Roman"/>
          <w:b/>
          <w:bCs/>
          <w:i/>
          <w:iCs/>
          <w:sz w:val="20"/>
          <w:szCs w:val="20"/>
        </w:rPr>
      </w:pPr>
      <w:r w:rsidRPr="002D53B5">
        <w:rPr>
          <w:rFonts w:ascii="Times New Roman" w:hAnsi="Times New Roman" w:cs="Times New Roman"/>
          <w:noProof/>
          <w:sz w:val="20"/>
          <w:szCs w:val="20"/>
        </w:rPr>
        <w:lastRenderedPageBreak/>
        <mc:AlternateContent>
          <mc:Choice Requires="wps">
            <w:drawing>
              <wp:anchor distT="0" distB="0" distL="0" distR="0" simplePos="0" relativeHeight="251667456" behindDoc="0" locked="0" layoutInCell="1" allowOverlap="1" wp14:anchorId="083C287A" wp14:editId="06E98EE4">
                <wp:simplePos x="0" y="0"/>
                <wp:positionH relativeFrom="column">
                  <wp:align>center</wp:align>
                </wp:positionH>
                <wp:positionV relativeFrom="paragraph">
                  <wp:posOffset>0</wp:posOffset>
                </wp:positionV>
                <wp:extent cx="7771765" cy="5631180"/>
                <wp:effectExtent l="0" t="0" r="0" b="0"/>
                <wp:wrapTopAndBottom/>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7771765" cy="56311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2D74371" w14:textId="77777777" w:rsidR="00B211BE" w:rsidRDefault="00B211BE" w:rsidP="00B211BE">
                            <w:pPr>
                              <w:jc w:val="center"/>
                            </w:pPr>
                            <w:r>
                              <w:rPr>
                                <w:noProof/>
                              </w:rPr>
                              <w:drawing>
                                <wp:inline distT="0" distB="0" distL="0" distR="0" wp14:anchorId="34DAC31F" wp14:editId="477C55F3">
                                  <wp:extent cx="7759700" cy="5372100"/>
                                  <wp:effectExtent l="0" t="0" r="0" b="0"/>
                                  <wp:docPr id="8"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759700" cy="5372100"/>
                                          </a:xfrm>
                                          <a:prstGeom prst="rect">
                                            <a:avLst/>
                                          </a:prstGeom>
                                          <a:solidFill>
                                            <a:srgbClr val="FFFFFF"/>
                                          </a:solidFill>
                                          <a:ln>
                                            <a:noFill/>
                                          </a:ln>
                                        </pic:spPr>
                                      </pic:pic>
                                    </a:graphicData>
                                  </a:graphic>
                                </wp:inline>
                              </w:drawing>
                            </w:r>
                            <w:r w:rsidRPr="002D53B5">
                              <w:rPr>
                                <w:rFonts w:ascii="Times New Roman" w:hAnsi="Times New Roman" w:cs="Times New Roman"/>
                                <w:sz w:val="16"/>
                                <w:szCs w:val="16"/>
                              </w:rPr>
                              <w:t xml:space="preserve">Illustration </w:t>
                            </w:r>
                            <w:r w:rsidRPr="002D53B5">
                              <w:rPr>
                                <w:rFonts w:ascii="Times New Roman" w:hAnsi="Times New Roman" w:cs="Times New Roman"/>
                                <w:sz w:val="16"/>
                                <w:szCs w:val="16"/>
                              </w:rPr>
                              <w:fldChar w:fldCharType="begin"/>
                            </w:r>
                            <w:r w:rsidRPr="002D53B5">
                              <w:rPr>
                                <w:rFonts w:ascii="Times New Roman" w:hAnsi="Times New Roman" w:cs="Times New Roman"/>
                                <w:sz w:val="16"/>
                                <w:szCs w:val="16"/>
                              </w:rPr>
                              <w:instrText xml:space="preserve"> SEQ "Illustration" \*Arabic </w:instrText>
                            </w:r>
                            <w:r w:rsidRPr="002D53B5">
                              <w:rPr>
                                <w:rFonts w:ascii="Times New Roman" w:hAnsi="Times New Roman" w:cs="Times New Roman"/>
                                <w:sz w:val="16"/>
                                <w:szCs w:val="16"/>
                              </w:rPr>
                              <w:fldChar w:fldCharType="separate"/>
                            </w:r>
                            <w:r w:rsidRPr="002D53B5">
                              <w:rPr>
                                <w:rFonts w:ascii="Times New Roman" w:hAnsi="Times New Roman" w:cs="Times New Roman"/>
                                <w:sz w:val="16"/>
                                <w:szCs w:val="16"/>
                              </w:rPr>
                              <w:t>1</w:t>
                            </w:r>
                            <w:r w:rsidRPr="002D53B5">
                              <w:rPr>
                                <w:rFonts w:ascii="Times New Roman" w:hAnsi="Times New Roman" w:cs="Times New Roman"/>
                                <w:sz w:val="16"/>
                                <w:szCs w:val="16"/>
                              </w:rPr>
                              <w:fldChar w:fldCharType="end"/>
                            </w:r>
                            <w:r w:rsidRPr="002D53B5">
                              <w:rPr>
                                <w:rFonts w:ascii="Times New Roman" w:hAnsi="Times New Roman" w:cs="Times New Roman"/>
                                <w:sz w:val="16"/>
                                <w:szCs w:val="16"/>
                              </w:rPr>
                              <w:t>: Architectural building blocks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3C287A" id="Text Box 2" o:spid="_x0000_s1030" type="#_x0000_t202" style="position:absolute;margin-left:0;margin-top:0;width:611.95pt;height:443.4pt;z-index:251667456;visibility:visible;mso-wrap-style:square;mso-width-percent:0;mso-height-percent:0;mso-wrap-distance-left:0;mso-wrap-distance-top:0;mso-wrap-distance-right:0;mso-wrap-distance-bottom:0;mso-position-horizontal:center;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" stroked="f">
                <v:path arrowok="t"/>
                <v:textbox inset="0,0,0,0">
                  <w:txbxContent>
                    <w:p w14:paraId="32D74371" w14:textId="77777777" w:rsidR="00B211BE" w:rsidRDefault="00B211BE" w:rsidP="00B211BE">
                      <w:pPr>
                        <w:jc w:val="center"/>
                      </w:pPr>
                      <w:r>
                        <w:rPr>
                          <w:noProof/>
                        </w:rPr>
                        <w:drawing>
                          <wp:inline distT="0" distB="0" distL="0" distR="0" wp14:anchorId="34DAC31F" wp14:editId="477C55F3">
                            <wp:extent cx="7759700" cy="5372100"/>
                            <wp:effectExtent l="0" t="0" r="0" b="0"/>
                            <wp:docPr id="8"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759700" cy="5372100"/>
                                    </a:xfrm>
                                    <a:prstGeom prst="rect">
                                      <a:avLst/>
                                    </a:prstGeom>
                                    <a:solidFill>
                                      <a:srgbClr val="FFFFFF"/>
                                    </a:solidFill>
                                    <a:ln>
                                      <a:noFill/>
                                    </a:ln>
                                  </pic:spPr>
                                </pic:pic>
                              </a:graphicData>
                            </a:graphic>
                          </wp:inline>
                        </w:drawing>
                      </w:r>
                      <w:r w:rsidRPr="002D53B5">
                        <w:rPr>
                          <w:rFonts w:ascii="Times New Roman" w:hAnsi="Times New Roman" w:cs="Times New Roman"/>
                          <w:sz w:val="16"/>
                          <w:szCs w:val="16"/>
                        </w:rPr>
                        <w:t xml:space="preserve">Illustration </w:t>
                      </w:r>
                      <w:r w:rsidRPr="002D53B5">
                        <w:rPr>
                          <w:rFonts w:ascii="Times New Roman" w:hAnsi="Times New Roman" w:cs="Times New Roman"/>
                          <w:sz w:val="16"/>
                          <w:szCs w:val="16"/>
                        </w:rPr>
                        <w:fldChar w:fldCharType="begin"/>
                      </w:r>
                      <w:r w:rsidRPr="002D53B5">
                        <w:rPr>
                          <w:rFonts w:ascii="Times New Roman" w:hAnsi="Times New Roman" w:cs="Times New Roman"/>
                          <w:sz w:val="16"/>
                          <w:szCs w:val="16"/>
                        </w:rPr>
                        <w:instrText xml:space="preserve"> SEQ "Illustration" \*Arabic </w:instrText>
                      </w:r>
                      <w:r w:rsidRPr="002D53B5">
                        <w:rPr>
                          <w:rFonts w:ascii="Times New Roman" w:hAnsi="Times New Roman" w:cs="Times New Roman"/>
                          <w:sz w:val="16"/>
                          <w:szCs w:val="16"/>
                        </w:rPr>
                        <w:fldChar w:fldCharType="separate"/>
                      </w:r>
                      <w:r w:rsidRPr="002D53B5">
                        <w:rPr>
                          <w:rFonts w:ascii="Times New Roman" w:hAnsi="Times New Roman" w:cs="Times New Roman"/>
                          <w:sz w:val="16"/>
                          <w:szCs w:val="16"/>
                        </w:rPr>
                        <w:t>1</w:t>
                      </w:r>
                      <w:r w:rsidRPr="002D53B5">
                        <w:rPr>
                          <w:rFonts w:ascii="Times New Roman" w:hAnsi="Times New Roman" w:cs="Times New Roman"/>
                          <w:sz w:val="16"/>
                          <w:szCs w:val="16"/>
                        </w:rPr>
                        <w:fldChar w:fldCharType="end"/>
                      </w:r>
                      <w:r w:rsidRPr="002D53B5">
                        <w:rPr>
                          <w:rFonts w:ascii="Times New Roman" w:hAnsi="Times New Roman" w:cs="Times New Roman"/>
                          <w:sz w:val="16"/>
                          <w:szCs w:val="16"/>
                        </w:rPr>
                        <w:t>: Architectural building blocks</w:t>
                      </w:r>
                    </w:p>
                  </w:txbxContent>
                </v:textbox>
                <w10:wrap type="topAndBottom"/>
              </v:shape>
            </w:pict>
          </mc:Fallback>
        </mc:AlternateContent>
      </w:r>
      <w:r w:rsidRPr="002D53B5">
        <w:rPr>
          <w:rFonts w:ascii="Times New Roman" w:hAnsi="Times New Roman" w:cs="Times New Roman"/>
          <w:b/>
          <w:bCs/>
          <w:i/>
          <w:iCs/>
          <w:sz w:val="20"/>
          <w:szCs w:val="20"/>
        </w:rPr>
        <w:t>Technical requirements</w:t>
      </w:r>
    </w:p>
    <w:p w14:paraId="1D8CE570" w14:textId="77777777" w:rsidR="00B211BE" w:rsidRPr="002D53B5" w:rsidRDefault="00B211BE" w:rsidP="00B211BE">
      <w:pPr>
        <w:rPr>
          <w:rFonts w:ascii="Times New Roman" w:hAnsi="Times New Roman" w:cs="Times New Roman"/>
          <w:b/>
          <w:bCs/>
          <w:i/>
          <w:iCs/>
          <w:sz w:val="20"/>
          <w:szCs w:val="20"/>
        </w:rPr>
      </w:pPr>
      <w:r w:rsidRPr="002D53B5">
        <w:rPr>
          <w:rFonts w:ascii="Times New Roman" w:hAnsi="Times New Roman" w:cs="Times New Roman"/>
          <w:b/>
          <w:bCs/>
          <w:i/>
          <w:iCs/>
          <w:sz w:val="20"/>
          <w:szCs w:val="20"/>
        </w:rPr>
        <w:tab/>
      </w:r>
      <w:r w:rsidRPr="002D53B5">
        <w:rPr>
          <w:rFonts w:ascii="Times New Roman" w:hAnsi="Times New Roman" w:cs="Times New Roman"/>
          <w:sz w:val="20"/>
          <w:szCs w:val="20"/>
        </w:rPr>
        <w:t>The generic technical requirements that need to be considered while designing active-active data centre are:</w:t>
      </w:r>
    </w:p>
    <w:p w14:paraId="414ACC42" w14:textId="77777777" w:rsidR="00B211BE" w:rsidRPr="002D53B5" w:rsidRDefault="00B211BE" w:rsidP="00B211BE">
      <w:pPr>
        <w:numPr>
          <w:ilvl w:val="0"/>
          <w:numId w:val="2"/>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b/>
          <w:bCs/>
          <w:i/>
          <w:iCs/>
          <w:sz w:val="20"/>
          <w:szCs w:val="20"/>
        </w:rPr>
        <w:t xml:space="preserve">Both DC's servicing applications: </w:t>
      </w:r>
      <w:r w:rsidRPr="002D53B5">
        <w:rPr>
          <w:rFonts w:ascii="Times New Roman" w:hAnsi="Times New Roman" w:cs="Times New Roman"/>
          <w:sz w:val="20"/>
          <w:szCs w:val="20"/>
        </w:rPr>
        <w:t>These must be available at any instance of the time and this will enable UWTSD to:</w:t>
      </w:r>
    </w:p>
    <w:p w14:paraId="6D8AE042" w14:textId="77777777" w:rsidR="00B211BE" w:rsidRPr="002D53B5" w:rsidRDefault="00B211BE" w:rsidP="00B211BE">
      <w:pPr>
        <w:numPr>
          <w:ilvl w:val="1"/>
          <w:numId w:val="2"/>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 xml:space="preserve">Hosting applications around data centre </w:t>
      </w:r>
    </w:p>
    <w:p w14:paraId="03CA2D7B" w14:textId="77777777" w:rsidR="00B211BE" w:rsidRPr="002D53B5" w:rsidRDefault="00B211BE" w:rsidP="00B211BE">
      <w:pPr>
        <w:numPr>
          <w:ilvl w:val="1"/>
          <w:numId w:val="2"/>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Have optimised traffic while entering as well as exiting DC (Eltraify and et. al, 2019).</w:t>
      </w:r>
    </w:p>
    <w:p w14:paraId="7E3F7191" w14:textId="77777777" w:rsidR="00B211BE" w:rsidRPr="002D53B5" w:rsidRDefault="00B211BE" w:rsidP="00B211BE">
      <w:pPr>
        <w:numPr>
          <w:ilvl w:val="0"/>
          <w:numId w:val="2"/>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b/>
          <w:bCs/>
          <w:i/>
          <w:iCs/>
          <w:sz w:val="20"/>
          <w:szCs w:val="20"/>
        </w:rPr>
        <w:t xml:space="preserve">Recovery point objective and recovery time: </w:t>
      </w:r>
      <w:r w:rsidRPr="002D53B5">
        <w:rPr>
          <w:rFonts w:ascii="Times New Roman" w:hAnsi="Times New Roman" w:cs="Times New Roman"/>
          <w:sz w:val="20"/>
          <w:szCs w:val="20"/>
        </w:rPr>
        <w:t>This must be considered in order to avoid automatic failover with restricted loss of services even when if any device fail while working in normal conditions.</w:t>
      </w:r>
    </w:p>
    <w:p w14:paraId="62F4B61E" w14:textId="77777777" w:rsidR="00B211BE" w:rsidRPr="002D53B5" w:rsidRDefault="00B211BE" w:rsidP="00B211BE">
      <w:pPr>
        <w:numPr>
          <w:ilvl w:val="0"/>
          <w:numId w:val="2"/>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b/>
          <w:bCs/>
          <w:i/>
          <w:iCs/>
          <w:sz w:val="20"/>
          <w:szCs w:val="20"/>
        </w:rPr>
        <w:t xml:space="preserve">Consistent policy management and quick service roll-out: </w:t>
      </w:r>
      <w:r w:rsidRPr="002D53B5">
        <w:rPr>
          <w:rFonts w:ascii="Times New Roman" w:hAnsi="Times New Roman" w:cs="Times New Roman"/>
          <w:sz w:val="20"/>
          <w:szCs w:val="20"/>
        </w:rPr>
        <w:t>This will allow UWTSD to have strategies according to which it will become easy for them to deliver their liabilities (Flucker, Tozer and Whitehead, 2018).</w:t>
      </w:r>
    </w:p>
    <w:p w14:paraId="60FB9335" w14:textId="77777777" w:rsidR="00B211BE" w:rsidRPr="002D53B5" w:rsidRDefault="00B211BE" w:rsidP="00B211BE">
      <w:pPr>
        <w:numPr>
          <w:ilvl w:val="1"/>
          <w:numId w:val="2"/>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Centralised provisioning will be enabled</w:t>
      </w:r>
    </w:p>
    <w:p w14:paraId="2E4B5131" w14:textId="77777777" w:rsidR="00B211BE" w:rsidRPr="002D53B5" w:rsidRDefault="00B211BE" w:rsidP="00B211BE">
      <w:pPr>
        <w:numPr>
          <w:ilvl w:val="1"/>
          <w:numId w:val="2"/>
        </w:numPr>
        <w:suppressAutoHyphens/>
        <w:spacing w:line="360" w:lineRule="auto"/>
        <w:jc w:val="both"/>
        <w:rPr>
          <w:rFonts w:ascii="Times New Roman" w:hAnsi="Times New Roman" w:cs="Times New Roman"/>
          <w:b/>
          <w:bCs/>
          <w:i/>
          <w:iCs/>
          <w:sz w:val="20"/>
          <w:szCs w:val="20"/>
        </w:rPr>
      </w:pPr>
      <w:r w:rsidRPr="002D53B5">
        <w:rPr>
          <w:rFonts w:ascii="Times New Roman" w:hAnsi="Times New Roman" w:cs="Times New Roman"/>
          <w:sz w:val="20"/>
          <w:szCs w:val="20"/>
        </w:rPr>
        <w:t xml:space="preserve"> Network policies will be developed and there will be consistent security</w:t>
      </w:r>
    </w:p>
    <w:p w14:paraId="1A767EB9" w14:textId="77777777" w:rsidR="00B211BE" w:rsidRPr="002D53B5" w:rsidRDefault="00B211BE" w:rsidP="00B211BE">
      <w:pPr>
        <w:numPr>
          <w:ilvl w:val="0"/>
          <w:numId w:val="2"/>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b/>
          <w:bCs/>
          <w:i/>
          <w:iCs/>
          <w:sz w:val="20"/>
          <w:szCs w:val="20"/>
        </w:rPr>
        <w:lastRenderedPageBreak/>
        <w:t xml:space="preserve">IO optimisation: </w:t>
      </w:r>
      <w:r w:rsidRPr="002D53B5">
        <w:rPr>
          <w:rFonts w:ascii="Times New Roman" w:hAnsi="Times New Roman" w:cs="Times New Roman"/>
          <w:sz w:val="20"/>
          <w:szCs w:val="20"/>
        </w:rPr>
        <w:t>This has to be enabled across the DC so that high performance can be attained in an appropriate manner.</w:t>
      </w:r>
    </w:p>
    <w:p w14:paraId="4EE84258" w14:textId="77777777" w:rsidR="00B211BE" w:rsidRPr="002D53B5" w:rsidRDefault="00B211BE" w:rsidP="00B211BE">
      <w:pPr>
        <w:numPr>
          <w:ilvl w:val="1"/>
          <w:numId w:val="2"/>
        </w:numPr>
        <w:suppressAutoHyphens/>
        <w:spacing w:line="360" w:lineRule="auto"/>
        <w:jc w:val="both"/>
        <w:rPr>
          <w:rFonts w:ascii="Times New Roman" w:hAnsi="Times New Roman" w:cs="Times New Roman"/>
          <w:b/>
          <w:bCs/>
          <w:i/>
          <w:iCs/>
          <w:sz w:val="20"/>
          <w:szCs w:val="20"/>
        </w:rPr>
      </w:pPr>
      <w:r w:rsidRPr="002D53B5">
        <w:rPr>
          <w:rFonts w:ascii="Times New Roman" w:hAnsi="Times New Roman" w:cs="Times New Roman"/>
          <w:sz w:val="20"/>
          <w:szCs w:val="20"/>
        </w:rPr>
        <w:t>UWTSD can have optimised usage of resources</w:t>
      </w:r>
    </w:p>
    <w:p w14:paraId="3F45FA38" w14:textId="77777777" w:rsidR="00B211BE" w:rsidRPr="002D53B5" w:rsidRDefault="00B211BE" w:rsidP="00B211BE">
      <w:pPr>
        <w:rPr>
          <w:rFonts w:ascii="Times New Roman" w:hAnsi="Times New Roman" w:cs="Times New Roman"/>
          <w:b/>
          <w:bCs/>
          <w:i/>
          <w:iCs/>
          <w:sz w:val="20"/>
          <w:szCs w:val="20"/>
        </w:rPr>
      </w:pPr>
    </w:p>
    <w:p w14:paraId="7A9CFE6C" w14:textId="77777777" w:rsidR="00B211BE" w:rsidRPr="002D53B5" w:rsidRDefault="00B211BE" w:rsidP="00B211BE">
      <w:pPr>
        <w:rPr>
          <w:rFonts w:ascii="Times New Roman" w:hAnsi="Times New Roman" w:cs="Times New Roman"/>
          <w:b/>
          <w:bCs/>
          <w:sz w:val="20"/>
          <w:szCs w:val="20"/>
        </w:rPr>
      </w:pPr>
      <w:r w:rsidRPr="002D53B5">
        <w:rPr>
          <w:rFonts w:ascii="Times New Roman" w:hAnsi="Times New Roman" w:cs="Times New Roman"/>
          <w:b/>
          <w:bCs/>
          <w:i/>
          <w:iCs/>
          <w:sz w:val="20"/>
          <w:szCs w:val="20"/>
          <w:u w:val="double"/>
        </w:rPr>
        <w:t>Transport technologies</w:t>
      </w:r>
    </w:p>
    <w:p w14:paraId="73D96B65" w14:textId="73A184B0"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b/>
          <w:bCs/>
          <w:sz w:val="20"/>
          <w:szCs w:val="20"/>
        </w:rPr>
        <w:tab/>
      </w:r>
      <w:r w:rsidRPr="002D53B5">
        <w:rPr>
          <w:rFonts w:ascii="Times New Roman" w:hAnsi="Times New Roman" w:cs="Times New Roman"/>
          <w:sz w:val="20"/>
          <w:szCs w:val="20"/>
        </w:rPr>
        <w:t>They act like inter-connectors for the data centre and links along with device level redundancies are part within the transport domain that is accountable for rendering resiliency and HA across the site (Hammadi, 2016). This aspect will enable UWTSD to have redundancy for multiplexers, DCI network devices, GPONs, diversity POPs in order to survive POP failure and dark fibbers along with 1+1 protection scheme.  The major considerations for UWRSD with reference to this aspect are specified beneath:</w:t>
      </w:r>
    </w:p>
    <w:p w14:paraId="76F9ECC3" w14:textId="77777777" w:rsidR="00B211BE" w:rsidRPr="002D53B5" w:rsidRDefault="00B211BE" w:rsidP="00B211BE">
      <w:pPr>
        <w:numPr>
          <w:ilvl w:val="0"/>
          <w:numId w:val="3"/>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Recovery from different failure scenarios such as module, link, node and many more.</w:t>
      </w:r>
    </w:p>
    <w:p w14:paraId="6CFCE468" w14:textId="77777777" w:rsidR="00B211BE" w:rsidRPr="002D53B5" w:rsidRDefault="00B211BE" w:rsidP="00B211BE">
      <w:pPr>
        <w:numPr>
          <w:ilvl w:val="0"/>
          <w:numId w:val="3"/>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Applications and link latency round trip needs for traffic among DCs</w:t>
      </w:r>
    </w:p>
    <w:p w14:paraId="3CD35574" w14:textId="77777777" w:rsidR="00B211BE" w:rsidRPr="002D53B5" w:rsidRDefault="00B211BE" w:rsidP="00B211BE">
      <w:pPr>
        <w:numPr>
          <w:ilvl w:val="0"/>
          <w:numId w:val="3"/>
        </w:numPr>
        <w:suppressAutoHyphens/>
        <w:spacing w:line="360" w:lineRule="auto"/>
        <w:jc w:val="both"/>
        <w:rPr>
          <w:rFonts w:ascii="Times New Roman" w:hAnsi="Times New Roman" w:cs="Times New Roman"/>
          <w:b/>
          <w:bCs/>
          <w:i/>
          <w:iCs/>
          <w:sz w:val="20"/>
          <w:szCs w:val="20"/>
        </w:rPr>
      </w:pPr>
      <w:r w:rsidRPr="002D53B5">
        <w:rPr>
          <w:rFonts w:ascii="Times New Roman" w:hAnsi="Times New Roman" w:cs="Times New Roman"/>
          <w:sz w:val="20"/>
          <w:szCs w:val="20"/>
        </w:rPr>
        <w:t>Scalability as well as bandwidth associated factors</w:t>
      </w:r>
    </w:p>
    <w:p w14:paraId="12821DBB" w14:textId="77777777" w:rsidR="00B211BE" w:rsidRPr="002D53B5" w:rsidRDefault="00B211BE" w:rsidP="00B211BE">
      <w:pPr>
        <w:rPr>
          <w:rFonts w:ascii="Times New Roman" w:hAnsi="Times New Roman" w:cs="Times New Roman"/>
          <w:b/>
          <w:bCs/>
          <w:i/>
          <w:iCs/>
          <w:sz w:val="20"/>
          <w:szCs w:val="20"/>
        </w:rPr>
      </w:pPr>
    </w:p>
    <w:p w14:paraId="24BB5990" w14:textId="77777777" w:rsidR="00B211BE" w:rsidRPr="002D53B5" w:rsidRDefault="00B211BE" w:rsidP="00B211BE">
      <w:pPr>
        <w:rPr>
          <w:rFonts w:ascii="Times New Roman" w:hAnsi="Times New Roman" w:cs="Times New Roman"/>
          <w:b/>
          <w:bCs/>
          <w:i/>
          <w:iCs/>
          <w:sz w:val="20"/>
          <w:szCs w:val="20"/>
        </w:rPr>
      </w:pPr>
      <w:r w:rsidRPr="002D53B5">
        <w:rPr>
          <w:rFonts w:ascii="Times New Roman" w:hAnsi="Times New Roman" w:cs="Times New Roman"/>
          <w:b/>
          <w:bCs/>
          <w:i/>
          <w:iCs/>
          <w:sz w:val="20"/>
          <w:szCs w:val="20"/>
          <w:u w:val="double"/>
        </w:rPr>
        <w:t>Network Services</w:t>
      </w:r>
    </w:p>
    <w:p w14:paraId="4267BFDB" w14:textId="0853916D"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b/>
          <w:bCs/>
          <w:i/>
          <w:iCs/>
          <w:sz w:val="20"/>
          <w:szCs w:val="20"/>
        </w:rPr>
        <w:tab/>
      </w:r>
      <w:r w:rsidRPr="002D53B5">
        <w:rPr>
          <w:rFonts w:ascii="Times New Roman" w:hAnsi="Times New Roman" w:cs="Times New Roman"/>
          <w:sz w:val="20"/>
          <w:szCs w:val="20"/>
        </w:rPr>
        <w:t xml:space="preserve">Through this UWTSD will be able to interconnect devices within data centres by carrying out relevant routing functions and traffic switching. Here, the network is liable for facilitating forwarding of load sharing along with application traffic without any kind of disruption (Jackson and et. al, 2017). Furthermore, application mobility around the data centres will be rendered through L2 extension, pervasive gateways, ingress along with egress path optimisation. In addition to this, the asset that can be acquired by UWTSD through usage of active-active design is that the service providers </w:t>
      </w:r>
      <w:r w:rsidR="002D53B5" w:rsidRPr="002D53B5">
        <w:rPr>
          <w:rFonts w:ascii="Times New Roman" w:hAnsi="Times New Roman" w:cs="Times New Roman"/>
          <w:sz w:val="20"/>
          <w:szCs w:val="20"/>
        </w:rPr>
        <w:t>render</w:t>
      </w:r>
      <w:r w:rsidRPr="002D53B5">
        <w:rPr>
          <w:rFonts w:ascii="Times New Roman" w:hAnsi="Times New Roman" w:cs="Times New Roman"/>
          <w:sz w:val="20"/>
          <w:szCs w:val="20"/>
        </w:rPr>
        <w:t xml:space="preserve"> integrated VxLAN overlay solution for attainment of L2 extension, gateway mobility and path optimisation. The critical consideration while designing network services are:</w:t>
      </w:r>
    </w:p>
    <w:p w14:paraId="21380688" w14:textId="77777777" w:rsidR="00B211BE" w:rsidRPr="002D53B5" w:rsidRDefault="00B211BE" w:rsidP="00B211BE">
      <w:pPr>
        <w:numPr>
          <w:ilvl w:val="0"/>
          <w:numId w:val="4"/>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Recovery from different kinds of failures like network, module and link failure</w:t>
      </w:r>
    </w:p>
    <w:p w14:paraId="7D5F5E4D" w14:textId="77777777" w:rsidR="00B211BE" w:rsidRPr="002D53B5" w:rsidRDefault="00B211BE" w:rsidP="00B211BE">
      <w:pPr>
        <w:numPr>
          <w:ilvl w:val="0"/>
          <w:numId w:val="4"/>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Pervasive gateway around the infrastructure that comprises of availability of gateway across DC and local to DC</w:t>
      </w:r>
    </w:p>
    <w:p w14:paraId="4EB1BA71" w14:textId="77777777" w:rsidR="00B211BE" w:rsidRPr="002D53B5" w:rsidRDefault="00B211BE" w:rsidP="00B211BE">
      <w:pPr>
        <w:numPr>
          <w:ilvl w:val="0"/>
          <w:numId w:val="4"/>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 xml:space="preserve">Stretching L2 domain this enables to expand L2 domain (either VxLAN or VLAN) among </w:t>
      </w:r>
      <w:proofErr w:type="spellStart"/>
      <w:r w:rsidRPr="002D53B5">
        <w:rPr>
          <w:rFonts w:ascii="Times New Roman" w:hAnsi="Times New Roman" w:cs="Times New Roman"/>
          <w:sz w:val="20"/>
          <w:szCs w:val="20"/>
        </w:rPr>
        <w:t>Dcs</w:t>
      </w:r>
      <w:proofErr w:type="spellEnd"/>
      <w:r w:rsidRPr="002D53B5">
        <w:rPr>
          <w:rFonts w:ascii="Times New Roman" w:hAnsi="Times New Roman" w:cs="Times New Roman"/>
          <w:sz w:val="20"/>
          <w:szCs w:val="20"/>
        </w:rPr>
        <w:t xml:space="preserve">. </w:t>
      </w:r>
    </w:p>
    <w:p w14:paraId="134A4E4E" w14:textId="6238164E" w:rsidR="00B211BE" w:rsidRPr="002D53B5" w:rsidRDefault="00B211BE" w:rsidP="00B211BE">
      <w:pPr>
        <w:numPr>
          <w:ilvl w:val="0"/>
          <w:numId w:val="4"/>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 xml:space="preserve">A consistent policy involves formulation of network policies that are consistent within the </w:t>
      </w:r>
      <w:r w:rsidR="002D53B5" w:rsidRPr="002D53B5">
        <w:rPr>
          <w:rFonts w:ascii="Times New Roman" w:hAnsi="Times New Roman" w:cs="Times New Roman"/>
          <w:sz w:val="20"/>
          <w:szCs w:val="20"/>
        </w:rPr>
        <w:t>on premises</w:t>
      </w:r>
      <w:r w:rsidRPr="002D53B5">
        <w:rPr>
          <w:rFonts w:ascii="Times New Roman" w:hAnsi="Times New Roman" w:cs="Times New Roman"/>
          <w:sz w:val="20"/>
          <w:szCs w:val="20"/>
        </w:rPr>
        <w:t xml:space="preserve"> along with different cloud infrastructure (Luo and et. al, 2019). Here, the policies of UWTSD will comprise of naming and segmentation procedures that can be integrated with distinct L4/L</w:t>
      </w:r>
      <w:r w:rsidR="002D53B5" w:rsidRPr="002D53B5">
        <w:rPr>
          <w:rFonts w:ascii="Times New Roman" w:hAnsi="Times New Roman" w:cs="Times New Roman"/>
          <w:sz w:val="20"/>
          <w:szCs w:val="20"/>
        </w:rPr>
        <w:t>7 services</w:t>
      </w:r>
      <w:r w:rsidRPr="002D53B5">
        <w:rPr>
          <w:rFonts w:ascii="Times New Roman" w:hAnsi="Times New Roman" w:cs="Times New Roman"/>
          <w:sz w:val="20"/>
          <w:szCs w:val="20"/>
        </w:rPr>
        <w:t>, hypervisor integration and many more</w:t>
      </w:r>
    </w:p>
    <w:p w14:paraId="24AAC43B" w14:textId="77777777" w:rsidR="00B211BE" w:rsidRPr="002D53B5" w:rsidRDefault="00B211BE" w:rsidP="00B211BE">
      <w:pPr>
        <w:numPr>
          <w:ilvl w:val="0"/>
          <w:numId w:val="4"/>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Egress and ingress path optimisation</w:t>
      </w:r>
    </w:p>
    <w:p w14:paraId="4636C042" w14:textId="77777777" w:rsidR="00B211BE" w:rsidRPr="002D53B5" w:rsidRDefault="00B211BE" w:rsidP="00B211BE">
      <w:pPr>
        <w:numPr>
          <w:ilvl w:val="0"/>
          <w:numId w:val="4"/>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Centralised management or provisioning of network policies and managing (AAA capabilities, inventory, traffic flow analysis, backup &amp; restore, etc.)</w:t>
      </w:r>
    </w:p>
    <w:p w14:paraId="3D7A7FFD" w14:textId="77777777" w:rsidR="00B211BE" w:rsidRPr="002D53B5" w:rsidRDefault="00B211BE" w:rsidP="00B211BE">
      <w:pPr>
        <w:rPr>
          <w:rFonts w:ascii="Times New Roman" w:hAnsi="Times New Roman" w:cs="Times New Roman"/>
          <w:b/>
          <w:bCs/>
          <w:i/>
          <w:iCs/>
          <w:sz w:val="20"/>
          <w:szCs w:val="20"/>
        </w:rPr>
      </w:pPr>
      <w:r w:rsidRPr="002D53B5">
        <w:rPr>
          <w:rFonts w:ascii="Times New Roman" w:hAnsi="Times New Roman" w:cs="Times New Roman"/>
          <w:noProof/>
          <w:sz w:val="20"/>
          <w:szCs w:val="20"/>
        </w:rPr>
        <w:lastRenderedPageBreak/>
        <mc:AlternateContent>
          <mc:Choice Requires="wps">
            <w:drawing>
              <wp:anchor distT="0" distB="0" distL="0" distR="0" simplePos="0" relativeHeight="251666432" behindDoc="0" locked="0" layoutInCell="1" allowOverlap="1" wp14:anchorId="491B67A4" wp14:editId="3EF6145A">
                <wp:simplePos x="0" y="0"/>
                <wp:positionH relativeFrom="column">
                  <wp:align>center</wp:align>
                </wp:positionH>
                <wp:positionV relativeFrom="paragraph">
                  <wp:posOffset>-3921125</wp:posOffset>
                </wp:positionV>
                <wp:extent cx="7771765" cy="3167380"/>
                <wp:effectExtent l="0" t="0" r="635" b="0"/>
                <wp:wrapTopAndBottom/>
                <wp:docPr id="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7771765" cy="316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7FA3561" w14:textId="77777777" w:rsidR="00B211BE" w:rsidRPr="002D53B5" w:rsidRDefault="00B211BE" w:rsidP="00B211BE">
                            <w:pPr>
                              <w:jc w:val="center"/>
                              <w:rPr>
                                <w:rFonts w:ascii="Times New Roman" w:hAnsi="Times New Roman" w:cs="Times New Roman"/>
                                <w:sz w:val="16"/>
                                <w:szCs w:val="16"/>
                              </w:rPr>
                            </w:pPr>
                            <w:r>
                              <w:rPr>
                                <w:noProof/>
                              </w:rPr>
                              <w:drawing>
                                <wp:inline distT="0" distB="0" distL="0" distR="0" wp14:anchorId="07B499B5" wp14:editId="0F52C614">
                                  <wp:extent cx="7771818" cy="2930400"/>
                                  <wp:effectExtent l="0" t="0" r="635" b="3810"/>
                                  <wp:docPr id="5"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832058" cy="2953114"/>
                                          </a:xfrm>
                                          <a:prstGeom prst="rect">
                                            <a:avLst/>
                                          </a:prstGeom>
                                          <a:solidFill>
                                            <a:srgbClr val="FFFFFF"/>
                                          </a:solidFill>
                                          <a:ln>
                                            <a:noFill/>
                                          </a:ln>
                                        </pic:spPr>
                                      </pic:pic>
                                    </a:graphicData>
                                  </a:graphic>
                                </wp:inline>
                              </w:drawing>
                            </w:r>
                            <w:r w:rsidRPr="002D53B5">
                              <w:rPr>
                                <w:rFonts w:ascii="Times New Roman" w:hAnsi="Times New Roman" w:cs="Times New Roman"/>
                                <w:sz w:val="16"/>
                                <w:szCs w:val="16"/>
                              </w:rPr>
                              <w:t xml:space="preserve">Illustration </w:t>
                            </w:r>
                            <w:r w:rsidRPr="002D53B5">
                              <w:rPr>
                                <w:rFonts w:ascii="Times New Roman" w:hAnsi="Times New Roman" w:cs="Times New Roman"/>
                                <w:sz w:val="16"/>
                                <w:szCs w:val="16"/>
                              </w:rPr>
                              <w:fldChar w:fldCharType="begin"/>
                            </w:r>
                            <w:r w:rsidRPr="002D53B5">
                              <w:rPr>
                                <w:rFonts w:ascii="Times New Roman" w:hAnsi="Times New Roman" w:cs="Times New Roman"/>
                                <w:sz w:val="16"/>
                                <w:szCs w:val="16"/>
                              </w:rPr>
                              <w:instrText xml:space="preserve"> SEQ "Illustration" \*Arabic </w:instrText>
                            </w:r>
                            <w:r w:rsidRPr="002D53B5">
                              <w:rPr>
                                <w:rFonts w:ascii="Times New Roman" w:hAnsi="Times New Roman" w:cs="Times New Roman"/>
                                <w:sz w:val="16"/>
                                <w:szCs w:val="16"/>
                              </w:rPr>
                              <w:fldChar w:fldCharType="separate"/>
                            </w:r>
                            <w:r w:rsidRPr="002D53B5">
                              <w:rPr>
                                <w:rFonts w:ascii="Times New Roman" w:hAnsi="Times New Roman" w:cs="Times New Roman"/>
                                <w:sz w:val="16"/>
                                <w:szCs w:val="16"/>
                              </w:rPr>
                              <w:t>2</w:t>
                            </w:r>
                            <w:r w:rsidRPr="002D53B5">
                              <w:rPr>
                                <w:rFonts w:ascii="Times New Roman" w:hAnsi="Times New Roman" w:cs="Times New Roman"/>
                                <w:sz w:val="16"/>
                                <w:szCs w:val="16"/>
                              </w:rPr>
                              <w:fldChar w:fldCharType="end"/>
                            </w:r>
                            <w:r w:rsidRPr="002D53B5">
                              <w:rPr>
                                <w:rFonts w:ascii="Times New Roman" w:hAnsi="Times New Roman" w:cs="Times New Roman"/>
                                <w:sz w:val="16"/>
                                <w:szCs w:val="16"/>
                              </w:rPr>
                              <w:t>: Active-active data centre design full stack network components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1B67A4" id="Text Box 4" o:spid="_x0000_s1031" type="#_x0000_t202" style="position:absolute;margin-left:0;margin-top:-308.75pt;width:611.95pt;height:249.4pt;z-index:251666432;visibility:visible;mso-wrap-style:square;mso-width-percent:0;mso-height-percent:0;mso-wrap-distance-left:0;mso-wrap-distance-top:0;mso-wrap-distance-right:0;mso-wrap-distance-bottom:0;mso-position-horizontal:center;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" stroked="f">
                <v:path arrowok="t"/>
                <v:textbox inset="0,0,0,0">
                  <w:txbxContent>
                    <w:p w14:paraId="07FA3561" w14:textId="77777777" w:rsidR="00B211BE" w:rsidRPr="002D53B5" w:rsidRDefault="00B211BE" w:rsidP="00B211BE">
                      <w:pPr>
                        <w:jc w:val="center"/>
                        <w:rPr>
                          <w:rFonts w:ascii="Times New Roman" w:hAnsi="Times New Roman" w:cs="Times New Roman"/>
                          <w:sz w:val="16"/>
                          <w:szCs w:val="16"/>
                        </w:rPr>
                      </w:pPr>
                      <w:r>
                        <w:rPr>
                          <w:noProof/>
                        </w:rPr>
                        <w:drawing>
                          <wp:inline distT="0" distB="0" distL="0" distR="0" wp14:anchorId="07B499B5" wp14:editId="0F52C614">
                            <wp:extent cx="7771818" cy="2930400"/>
                            <wp:effectExtent l="0" t="0" r="635" b="3810"/>
                            <wp:docPr id="5"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832058" cy="2953114"/>
                                    </a:xfrm>
                                    <a:prstGeom prst="rect">
                                      <a:avLst/>
                                    </a:prstGeom>
                                    <a:solidFill>
                                      <a:srgbClr val="FFFFFF"/>
                                    </a:solidFill>
                                    <a:ln>
                                      <a:noFill/>
                                    </a:ln>
                                  </pic:spPr>
                                </pic:pic>
                              </a:graphicData>
                            </a:graphic>
                          </wp:inline>
                        </w:drawing>
                      </w:r>
                      <w:r w:rsidRPr="002D53B5">
                        <w:rPr>
                          <w:rFonts w:ascii="Times New Roman" w:hAnsi="Times New Roman" w:cs="Times New Roman"/>
                          <w:sz w:val="16"/>
                          <w:szCs w:val="16"/>
                        </w:rPr>
                        <w:t xml:space="preserve">Illustration </w:t>
                      </w:r>
                      <w:r w:rsidRPr="002D53B5">
                        <w:rPr>
                          <w:rFonts w:ascii="Times New Roman" w:hAnsi="Times New Roman" w:cs="Times New Roman"/>
                          <w:sz w:val="16"/>
                          <w:szCs w:val="16"/>
                        </w:rPr>
                        <w:fldChar w:fldCharType="begin"/>
                      </w:r>
                      <w:r w:rsidRPr="002D53B5">
                        <w:rPr>
                          <w:rFonts w:ascii="Times New Roman" w:hAnsi="Times New Roman" w:cs="Times New Roman"/>
                          <w:sz w:val="16"/>
                          <w:szCs w:val="16"/>
                        </w:rPr>
                        <w:instrText xml:space="preserve"> SEQ "Illustration" \*Arabic </w:instrText>
                      </w:r>
                      <w:r w:rsidRPr="002D53B5">
                        <w:rPr>
                          <w:rFonts w:ascii="Times New Roman" w:hAnsi="Times New Roman" w:cs="Times New Roman"/>
                          <w:sz w:val="16"/>
                          <w:szCs w:val="16"/>
                        </w:rPr>
                        <w:fldChar w:fldCharType="separate"/>
                      </w:r>
                      <w:r w:rsidRPr="002D53B5">
                        <w:rPr>
                          <w:rFonts w:ascii="Times New Roman" w:hAnsi="Times New Roman" w:cs="Times New Roman"/>
                          <w:sz w:val="16"/>
                          <w:szCs w:val="16"/>
                        </w:rPr>
                        <w:t>2</w:t>
                      </w:r>
                      <w:r w:rsidRPr="002D53B5">
                        <w:rPr>
                          <w:rFonts w:ascii="Times New Roman" w:hAnsi="Times New Roman" w:cs="Times New Roman"/>
                          <w:sz w:val="16"/>
                          <w:szCs w:val="16"/>
                        </w:rPr>
                        <w:fldChar w:fldCharType="end"/>
                      </w:r>
                      <w:r w:rsidRPr="002D53B5">
                        <w:rPr>
                          <w:rFonts w:ascii="Times New Roman" w:hAnsi="Times New Roman" w:cs="Times New Roman"/>
                          <w:sz w:val="16"/>
                          <w:szCs w:val="16"/>
                        </w:rPr>
                        <w:t>: Active-active data centre design full stack network components</w:t>
                      </w:r>
                    </w:p>
                  </w:txbxContent>
                </v:textbox>
                <w10:wrap type="topAndBottom"/>
              </v:shape>
            </w:pict>
          </mc:Fallback>
        </mc:AlternateContent>
      </w:r>
    </w:p>
    <w:p w14:paraId="1F8CE8D9" w14:textId="77777777"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b/>
          <w:bCs/>
          <w:i/>
          <w:iCs/>
          <w:sz w:val="20"/>
          <w:szCs w:val="20"/>
          <w:u w:val="double"/>
        </w:rPr>
        <w:t>L4-L7 services</w:t>
      </w:r>
    </w:p>
    <w:p w14:paraId="7BCDA1CC" w14:textId="2709C718"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sz w:val="20"/>
          <w:szCs w:val="20"/>
        </w:rPr>
        <w:tab/>
        <w:t xml:space="preserve">The designing or building up of active-active L4-L7 facilities or services across DC is expensive task as this comprises of placing ADC devices along with security within both DCs (Mialle, Brown and Arora, 2019). With respect to this aspect, it becomes important for UWTSD have to consider load balancers, global traffic management, firewalls and application policy controllers as a solution in the space. They have to be deployed at distinct tiers for protecting extranet, core server farm, perimeter, UAT segment, WAN, etc. Moreover, there are leading service vendors that offer their customers with clustering solutions for their offerings so that the issue of seamless </w:t>
      </w:r>
      <w:r w:rsidR="002D53B5" w:rsidRPr="002D53B5">
        <w:rPr>
          <w:rFonts w:ascii="Times New Roman" w:hAnsi="Times New Roman" w:cs="Times New Roman"/>
          <w:sz w:val="20"/>
          <w:szCs w:val="20"/>
        </w:rPr>
        <w:t>failovers</w:t>
      </w:r>
      <w:r w:rsidRPr="002D53B5">
        <w:rPr>
          <w:rFonts w:ascii="Times New Roman" w:hAnsi="Times New Roman" w:cs="Times New Roman"/>
          <w:sz w:val="20"/>
          <w:szCs w:val="20"/>
        </w:rPr>
        <w:t>, traffic load and l4 or l5 policies can be handled in an effective manner. Key</w:t>
      </w:r>
      <w:r w:rsidR="002D53B5">
        <w:rPr>
          <w:rFonts w:ascii="Times New Roman" w:hAnsi="Times New Roman" w:cs="Times New Roman"/>
          <w:sz w:val="20"/>
          <w:szCs w:val="20"/>
        </w:rPr>
        <w:t>s</w:t>
      </w:r>
      <w:r w:rsidRPr="002D53B5">
        <w:rPr>
          <w:rFonts w:ascii="Times New Roman" w:hAnsi="Times New Roman" w:cs="Times New Roman"/>
          <w:sz w:val="20"/>
          <w:szCs w:val="20"/>
        </w:rPr>
        <w:t xml:space="preserve"> consideration with service designing </w:t>
      </w:r>
      <w:r w:rsidR="002D53B5">
        <w:rPr>
          <w:rFonts w:ascii="Times New Roman" w:hAnsi="Times New Roman" w:cs="Times New Roman"/>
          <w:sz w:val="20"/>
          <w:szCs w:val="20"/>
        </w:rPr>
        <w:t>are</w:t>
      </w:r>
      <w:r w:rsidRPr="002D53B5">
        <w:rPr>
          <w:rFonts w:ascii="Times New Roman" w:hAnsi="Times New Roman" w:cs="Times New Roman"/>
          <w:sz w:val="20"/>
          <w:szCs w:val="20"/>
        </w:rPr>
        <w:t>:</w:t>
      </w:r>
    </w:p>
    <w:p w14:paraId="1AC50E91" w14:textId="77777777" w:rsidR="00B211BE" w:rsidRPr="002D53B5" w:rsidRDefault="00B211BE" w:rsidP="00B211BE">
      <w:pPr>
        <w:numPr>
          <w:ilvl w:val="0"/>
          <w:numId w:val="5"/>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Recovery from failures that is L4-L7 device, link and module</w:t>
      </w:r>
    </w:p>
    <w:p w14:paraId="14CC831B" w14:textId="77777777" w:rsidR="00B211BE" w:rsidRPr="002D53B5" w:rsidRDefault="00B211BE" w:rsidP="00B211BE">
      <w:pPr>
        <w:numPr>
          <w:ilvl w:val="0"/>
          <w:numId w:val="5"/>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L4-L7 consistent policies across the cloud and on-premises infrastructure and rules for distinct traffic types</w:t>
      </w:r>
    </w:p>
    <w:p w14:paraId="04CE5FA8" w14:textId="77777777" w:rsidR="00B211BE" w:rsidRPr="002D53B5" w:rsidRDefault="00B211BE" w:rsidP="00B211BE">
      <w:pPr>
        <w:numPr>
          <w:ilvl w:val="0"/>
          <w:numId w:val="5"/>
        </w:numPr>
        <w:suppressAutoHyphens/>
        <w:spacing w:line="360" w:lineRule="auto"/>
        <w:jc w:val="both"/>
        <w:rPr>
          <w:rFonts w:ascii="Times New Roman" w:hAnsi="Times New Roman" w:cs="Times New Roman"/>
          <w:b/>
          <w:bCs/>
          <w:i/>
          <w:iCs/>
          <w:sz w:val="20"/>
          <w:szCs w:val="20"/>
        </w:rPr>
      </w:pPr>
      <w:r w:rsidRPr="002D53B5">
        <w:rPr>
          <w:rFonts w:ascii="Times New Roman" w:hAnsi="Times New Roman" w:cs="Times New Roman"/>
          <w:sz w:val="20"/>
          <w:szCs w:val="20"/>
        </w:rPr>
        <w:t>Centralised management</w:t>
      </w:r>
    </w:p>
    <w:p w14:paraId="7C385006" w14:textId="77777777" w:rsidR="00B211BE" w:rsidRPr="002D53B5" w:rsidRDefault="00B211BE" w:rsidP="00B211BE">
      <w:pPr>
        <w:rPr>
          <w:rFonts w:ascii="Times New Roman" w:hAnsi="Times New Roman" w:cs="Times New Roman"/>
          <w:b/>
          <w:bCs/>
          <w:i/>
          <w:iCs/>
          <w:sz w:val="20"/>
          <w:szCs w:val="20"/>
        </w:rPr>
      </w:pPr>
    </w:p>
    <w:p w14:paraId="1762E587" w14:textId="77777777" w:rsidR="00B211BE" w:rsidRPr="002D53B5" w:rsidRDefault="00B211BE" w:rsidP="00B211BE">
      <w:pPr>
        <w:rPr>
          <w:rFonts w:ascii="Times New Roman" w:hAnsi="Times New Roman" w:cs="Times New Roman"/>
          <w:b/>
          <w:bCs/>
          <w:i/>
          <w:iCs/>
          <w:sz w:val="20"/>
          <w:szCs w:val="20"/>
        </w:rPr>
      </w:pPr>
      <w:r w:rsidRPr="002D53B5">
        <w:rPr>
          <w:rFonts w:ascii="Times New Roman" w:hAnsi="Times New Roman" w:cs="Times New Roman"/>
          <w:b/>
          <w:bCs/>
          <w:i/>
          <w:iCs/>
          <w:sz w:val="20"/>
          <w:szCs w:val="20"/>
          <w:u w:val="double"/>
        </w:rPr>
        <w:t>Storage Service</w:t>
      </w:r>
    </w:p>
    <w:p w14:paraId="480C1C85" w14:textId="77777777"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b/>
          <w:bCs/>
          <w:i/>
          <w:iCs/>
          <w:sz w:val="20"/>
          <w:szCs w:val="20"/>
        </w:rPr>
        <w:tab/>
      </w:r>
      <w:r w:rsidRPr="002D53B5">
        <w:rPr>
          <w:rFonts w:ascii="Times New Roman" w:hAnsi="Times New Roman" w:cs="Times New Roman"/>
          <w:sz w:val="20"/>
          <w:szCs w:val="20"/>
        </w:rPr>
        <w:t>Storage along with networking solutions acts as pillar of designing the data centre and this implies storage across serving applications of DC. In addition to this, the design must cater capability for accepting reads along with requests for write without any kind of interruption (Rashid and Noraziah, 2017). Thus, this will enable to have real-time mirroring as well as seamless capabilities for preventing failures across DCs. The design storage considerations for UWTSD are:</w:t>
      </w:r>
    </w:p>
    <w:p w14:paraId="13AF082A" w14:textId="1FA0F80C" w:rsidR="00B211BE" w:rsidRPr="002D53B5" w:rsidRDefault="00B211BE" w:rsidP="00B211BE">
      <w:pPr>
        <w:numPr>
          <w:ilvl w:val="0"/>
          <w:numId w:val="6"/>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 xml:space="preserve">Prevention from storage failures like storage array, single disk, storage controller failure and </w:t>
      </w:r>
      <w:r w:rsidR="002D53B5" w:rsidRPr="002D53B5">
        <w:rPr>
          <w:rFonts w:ascii="Times New Roman" w:hAnsi="Times New Roman" w:cs="Times New Roman"/>
          <w:sz w:val="20"/>
          <w:szCs w:val="20"/>
        </w:rPr>
        <w:t>split-brain</w:t>
      </w:r>
      <w:r w:rsidRPr="002D53B5">
        <w:rPr>
          <w:rFonts w:ascii="Times New Roman" w:hAnsi="Times New Roman" w:cs="Times New Roman"/>
          <w:sz w:val="20"/>
          <w:szCs w:val="20"/>
        </w:rPr>
        <w:t xml:space="preserve"> scenarios</w:t>
      </w:r>
    </w:p>
    <w:p w14:paraId="3CD8F1AC" w14:textId="77777777" w:rsidR="00B211BE" w:rsidRPr="002D53B5" w:rsidRDefault="00B211BE" w:rsidP="00B211BE">
      <w:pPr>
        <w:numPr>
          <w:ilvl w:val="0"/>
          <w:numId w:val="6"/>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Synchronous replication, data needs to be written within the primary storage along with simultaneous replica. Due to this, more bandwidth will be consumed and also requires usage of dedicated FC links</w:t>
      </w:r>
    </w:p>
    <w:p w14:paraId="69BC3916" w14:textId="092A6741" w:rsidR="00B211BE" w:rsidRPr="002D53B5" w:rsidRDefault="00B211BE" w:rsidP="00B211BE">
      <w:pPr>
        <w:numPr>
          <w:ilvl w:val="0"/>
          <w:numId w:val="6"/>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 xml:space="preserve">Redundancy and high availability </w:t>
      </w:r>
      <w:r w:rsidR="002D53B5" w:rsidRPr="002D53B5">
        <w:rPr>
          <w:rFonts w:ascii="Times New Roman" w:hAnsi="Times New Roman" w:cs="Times New Roman"/>
          <w:sz w:val="20"/>
          <w:szCs w:val="20"/>
        </w:rPr>
        <w:t>involve</w:t>
      </w:r>
      <w:r w:rsidRPr="002D53B5">
        <w:rPr>
          <w:rFonts w:ascii="Times New Roman" w:hAnsi="Times New Roman" w:cs="Times New Roman"/>
          <w:sz w:val="20"/>
          <w:szCs w:val="20"/>
        </w:rPr>
        <w:t xml:space="preserve"> that relevant </w:t>
      </w:r>
      <w:r w:rsidR="002D53B5" w:rsidRPr="002D53B5">
        <w:rPr>
          <w:rFonts w:ascii="Times New Roman" w:hAnsi="Times New Roman" w:cs="Times New Roman"/>
          <w:sz w:val="20"/>
          <w:szCs w:val="20"/>
        </w:rPr>
        <w:t>disk</w:t>
      </w:r>
      <w:r w:rsidRPr="002D53B5">
        <w:rPr>
          <w:rFonts w:ascii="Times New Roman" w:hAnsi="Times New Roman" w:cs="Times New Roman"/>
          <w:sz w:val="20"/>
          <w:szCs w:val="20"/>
        </w:rPr>
        <w:t xml:space="preserve"> </w:t>
      </w:r>
      <w:proofErr w:type="gramStart"/>
      <w:r w:rsidRPr="002D53B5">
        <w:rPr>
          <w:rFonts w:ascii="Times New Roman" w:hAnsi="Times New Roman" w:cs="Times New Roman"/>
          <w:sz w:val="20"/>
          <w:szCs w:val="20"/>
        </w:rPr>
        <w:t>are</w:t>
      </w:r>
      <w:proofErr w:type="gramEnd"/>
      <w:r w:rsidRPr="002D53B5">
        <w:rPr>
          <w:rFonts w:ascii="Times New Roman" w:hAnsi="Times New Roman" w:cs="Times New Roman"/>
          <w:sz w:val="20"/>
          <w:szCs w:val="20"/>
        </w:rPr>
        <w:t xml:space="preserve"> available for carrying out replication of the information that is present within the server or a data centre</w:t>
      </w:r>
    </w:p>
    <w:p w14:paraId="74E6E684" w14:textId="77777777" w:rsidR="00B211BE" w:rsidRPr="002D53B5" w:rsidRDefault="00B211BE" w:rsidP="00B211BE">
      <w:pPr>
        <w:numPr>
          <w:ilvl w:val="0"/>
          <w:numId w:val="6"/>
        </w:numPr>
        <w:suppressAutoHyphens/>
        <w:spacing w:line="360" w:lineRule="auto"/>
        <w:jc w:val="both"/>
        <w:rPr>
          <w:rFonts w:ascii="Times New Roman" w:hAnsi="Times New Roman" w:cs="Times New Roman"/>
          <w:b/>
          <w:bCs/>
          <w:i/>
          <w:iCs/>
          <w:sz w:val="20"/>
          <w:szCs w:val="20"/>
        </w:rPr>
      </w:pPr>
      <w:r w:rsidRPr="002D53B5">
        <w:rPr>
          <w:rFonts w:ascii="Times New Roman" w:hAnsi="Times New Roman" w:cs="Times New Roman"/>
          <w:sz w:val="20"/>
          <w:szCs w:val="20"/>
        </w:rPr>
        <w:t>Network device failure scenarios</w:t>
      </w:r>
    </w:p>
    <w:p w14:paraId="59265AE0" w14:textId="77777777" w:rsidR="00B211BE" w:rsidRPr="002D53B5" w:rsidRDefault="00B211BE" w:rsidP="00B211BE">
      <w:pPr>
        <w:rPr>
          <w:rFonts w:ascii="Times New Roman" w:hAnsi="Times New Roman" w:cs="Times New Roman"/>
          <w:b/>
          <w:bCs/>
          <w:i/>
          <w:iCs/>
          <w:sz w:val="20"/>
          <w:szCs w:val="20"/>
        </w:rPr>
      </w:pPr>
    </w:p>
    <w:p w14:paraId="2F792635" w14:textId="77777777"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b/>
          <w:bCs/>
          <w:i/>
          <w:iCs/>
          <w:sz w:val="20"/>
          <w:szCs w:val="20"/>
          <w:u w:val="double"/>
        </w:rPr>
        <w:t>Server Virtualisation</w:t>
      </w:r>
    </w:p>
    <w:p w14:paraId="55BB8922" w14:textId="3F607A29"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sz w:val="20"/>
          <w:szCs w:val="20"/>
        </w:rPr>
        <w:tab/>
        <w:t xml:space="preserve">With reference to this aspect the organisations are moving forward towards containers and micro-services. With reference to this aspect, UWTSD needs to extend container or hypervisor clusters across DCs for attainment of seamless virtual container or machine instances movement along with fail-over (Rogers, 2016). </w:t>
      </w:r>
      <w:r w:rsidRPr="002D53B5">
        <w:rPr>
          <w:rFonts w:ascii="Times New Roman" w:hAnsi="Times New Roman" w:cs="Times New Roman"/>
          <w:sz w:val="20"/>
          <w:szCs w:val="20"/>
        </w:rPr>
        <w:lastRenderedPageBreak/>
        <w:t xml:space="preserve">The options that organisation have comprises of Microsoft, Kubernetes, KVM and </w:t>
      </w:r>
      <w:r w:rsidR="002D53B5" w:rsidRPr="002D53B5">
        <w:rPr>
          <w:rFonts w:ascii="Times New Roman" w:hAnsi="Times New Roman" w:cs="Times New Roman"/>
          <w:sz w:val="20"/>
          <w:szCs w:val="20"/>
        </w:rPr>
        <w:t>VMware</w:t>
      </w:r>
      <w:r w:rsidRPr="002D53B5">
        <w:rPr>
          <w:rFonts w:ascii="Times New Roman" w:hAnsi="Times New Roman" w:cs="Times New Roman"/>
          <w:sz w:val="20"/>
          <w:szCs w:val="20"/>
        </w:rPr>
        <w:t xml:space="preserve"> Docker. Here, the major considerations are:</w:t>
      </w:r>
    </w:p>
    <w:p w14:paraId="1688BAF1" w14:textId="77777777" w:rsidR="00B211BE" w:rsidRPr="002D53B5" w:rsidRDefault="00B211BE" w:rsidP="00B211BE">
      <w:pPr>
        <w:numPr>
          <w:ilvl w:val="0"/>
          <w:numId w:val="7"/>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Virtualisation platform for forming cross-DC virtual host cluster</w:t>
      </w:r>
    </w:p>
    <w:p w14:paraId="16785E02" w14:textId="47249BFE" w:rsidR="00B211BE" w:rsidRPr="002D53B5" w:rsidRDefault="00B211BE" w:rsidP="00B211BE">
      <w:pPr>
        <w:numPr>
          <w:ilvl w:val="0"/>
          <w:numId w:val="7"/>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 xml:space="preserve">Deployment of identical services on virtual machines within the DCs so that in case if </w:t>
      </w:r>
      <w:r w:rsidR="002D53B5" w:rsidRPr="002D53B5">
        <w:rPr>
          <w:rFonts w:ascii="Times New Roman" w:hAnsi="Times New Roman" w:cs="Times New Roman"/>
          <w:sz w:val="20"/>
          <w:szCs w:val="20"/>
        </w:rPr>
        <w:t>anyone</w:t>
      </w:r>
      <w:r w:rsidRPr="002D53B5">
        <w:rPr>
          <w:rFonts w:ascii="Times New Roman" w:hAnsi="Times New Roman" w:cs="Times New Roman"/>
          <w:sz w:val="20"/>
          <w:szCs w:val="20"/>
        </w:rPr>
        <w:t xml:space="preserve"> is not working in appropriate manner or is unavailable that other data centre can handle the load within the real-time scenarios</w:t>
      </w:r>
    </w:p>
    <w:p w14:paraId="22BB3DE2" w14:textId="77777777" w:rsidR="00B211BE" w:rsidRPr="002D53B5" w:rsidRDefault="00B211BE" w:rsidP="00B211BE">
      <w:pPr>
        <w:numPr>
          <w:ilvl w:val="0"/>
          <w:numId w:val="7"/>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HA functions in order to protect VM and creation of affinity rules for preferring local hosts within their normal operational situations (Sefidcon and Yadhav, 2016)</w:t>
      </w:r>
    </w:p>
    <w:p w14:paraId="0441C1B3" w14:textId="77777777" w:rsidR="00B211BE" w:rsidRPr="002D53B5" w:rsidRDefault="00B211BE" w:rsidP="00B211BE">
      <w:pPr>
        <w:numPr>
          <w:ilvl w:val="0"/>
          <w:numId w:val="7"/>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Centralised management of hypervisor's and computing resources</w:t>
      </w:r>
    </w:p>
    <w:p w14:paraId="69B0A526" w14:textId="77777777" w:rsidR="00B211BE" w:rsidRPr="002D53B5" w:rsidRDefault="00B211BE" w:rsidP="00B211BE">
      <w:pPr>
        <w:numPr>
          <w:ilvl w:val="0"/>
          <w:numId w:val="7"/>
        </w:numPr>
        <w:suppressAutoHyphens/>
        <w:spacing w:line="360" w:lineRule="auto"/>
        <w:jc w:val="both"/>
        <w:rPr>
          <w:rFonts w:ascii="Times New Roman" w:hAnsi="Times New Roman" w:cs="Times New Roman"/>
          <w:b/>
          <w:bCs/>
          <w:i/>
          <w:iCs/>
          <w:sz w:val="20"/>
          <w:szCs w:val="20"/>
        </w:rPr>
      </w:pPr>
      <w:r w:rsidRPr="002D53B5">
        <w:rPr>
          <w:rFonts w:ascii="Times New Roman" w:hAnsi="Times New Roman" w:cs="Times New Roman"/>
          <w:sz w:val="20"/>
          <w:szCs w:val="20"/>
        </w:rPr>
        <w:t>Compute node devices around data centres that have been provisioned with symmetric configuration with relevant resources in case of failover</w:t>
      </w:r>
    </w:p>
    <w:p w14:paraId="38BC9AB1" w14:textId="77777777" w:rsidR="00B211BE" w:rsidRPr="002D53B5" w:rsidRDefault="00B211BE" w:rsidP="00B211BE">
      <w:pPr>
        <w:rPr>
          <w:rFonts w:ascii="Times New Roman" w:hAnsi="Times New Roman" w:cs="Times New Roman"/>
          <w:b/>
          <w:bCs/>
          <w:i/>
          <w:iCs/>
          <w:sz w:val="20"/>
          <w:szCs w:val="20"/>
        </w:rPr>
      </w:pPr>
    </w:p>
    <w:p w14:paraId="368743C1" w14:textId="77777777"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b/>
          <w:bCs/>
          <w:i/>
          <w:iCs/>
          <w:sz w:val="20"/>
          <w:szCs w:val="20"/>
          <w:u w:val="double"/>
        </w:rPr>
        <w:t>Applications Deployment</w:t>
      </w:r>
    </w:p>
    <w:p w14:paraId="7E3F1994" w14:textId="77777777"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sz w:val="20"/>
          <w:szCs w:val="20"/>
        </w:rPr>
        <w:tab/>
        <w:t>The infrastructure is designed for applications for functioning. This is crucial for UWTSD to ensure that there is higher availability of apps around the data centres so that fail over can be attained along with this location proximity can be accessed (Singh and Kumar, 2019). It is crucial for the organisation that is UWTSD to have application, database tiers and web available at distinct data centres. Key considerations are:</w:t>
      </w:r>
    </w:p>
    <w:p w14:paraId="55C53422" w14:textId="764D076C" w:rsidR="00B211BE" w:rsidRPr="002D53B5" w:rsidRDefault="00B211BE" w:rsidP="00B211BE">
      <w:pPr>
        <w:numPr>
          <w:ilvl w:val="0"/>
          <w:numId w:val="8"/>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 xml:space="preserve">Deployment of web services in </w:t>
      </w:r>
      <w:r w:rsidR="002D53B5" w:rsidRPr="002D53B5">
        <w:rPr>
          <w:rFonts w:ascii="Times New Roman" w:hAnsi="Times New Roman" w:cs="Times New Roman"/>
          <w:sz w:val="20"/>
          <w:szCs w:val="20"/>
        </w:rPr>
        <w:t>VMware</w:t>
      </w:r>
      <w:r w:rsidRPr="002D53B5">
        <w:rPr>
          <w:rFonts w:ascii="Times New Roman" w:hAnsi="Times New Roman" w:cs="Times New Roman"/>
          <w:sz w:val="20"/>
          <w:szCs w:val="20"/>
        </w:rPr>
        <w:t xml:space="preserve"> machines that have various servers that will form independent clusters per DC.</w:t>
      </w:r>
    </w:p>
    <w:p w14:paraId="096DCF73" w14:textId="77777777" w:rsidR="00B211BE" w:rsidRPr="002D53B5" w:rsidRDefault="00B211BE" w:rsidP="00B211BE">
      <w:pPr>
        <w:numPr>
          <w:ilvl w:val="0"/>
          <w:numId w:val="8"/>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Deploying application services on VM so that cross-DC or DC forms the cluster. It is preferred that IP based access must be furnished</w:t>
      </w:r>
    </w:p>
    <w:p w14:paraId="54BC331C" w14:textId="77148E42" w:rsidR="00B211BE" w:rsidRPr="002D53B5" w:rsidRDefault="00B211BE" w:rsidP="00B211BE">
      <w:pPr>
        <w:numPr>
          <w:ilvl w:val="0"/>
          <w:numId w:val="8"/>
        </w:numPr>
        <w:suppressAutoHyphens/>
        <w:spacing w:line="360" w:lineRule="auto"/>
        <w:jc w:val="both"/>
        <w:rPr>
          <w:rFonts w:ascii="Times New Roman" w:hAnsi="Times New Roman" w:cs="Times New Roman"/>
          <w:b/>
          <w:bCs/>
          <w:i/>
          <w:iCs/>
          <w:sz w:val="20"/>
          <w:szCs w:val="20"/>
        </w:rPr>
      </w:pPr>
      <w:r w:rsidRPr="002D53B5">
        <w:rPr>
          <w:rFonts w:ascii="Times New Roman" w:hAnsi="Times New Roman" w:cs="Times New Roman"/>
          <w:sz w:val="20"/>
          <w:szCs w:val="20"/>
        </w:rPr>
        <w:t>Deployment of database on physical machines for forming cross-DC cluster like DB2, Oracle and SQL with WSFC</w:t>
      </w:r>
      <w:r w:rsidR="002D53B5">
        <w:rPr>
          <w:rFonts w:ascii="Times New Roman" w:hAnsi="Times New Roman" w:cs="Times New Roman"/>
          <w:sz w:val="20"/>
          <w:szCs w:val="20"/>
        </w:rPr>
        <w:t xml:space="preserve"> </w:t>
      </w:r>
      <w:r w:rsidRPr="002D53B5">
        <w:rPr>
          <w:rFonts w:ascii="Times New Roman" w:hAnsi="Times New Roman" w:cs="Times New Roman"/>
          <w:sz w:val="20"/>
          <w:szCs w:val="20"/>
        </w:rPr>
        <w:t>(windows server failover cluster)</w:t>
      </w:r>
    </w:p>
    <w:p w14:paraId="5301AC30" w14:textId="77777777" w:rsidR="00B211BE" w:rsidRPr="002D53B5" w:rsidRDefault="00B211BE" w:rsidP="00B211BE">
      <w:pPr>
        <w:rPr>
          <w:rFonts w:ascii="Times New Roman" w:hAnsi="Times New Roman" w:cs="Times New Roman"/>
          <w:b/>
          <w:bCs/>
          <w:i/>
          <w:iCs/>
          <w:sz w:val="20"/>
          <w:szCs w:val="20"/>
        </w:rPr>
      </w:pPr>
    </w:p>
    <w:p w14:paraId="02378050" w14:textId="63C909FC"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sz w:val="20"/>
          <w:szCs w:val="20"/>
        </w:rPr>
        <w:tab/>
        <w:t xml:space="preserve">The active-active data centre designs for UWTSD needs that all the architecture components of network, L4-L7, storage, virtualisation, application and computing must work simultaneously. A seamless operation along with availability of business applications with respect to infrastructure failure is key factor. In addition to this, the cost associated with this design is expensive in comparison to disaster recovery but only 20% is more and more than 35% capacity will be delivered that will enable to have non-stop operations. This will further enable UWTSD to have improvised uptime, optimised asset utilisation and performance. </w:t>
      </w:r>
    </w:p>
    <w:p w14:paraId="26422C7E" w14:textId="77777777" w:rsidR="00B211BE" w:rsidRPr="002D53B5" w:rsidRDefault="00B211BE" w:rsidP="00B211BE">
      <w:pPr>
        <w:pStyle w:val="Heading2"/>
        <w:rPr>
          <w:color w:val="auto"/>
          <w:sz w:val="20"/>
          <w:szCs w:val="20"/>
        </w:rPr>
      </w:pPr>
      <w:bookmarkStart w:id="9" w:name="_Toc60134744"/>
      <w:bookmarkStart w:id="10" w:name="_Toc60671134"/>
      <w:r w:rsidRPr="002D53B5">
        <w:rPr>
          <w:color w:val="auto"/>
          <w:sz w:val="20"/>
          <w:szCs w:val="20"/>
        </w:rPr>
        <w:t>Points to be considered</w:t>
      </w:r>
      <w:bookmarkEnd w:id="9"/>
      <w:bookmarkEnd w:id="10"/>
    </w:p>
    <w:p w14:paraId="53B1B6CA" w14:textId="21CA4641"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sz w:val="20"/>
          <w:szCs w:val="20"/>
        </w:rPr>
        <w:tab/>
        <w:t xml:space="preserve">While developing the design of data centre by taking into consideration ICT guidelines, it is important for respective firm to take into account certain factors that will lead to creation of affirmative influence on the overall working (Spyropoulou and et. al, 2020). In addition to this, there will be a significant impact on the ways in which services are being delivered by the latter. These aspects have been illustrated below:  </w:t>
      </w:r>
    </w:p>
    <w:p w14:paraId="63BE4C21" w14:textId="77777777" w:rsidR="00B211BE" w:rsidRPr="002D53B5" w:rsidRDefault="00B211BE" w:rsidP="00B211BE">
      <w:pPr>
        <w:rPr>
          <w:rFonts w:ascii="Times New Roman" w:hAnsi="Times New Roman" w:cs="Times New Roman"/>
          <w:b/>
          <w:bCs/>
          <w:i/>
          <w:iCs/>
          <w:sz w:val="20"/>
          <w:szCs w:val="20"/>
        </w:rPr>
      </w:pPr>
      <w:r w:rsidRPr="002D53B5">
        <w:rPr>
          <w:rFonts w:ascii="Times New Roman" w:hAnsi="Times New Roman" w:cs="Times New Roman"/>
          <w:sz w:val="20"/>
          <w:szCs w:val="20"/>
        </w:rPr>
        <w:tab/>
      </w:r>
      <w:r w:rsidRPr="002D53B5">
        <w:rPr>
          <w:rFonts w:ascii="Times New Roman" w:hAnsi="Times New Roman" w:cs="Times New Roman"/>
          <w:b/>
          <w:bCs/>
          <w:i/>
          <w:iCs/>
          <w:sz w:val="20"/>
          <w:szCs w:val="20"/>
        </w:rPr>
        <w:t xml:space="preserve">Design: </w:t>
      </w:r>
      <w:r w:rsidRPr="002D53B5">
        <w:rPr>
          <w:rFonts w:ascii="Times New Roman" w:hAnsi="Times New Roman" w:cs="Times New Roman"/>
          <w:sz w:val="20"/>
          <w:szCs w:val="20"/>
        </w:rPr>
        <w:t>The design furnishes geo-enabled load balancing that is a software liable for continuously measuring time to first byte for directing traffic to the servers that performs fastest. The active-active data centre of</w:t>
      </w:r>
      <w:r w:rsidRPr="002D53B5">
        <w:rPr>
          <w:rFonts w:ascii="Times New Roman" w:hAnsi="Times New Roman" w:cs="Times New Roman"/>
          <w:b/>
          <w:bCs/>
          <w:sz w:val="20"/>
          <w:szCs w:val="20"/>
        </w:rPr>
        <w:t xml:space="preserve"> </w:t>
      </w:r>
      <w:r w:rsidRPr="002D53B5">
        <w:rPr>
          <w:rFonts w:ascii="Times New Roman" w:hAnsi="Times New Roman" w:cs="Times New Roman"/>
          <w:sz w:val="20"/>
          <w:szCs w:val="20"/>
        </w:rPr>
        <w:t xml:space="preserve">UWTSD will enable the organisation to balance the read load that is present across secondaries through which fast performance applications can be delivered. Furthermore, the load balancer will provide leverage over fail-over mechanism that is built within the modern database for enabling application transparent failover. The database will conduct replication that will further hold inbound requests so that any kind of errors do not occur (Sugawara and et. al, 2019), data centre is designed in such manner that replication lag can be monitored as well as identify probable nodes that might have been fallen behind certain threshold.  </w:t>
      </w:r>
    </w:p>
    <w:p w14:paraId="167B8BA5" w14:textId="51F0BCC3" w:rsidR="00B211BE" w:rsidRPr="002D53B5" w:rsidRDefault="00B211BE" w:rsidP="00B211BE">
      <w:pPr>
        <w:rPr>
          <w:rFonts w:ascii="Times New Roman" w:hAnsi="Times New Roman" w:cs="Times New Roman"/>
          <w:b/>
          <w:bCs/>
          <w:i/>
          <w:iCs/>
          <w:sz w:val="20"/>
          <w:szCs w:val="20"/>
        </w:rPr>
      </w:pPr>
      <w:r w:rsidRPr="002D53B5">
        <w:rPr>
          <w:rFonts w:ascii="Times New Roman" w:hAnsi="Times New Roman" w:cs="Times New Roman"/>
          <w:b/>
          <w:bCs/>
          <w:i/>
          <w:iCs/>
          <w:sz w:val="20"/>
          <w:szCs w:val="20"/>
        </w:rPr>
        <w:tab/>
        <w:t xml:space="preserve">Scalability: </w:t>
      </w:r>
      <w:r w:rsidRPr="002D53B5">
        <w:rPr>
          <w:rFonts w:ascii="Times New Roman" w:hAnsi="Times New Roman" w:cs="Times New Roman"/>
          <w:sz w:val="20"/>
          <w:szCs w:val="20"/>
        </w:rPr>
        <w:t xml:space="preserve">It is important to easily add up new nodes within the data centre clusters so that any downtime or any kind of interruption within their services. The existent nodes within the cluster of UWTSD will lead to automatically sync up indexes as well as plugins within each new member that enables them to have hassle free deployment by making sure that maximum uptime can be attained. As the data centre will be licensed by the organisation then, it will be easy for them to predict costs as well as scale up the entire environment without extra cost of license for new CPU or servers. </w:t>
      </w:r>
    </w:p>
    <w:p w14:paraId="1CA903DF" w14:textId="0E4C9AFB"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b/>
          <w:bCs/>
          <w:i/>
          <w:iCs/>
          <w:sz w:val="20"/>
          <w:szCs w:val="20"/>
        </w:rPr>
        <w:tab/>
        <w:t xml:space="preserve">Security: </w:t>
      </w:r>
      <w:r w:rsidRPr="002D53B5">
        <w:rPr>
          <w:rFonts w:ascii="Times New Roman" w:hAnsi="Times New Roman" w:cs="Times New Roman"/>
          <w:sz w:val="20"/>
          <w:szCs w:val="20"/>
        </w:rPr>
        <w:t xml:space="preserve">This is critical aspect of data centre that will enable UWTSD to have enhanced services without any interruption from third person or intruder. The major concern in this case is physical security that </w:t>
      </w:r>
      <w:r w:rsidRPr="002D53B5">
        <w:rPr>
          <w:rFonts w:ascii="Times New Roman" w:hAnsi="Times New Roman" w:cs="Times New Roman"/>
          <w:sz w:val="20"/>
          <w:szCs w:val="20"/>
        </w:rPr>
        <w:lastRenderedPageBreak/>
        <w:t xml:space="preserve">involves that DC must be built in such manner that all the challenges that are created by natural disaster do not lead to creation of any kind of pessimistic impact on their operations. Moreover, the DC security team have to keep the close watch on individuals who enter within and there must be restricted access so that intruder does not get access to sensitive information. Network security is liable for securing perimeter by installation of firewall for cleaning up traffic at peculiar point of entrance (Wang, 2019). In addition to this, replication aware monitoring. In context of UWTSD, they need to opt for zero trust model for inspecting as well as monitoring internal traffic in network for detecting and mitigation of threats that have bypassed perimeter firewall. </w:t>
      </w:r>
    </w:p>
    <w:p w14:paraId="1B064E11" w14:textId="55271723" w:rsidR="00B211BE" w:rsidRPr="002D53B5" w:rsidRDefault="00B211BE" w:rsidP="00B211BE">
      <w:pPr>
        <w:rPr>
          <w:rFonts w:ascii="Times New Roman" w:hAnsi="Times New Roman" w:cs="Times New Roman"/>
          <w:b/>
          <w:bCs/>
          <w:i/>
          <w:iCs/>
          <w:sz w:val="20"/>
          <w:szCs w:val="20"/>
        </w:rPr>
      </w:pPr>
      <w:r w:rsidRPr="002D53B5">
        <w:rPr>
          <w:rFonts w:ascii="Times New Roman" w:hAnsi="Times New Roman" w:cs="Times New Roman"/>
          <w:b/>
          <w:bCs/>
          <w:i/>
          <w:iCs/>
          <w:sz w:val="20"/>
          <w:szCs w:val="20"/>
        </w:rPr>
        <w:tab/>
        <w:t xml:space="preserve">Fault tolerant: </w:t>
      </w:r>
      <w:r w:rsidRPr="002D53B5">
        <w:rPr>
          <w:rFonts w:ascii="Times New Roman" w:hAnsi="Times New Roman" w:cs="Times New Roman"/>
          <w:sz w:val="20"/>
          <w:szCs w:val="20"/>
        </w:rPr>
        <w:t xml:space="preserve">The active-active architecture or design of data centre acts like a disaster recovery as well as business continuity plan for the organisations. An instance can be taken to acknowledge this aspect like if Google might be having a single data centre then each user will not be able to access to their requests and maximum of the time the search engine might not have been responded as well as due to overload the engine would be out of a service or unavailable. Thus, data centre enhances the availability of any particular service that person needs at any instance of time. In case if one server does not respond due to any fault then the traffic will be directed to the other server. This implies that data centre is fault tolerant. </w:t>
      </w:r>
    </w:p>
    <w:p w14:paraId="5BEDA3A9" w14:textId="3C6D11BA" w:rsidR="00B211BE" w:rsidRPr="002D53B5" w:rsidRDefault="00B211BE" w:rsidP="00B211BE">
      <w:pPr>
        <w:rPr>
          <w:rFonts w:ascii="Times New Roman" w:hAnsi="Times New Roman" w:cs="Times New Roman"/>
          <w:b/>
          <w:bCs/>
          <w:i/>
          <w:iCs/>
          <w:sz w:val="20"/>
          <w:szCs w:val="20"/>
        </w:rPr>
      </w:pPr>
      <w:r w:rsidRPr="002D53B5">
        <w:rPr>
          <w:rFonts w:ascii="Times New Roman" w:hAnsi="Times New Roman" w:cs="Times New Roman"/>
          <w:b/>
          <w:bCs/>
          <w:i/>
          <w:iCs/>
          <w:sz w:val="20"/>
          <w:szCs w:val="20"/>
        </w:rPr>
        <w:tab/>
        <w:t xml:space="preserve">Performance: </w:t>
      </w:r>
      <w:r w:rsidRPr="002D53B5">
        <w:rPr>
          <w:rFonts w:ascii="Times New Roman" w:hAnsi="Times New Roman" w:cs="Times New Roman"/>
          <w:sz w:val="20"/>
          <w:szCs w:val="20"/>
        </w:rPr>
        <w:t>The instance has taken in consideration in above point and it clearly specifies that it becomes easy to have access to the services by opting for data centre (Acton and et. al, 2017). Thus, after the merger of SMU as well as TSD, it becomes important to have a single DC so that information can be accessed easily by employees along with their consumers. The rationale is to amplify the overall performance of UWTSD by providing spontaneous services.</w:t>
      </w:r>
    </w:p>
    <w:p w14:paraId="46AC8128" w14:textId="533264C7" w:rsidR="00B211BE" w:rsidRPr="002D53B5" w:rsidRDefault="002D53B5" w:rsidP="00B211BE">
      <w:pPr>
        <w:rPr>
          <w:rFonts w:ascii="Times New Roman" w:hAnsi="Times New Roman" w:cs="Times New Roman"/>
          <w:sz w:val="20"/>
          <w:szCs w:val="20"/>
        </w:rPr>
      </w:pPr>
      <w:r w:rsidRPr="002D53B5">
        <w:rPr>
          <w:rFonts w:ascii="Times New Roman" w:hAnsi="Times New Roman" w:cs="Times New Roman"/>
          <w:noProof/>
          <w:sz w:val="20"/>
          <w:szCs w:val="20"/>
        </w:rPr>
        <mc:AlternateContent>
          <mc:Choice Requires="wps">
            <w:drawing>
              <wp:anchor distT="0" distB="0" distL="0" distR="0" simplePos="0" relativeHeight="251668480" behindDoc="0" locked="0" layoutInCell="1" allowOverlap="1" wp14:anchorId="00F68C99" wp14:editId="70218FEE">
                <wp:simplePos x="0" y="0"/>
                <wp:positionH relativeFrom="column">
                  <wp:posOffset>-108585</wp:posOffset>
                </wp:positionH>
                <wp:positionV relativeFrom="paragraph">
                  <wp:posOffset>528320</wp:posOffset>
                </wp:positionV>
                <wp:extent cx="5942965" cy="3462655"/>
                <wp:effectExtent l="0" t="0" r="635" b="4445"/>
                <wp:wrapTopAndBottom/>
                <wp:docPr id="4"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942965" cy="34626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9923D43" w14:textId="77777777" w:rsidR="00B211BE" w:rsidRDefault="00B211BE" w:rsidP="00B211BE">
                            <w:pPr>
                              <w:pStyle w:val="Illustration"/>
                              <w:jc w:val="center"/>
                            </w:pPr>
                            <w:r>
                              <w:rPr>
                                <w:i w:val="0"/>
                                <w:iCs w:val="0"/>
                                <w:noProof/>
                              </w:rPr>
                              <w:drawing>
                                <wp:inline distT="0" distB="0" distL="0" distR="0" wp14:anchorId="3695E9B1" wp14:editId="630BB3FE">
                                  <wp:extent cx="5943572" cy="3088800"/>
                                  <wp:effectExtent l="0" t="0" r="635" b="0"/>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64005" cy="3099419"/>
                                          </a:xfrm>
                                          <a:prstGeom prst="rect">
                                            <a:avLst/>
                                          </a:prstGeom>
                                          <a:solidFill>
                                            <a:srgbClr val="FFFFFF"/>
                                          </a:solidFill>
                                          <a:ln>
                                            <a:noFill/>
                                          </a:ln>
                                        </pic:spPr>
                                      </pic:pic>
                                    </a:graphicData>
                                  </a:graphic>
                                </wp:inline>
                              </w:drawing>
                            </w:r>
                            <w:r w:rsidRPr="002D53B5">
                              <w:rPr>
                                <w:sz w:val="16"/>
                                <w:szCs w:val="14"/>
                              </w:rPr>
                              <w:t xml:space="preserve">Illustration </w:t>
                            </w:r>
                            <w:r w:rsidRPr="002D53B5">
                              <w:rPr>
                                <w:sz w:val="16"/>
                                <w:szCs w:val="14"/>
                              </w:rPr>
                              <w:fldChar w:fldCharType="begin"/>
                            </w:r>
                            <w:r w:rsidRPr="002D53B5">
                              <w:rPr>
                                <w:sz w:val="16"/>
                                <w:szCs w:val="14"/>
                              </w:rPr>
                              <w:instrText xml:space="preserve"> SEQ "Illustration" \*Arabic </w:instrText>
                            </w:r>
                            <w:r w:rsidRPr="002D53B5">
                              <w:rPr>
                                <w:sz w:val="16"/>
                                <w:szCs w:val="14"/>
                              </w:rPr>
                              <w:fldChar w:fldCharType="separate"/>
                            </w:r>
                            <w:r w:rsidRPr="002D53B5">
                              <w:rPr>
                                <w:sz w:val="16"/>
                                <w:szCs w:val="14"/>
                              </w:rPr>
                              <w:t>3</w:t>
                            </w:r>
                            <w:r w:rsidRPr="002D53B5">
                              <w:rPr>
                                <w:sz w:val="16"/>
                                <w:szCs w:val="14"/>
                              </w:rPr>
                              <w:fldChar w:fldCharType="end"/>
                            </w:r>
                            <w:r w:rsidRPr="002D53B5">
                              <w:rPr>
                                <w:sz w:val="16"/>
                                <w:szCs w:val="14"/>
                              </w:rPr>
                              <w:t>: Power Utilisation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0F68C99" id="Text Box 6" o:spid="_x0000_s1032" type="#_x0000_t202" style="position:absolute;margin-left:-8.55pt;margin-top:41.6pt;width:467.95pt;height:272.65pt;z-index:25166848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" stroked="f">
                <v:path arrowok="t"/>
                <v:textbox inset="0,0,0,0">
                  <w:txbxContent>
                    <w:p w14:paraId="69923D43" w14:textId="77777777" w:rsidR="00B211BE" w:rsidRDefault="00B211BE" w:rsidP="00B211BE">
                      <w:pPr>
                        <w:pStyle w:val="Illustration"/>
                        <w:jc w:val="center"/>
                      </w:pPr>
                      <w:r>
                        <w:rPr>
                          <w:i w:val="0"/>
                          <w:iCs w:val="0"/>
                          <w:noProof/>
                        </w:rPr>
                        <w:drawing>
                          <wp:inline distT="0" distB="0" distL="0" distR="0" wp14:anchorId="3695E9B1" wp14:editId="630BB3FE">
                            <wp:extent cx="5943572" cy="3088800"/>
                            <wp:effectExtent l="0" t="0" r="635" b="0"/>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64005" cy="3099419"/>
                                    </a:xfrm>
                                    <a:prstGeom prst="rect">
                                      <a:avLst/>
                                    </a:prstGeom>
                                    <a:solidFill>
                                      <a:srgbClr val="FFFFFF"/>
                                    </a:solidFill>
                                    <a:ln>
                                      <a:noFill/>
                                    </a:ln>
                                  </pic:spPr>
                                </pic:pic>
                              </a:graphicData>
                            </a:graphic>
                          </wp:inline>
                        </w:drawing>
                      </w:r>
                      <w:r w:rsidRPr="002D53B5">
                        <w:rPr>
                          <w:sz w:val="16"/>
                          <w:szCs w:val="14"/>
                        </w:rPr>
                        <w:t xml:space="preserve">Illustration </w:t>
                      </w:r>
                      <w:r w:rsidRPr="002D53B5">
                        <w:rPr>
                          <w:sz w:val="16"/>
                          <w:szCs w:val="14"/>
                        </w:rPr>
                        <w:fldChar w:fldCharType="begin"/>
                      </w:r>
                      <w:r w:rsidRPr="002D53B5">
                        <w:rPr>
                          <w:sz w:val="16"/>
                          <w:szCs w:val="14"/>
                        </w:rPr>
                        <w:instrText xml:space="preserve"> SEQ "Illustration" \*Arabic </w:instrText>
                      </w:r>
                      <w:r w:rsidRPr="002D53B5">
                        <w:rPr>
                          <w:sz w:val="16"/>
                          <w:szCs w:val="14"/>
                        </w:rPr>
                        <w:fldChar w:fldCharType="separate"/>
                      </w:r>
                      <w:r w:rsidRPr="002D53B5">
                        <w:rPr>
                          <w:sz w:val="16"/>
                          <w:szCs w:val="14"/>
                        </w:rPr>
                        <w:t>3</w:t>
                      </w:r>
                      <w:r w:rsidRPr="002D53B5">
                        <w:rPr>
                          <w:sz w:val="16"/>
                          <w:szCs w:val="14"/>
                        </w:rPr>
                        <w:fldChar w:fldCharType="end"/>
                      </w:r>
                      <w:r w:rsidRPr="002D53B5">
                        <w:rPr>
                          <w:sz w:val="16"/>
                          <w:szCs w:val="14"/>
                        </w:rPr>
                        <w:t>: Power Utilisation</w:t>
                      </w:r>
                    </w:p>
                  </w:txbxContent>
                </v:textbox>
                <w10:wrap type="topAndBottom"/>
              </v:shape>
            </w:pict>
          </mc:Fallback>
        </mc:AlternateContent>
      </w:r>
      <w:r w:rsidR="00B211BE" w:rsidRPr="002D53B5">
        <w:rPr>
          <w:rFonts w:ascii="Times New Roman" w:hAnsi="Times New Roman" w:cs="Times New Roman"/>
          <w:b/>
          <w:bCs/>
          <w:i/>
          <w:iCs/>
          <w:sz w:val="20"/>
          <w:szCs w:val="20"/>
        </w:rPr>
        <w:tab/>
        <w:t xml:space="preserve">Energy usage: </w:t>
      </w:r>
      <w:r w:rsidR="00B211BE" w:rsidRPr="002D53B5">
        <w:rPr>
          <w:rFonts w:ascii="Times New Roman" w:hAnsi="Times New Roman" w:cs="Times New Roman"/>
          <w:sz w:val="20"/>
          <w:szCs w:val="20"/>
        </w:rPr>
        <w:t xml:space="preserve">It is identified that huge energy is being consumed by the data centres like as per the statistics of US, it is identified that in the year 2017 near about 90 billion kilowatt hours of electricity and even more than this is used. </w:t>
      </w:r>
    </w:p>
    <w:p w14:paraId="62E3B18C" w14:textId="2DD4AE60" w:rsidR="00B211BE" w:rsidRPr="002D53B5" w:rsidRDefault="00B211BE" w:rsidP="00B211BE">
      <w:pPr>
        <w:rPr>
          <w:rFonts w:ascii="Times New Roman" w:hAnsi="Times New Roman" w:cs="Times New Roman"/>
          <w:sz w:val="20"/>
          <w:szCs w:val="20"/>
        </w:rPr>
      </w:pPr>
    </w:p>
    <w:p w14:paraId="541F35C7" w14:textId="77777777" w:rsidR="00B211BE" w:rsidRPr="002D53B5" w:rsidRDefault="00B211BE" w:rsidP="00B211BE">
      <w:pPr>
        <w:rPr>
          <w:rFonts w:ascii="Times New Roman" w:hAnsi="Times New Roman" w:cs="Times New Roman"/>
          <w:b/>
          <w:bCs/>
          <w:i/>
          <w:iCs/>
          <w:sz w:val="20"/>
          <w:szCs w:val="20"/>
        </w:rPr>
      </w:pPr>
      <w:r w:rsidRPr="002D53B5">
        <w:rPr>
          <w:rFonts w:ascii="Times New Roman" w:hAnsi="Times New Roman" w:cs="Times New Roman"/>
          <w:sz w:val="20"/>
          <w:szCs w:val="20"/>
        </w:rPr>
        <w:tab/>
        <w:t xml:space="preserve">The aspects that must be considered by UWTSD while making use of data centre while delivering their liabilities is that they need to decline the cooling dependencies, conduct experiments with temperature (by doing so cost can be declined), synchronise server load and capacity (Alishahi and et. al, 2019). Along with this, they must also identify as well as kill zombie servers, optimise the space and have strong supplier partnership.  </w:t>
      </w:r>
    </w:p>
    <w:p w14:paraId="4C5EFF0A" w14:textId="77777777"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b/>
          <w:bCs/>
          <w:i/>
          <w:iCs/>
          <w:sz w:val="20"/>
          <w:szCs w:val="20"/>
        </w:rPr>
        <w:tab/>
        <w:t xml:space="preserve">Management: </w:t>
      </w:r>
      <w:r w:rsidRPr="002D53B5">
        <w:rPr>
          <w:rFonts w:ascii="Times New Roman" w:hAnsi="Times New Roman" w:cs="Times New Roman"/>
          <w:sz w:val="20"/>
          <w:szCs w:val="20"/>
        </w:rPr>
        <w:t xml:space="preserve">Data centre management is accountable for making sure reliability of connections along with mission critical information that is present in the storage provided by the data centre. This is also accountable for effectively placing workloads of information within cost efficient compute resources that are available with UWTSD.  </w:t>
      </w:r>
    </w:p>
    <w:p w14:paraId="736B041D" w14:textId="77777777"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sz w:val="20"/>
          <w:szCs w:val="20"/>
        </w:rPr>
        <w:tab/>
      </w:r>
      <w:r w:rsidRPr="002D53B5">
        <w:rPr>
          <w:rFonts w:ascii="Times New Roman" w:hAnsi="Times New Roman" w:cs="Times New Roman"/>
          <w:b/>
          <w:bCs/>
          <w:i/>
          <w:iCs/>
          <w:sz w:val="20"/>
          <w:szCs w:val="20"/>
        </w:rPr>
        <w:t xml:space="preserve">RPO &amp; RTO: </w:t>
      </w:r>
      <w:r w:rsidRPr="002D53B5">
        <w:rPr>
          <w:rFonts w:ascii="Times New Roman" w:hAnsi="Times New Roman" w:cs="Times New Roman"/>
          <w:sz w:val="20"/>
          <w:szCs w:val="20"/>
        </w:rPr>
        <w:t xml:space="preserve">The time that is being taken up by the application to come back into normal state after failure is referred to as RTO (recovery time objective). RPO (recovery point objectives) implies amount of data that is lost before the relevant harm that occurs to the business. It is important that UWTSD makes use of significant backup technologies for avoiding data loss. In order to furnish support for active-active DC, it is </w:t>
      </w:r>
      <w:r w:rsidRPr="002D53B5">
        <w:rPr>
          <w:rFonts w:ascii="Times New Roman" w:hAnsi="Times New Roman" w:cs="Times New Roman"/>
          <w:sz w:val="20"/>
          <w:szCs w:val="20"/>
        </w:rPr>
        <w:lastRenderedPageBreak/>
        <w:t>crucial for avoiding traffic hair-pinning along with furnish write/read capabilities for storage. This will lead to decline RTO as storage will be leveraged via application.</w:t>
      </w:r>
    </w:p>
    <w:p w14:paraId="6B89B26F" w14:textId="77777777" w:rsidR="00B211BE" w:rsidRPr="002D53B5" w:rsidRDefault="00B211BE" w:rsidP="00B211BE">
      <w:pPr>
        <w:pStyle w:val="Heading2"/>
        <w:rPr>
          <w:b/>
          <w:color w:val="auto"/>
          <w:sz w:val="20"/>
          <w:szCs w:val="20"/>
          <w:u w:val="none"/>
        </w:rPr>
      </w:pPr>
      <w:bookmarkStart w:id="11" w:name="_Toc60134745"/>
      <w:bookmarkStart w:id="12" w:name="_Toc60671135"/>
      <w:r w:rsidRPr="002D53B5">
        <w:rPr>
          <w:color w:val="auto"/>
          <w:sz w:val="20"/>
          <w:szCs w:val="20"/>
        </w:rPr>
        <w:t>Assets and limitations associated with data centre</w:t>
      </w:r>
      <w:bookmarkEnd w:id="11"/>
      <w:bookmarkEnd w:id="12"/>
      <w:r w:rsidRPr="002D53B5">
        <w:rPr>
          <w:color w:val="auto"/>
          <w:sz w:val="20"/>
          <w:szCs w:val="20"/>
          <w:u w:val="none"/>
        </w:rPr>
        <w:t xml:space="preserve"> </w:t>
      </w:r>
    </w:p>
    <w:p w14:paraId="1C8F4DBA" w14:textId="77777777" w:rsidR="00B211BE" w:rsidRPr="002D53B5" w:rsidRDefault="00B211BE" w:rsidP="00B211BE">
      <w:pPr>
        <w:rPr>
          <w:rFonts w:ascii="Times New Roman" w:hAnsi="Times New Roman" w:cs="Times New Roman"/>
          <w:b/>
          <w:bCs/>
          <w:i/>
          <w:iCs/>
          <w:sz w:val="20"/>
          <w:szCs w:val="20"/>
        </w:rPr>
      </w:pPr>
      <w:r w:rsidRPr="002D53B5">
        <w:rPr>
          <w:rFonts w:ascii="Times New Roman" w:hAnsi="Times New Roman" w:cs="Times New Roman"/>
          <w:b/>
          <w:bCs/>
          <w:sz w:val="20"/>
          <w:szCs w:val="20"/>
        </w:rPr>
        <w:tab/>
      </w:r>
      <w:r w:rsidRPr="002D53B5">
        <w:rPr>
          <w:rFonts w:ascii="Times New Roman" w:hAnsi="Times New Roman" w:cs="Times New Roman"/>
          <w:sz w:val="20"/>
          <w:szCs w:val="20"/>
        </w:rPr>
        <w:t>The different aspects that can be attained via UWTSD while making use of active-active data centre are specified beneath:</w:t>
      </w:r>
    </w:p>
    <w:p w14:paraId="40A5A6B9" w14:textId="77777777"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b/>
          <w:bCs/>
          <w:i/>
          <w:iCs/>
          <w:sz w:val="20"/>
          <w:szCs w:val="20"/>
        </w:rPr>
        <w:t>Assets:</w:t>
      </w:r>
    </w:p>
    <w:p w14:paraId="2DF9CBFE" w14:textId="77777777" w:rsidR="00B211BE" w:rsidRPr="002D53B5" w:rsidRDefault="00B211BE" w:rsidP="00B211BE">
      <w:pPr>
        <w:numPr>
          <w:ilvl w:val="0"/>
          <w:numId w:val="9"/>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This mode will enable them within aggregation of two or more servers through which network traffic load can be maintained while working like a team and distribute within the network servers.</w:t>
      </w:r>
    </w:p>
    <w:p w14:paraId="63139F5F" w14:textId="77777777" w:rsidR="00B211BE" w:rsidRPr="002D53B5" w:rsidRDefault="00B211BE" w:rsidP="00B211BE">
      <w:pPr>
        <w:numPr>
          <w:ilvl w:val="0"/>
          <w:numId w:val="9"/>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 xml:space="preserve">Through utilisation of active-active data centre UWTSD will be able to render information from cache in which network server do not have to respond. This will enable them within having processes that will decline network traffic load (Avgerinou, Bertoldi and Castellazzi, 2017). </w:t>
      </w:r>
    </w:p>
    <w:p w14:paraId="02D5E006" w14:textId="77777777" w:rsidR="00B211BE" w:rsidRPr="002D53B5" w:rsidRDefault="00B211BE" w:rsidP="00B211BE">
      <w:pPr>
        <w:numPr>
          <w:ilvl w:val="0"/>
          <w:numId w:val="9"/>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 xml:space="preserve">The data centre will enable UWTSD to have adaptability within the varying business situations through which improvised flexibility can be attained in context of related metrics. </w:t>
      </w:r>
    </w:p>
    <w:p w14:paraId="61FFF7DB" w14:textId="77777777" w:rsidR="00B211BE" w:rsidRPr="002D53B5" w:rsidRDefault="00B211BE" w:rsidP="00B211BE">
      <w:pPr>
        <w:numPr>
          <w:ilvl w:val="0"/>
          <w:numId w:val="9"/>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 xml:space="preserve">Enhanced system performance will be delivered by distribution of load that is present across the cluster nodes. Moreover, the instant scalability is dependent on the alterations within the capacity needs of their customers.  </w:t>
      </w:r>
    </w:p>
    <w:p w14:paraId="33D476CF" w14:textId="77777777" w:rsidR="00B211BE" w:rsidRPr="002D53B5" w:rsidRDefault="00B211BE" w:rsidP="00B211BE">
      <w:pPr>
        <w:numPr>
          <w:ilvl w:val="0"/>
          <w:numId w:val="9"/>
        </w:numPr>
        <w:suppressAutoHyphens/>
        <w:spacing w:line="360" w:lineRule="auto"/>
        <w:jc w:val="both"/>
        <w:rPr>
          <w:rFonts w:ascii="Times New Roman" w:hAnsi="Times New Roman" w:cs="Times New Roman"/>
          <w:b/>
          <w:bCs/>
          <w:i/>
          <w:iCs/>
          <w:sz w:val="20"/>
          <w:szCs w:val="20"/>
        </w:rPr>
      </w:pPr>
      <w:r w:rsidRPr="002D53B5">
        <w:rPr>
          <w:rFonts w:ascii="Times New Roman" w:hAnsi="Times New Roman" w:cs="Times New Roman"/>
          <w:sz w:val="20"/>
          <w:szCs w:val="20"/>
        </w:rPr>
        <w:t xml:space="preserve">The relevant standards will be created that will create a probable impact on the uptime reliability through which lots of money can be saved. Moreover, the client centric solutions like real time lookup, cloud computing and many more will be available for the UWTSD through which services can be delivered in an appropriate manner. </w:t>
      </w:r>
    </w:p>
    <w:p w14:paraId="78DEC367" w14:textId="77777777" w:rsidR="00B211BE" w:rsidRPr="002D53B5" w:rsidRDefault="00B211BE" w:rsidP="00B211BE">
      <w:pPr>
        <w:rPr>
          <w:rFonts w:ascii="Times New Roman" w:hAnsi="Times New Roman" w:cs="Times New Roman"/>
          <w:sz w:val="20"/>
          <w:szCs w:val="20"/>
        </w:rPr>
      </w:pPr>
      <w:r w:rsidRPr="002D53B5">
        <w:rPr>
          <w:rFonts w:ascii="Times New Roman" w:hAnsi="Times New Roman" w:cs="Times New Roman"/>
          <w:b/>
          <w:bCs/>
          <w:i/>
          <w:iCs/>
          <w:sz w:val="20"/>
          <w:szCs w:val="20"/>
        </w:rPr>
        <w:t>Limitations:</w:t>
      </w:r>
    </w:p>
    <w:p w14:paraId="14FB4F51" w14:textId="77777777" w:rsidR="00B211BE" w:rsidRPr="002D53B5" w:rsidRDefault="00B211BE" w:rsidP="00B211BE">
      <w:pPr>
        <w:numPr>
          <w:ilvl w:val="0"/>
          <w:numId w:val="10"/>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 xml:space="preserve">By setting up load balancers within this mode means that the firm is rendering their liabilities at full capacities. In case, if load balancers fail then the network servers might slow </w:t>
      </w:r>
      <w:proofErr w:type="gramStart"/>
      <w:r w:rsidRPr="002D53B5">
        <w:rPr>
          <w:rFonts w:ascii="Times New Roman" w:hAnsi="Times New Roman" w:cs="Times New Roman"/>
          <w:sz w:val="20"/>
          <w:szCs w:val="20"/>
        </w:rPr>
        <w:t>down</w:t>
      </w:r>
      <w:proofErr w:type="gramEnd"/>
      <w:r w:rsidRPr="002D53B5">
        <w:rPr>
          <w:rFonts w:ascii="Times New Roman" w:hAnsi="Times New Roman" w:cs="Times New Roman"/>
          <w:sz w:val="20"/>
          <w:szCs w:val="20"/>
        </w:rPr>
        <w:t xml:space="preserve"> and session of users might be timed out. </w:t>
      </w:r>
    </w:p>
    <w:p w14:paraId="081E8483" w14:textId="77777777" w:rsidR="00B211BE" w:rsidRPr="002D53B5" w:rsidRDefault="00B211BE" w:rsidP="00B211BE">
      <w:pPr>
        <w:numPr>
          <w:ilvl w:val="0"/>
          <w:numId w:val="10"/>
        </w:numPr>
        <w:suppressAutoHyphens/>
        <w:spacing w:line="360" w:lineRule="auto"/>
        <w:jc w:val="both"/>
        <w:rPr>
          <w:rFonts w:ascii="Times New Roman" w:hAnsi="Times New Roman" w:cs="Times New Roman"/>
          <w:sz w:val="20"/>
          <w:szCs w:val="20"/>
        </w:rPr>
      </w:pPr>
      <w:r w:rsidRPr="002D53B5">
        <w:rPr>
          <w:rFonts w:ascii="Times New Roman" w:hAnsi="Times New Roman" w:cs="Times New Roman"/>
          <w:sz w:val="20"/>
          <w:szCs w:val="20"/>
        </w:rPr>
        <w:t>UWTSD will not have complete control locally as the hardware is usually present within the remote location. In addition to this, the quality along with usage of data will also vary depending upon the internet connectivity at the premises of their customers (Dandres and et. al, 2017).</w:t>
      </w:r>
    </w:p>
    <w:p w14:paraId="15CE3DE7" w14:textId="77777777" w:rsidR="00B211BE" w:rsidRPr="002D53B5" w:rsidRDefault="00B211BE" w:rsidP="00B211BE">
      <w:pPr>
        <w:numPr>
          <w:ilvl w:val="0"/>
          <w:numId w:val="10"/>
        </w:numPr>
        <w:suppressAutoHyphens/>
        <w:spacing w:line="360" w:lineRule="auto"/>
        <w:jc w:val="both"/>
        <w:rPr>
          <w:rFonts w:ascii="Times New Roman" w:hAnsi="Times New Roman" w:cs="Times New Roman"/>
          <w:sz w:val="20"/>
          <w:szCs w:val="20"/>
          <w:u w:val="single"/>
        </w:rPr>
      </w:pPr>
      <w:r w:rsidRPr="002D53B5">
        <w:rPr>
          <w:rFonts w:ascii="Times New Roman" w:hAnsi="Times New Roman" w:cs="Times New Roman"/>
          <w:sz w:val="20"/>
          <w:szCs w:val="20"/>
        </w:rPr>
        <w:t xml:space="preserve">The information might be at critical risk from malware infections, virus or corporate theft. Furthermore, latency issues might prevail on the basis of bandwidth. </w:t>
      </w:r>
    </w:p>
    <w:p w14:paraId="2429961F" w14:textId="77777777" w:rsidR="00B211BE" w:rsidRPr="002D53B5" w:rsidRDefault="00B211BE" w:rsidP="00B211BE">
      <w:pPr>
        <w:pStyle w:val="Heading2"/>
        <w:rPr>
          <w:i/>
          <w:iCs/>
          <w:color w:val="auto"/>
          <w:sz w:val="20"/>
          <w:szCs w:val="20"/>
        </w:rPr>
      </w:pPr>
      <w:bookmarkStart w:id="13" w:name="_Toc60134746"/>
      <w:bookmarkStart w:id="14" w:name="_Toc60671136"/>
      <w:r w:rsidRPr="002D53B5">
        <w:rPr>
          <w:bCs w:val="0"/>
          <w:i/>
          <w:iCs/>
          <w:color w:val="auto"/>
          <w:sz w:val="20"/>
          <w:szCs w:val="20"/>
        </w:rPr>
        <w:t>Analysis</w:t>
      </w:r>
      <w:bookmarkEnd w:id="13"/>
      <w:bookmarkEnd w:id="14"/>
      <w:r w:rsidRPr="002D53B5">
        <w:rPr>
          <w:b/>
          <w:i/>
          <w:iCs/>
          <w:color w:val="auto"/>
          <w:sz w:val="20"/>
          <w:szCs w:val="20"/>
          <w:u w:val="none"/>
        </w:rPr>
        <w:t xml:space="preserve">  </w:t>
      </w:r>
    </w:p>
    <w:p w14:paraId="6A70D683" w14:textId="77777777" w:rsidR="00B211BE" w:rsidRPr="002D53B5" w:rsidRDefault="00B211BE" w:rsidP="00B211BE">
      <w:pPr>
        <w:ind w:firstLine="720"/>
        <w:rPr>
          <w:rFonts w:ascii="Times New Roman" w:hAnsi="Times New Roman" w:cs="Times New Roman"/>
          <w:sz w:val="20"/>
          <w:szCs w:val="20"/>
        </w:rPr>
      </w:pPr>
      <w:r w:rsidRPr="002D53B5">
        <w:rPr>
          <w:rFonts w:ascii="Times New Roman" w:hAnsi="Times New Roman" w:cs="Times New Roman"/>
          <w:sz w:val="20"/>
          <w:szCs w:val="20"/>
        </w:rPr>
        <w:t xml:space="preserve">The above section clearly illustrates the designing of the data centre along with this the certain points are specified that needs to be considered. When organisation is delivering their liabilities within the distributed computing environment in which application workloads interact across public as well as private network, it becomes important to make use of encryption in order to protect data from being vulnerable. In addition to this, there are certain legal requirements for safeguarding from potential threats and making sure that DC complies with emerging standards like ISO 27001 and regulations such as HIPAA and PCI. This will enable UWTSD to have robust security strategies for safeguarding their services and operations from probable threats. In addition to this, adaptive security measures must be utilised for allowing workload to move freely without any kind on intervention from third person (Eltraify and et. al, 2019). For this, it is mandatory that regular auditing is carried out and be attentive to the alerts related with any kind of potential risks. Through the usage of proper </w:t>
      </w:r>
      <w:proofErr w:type="gramStart"/>
      <w:r w:rsidRPr="002D53B5">
        <w:rPr>
          <w:rFonts w:ascii="Times New Roman" w:hAnsi="Times New Roman" w:cs="Times New Roman"/>
          <w:sz w:val="20"/>
          <w:szCs w:val="20"/>
        </w:rPr>
        <w:t>planning</w:t>
      </w:r>
      <w:proofErr w:type="gramEnd"/>
      <w:r w:rsidRPr="002D53B5">
        <w:rPr>
          <w:rFonts w:ascii="Times New Roman" w:hAnsi="Times New Roman" w:cs="Times New Roman"/>
          <w:sz w:val="20"/>
          <w:szCs w:val="20"/>
        </w:rPr>
        <w:t xml:space="preserve"> it becomes easy to design data centre along with this it has to be ensured that temperature aspect are maintained so that overall cost can be declined like even if 0.5 temperature is reduced then this will have probable impact on the expenses that will be created on the annual basis. The option of scalability can only be attained in case space for expansion is left and it is important as information needs are changing drastically.   </w:t>
      </w:r>
    </w:p>
    <w:p w14:paraId="05E242B9" w14:textId="77777777" w:rsidR="00B211BE" w:rsidRPr="002D53B5" w:rsidRDefault="00B211BE" w:rsidP="00B211BE">
      <w:pPr>
        <w:pStyle w:val="Heading1"/>
        <w:rPr>
          <w:color w:val="auto"/>
          <w:sz w:val="20"/>
          <w:szCs w:val="20"/>
        </w:rPr>
      </w:pPr>
      <w:bookmarkStart w:id="15" w:name="_Toc60134747"/>
      <w:bookmarkStart w:id="16" w:name="_Toc60671137"/>
      <w:r w:rsidRPr="002D53B5">
        <w:rPr>
          <w:color w:val="auto"/>
          <w:sz w:val="20"/>
          <w:szCs w:val="20"/>
        </w:rPr>
        <w:lastRenderedPageBreak/>
        <w:t>Conclusion</w:t>
      </w:r>
      <w:bookmarkEnd w:id="15"/>
      <w:bookmarkEnd w:id="16"/>
      <w:r w:rsidRPr="002D53B5">
        <w:rPr>
          <w:color w:val="auto"/>
          <w:sz w:val="20"/>
          <w:szCs w:val="20"/>
        </w:rPr>
        <w:t xml:space="preserve"> </w:t>
      </w:r>
    </w:p>
    <w:p w14:paraId="54267298" w14:textId="01778C74" w:rsidR="00B211BE" w:rsidRDefault="00B211BE" w:rsidP="00B211BE">
      <w:pPr>
        <w:rPr>
          <w:rFonts w:ascii="Times New Roman" w:hAnsi="Times New Roman" w:cs="Times New Roman"/>
          <w:sz w:val="20"/>
          <w:szCs w:val="20"/>
        </w:rPr>
      </w:pPr>
      <w:r w:rsidRPr="002D53B5">
        <w:rPr>
          <w:rFonts w:ascii="Times New Roman" w:hAnsi="Times New Roman" w:cs="Times New Roman"/>
          <w:sz w:val="20"/>
          <w:szCs w:val="20"/>
        </w:rPr>
        <w:tab/>
        <w:t xml:space="preserve">From above, it can be concluded that, data centre refers to centralised locations in which networking as well as computing equipment </w:t>
      </w:r>
      <w:r w:rsidR="002D53B5">
        <w:rPr>
          <w:rFonts w:ascii="Times New Roman" w:hAnsi="Times New Roman" w:cs="Times New Roman"/>
          <w:sz w:val="20"/>
          <w:szCs w:val="20"/>
        </w:rPr>
        <w:t>is</w:t>
      </w:r>
      <w:r w:rsidRPr="002D53B5">
        <w:rPr>
          <w:rFonts w:ascii="Times New Roman" w:hAnsi="Times New Roman" w:cs="Times New Roman"/>
          <w:sz w:val="20"/>
          <w:szCs w:val="20"/>
        </w:rPr>
        <w:t xml:space="preserve"> concentrated for the rationale of gathering, storage, processing, distribution and rendering assess to ample of data. This involves backup power supplies, environmental controls, communication connections and many more security devices. It completely depends upon the organisation that what kind of DC is required by them either in-house or from vendor. Each provides different benefits as well as possesses certain restrictions. It is important that firm considers both the aspects while opting for anyone of them so that </w:t>
      </w:r>
      <w:r w:rsidR="002D53B5" w:rsidRPr="002D53B5">
        <w:rPr>
          <w:rFonts w:ascii="Times New Roman" w:hAnsi="Times New Roman" w:cs="Times New Roman"/>
          <w:sz w:val="20"/>
          <w:szCs w:val="20"/>
        </w:rPr>
        <w:t>their</w:t>
      </w:r>
      <w:r w:rsidRPr="002D53B5">
        <w:rPr>
          <w:rFonts w:ascii="Times New Roman" w:hAnsi="Times New Roman" w:cs="Times New Roman"/>
          <w:sz w:val="20"/>
          <w:szCs w:val="20"/>
        </w:rPr>
        <w:t xml:space="preserve"> rationale can be </w:t>
      </w:r>
      <w:r w:rsidR="002D53B5" w:rsidRPr="002D53B5">
        <w:rPr>
          <w:rFonts w:ascii="Times New Roman" w:hAnsi="Times New Roman" w:cs="Times New Roman"/>
          <w:sz w:val="20"/>
          <w:szCs w:val="20"/>
        </w:rPr>
        <w:t>attained,</w:t>
      </w:r>
      <w:r w:rsidRPr="002D53B5">
        <w:rPr>
          <w:rFonts w:ascii="Times New Roman" w:hAnsi="Times New Roman" w:cs="Times New Roman"/>
          <w:sz w:val="20"/>
          <w:szCs w:val="20"/>
        </w:rPr>
        <w:t xml:space="preserve"> and relevant standards of services are furnished. </w:t>
      </w:r>
    </w:p>
    <w:p w14:paraId="15B46758" w14:textId="3A30C4FD" w:rsidR="002D53B5" w:rsidRDefault="002D53B5" w:rsidP="00B211BE">
      <w:pPr>
        <w:rPr>
          <w:rFonts w:ascii="Times New Roman" w:hAnsi="Times New Roman" w:cs="Times New Roman"/>
          <w:sz w:val="20"/>
          <w:szCs w:val="20"/>
        </w:rPr>
      </w:pPr>
    </w:p>
    <w:p w14:paraId="7C01F92B" w14:textId="3DB1E626" w:rsidR="002D53B5" w:rsidRDefault="002D53B5" w:rsidP="00B211BE">
      <w:pPr>
        <w:rPr>
          <w:rFonts w:ascii="Times New Roman" w:hAnsi="Times New Roman" w:cs="Times New Roman"/>
          <w:sz w:val="20"/>
          <w:szCs w:val="20"/>
        </w:rPr>
      </w:pPr>
    </w:p>
    <w:p w14:paraId="6CD7184B" w14:textId="260B002D" w:rsidR="002D53B5" w:rsidRDefault="002D53B5" w:rsidP="00B211BE">
      <w:pPr>
        <w:rPr>
          <w:rFonts w:ascii="Times New Roman" w:hAnsi="Times New Roman" w:cs="Times New Roman"/>
          <w:sz w:val="20"/>
          <w:szCs w:val="20"/>
        </w:rPr>
      </w:pPr>
    </w:p>
    <w:p w14:paraId="0F127CC4" w14:textId="20E50A54" w:rsidR="002D53B5" w:rsidRDefault="002D53B5" w:rsidP="00B211BE">
      <w:pPr>
        <w:rPr>
          <w:rFonts w:ascii="Times New Roman" w:hAnsi="Times New Roman" w:cs="Times New Roman"/>
          <w:sz w:val="20"/>
          <w:szCs w:val="20"/>
        </w:rPr>
      </w:pPr>
    </w:p>
    <w:p w14:paraId="0DC9F4D6" w14:textId="4B043F7D" w:rsidR="002D53B5" w:rsidRDefault="002D53B5" w:rsidP="00B211BE">
      <w:pPr>
        <w:rPr>
          <w:rFonts w:ascii="Times New Roman" w:hAnsi="Times New Roman" w:cs="Times New Roman"/>
          <w:sz w:val="20"/>
          <w:szCs w:val="20"/>
        </w:rPr>
      </w:pPr>
    </w:p>
    <w:p w14:paraId="7D04709A" w14:textId="118DA02C" w:rsidR="002D53B5" w:rsidRDefault="002D53B5" w:rsidP="00B211BE">
      <w:pPr>
        <w:rPr>
          <w:rFonts w:ascii="Times New Roman" w:hAnsi="Times New Roman" w:cs="Times New Roman"/>
          <w:sz w:val="20"/>
          <w:szCs w:val="20"/>
        </w:rPr>
      </w:pPr>
    </w:p>
    <w:p w14:paraId="01466B50" w14:textId="742AEFFE" w:rsidR="002D53B5" w:rsidRDefault="002D53B5" w:rsidP="00B211BE">
      <w:pPr>
        <w:rPr>
          <w:rFonts w:ascii="Times New Roman" w:hAnsi="Times New Roman" w:cs="Times New Roman"/>
          <w:sz w:val="20"/>
          <w:szCs w:val="20"/>
        </w:rPr>
      </w:pPr>
    </w:p>
    <w:p w14:paraId="2E45E37A" w14:textId="7B1666DF" w:rsidR="002D53B5" w:rsidRDefault="002D53B5" w:rsidP="00B211BE">
      <w:pPr>
        <w:rPr>
          <w:rFonts w:ascii="Times New Roman" w:hAnsi="Times New Roman" w:cs="Times New Roman"/>
          <w:sz w:val="20"/>
          <w:szCs w:val="20"/>
        </w:rPr>
      </w:pPr>
    </w:p>
    <w:p w14:paraId="25756B81" w14:textId="78F33C91" w:rsidR="002D53B5" w:rsidRDefault="002D53B5" w:rsidP="00B211BE">
      <w:pPr>
        <w:rPr>
          <w:rFonts w:ascii="Times New Roman" w:hAnsi="Times New Roman" w:cs="Times New Roman"/>
          <w:sz w:val="20"/>
          <w:szCs w:val="20"/>
        </w:rPr>
      </w:pPr>
    </w:p>
    <w:p w14:paraId="26677113" w14:textId="6F467AFD" w:rsidR="002D53B5" w:rsidRDefault="002D53B5" w:rsidP="00B211BE">
      <w:pPr>
        <w:rPr>
          <w:rFonts w:ascii="Times New Roman" w:hAnsi="Times New Roman" w:cs="Times New Roman"/>
          <w:sz w:val="20"/>
          <w:szCs w:val="20"/>
        </w:rPr>
      </w:pPr>
    </w:p>
    <w:p w14:paraId="7DE92302" w14:textId="19BEFC30" w:rsidR="002D53B5" w:rsidRDefault="002D53B5" w:rsidP="00B211BE">
      <w:pPr>
        <w:rPr>
          <w:rFonts w:ascii="Times New Roman" w:hAnsi="Times New Roman" w:cs="Times New Roman"/>
          <w:sz w:val="20"/>
          <w:szCs w:val="20"/>
        </w:rPr>
      </w:pPr>
    </w:p>
    <w:p w14:paraId="4EDD8299" w14:textId="73EF3005" w:rsidR="002D53B5" w:rsidRDefault="002D53B5" w:rsidP="00B211BE">
      <w:pPr>
        <w:rPr>
          <w:rFonts w:ascii="Times New Roman" w:hAnsi="Times New Roman" w:cs="Times New Roman"/>
          <w:sz w:val="20"/>
          <w:szCs w:val="20"/>
        </w:rPr>
      </w:pPr>
    </w:p>
    <w:p w14:paraId="3A122ED2" w14:textId="37AC7A58" w:rsidR="002D53B5" w:rsidRDefault="002D53B5" w:rsidP="00B211BE">
      <w:pPr>
        <w:rPr>
          <w:rFonts w:ascii="Times New Roman" w:hAnsi="Times New Roman" w:cs="Times New Roman"/>
          <w:sz w:val="20"/>
          <w:szCs w:val="20"/>
        </w:rPr>
      </w:pPr>
    </w:p>
    <w:p w14:paraId="6EDE6013" w14:textId="53DC7A12" w:rsidR="002D53B5" w:rsidRDefault="002D53B5" w:rsidP="00B211BE">
      <w:pPr>
        <w:rPr>
          <w:rFonts w:ascii="Times New Roman" w:hAnsi="Times New Roman" w:cs="Times New Roman"/>
          <w:sz w:val="20"/>
          <w:szCs w:val="20"/>
        </w:rPr>
      </w:pPr>
    </w:p>
    <w:p w14:paraId="4C43E99E" w14:textId="1DE659E9" w:rsidR="002D53B5" w:rsidRDefault="002D53B5" w:rsidP="00B211BE">
      <w:pPr>
        <w:rPr>
          <w:rFonts w:ascii="Times New Roman" w:hAnsi="Times New Roman" w:cs="Times New Roman"/>
          <w:sz w:val="20"/>
          <w:szCs w:val="20"/>
        </w:rPr>
      </w:pPr>
    </w:p>
    <w:p w14:paraId="2914143E" w14:textId="41D0ACD5" w:rsidR="002D53B5" w:rsidRDefault="002D53B5" w:rsidP="00B211BE">
      <w:pPr>
        <w:rPr>
          <w:rFonts w:ascii="Times New Roman" w:hAnsi="Times New Roman" w:cs="Times New Roman"/>
          <w:sz w:val="20"/>
          <w:szCs w:val="20"/>
        </w:rPr>
      </w:pPr>
    </w:p>
    <w:p w14:paraId="7D83341A" w14:textId="74B14E14" w:rsidR="002D53B5" w:rsidRDefault="002D53B5">
      <w:pPr>
        <w:rPr>
          <w:rFonts w:ascii="Times New Roman" w:hAnsi="Times New Roman" w:cs="Times New Roman"/>
          <w:sz w:val="20"/>
          <w:szCs w:val="20"/>
        </w:rPr>
      </w:pPr>
      <w:r>
        <w:rPr>
          <w:rFonts w:ascii="Times New Roman" w:hAnsi="Times New Roman" w:cs="Times New Roman"/>
          <w:sz w:val="20"/>
          <w:szCs w:val="20"/>
        </w:rPr>
        <w:br w:type="page"/>
      </w:r>
    </w:p>
    <w:p w14:paraId="510D45BB" w14:textId="77777777" w:rsidR="002D53B5" w:rsidRPr="002D53B5" w:rsidRDefault="002D53B5" w:rsidP="00B211BE">
      <w:pPr>
        <w:rPr>
          <w:rFonts w:ascii="Times New Roman" w:hAnsi="Times New Roman" w:cs="Times New Roman"/>
          <w:sz w:val="20"/>
          <w:szCs w:val="20"/>
        </w:rPr>
      </w:pPr>
    </w:p>
    <w:p w14:paraId="620724AE" w14:textId="77777777" w:rsidR="00B211BE" w:rsidRPr="002D53B5" w:rsidRDefault="00B211BE" w:rsidP="00B211BE">
      <w:pPr>
        <w:pStyle w:val="Heading1"/>
        <w:rPr>
          <w:color w:val="auto"/>
          <w:sz w:val="20"/>
          <w:szCs w:val="20"/>
        </w:rPr>
      </w:pPr>
      <w:bookmarkStart w:id="17" w:name="_Toc60134748"/>
      <w:bookmarkStart w:id="18" w:name="_Toc60671138"/>
      <w:r w:rsidRPr="002D53B5">
        <w:rPr>
          <w:color w:val="auto"/>
          <w:sz w:val="20"/>
          <w:szCs w:val="20"/>
        </w:rPr>
        <w:t>Recommendations</w:t>
      </w:r>
      <w:bookmarkEnd w:id="17"/>
      <w:bookmarkEnd w:id="18"/>
    </w:p>
    <w:p w14:paraId="471723E4" w14:textId="77777777" w:rsidR="00B211BE" w:rsidRPr="002D53B5" w:rsidRDefault="00B211BE" w:rsidP="00B211BE">
      <w:pPr>
        <w:ind w:firstLine="720"/>
        <w:rPr>
          <w:rFonts w:ascii="Times New Roman" w:hAnsi="Times New Roman" w:cs="Times New Roman"/>
          <w:sz w:val="20"/>
          <w:szCs w:val="20"/>
        </w:rPr>
      </w:pPr>
      <w:r w:rsidRPr="002D53B5">
        <w:rPr>
          <w:rFonts w:ascii="Times New Roman" w:hAnsi="Times New Roman" w:cs="Times New Roman"/>
          <w:sz w:val="20"/>
          <w:szCs w:val="20"/>
        </w:rPr>
        <w:t xml:space="preserve">It has been identified that data centre can be designed but there are different standards that must be taken into consideration while doing so. It is recommended that while carrying out the designing process ISO27001 standard must be utilised.  This is international standard that is accountable for setting up specifications for ISMS. This will also enable them within addressing the security aspect that might occur while delivering their services. In addition to this while doing so or designing the data centre, it is suggested that UWTSD must leave the room for further growth as the entire process is extremely expensive and thus it is important that when investment is made then space is left for scalability. In addition to this, power requirements are massive, and planning must be carried out effectively through which future needs can be acknowledged. It is important that experiments must be carried out with respect to the temperature so that overall cost can be minimised. It is recommended that relevant temperatures are maintained while building up data centre and in case if facilities get hotter than this will probably lead to catastrophic failures that will lead to lose millions of costs. </w:t>
      </w:r>
    </w:p>
    <w:p w14:paraId="5DC8C542" w14:textId="77777777" w:rsidR="00B211BE" w:rsidRPr="002D53B5" w:rsidRDefault="00B211BE" w:rsidP="00B211BE">
      <w:pPr>
        <w:ind w:firstLine="720"/>
        <w:rPr>
          <w:rFonts w:ascii="Times New Roman" w:hAnsi="Times New Roman" w:cs="Times New Roman"/>
          <w:sz w:val="20"/>
          <w:szCs w:val="20"/>
        </w:rPr>
      </w:pPr>
      <w:r w:rsidRPr="002D53B5">
        <w:rPr>
          <w:rFonts w:ascii="Times New Roman" w:hAnsi="Times New Roman" w:cs="Times New Roman"/>
          <w:sz w:val="20"/>
          <w:szCs w:val="20"/>
        </w:rPr>
        <w:t xml:space="preserve">This is recommended that it becomes crucial for UWTSD to take into consideration time within planning of cooling along with airflow for data centre. With respect to this, it is crucial that forecasting capabilities minimise over provisioning as well as enable data centre operators for anticipating the influence of future installations on the critical infrastructure. Furthermore, it is suggested that there needs to be relevant airflow in each server rack as it is crucial. It is important that filler panels must be utilised that will lead to planning strategies in an effectual manner. The smart airflow plan will lead UWTSD to minimise cooling expenses by near about 40% in most of the cases. In addition to this, it is important to automate operational functionalities that are being carried out the employees. This will further lead to conduct activities in an affirmative manner as well as this will also enable to make sure that infrastructure must be deployed in consistent manner within identical data centre that will minimise cost and time spend within maintaining activities. </w:t>
      </w:r>
    </w:p>
    <w:p w14:paraId="7A44503C" w14:textId="77777777" w:rsidR="00B211BE" w:rsidRPr="002D53B5" w:rsidRDefault="00B211BE" w:rsidP="00B211BE">
      <w:pPr>
        <w:ind w:firstLine="720"/>
        <w:rPr>
          <w:rFonts w:ascii="Times New Roman" w:hAnsi="Times New Roman" w:cs="Times New Roman"/>
          <w:sz w:val="20"/>
          <w:szCs w:val="20"/>
        </w:rPr>
      </w:pPr>
    </w:p>
    <w:p w14:paraId="29C71724" w14:textId="77777777" w:rsidR="00B211BE" w:rsidRPr="002D53B5" w:rsidRDefault="00B211BE" w:rsidP="00B211BE">
      <w:pPr>
        <w:ind w:firstLine="720"/>
        <w:rPr>
          <w:rFonts w:ascii="Times New Roman" w:hAnsi="Times New Roman" w:cs="Times New Roman"/>
          <w:sz w:val="20"/>
          <w:szCs w:val="20"/>
        </w:rPr>
      </w:pPr>
    </w:p>
    <w:p w14:paraId="55CF97F8" w14:textId="77777777" w:rsidR="00B211BE" w:rsidRPr="002D53B5" w:rsidRDefault="00B211BE" w:rsidP="00B211BE">
      <w:pPr>
        <w:pStyle w:val="Heading1"/>
        <w:pageBreakBefore/>
        <w:rPr>
          <w:color w:val="auto"/>
          <w:sz w:val="24"/>
          <w:szCs w:val="24"/>
          <w:u w:val="single"/>
        </w:rPr>
      </w:pPr>
      <w:bookmarkStart w:id="19" w:name="_Toc60134749"/>
      <w:bookmarkStart w:id="20" w:name="_Toc60671139"/>
      <w:r w:rsidRPr="002D53B5">
        <w:rPr>
          <w:color w:val="auto"/>
          <w:sz w:val="24"/>
          <w:szCs w:val="24"/>
        </w:rPr>
        <w:lastRenderedPageBreak/>
        <w:t>References</w:t>
      </w:r>
      <w:bookmarkEnd w:id="19"/>
      <w:bookmarkEnd w:id="20"/>
    </w:p>
    <w:p w14:paraId="1805E168" w14:textId="77777777" w:rsidR="00B211BE" w:rsidRPr="002D53B5" w:rsidRDefault="00B211BE" w:rsidP="00B211BE">
      <w:pPr>
        <w:rPr>
          <w:rFonts w:ascii="Times New Roman" w:hAnsi="Times New Roman" w:cs="Times New Roman"/>
          <w:sz w:val="16"/>
          <w:szCs w:val="16"/>
        </w:rPr>
      </w:pPr>
      <w:r w:rsidRPr="002D53B5">
        <w:rPr>
          <w:rFonts w:ascii="Times New Roman" w:hAnsi="Times New Roman" w:cs="Times New Roman"/>
          <w:sz w:val="16"/>
          <w:szCs w:val="16"/>
          <w:u w:val="single"/>
        </w:rPr>
        <w:t>Books &amp; Journals</w:t>
      </w:r>
    </w:p>
    <w:p w14:paraId="34A5243B" w14:textId="77777777"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Acton, M. and et. al, 2017. 2018 Best Practice Guidelines for the EU Code of Conduct on Data Centre Energy Efficiency. </w:t>
      </w:r>
      <w:r w:rsidRPr="002D53B5">
        <w:rPr>
          <w:rFonts w:ascii="Times New Roman" w:hAnsi="Times New Roman" w:cs="Times New Roman"/>
          <w:i/>
          <w:sz w:val="16"/>
          <w:szCs w:val="16"/>
        </w:rPr>
        <w:t>Publications Office of the European Union, Luxembourg, Tech. Report. EUR 29103 EN, 2018</w:t>
      </w:r>
      <w:r w:rsidRPr="002D53B5">
        <w:rPr>
          <w:rFonts w:ascii="Times New Roman" w:hAnsi="Times New Roman" w:cs="Times New Roman"/>
          <w:sz w:val="16"/>
          <w:szCs w:val="16"/>
        </w:rPr>
        <w:t>.</w:t>
      </w:r>
    </w:p>
    <w:p w14:paraId="3E6BAFEB" w14:textId="77777777"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Alishahi, S. and et. al, 2019. Design and implementation of a data centre for smart grids based on Software Defined Network Technology (SDN).</w:t>
      </w:r>
    </w:p>
    <w:p w14:paraId="4448A4F6" w14:textId="043DFA3D"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Avgerinou, M., Bertoldi, P. and Castellazzi, L., 2017. Trends in data centre energy consumption under the European code of conduct for data centre energy efficiency. </w:t>
      </w:r>
      <w:r w:rsidRPr="002D53B5">
        <w:rPr>
          <w:rFonts w:ascii="Times New Roman" w:hAnsi="Times New Roman" w:cs="Times New Roman"/>
          <w:i/>
          <w:sz w:val="16"/>
          <w:szCs w:val="16"/>
        </w:rPr>
        <w:t>Energies</w:t>
      </w:r>
      <w:r w:rsidRPr="002D53B5">
        <w:rPr>
          <w:rFonts w:ascii="Times New Roman" w:hAnsi="Times New Roman" w:cs="Times New Roman"/>
          <w:sz w:val="16"/>
          <w:szCs w:val="16"/>
        </w:rPr>
        <w:t>, </w:t>
      </w:r>
      <w:r w:rsidRPr="002D53B5">
        <w:rPr>
          <w:rFonts w:ascii="Times New Roman" w:hAnsi="Times New Roman" w:cs="Times New Roman"/>
          <w:i/>
          <w:sz w:val="16"/>
          <w:szCs w:val="16"/>
        </w:rPr>
        <w:t>10</w:t>
      </w:r>
      <w:r w:rsidRPr="002D53B5">
        <w:rPr>
          <w:rFonts w:ascii="Times New Roman" w:hAnsi="Times New Roman" w:cs="Times New Roman"/>
          <w:sz w:val="16"/>
          <w:szCs w:val="16"/>
        </w:rPr>
        <w:t>(10), p.1470.</w:t>
      </w:r>
    </w:p>
    <w:p w14:paraId="31ED3BFF" w14:textId="77777777"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Dandres, T. and et. al, 2017. Consideration of marginal electricity in real-time minimization of distributed data centre emissions. </w:t>
      </w:r>
      <w:r w:rsidRPr="002D53B5">
        <w:rPr>
          <w:rFonts w:ascii="Times New Roman" w:hAnsi="Times New Roman" w:cs="Times New Roman"/>
          <w:i/>
          <w:sz w:val="16"/>
          <w:szCs w:val="16"/>
        </w:rPr>
        <w:t>Journal of Cleaner Production</w:t>
      </w:r>
      <w:r w:rsidRPr="002D53B5">
        <w:rPr>
          <w:rFonts w:ascii="Times New Roman" w:hAnsi="Times New Roman" w:cs="Times New Roman"/>
          <w:sz w:val="16"/>
          <w:szCs w:val="16"/>
        </w:rPr>
        <w:t>, </w:t>
      </w:r>
      <w:r w:rsidRPr="002D53B5">
        <w:rPr>
          <w:rFonts w:ascii="Times New Roman" w:hAnsi="Times New Roman" w:cs="Times New Roman"/>
          <w:i/>
          <w:sz w:val="16"/>
          <w:szCs w:val="16"/>
        </w:rPr>
        <w:t>143</w:t>
      </w:r>
      <w:r w:rsidRPr="002D53B5">
        <w:rPr>
          <w:rFonts w:ascii="Times New Roman" w:hAnsi="Times New Roman" w:cs="Times New Roman"/>
          <w:sz w:val="16"/>
          <w:szCs w:val="16"/>
        </w:rPr>
        <w:t>, pp.116-124.</w:t>
      </w:r>
    </w:p>
    <w:p w14:paraId="75237C2D" w14:textId="77777777"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Eltraify, A.E. and et. al, 2019, July. Experimental Evaluation of Server Centric Passive Optical Network Based Data Centre Architecture. In </w:t>
      </w:r>
      <w:r w:rsidRPr="002D53B5">
        <w:rPr>
          <w:rFonts w:ascii="Times New Roman" w:hAnsi="Times New Roman" w:cs="Times New Roman"/>
          <w:i/>
          <w:sz w:val="16"/>
          <w:szCs w:val="16"/>
        </w:rPr>
        <w:t>2019 21st International Conference on Transparent Optical Networks (ICTON)</w:t>
      </w:r>
      <w:r w:rsidRPr="002D53B5">
        <w:rPr>
          <w:rFonts w:ascii="Times New Roman" w:hAnsi="Times New Roman" w:cs="Times New Roman"/>
          <w:sz w:val="16"/>
          <w:szCs w:val="16"/>
        </w:rPr>
        <w:t> (pp. 1-5). IEEE.</w:t>
      </w:r>
    </w:p>
    <w:p w14:paraId="6D5FC2AE" w14:textId="77777777"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Flucker, S., Tozer, R. and Whitehead, B., 2018. Data centre sustainability–Beyond energy efficiency. </w:t>
      </w:r>
      <w:r w:rsidRPr="002D53B5">
        <w:rPr>
          <w:rFonts w:ascii="Times New Roman" w:hAnsi="Times New Roman" w:cs="Times New Roman"/>
          <w:i/>
          <w:sz w:val="16"/>
          <w:szCs w:val="16"/>
        </w:rPr>
        <w:t>Building Services Engineering Research and Technology</w:t>
      </w:r>
      <w:r w:rsidRPr="002D53B5">
        <w:rPr>
          <w:rFonts w:ascii="Times New Roman" w:hAnsi="Times New Roman" w:cs="Times New Roman"/>
          <w:sz w:val="16"/>
          <w:szCs w:val="16"/>
        </w:rPr>
        <w:t>, </w:t>
      </w:r>
      <w:r w:rsidRPr="002D53B5">
        <w:rPr>
          <w:rFonts w:ascii="Times New Roman" w:hAnsi="Times New Roman" w:cs="Times New Roman"/>
          <w:i/>
          <w:sz w:val="16"/>
          <w:szCs w:val="16"/>
        </w:rPr>
        <w:t>39</w:t>
      </w:r>
      <w:r w:rsidRPr="002D53B5">
        <w:rPr>
          <w:rFonts w:ascii="Times New Roman" w:hAnsi="Times New Roman" w:cs="Times New Roman"/>
          <w:sz w:val="16"/>
          <w:szCs w:val="16"/>
        </w:rPr>
        <w:t>(2), pp.173-182.</w:t>
      </w:r>
    </w:p>
    <w:p w14:paraId="0DBC82A1" w14:textId="77777777"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Hammadi, A.A., 2016. </w:t>
      </w:r>
      <w:r w:rsidRPr="002D53B5">
        <w:rPr>
          <w:rFonts w:ascii="Times New Roman" w:hAnsi="Times New Roman" w:cs="Times New Roman"/>
          <w:i/>
          <w:sz w:val="16"/>
          <w:szCs w:val="16"/>
        </w:rPr>
        <w:t>Future PON data centre networks</w:t>
      </w:r>
      <w:r w:rsidRPr="002D53B5">
        <w:rPr>
          <w:rFonts w:ascii="Times New Roman" w:hAnsi="Times New Roman" w:cs="Times New Roman"/>
          <w:sz w:val="16"/>
          <w:szCs w:val="16"/>
        </w:rPr>
        <w:t xml:space="preserve"> (Doctoral dissertation, University of Leeds).</w:t>
      </w:r>
    </w:p>
    <w:p w14:paraId="13EBFFE1" w14:textId="77777777"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Jackson, C. and et. al, 2017, March. Demonstration of the benefits of SDN technology for all-optical data centre virtualisation. In </w:t>
      </w:r>
      <w:r w:rsidRPr="002D53B5">
        <w:rPr>
          <w:rFonts w:ascii="Times New Roman" w:hAnsi="Times New Roman" w:cs="Times New Roman"/>
          <w:i/>
          <w:sz w:val="16"/>
          <w:szCs w:val="16"/>
        </w:rPr>
        <w:t>2017 Optical Fiber Communications Conference and Exhibition (OFC)</w:t>
      </w:r>
      <w:r w:rsidRPr="002D53B5">
        <w:rPr>
          <w:rFonts w:ascii="Times New Roman" w:hAnsi="Times New Roman" w:cs="Times New Roman"/>
          <w:sz w:val="16"/>
          <w:szCs w:val="16"/>
        </w:rPr>
        <w:t> (pp. 1-2). IEEE.</w:t>
      </w:r>
    </w:p>
    <w:p w14:paraId="5FC426B7" w14:textId="77777777"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Luo, Y. and et. al, 2019. A framework for waste heat energy recovery within data centre. </w:t>
      </w:r>
      <w:r w:rsidRPr="002D53B5">
        <w:rPr>
          <w:rFonts w:ascii="Times New Roman" w:hAnsi="Times New Roman" w:cs="Times New Roman"/>
          <w:i/>
          <w:sz w:val="16"/>
          <w:szCs w:val="16"/>
        </w:rPr>
        <w:t>Energy Procedia</w:t>
      </w:r>
      <w:r w:rsidRPr="002D53B5">
        <w:rPr>
          <w:rFonts w:ascii="Times New Roman" w:hAnsi="Times New Roman" w:cs="Times New Roman"/>
          <w:sz w:val="16"/>
          <w:szCs w:val="16"/>
        </w:rPr>
        <w:t>, </w:t>
      </w:r>
      <w:r w:rsidRPr="002D53B5">
        <w:rPr>
          <w:rFonts w:ascii="Times New Roman" w:hAnsi="Times New Roman" w:cs="Times New Roman"/>
          <w:i/>
          <w:sz w:val="16"/>
          <w:szCs w:val="16"/>
        </w:rPr>
        <w:t>158</w:t>
      </w:r>
      <w:r w:rsidRPr="002D53B5">
        <w:rPr>
          <w:rFonts w:ascii="Times New Roman" w:hAnsi="Times New Roman" w:cs="Times New Roman"/>
          <w:sz w:val="16"/>
          <w:szCs w:val="16"/>
        </w:rPr>
        <w:t>, pp.3788-3794.</w:t>
      </w:r>
    </w:p>
    <w:p w14:paraId="030E1B5E" w14:textId="77777777"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Mialle, P., Brown, D. and Arora, N., 2019. Advances in operational processing at the international data centre. In </w:t>
      </w:r>
      <w:r w:rsidRPr="002D53B5">
        <w:rPr>
          <w:rFonts w:ascii="Times New Roman" w:hAnsi="Times New Roman" w:cs="Times New Roman"/>
          <w:i/>
          <w:sz w:val="16"/>
          <w:szCs w:val="16"/>
        </w:rPr>
        <w:t>Infrasound Monitoring for Atmospheric Studies</w:t>
      </w:r>
      <w:r w:rsidRPr="002D53B5">
        <w:rPr>
          <w:rFonts w:ascii="Times New Roman" w:hAnsi="Times New Roman" w:cs="Times New Roman"/>
          <w:sz w:val="16"/>
          <w:szCs w:val="16"/>
        </w:rPr>
        <w:t> (pp. 209-248). Springer, Cham.</w:t>
      </w:r>
    </w:p>
    <w:p w14:paraId="4F3C934E" w14:textId="77777777"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Rashid, M. and Noraziah, A., 2017. Review on Green Technology Implementation Challenges in University Data Centre. </w:t>
      </w:r>
      <w:r w:rsidRPr="002D53B5">
        <w:rPr>
          <w:rFonts w:ascii="Times New Roman" w:hAnsi="Times New Roman" w:cs="Times New Roman"/>
          <w:i/>
          <w:sz w:val="16"/>
          <w:szCs w:val="16"/>
        </w:rPr>
        <w:t>Advanced Science Letters</w:t>
      </w:r>
      <w:r w:rsidRPr="002D53B5">
        <w:rPr>
          <w:rFonts w:ascii="Times New Roman" w:hAnsi="Times New Roman" w:cs="Times New Roman"/>
          <w:sz w:val="16"/>
          <w:szCs w:val="16"/>
        </w:rPr>
        <w:t>, </w:t>
      </w:r>
      <w:r w:rsidRPr="002D53B5">
        <w:rPr>
          <w:rFonts w:ascii="Times New Roman" w:hAnsi="Times New Roman" w:cs="Times New Roman"/>
          <w:i/>
          <w:sz w:val="16"/>
          <w:szCs w:val="16"/>
        </w:rPr>
        <w:t>23</w:t>
      </w:r>
      <w:r w:rsidRPr="002D53B5">
        <w:rPr>
          <w:rFonts w:ascii="Times New Roman" w:hAnsi="Times New Roman" w:cs="Times New Roman"/>
          <w:sz w:val="16"/>
          <w:szCs w:val="16"/>
        </w:rPr>
        <w:t>(11), pp.11134-11137.</w:t>
      </w:r>
    </w:p>
    <w:p w14:paraId="61EBECFB" w14:textId="77777777"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Rogers, P., BRIPCO bvba, 2016. </w:t>
      </w:r>
      <w:r w:rsidRPr="002D53B5">
        <w:rPr>
          <w:rFonts w:ascii="Times New Roman" w:hAnsi="Times New Roman" w:cs="Times New Roman"/>
          <w:i/>
          <w:sz w:val="16"/>
          <w:szCs w:val="16"/>
        </w:rPr>
        <w:t>Data centre</w:t>
      </w:r>
      <w:r w:rsidRPr="002D53B5">
        <w:rPr>
          <w:rFonts w:ascii="Times New Roman" w:hAnsi="Times New Roman" w:cs="Times New Roman"/>
          <w:sz w:val="16"/>
          <w:szCs w:val="16"/>
        </w:rPr>
        <w:t>. U.S. Patent 9,347,233.</w:t>
      </w:r>
    </w:p>
    <w:p w14:paraId="32EF3B44" w14:textId="77777777"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Sefidcon, A. and Yadhav, V., Telefonaktiebolaget LM Ericsson AB, 2016. </w:t>
      </w:r>
      <w:r w:rsidRPr="002D53B5">
        <w:rPr>
          <w:rFonts w:ascii="Times New Roman" w:hAnsi="Times New Roman" w:cs="Times New Roman"/>
          <w:i/>
          <w:sz w:val="16"/>
          <w:szCs w:val="16"/>
        </w:rPr>
        <w:t>Method, system, computer program and computer program product for monitoring data packet flows between virtual machines, vms, within a data centre</w:t>
      </w:r>
      <w:r w:rsidRPr="002D53B5">
        <w:rPr>
          <w:rFonts w:ascii="Times New Roman" w:hAnsi="Times New Roman" w:cs="Times New Roman"/>
          <w:sz w:val="16"/>
          <w:szCs w:val="16"/>
        </w:rPr>
        <w:t>. U.S. Patent Application 15/026,306.</w:t>
      </w:r>
    </w:p>
    <w:p w14:paraId="1EC170A1" w14:textId="77777777"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Singh, A.K. and Kumar, J., 2019. Secure and energy aware load balancing framework for cloud data centre networks. </w:t>
      </w:r>
      <w:r w:rsidRPr="002D53B5">
        <w:rPr>
          <w:rFonts w:ascii="Times New Roman" w:hAnsi="Times New Roman" w:cs="Times New Roman"/>
          <w:i/>
          <w:sz w:val="16"/>
          <w:szCs w:val="16"/>
        </w:rPr>
        <w:t>Electronics Letters</w:t>
      </w:r>
      <w:r w:rsidRPr="002D53B5">
        <w:rPr>
          <w:rFonts w:ascii="Times New Roman" w:hAnsi="Times New Roman" w:cs="Times New Roman"/>
          <w:sz w:val="16"/>
          <w:szCs w:val="16"/>
        </w:rPr>
        <w:t>, </w:t>
      </w:r>
      <w:r w:rsidRPr="002D53B5">
        <w:rPr>
          <w:rFonts w:ascii="Times New Roman" w:hAnsi="Times New Roman" w:cs="Times New Roman"/>
          <w:i/>
          <w:sz w:val="16"/>
          <w:szCs w:val="16"/>
        </w:rPr>
        <w:t>55</w:t>
      </w:r>
      <w:r w:rsidRPr="002D53B5">
        <w:rPr>
          <w:rFonts w:ascii="Times New Roman" w:hAnsi="Times New Roman" w:cs="Times New Roman"/>
          <w:sz w:val="16"/>
          <w:szCs w:val="16"/>
        </w:rPr>
        <w:t>(9), pp.540-541.</w:t>
      </w:r>
    </w:p>
    <w:p w14:paraId="7E0A8A8E" w14:textId="77777777"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Spyropoulou, M. and et. al, 2020. Towards 1.6 T datacentre interconnect technologies: The TWILIGHT perspective. </w:t>
      </w:r>
      <w:r w:rsidRPr="002D53B5">
        <w:rPr>
          <w:rFonts w:ascii="Times New Roman" w:hAnsi="Times New Roman" w:cs="Times New Roman"/>
          <w:i/>
          <w:sz w:val="16"/>
          <w:szCs w:val="16"/>
        </w:rPr>
        <w:t>Journal of Physics: Photonics</w:t>
      </w:r>
      <w:r w:rsidRPr="002D53B5">
        <w:rPr>
          <w:rFonts w:ascii="Times New Roman" w:hAnsi="Times New Roman" w:cs="Times New Roman"/>
          <w:sz w:val="16"/>
          <w:szCs w:val="16"/>
        </w:rPr>
        <w:t>.</w:t>
      </w:r>
    </w:p>
    <w:p w14:paraId="75726105" w14:textId="77777777"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Sugawara, T. and et. al, 2019. Oscillator without a combinatorial loop and its threat to FPGA in data centre. </w:t>
      </w:r>
      <w:r w:rsidRPr="002D53B5">
        <w:rPr>
          <w:rFonts w:ascii="Times New Roman" w:hAnsi="Times New Roman" w:cs="Times New Roman"/>
          <w:i/>
          <w:sz w:val="16"/>
          <w:szCs w:val="16"/>
        </w:rPr>
        <w:t>Electronics Letters</w:t>
      </w:r>
      <w:r w:rsidRPr="002D53B5">
        <w:rPr>
          <w:rFonts w:ascii="Times New Roman" w:hAnsi="Times New Roman" w:cs="Times New Roman"/>
          <w:sz w:val="16"/>
          <w:szCs w:val="16"/>
        </w:rPr>
        <w:t>, </w:t>
      </w:r>
      <w:r w:rsidRPr="002D53B5">
        <w:rPr>
          <w:rFonts w:ascii="Times New Roman" w:hAnsi="Times New Roman" w:cs="Times New Roman"/>
          <w:i/>
          <w:sz w:val="16"/>
          <w:szCs w:val="16"/>
        </w:rPr>
        <w:t>55</w:t>
      </w:r>
      <w:r w:rsidRPr="002D53B5">
        <w:rPr>
          <w:rFonts w:ascii="Times New Roman" w:hAnsi="Times New Roman" w:cs="Times New Roman"/>
          <w:sz w:val="16"/>
          <w:szCs w:val="16"/>
        </w:rPr>
        <w:t>(11), pp.640-642.</w:t>
      </w:r>
    </w:p>
    <w:p w14:paraId="4000EB56" w14:textId="77777777" w:rsidR="00B211BE" w:rsidRPr="002D53B5" w:rsidRDefault="00B211BE" w:rsidP="00B211BE">
      <w:pPr>
        <w:ind w:left="851" w:hanging="851"/>
        <w:rPr>
          <w:rFonts w:ascii="Times New Roman" w:hAnsi="Times New Roman" w:cs="Times New Roman"/>
          <w:sz w:val="16"/>
          <w:szCs w:val="16"/>
        </w:rPr>
      </w:pPr>
      <w:r w:rsidRPr="002D53B5">
        <w:rPr>
          <w:rFonts w:ascii="Times New Roman" w:hAnsi="Times New Roman" w:cs="Times New Roman"/>
          <w:sz w:val="16"/>
          <w:szCs w:val="16"/>
        </w:rPr>
        <w:t>Wang, B., 2019, July. Construction Research of University Data Centre of Cloud Computing Based on Virtualization Technology. In </w:t>
      </w:r>
      <w:r w:rsidRPr="002D53B5">
        <w:rPr>
          <w:rFonts w:ascii="Times New Roman" w:hAnsi="Times New Roman" w:cs="Times New Roman"/>
          <w:i/>
          <w:sz w:val="16"/>
          <w:szCs w:val="16"/>
        </w:rPr>
        <w:t>IOP Conference Series: Materials Science and Engineering</w:t>
      </w:r>
      <w:r w:rsidRPr="002D53B5">
        <w:rPr>
          <w:rFonts w:ascii="Times New Roman" w:hAnsi="Times New Roman" w:cs="Times New Roman"/>
          <w:sz w:val="16"/>
          <w:szCs w:val="16"/>
        </w:rPr>
        <w:t> (Vol. 569, No. 5, p. 052022). IOP Publishing.</w:t>
      </w:r>
    </w:p>
    <w:p w14:paraId="60803DFF" w14:textId="77777777" w:rsidR="00B211BE" w:rsidRDefault="00B211BE"/>
    <w:sectPr w:rsidR="00B211BE" w:rsidSect="00B211BE">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C3A28B" w14:textId="77777777" w:rsidR="00FE7FCD" w:rsidRDefault="00FE7FCD" w:rsidP="00B211BE">
      <w:r>
        <w:separator/>
      </w:r>
    </w:p>
  </w:endnote>
  <w:endnote w:type="continuationSeparator" w:id="0">
    <w:p w14:paraId="2CC79EA8" w14:textId="77777777" w:rsidR="00FE7FCD" w:rsidRDefault="00FE7FCD" w:rsidP="00B211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OpenSymbol">
    <w:altName w:val="Arial Unicode MS"/>
    <w:panose1 w:val="020B0604020202020204"/>
    <w:charset w:val="80"/>
    <w:family w:val="auto"/>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MS Gothic"/>
    <w:panose1 w:val="020B0604020202020204"/>
    <w:charset w:val="80"/>
    <w:family w:val="auto"/>
    <w:pitch w:val="variable"/>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62453569"/>
      <w:docPartObj>
        <w:docPartGallery w:val="Page Numbers (Bottom of Page)"/>
        <w:docPartUnique/>
      </w:docPartObj>
    </w:sdtPr>
    <w:sdtEndPr>
      <w:rPr>
        <w:rStyle w:val="PageNumber"/>
      </w:rPr>
    </w:sdtEndPr>
    <w:sdtContent>
      <w:p w14:paraId="2B72DEAA" w14:textId="309B8C41" w:rsidR="00B211BE" w:rsidRDefault="00B211BE" w:rsidP="00572B4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2AD679" w14:textId="77777777" w:rsidR="00B211BE" w:rsidRDefault="00B211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89172461"/>
      <w:docPartObj>
        <w:docPartGallery w:val="Page Numbers (Bottom of Page)"/>
        <w:docPartUnique/>
      </w:docPartObj>
    </w:sdtPr>
    <w:sdtEndPr>
      <w:rPr>
        <w:rStyle w:val="PageNumber"/>
      </w:rPr>
    </w:sdtEndPr>
    <w:sdtContent>
      <w:p w14:paraId="2C708CD4" w14:textId="092D425F" w:rsidR="00B211BE" w:rsidRDefault="00B211BE" w:rsidP="00572B4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26895D" w14:textId="77777777" w:rsidR="00B211BE" w:rsidRDefault="00B211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30369D" w14:textId="77777777" w:rsidR="00FE7FCD" w:rsidRDefault="00FE7FCD" w:rsidP="00B211BE">
      <w:r>
        <w:separator/>
      </w:r>
    </w:p>
  </w:footnote>
  <w:footnote w:type="continuationSeparator" w:id="0">
    <w:p w14:paraId="5E0FE107" w14:textId="77777777" w:rsidR="00FE7FCD" w:rsidRDefault="00FE7FCD" w:rsidP="00B211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D09ED5D0"/>
    <w:lvl w:ilvl="0">
      <w:start w:val="1"/>
      <w:numFmt w:val="upperRoman"/>
      <w:pStyle w:val="Heading1"/>
      <w:lvlText w:val="%1."/>
      <w:lvlJc w:val="right"/>
      <w:pPr>
        <w:ind w:left="360" w:hanging="360"/>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1080"/>
        </w:tabs>
        <w:ind w:left="1080" w:hanging="360"/>
      </w:pPr>
      <w:rPr>
        <w:rFonts w:ascii="Symbol" w:hAnsi="Symbol" w:cs="OpenSymbol"/>
      </w:rPr>
    </w:lvl>
    <w:lvl w:ilvl="1">
      <w:start w:val="1"/>
      <w:numFmt w:val="bullet"/>
      <w:lvlText w:val="◦"/>
      <w:lvlJc w:val="left"/>
      <w:pPr>
        <w:tabs>
          <w:tab w:val="num" w:pos="1440"/>
        </w:tabs>
        <w:ind w:left="1440" w:hanging="360"/>
      </w:pPr>
      <w:rPr>
        <w:rFonts w:ascii="OpenSymbol" w:hAnsi="OpenSymbol" w:cs="OpenSymbol"/>
      </w:rPr>
    </w:lvl>
    <w:lvl w:ilvl="2">
      <w:start w:val="1"/>
      <w:numFmt w:val="bullet"/>
      <w:lvlText w:val="▪"/>
      <w:lvlJc w:val="left"/>
      <w:pPr>
        <w:tabs>
          <w:tab w:val="num" w:pos="1800"/>
        </w:tabs>
        <w:ind w:left="1800" w:hanging="360"/>
      </w:pPr>
      <w:rPr>
        <w:rFonts w:ascii="OpenSymbol" w:hAnsi="OpenSymbol" w:cs="OpenSymbol"/>
      </w:rPr>
    </w:lvl>
    <w:lvl w:ilvl="3">
      <w:start w:val="1"/>
      <w:numFmt w:val="bullet"/>
      <w:lvlText w:val=""/>
      <w:lvlJc w:val="left"/>
      <w:pPr>
        <w:tabs>
          <w:tab w:val="num" w:pos="2160"/>
        </w:tabs>
        <w:ind w:left="2160" w:hanging="360"/>
      </w:pPr>
      <w:rPr>
        <w:rFonts w:ascii="Symbol" w:hAnsi="Symbol" w:cs="OpenSymbol"/>
      </w:rPr>
    </w:lvl>
    <w:lvl w:ilvl="4">
      <w:start w:val="1"/>
      <w:numFmt w:val="bullet"/>
      <w:lvlText w:val="◦"/>
      <w:lvlJc w:val="left"/>
      <w:pPr>
        <w:tabs>
          <w:tab w:val="num" w:pos="2520"/>
        </w:tabs>
        <w:ind w:left="2520" w:hanging="360"/>
      </w:pPr>
      <w:rPr>
        <w:rFonts w:ascii="OpenSymbol" w:hAnsi="OpenSymbol" w:cs="OpenSymbol"/>
      </w:rPr>
    </w:lvl>
    <w:lvl w:ilvl="5">
      <w:start w:val="1"/>
      <w:numFmt w:val="bullet"/>
      <w:lvlText w:val="▪"/>
      <w:lvlJc w:val="left"/>
      <w:pPr>
        <w:tabs>
          <w:tab w:val="num" w:pos="2880"/>
        </w:tabs>
        <w:ind w:left="2880" w:hanging="360"/>
      </w:pPr>
      <w:rPr>
        <w:rFonts w:ascii="OpenSymbol" w:hAnsi="OpenSymbol" w:cs="OpenSymbol"/>
      </w:rPr>
    </w:lvl>
    <w:lvl w:ilvl="6">
      <w:start w:val="1"/>
      <w:numFmt w:val="bullet"/>
      <w:lvlText w:val=""/>
      <w:lvlJc w:val="left"/>
      <w:pPr>
        <w:tabs>
          <w:tab w:val="num" w:pos="3240"/>
        </w:tabs>
        <w:ind w:left="3240" w:hanging="360"/>
      </w:pPr>
      <w:rPr>
        <w:rFonts w:ascii="Symbol" w:hAnsi="Symbol" w:cs="OpenSymbol"/>
      </w:rPr>
    </w:lvl>
    <w:lvl w:ilvl="7">
      <w:start w:val="1"/>
      <w:numFmt w:val="bullet"/>
      <w:lvlText w:val="◦"/>
      <w:lvlJc w:val="left"/>
      <w:pPr>
        <w:tabs>
          <w:tab w:val="num" w:pos="3600"/>
        </w:tabs>
        <w:ind w:left="3600" w:hanging="360"/>
      </w:pPr>
      <w:rPr>
        <w:rFonts w:ascii="OpenSymbol" w:hAnsi="OpenSymbol" w:cs="OpenSymbol"/>
      </w:rPr>
    </w:lvl>
    <w:lvl w:ilvl="8">
      <w:start w:val="1"/>
      <w:numFmt w:val="bullet"/>
      <w:lvlText w:val="▪"/>
      <w:lvlJc w:val="left"/>
      <w:pPr>
        <w:tabs>
          <w:tab w:val="num" w:pos="3960"/>
        </w:tabs>
        <w:ind w:left="396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960"/>
        </w:tabs>
        <w:ind w:left="960" w:hanging="360"/>
      </w:pPr>
      <w:rPr>
        <w:rFonts w:ascii="Symbol" w:hAnsi="Symbol" w:cs="OpenSymbol"/>
      </w:rPr>
    </w:lvl>
    <w:lvl w:ilvl="1">
      <w:start w:val="1"/>
      <w:numFmt w:val="bullet"/>
      <w:lvlText w:val="◦"/>
      <w:lvlJc w:val="left"/>
      <w:pPr>
        <w:tabs>
          <w:tab w:val="num" w:pos="1320"/>
        </w:tabs>
        <w:ind w:left="1320" w:hanging="360"/>
      </w:pPr>
      <w:rPr>
        <w:rFonts w:ascii="OpenSymbol" w:hAnsi="OpenSymbol" w:cs="OpenSymbol"/>
      </w:rPr>
    </w:lvl>
    <w:lvl w:ilvl="2">
      <w:start w:val="1"/>
      <w:numFmt w:val="bullet"/>
      <w:lvlText w:val="▪"/>
      <w:lvlJc w:val="left"/>
      <w:pPr>
        <w:tabs>
          <w:tab w:val="num" w:pos="1680"/>
        </w:tabs>
        <w:ind w:left="1680" w:hanging="360"/>
      </w:pPr>
      <w:rPr>
        <w:rFonts w:ascii="OpenSymbol" w:hAnsi="OpenSymbol" w:cs="OpenSymbol"/>
      </w:rPr>
    </w:lvl>
    <w:lvl w:ilvl="3">
      <w:start w:val="1"/>
      <w:numFmt w:val="bullet"/>
      <w:lvlText w:val=""/>
      <w:lvlJc w:val="left"/>
      <w:pPr>
        <w:tabs>
          <w:tab w:val="num" w:pos="2040"/>
        </w:tabs>
        <w:ind w:left="2040" w:hanging="360"/>
      </w:pPr>
      <w:rPr>
        <w:rFonts w:ascii="Symbol" w:hAnsi="Symbol" w:cs="OpenSymbol"/>
      </w:rPr>
    </w:lvl>
    <w:lvl w:ilvl="4">
      <w:start w:val="1"/>
      <w:numFmt w:val="bullet"/>
      <w:lvlText w:val="◦"/>
      <w:lvlJc w:val="left"/>
      <w:pPr>
        <w:tabs>
          <w:tab w:val="num" w:pos="2400"/>
        </w:tabs>
        <w:ind w:left="2400" w:hanging="360"/>
      </w:pPr>
      <w:rPr>
        <w:rFonts w:ascii="OpenSymbol" w:hAnsi="OpenSymbol" w:cs="OpenSymbol"/>
      </w:rPr>
    </w:lvl>
    <w:lvl w:ilvl="5">
      <w:start w:val="1"/>
      <w:numFmt w:val="bullet"/>
      <w:lvlText w:val="▪"/>
      <w:lvlJc w:val="left"/>
      <w:pPr>
        <w:tabs>
          <w:tab w:val="num" w:pos="2760"/>
        </w:tabs>
        <w:ind w:left="2760" w:hanging="360"/>
      </w:pPr>
      <w:rPr>
        <w:rFonts w:ascii="OpenSymbol" w:hAnsi="OpenSymbol" w:cs="OpenSymbol"/>
      </w:rPr>
    </w:lvl>
    <w:lvl w:ilvl="6">
      <w:start w:val="1"/>
      <w:numFmt w:val="bullet"/>
      <w:lvlText w:val=""/>
      <w:lvlJc w:val="left"/>
      <w:pPr>
        <w:tabs>
          <w:tab w:val="num" w:pos="3120"/>
        </w:tabs>
        <w:ind w:left="3120" w:hanging="360"/>
      </w:pPr>
      <w:rPr>
        <w:rFonts w:ascii="Symbol" w:hAnsi="Symbol" w:cs="OpenSymbol"/>
      </w:rPr>
    </w:lvl>
    <w:lvl w:ilvl="7">
      <w:start w:val="1"/>
      <w:numFmt w:val="bullet"/>
      <w:lvlText w:val="◦"/>
      <w:lvlJc w:val="left"/>
      <w:pPr>
        <w:tabs>
          <w:tab w:val="num" w:pos="3480"/>
        </w:tabs>
        <w:ind w:left="3480" w:hanging="360"/>
      </w:pPr>
      <w:rPr>
        <w:rFonts w:ascii="OpenSymbol" w:hAnsi="OpenSymbol" w:cs="OpenSymbol"/>
      </w:rPr>
    </w:lvl>
    <w:lvl w:ilvl="8">
      <w:start w:val="1"/>
      <w:numFmt w:val="bullet"/>
      <w:lvlText w:val="▪"/>
      <w:lvlJc w:val="left"/>
      <w:pPr>
        <w:tabs>
          <w:tab w:val="num" w:pos="3840"/>
        </w:tabs>
        <w:ind w:left="384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840"/>
        </w:tabs>
        <w:ind w:left="840" w:hanging="360"/>
      </w:pPr>
      <w:rPr>
        <w:rFonts w:ascii="Symbol" w:hAnsi="Symbol" w:cs="OpenSymbol"/>
      </w:rPr>
    </w:lvl>
    <w:lvl w:ilvl="1">
      <w:start w:val="1"/>
      <w:numFmt w:val="bullet"/>
      <w:lvlText w:val="◦"/>
      <w:lvlJc w:val="left"/>
      <w:pPr>
        <w:tabs>
          <w:tab w:val="num" w:pos="1200"/>
        </w:tabs>
        <w:ind w:left="1200" w:hanging="360"/>
      </w:pPr>
      <w:rPr>
        <w:rFonts w:ascii="OpenSymbol" w:hAnsi="OpenSymbol" w:cs="OpenSymbol"/>
      </w:rPr>
    </w:lvl>
    <w:lvl w:ilvl="2">
      <w:start w:val="1"/>
      <w:numFmt w:val="bullet"/>
      <w:lvlText w:val="▪"/>
      <w:lvlJc w:val="left"/>
      <w:pPr>
        <w:tabs>
          <w:tab w:val="num" w:pos="1560"/>
        </w:tabs>
        <w:ind w:left="1560" w:hanging="360"/>
      </w:pPr>
      <w:rPr>
        <w:rFonts w:ascii="OpenSymbol" w:hAnsi="OpenSymbol" w:cs="OpenSymbol"/>
      </w:rPr>
    </w:lvl>
    <w:lvl w:ilvl="3">
      <w:start w:val="1"/>
      <w:numFmt w:val="bullet"/>
      <w:lvlText w:val=""/>
      <w:lvlJc w:val="left"/>
      <w:pPr>
        <w:tabs>
          <w:tab w:val="num" w:pos="1920"/>
        </w:tabs>
        <w:ind w:left="1920" w:hanging="360"/>
      </w:pPr>
      <w:rPr>
        <w:rFonts w:ascii="Symbol" w:hAnsi="Symbol" w:cs="OpenSymbol"/>
      </w:rPr>
    </w:lvl>
    <w:lvl w:ilvl="4">
      <w:start w:val="1"/>
      <w:numFmt w:val="bullet"/>
      <w:lvlText w:val="◦"/>
      <w:lvlJc w:val="left"/>
      <w:pPr>
        <w:tabs>
          <w:tab w:val="num" w:pos="2280"/>
        </w:tabs>
        <w:ind w:left="2280" w:hanging="360"/>
      </w:pPr>
      <w:rPr>
        <w:rFonts w:ascii="OpenSymbol" w:hAnsi="OpenSymbol" w:cs="OpenSymbol"/>
      </w:rPr>
    </w:lvl>
    <w:lvl w:ilvl="5">
      <w:start w:val="1"/>
      <w:numFmt w:val="bullet"/>
      <w:lvlText w:val="▪"/>
      <w:lvlJc w:val="left"/>
      <w:pPr>
        <w:tabs>
          <w:tab w:val="num" w:pos="2640"/>
        </w:tabs>
        <w:ind w:left="2640" w:hanging="360"/>
      </w:pPr>
      <w:rPr>
        <w:rFonts w:ascii="OpenSymbol" w:hAnsi="OpenSymbol" w:cs="OpenSymbol"/>
      </w:rPr>
    </w:lvl>
    <w:lvl w:ilvl="6">
      <w:start w:val="1"/>
      <w:numFmt w:val="bullet"/>
      <w:lvlText w:val=""/>
      <w:lvlJc w:val="left"/>
      <w:pPr>
        <w:tabs>
          <w:tab w:val="num" w:pos="3000"/>
        </w:tabs>
        <w:ind w:left="3000" w:hanging="360"/>
      </w:pPr>
      <w:rPr>
        <w:rFonts w:ascii="Symbol" w:hAnsi="Symbol" w:cs="OpenSymbol"/>
      </w:rPr>
    </w:lvl>
    <w:lvl w:ilvl="7">
      <w:start w:val="1"/>
      <w:numFmt w:val="bullet"/>
      <w:lvlText w:val="◦"/>
      <w:lvlJc w:val="left"/>
      <w:pPr>
        <w:tabs>
          <w:tab w:val="num" w:pos="3360"/>
        </w:tabs>
        <w:ind w:left="3360" w:hanging="360"/>
      </w:pPr>
      <w:rPr>
        <w:rFonts w:ascii="OpenSymbol" w:hAnsi="OpenSymbol" w:cs="OpenSymbol"/>
      </w:rPr>
    </w:lvl>
    <w:lvl w:ilvl="8">
      <w:start w:val="1"/>
      <w:numFmt w:val="bullet"/>
      <w:lvlText w:val="▪"/>
      <w:lvlJc w:val="left"/>
      <w:pPr>
        <w:tabs>
          <w:tab w:val="num" w:pos="3720"/>
        </w:tabs>
        <w:ind w:left="372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7" w15:restartNumberingAfterBreak="0">
    <w:nsid w:val="00000008"/>
    <w:multiLevelType w:val="multilevel"/>
    <w:tmpl w:val="00000008"/>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8" w15:restartNumberingAfterBreak="0">
    <w:nsid w:val="00000009"/>
    <w:multiLevelType w:val="multilevel"/>
    <w:tmpl w:val="0000000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15:restartNumberingAfterBreak="0">
    <w:nsid w:val="0000000A"/>
    <w:multiLevelType w:val="multilevel"/>
    <w:tmpl w:val="0000000A"/>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1BE"/>
    <w:rsid w:val="00263308"/>
    <w:rsid w:val="002D53B5"/>
    <w:rsid w:val="00550F39"/>
    <w:rsid w:val="006E4ED5"/>
    <w:rsid w:val="00B211BE"/>
    <w:rsid w:val="00DA2C7D"/>
    <w:rsid w:val="00FE7F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84CA7"/>
  <w15:chartTrackingRefBased/>
  <w15:docId w15:val="{D9E4AADA-3F18-404A-9D5F-A83DA4E90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B211BE"/>
    <w:pPr>
      <w:keepNext/>
      <w:keepLines/>
      <w:numPr>
        <w:numId w:val="1"/>
      </w:numPr>
      <w:suppressAutoHyphens/>
      <w:spacing w:before="113" w:line="360" w:lineRule="auto"/>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qFormat/>
    <w:rsid w:val="00B211BE"/>
    <w:pPr>
      <w:keepNext/>
      <w:keepLines/>
      <w:numPr>
        <w:ilvl w:val="1"/>
        <w:numId w:val="1"/>
      </w:numPr>
      <w:suppressAutoHyphens/>
      <w:spacing w:before="113" w:line="360" w:lineRule="auto"/>
      <w:jc w:val="both"/>
      <w:outlineLvl w:val="1"/>
    </w:pPr>
    <w:rPr>
      <w:rFonts w:ascii="Times New Roman" w:eastAsia="Times New Roman" w:hAnsi="Times New Roman" w:cs="Times New Roman"/>
      <w:bCs/>
      <w:color w:val="000000"/>
      <w:szCs w:val="26"/>
      <w:u w:val="single"/>
      <w:lang w:eastAsia="ar-SA"/>
    </w:rPr>
  </w:style>
  <w:style w:type="paragraph" w:styleId="Heading3">
    <w:name w:val="heading 3"/>
    <w:basedOn w:val="Normal"/>
    <w:next w:val="BodyText"/>
    <w:link w:val="Heading3Char"/>
    <w:qFormat/>
    <w:rsid w:val="00B211BE"/>
    <w:pPr>
      <w:keepNext/>
      <w:numPr>
        <w:ilvl w:val="2"/>
        <w:numId w:val="1"/>
      </w:numPr>
      <w:suppressAutoHyphens/>
      <w:spacing w:before="240" w:after="120" w:line="360" w:lineRule="auto"/>
      <w:jc w:val="both"/>
      <w:outlineLvl w:val="2"/>
    </w:pPr>
    <w:rPr>
      <w:rFonts w:ascii="Arial" w:eastAsia="Droid Sans" w:hAnsi="Arial" w:cs="DejaVu Sans"/>
      <w:b/>
      <w:bCs/>
      <w:color w:val="000000"/>
      <w:sz w:val="28"/>
      <w:szCs w:val="28"/>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11BE"/>
    <w:rPr>
      <w:rFonts w:eastAsiaTheme="minorEastAsia"/>
      <w:sz w:val="22"/>
      <w:szCs w:val="22"/>
      <w:lang w:val="en-US" w:eastAsia="zh-CN"/>
    </w:rPr>
  </w:style>
  <w:style w:type="character" w:customStyle="1" w:styleId="NoSpacingChar">
    <w:name w:val="No Spacing Char"/>
    <w:basedOn w:val="DefaultParagraphFont"/>
    <w:link w:val="NoSpacing"/>
    <w:uiPriority w:val="1"/>
    <w:rsid w:val="00B211BE"/>
    <w:rPr>
      <w:rFonts w:eastAsiaTheme="minorEastAsia"/>
      <w:sz w:val="22"/>
      <w:szCs w:val="22"/>
      <w:lang w:val="en-US" w:eastAsia="zh-CN"/>
    </w:rPr>
  </w:style>
  <w:style w:type="character" w:customStyle="1" w:styleId="Heading1Char">
    <w:name w:val="Heading 1 Char"/>
    <w:basedOn w:val="DefaultParagraphFont"/>
    <w:link w:val="Heading1"/>
    <w:rsid w:val="00B211BE"/>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B211BE"/>
    <w:rPr>
      <w:rFonts w:ascii="Times New Roman" w:eastAsia="Times New Roman" w:hAnsi="Times New Roman" w:cs="Times New Roman"/>
      <w:bCs/>
      <w:color w:val="000000"/>
      <w:szCs w:val="26"/>
      <w:u w:val="single"/>
      <w:lang w:eastAsia="ar-SA"/>
    </w:rPr>
  </w:style>
  <w:style w:type="character" w:customStyle="1" w:styleId="Heading3Char">
    <w:name w:val="Heading 3 Char"/>
    <w:basedOn w:val="DefaultParagraphFont"/>
    <w:link w:val="Heading3"/>
    <w:rsid w:val="00B211BE"/>
    <w:rPr>
      <w:rFonts w:ascii="Arial" w:eastAsia="Droid Sans" w:hAnsi="Arial" w:cs="DejaVu Sans"/>
      <w:b/>
      <w:bCs/>
      <w:color w:val="000000"/>
      <w:sz w:val="28"/>
      <w:szCs w:val="28"/>
      <w:lang w:eastAsia="ar-SA"/>
    </w:rPr>
  </w:style>
  <w:style w:type="paragraph" w:styleId="BodyText">
    <w:name w:val="Body Text"/>
    <w:basedOn w:val="Normal"/>
    <w:link w:val="BodyTextChar"/>
    <w:uiPriority w:val="99"/>
    <w:semiHidden/>
    <w:unhideWhenUsed/>
    <w:rsid w:val="00B211BE"/>
    <w:pPr>
      <w:spacing w:after="120"/>
    </w:pPr>
  </w:style>
  <w:style w:type="character" w:customStyle="1" w:styleId="BodyTextChar">
    <w:name w:val="Body Text Char"/>
    <w:basedOn w:val="DefaultParagraphFont"/>
    <w:link w:val="BodyText"/>
    <w:uiPriority w:val="99"/>
    <w:semiHidden/>
    <w:rsid w:val="00B211BE"/>
  </w:style>
  <w:style w:type="character" w:styleId="Hyperlink">
    <w:name w:val="Hyperlink"/>
    <w:uiPriority w:val="99"/>
    <w:rsid w:val="00B211BE"/>
    <w:rPr>
      <w:color w:val="000080"/>
      <w:u w:val="single"/>
    </w:rPr>
  </w:style>
  <w:style w:type="paragraph" w:styleId="TOCHeading">
    <w:name w:val="TOC Heading"/>
    <w:basedOn w:val="Heading1"/>
    <w:next w:val="Normal"/>
    <w:uiPriority w:val="39"/>
    <w:qFormat/>
    <w:rsid w:val="00B211BE"/>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rsid w:val="00B211BE"/>
    <w:pPr>
      <w:spacing w:before="120"/>
    </w:pPr>
    <w:rPr>
      <w:rFonts w:cstheme="minorHAnsi"/>
      <w:b/>
      <w:bCs/>
      <w:i/>
      <w:iCs/>
    </w:rPr>
  </w:style>
  <w:style w:type="paragraph" w:styleId="TOC2">
    <w:name w:val="toc 2"/>
    <w:basedOn w:val="Normal"/>
    <w:next w:val="Normal"/>
    <w:uiPriority w:val="39"/>
    <w:rsid w:val="00B211BE"/>
    <w:pPr>
      <w:spacing w:before="120"/>
      <w:ind w:left="240"/>
    </w:pPr>
    <w:rPr>
      <w:rFonts w:cstheme="minorHAnsi"/>
      <w:b/>
      <w:bCs/>
      <w:sz w:val="22"/>
      <w:szCs w:val="22"/>
    </w:rPr>
  </w:style>
  <w:style w:type="paragraph" w:styleId="Footer">
    <w:name w:val="footer"/>
    <w:basedOn w:val="Normal"/>
    <w:link w:val="FooterChar"/>
    <w:uiPriority w:val="99"/>
    <w:unhideWhenUsed/>
    <w:rsid w:val="00B211BE"/>
    <w:pPr>
      <w:tabs>
        <w:tab w:val="center" w:pos="4513"/>
        <w:tab w:val="right" w:pos="9026"/>
      </w:tabs>
    </w:pPr>
  </w:style>
  <w:style w:type="character" w:customStyle="1" w:styleId="FooterChar">
    <w:name w:val="Footer Char"/>
    <w:basedOn w:val="DefaultParagraphFont"/>
    <w:link w:val="Footer"/>
    <w:uiPriority w:val="99"/>
    <w:rsid w:val="00B211BE"/>
  </w:style>
  <w:style w:type="character" w:styleId="PageNumber">
    <w:name w:val="page number"/>
    <w:basedOn w:val="DefaultParagraphFont"/>
    <w:uiPriority w:val="99"/>
    <w:semiHidden/>
    <w:unhideWhenUsed/>
    <w:rsid w:val="00B211BE"/>
  </w:style>
  <w:style w:type="paragraph" w:customStyle="1" w:styleId="Illustration">
    <w:name w:val="Illustration"/>
    <w:basedOn w:val="Caption"/>
    <w:rsid w:val="00B211BE"/>
    <w:pPr>
      <w:suppressLineNumbers/>
      <w:suppressAutoHyphens/>
      <w:spacing w:before="120" w:after="120" w:line="360" w:lineRule="auto"/>
      <w:jc w:val="both"/>
    </w:pPr>
    <w:rPr>
      <w:rFonts w:ascii="Times New Roman" w:eastAsia="Calibri" w:hAnsi="Times New Roman" w:cs="DejaVu Sans"/>
      <w:color w:val="000000"/>
      <w:sz w:val="24"/>
      <w:szCs w:val="24"/>
      <w:lang w:eastAsia="ar-SA"/>
    </w:rPr>
  </w:style>
  <w:style w:type="paragraph" w:styleId="Caption">
    <w:name w:val="caption"/>
    <w:basedOn w:val="Normal"/>
    <w:next w:val="Normal"/>
    <w:uiPriority w:val="35"/>
    <w:semiHidden/>
    <w:unhideWhenUsed/>
    <w:qFormat/>
    <w:rsid w:val="00B211BE"/>
    <w:pPr>
      <w:spacing w:after="200"/>
    </w:pPr>
    <w:rPr>
      <w:i/>
      <w:iCs/>
      <w:color w:val="44546A" w:themeColor="text2"/>
      <w:sz w:val="18"/>
      <w:szCs w:val="18"/>
    </w:rPr>
  </w:style>
  <w:style w:type="paragraph" w:styleId="Header">
    <w:name w:val="header"/>
    <w:basedOn w:val="Normal"/>
    <w:link w:val="HeaderChar"/>
    <w:uiPriority w:val="99"/>
    <w:unhideWhenUsed/>
    <w:rsid w:val="002D53B5"/>
    <w:pPr>
      <w:tabs>
        <w:tab w:val="center" w:pos="4513"/>
        <w:tab w:val="right" w:pos="9026"/>
      </w:tabs>
    </w:pPr>
  </w:style>
  <w:style w:type="character" w:customStyle="1" w:styleId="HeaderChar">
    <w:name w:val="Header Char"/>
    <w:basedOn w:val="DefaultParagraphFont"/>
    <w:link w:val="Header"/>
    <w:uiPriority w:val="99"/>
    <w:rsid w:val="002D53B5"/>
  </w:style>
  <w:style w:type="paragraph" w:styleId="TOC3">
    <w:name w:val="toc 3"/>
    <w:basedOn w:val="Normal"/>
    <w:next w:val="Normal"/>
    <w:autoRedefine/>
    <w:uiPriority w:val="39"/>
    <w:semiHidden/>
    <w:unhideWhenUsed/>
    <w:rsid w:val="002D53B5"/>
    <w:pPr>
      <w:ind w:left="480"/>
    </w:pPr>
    <w:rPr>
      <w:rFonts w:cstheme="minorHAnsi"/>
      <w:sz w:val="20"/>
      <w:szCs w:val="20"/>
    </w:rPr>
  </w:style>
  <w:style w:type="paragraph" w:styleId="TOC4">
    <w:name w:val="toc 4"/>
    <w:basedOn w:val="Normal"/>
    <w:next w:val="Normal"/>
    <w:autoRedefine/>
    <w:uiPriority w:val="39"/>
    <w:semiHidden/>
    <w:unhideWhenUsed/>
    <w:rsid w:val="002D53B5"/>
    <w:pPr>
      <w:ind w:left="720"/>
    </w:pPr>
    <w:rPr>
      <w:rFonts w:cstheme="minorHAnsi"/>
      <w:sz w:val="20"/>
      <w:szCs w:val="20"/>
    </w:rPr>
  </w:style>
  <w:style w:type="paragraph" w:styleId="TOC5">
    <w:name w:val="toc 5"/>
    <w:basedOn w:val="Normal"/>
    <w:next w:val="Normal"/>
    <w:autoRedefine/>
    <w:uiPriority w:val="39"/>
    <w:semiHidden/>
    <w:unhideWhenUsed/>
    <w:rsid w:val="002D53B5"/>
    <w:pPr>
      <w:ind w:left="960"/>
    </w:pPr>
    <w:rPr>
      <w:rFonts w:cstheme="minorHAnsi"/>
      <w:sz w:val="20"/>
      <w:szCs w:val="20"/>
    </w:rPr>
  </w:style>
  <w:style w:type="paragraph" w:styleId="TOC6">
    <w:name w:val="toc 6"/>
    <w:basedOn w:val="Normal"/>
    <w:next w:val="Normal"/>
    <w:autoRedefine/>
    <w:uiPriority w:val="39"/>
    <w:semiHidden/>
    <w:unhideWhenUsed/>
    <w:rsid w:val="002D53B5"/>
    <w:pPr>
      <w:ind w:left="1200"/>
    </w:pPr>
    <w:rPr>
      <w:rFonts w:cstheme="minorHAnsi"/>
      <w:sz w:val="20"/>
      <w:szCs w:val="20"/>
    </w:rPr>
  </w:style>
  <w:style w:type="paragraph" w:styleId="TOC7">
    <w:name w:val="toc 7"/>
    <w:basedOn w:val="Normal"/>
    <w:next w:val="Normal"/>
    <w:autoRedefine/>
    <w:uiPriority w:val="39"/>
    <w:semiHidden/>
    <w:unhideWhenUsed/>
    <w:rsid w:val="002D53B5"/>
    <w:pPr>
      <w:ind w:left="1440"/>
    </w:pPr>
    <w:rPr>
      <w:rFonts w:cstheme="minorHAnsi"/>
      <w:sz w:val="20"/>
      <w:szCs w:val="20"/>
    </w:rPr>
  </w:style>
  <w:style w:type="paragraph" w:styleId="TOC8">
    <w:name w:val="toc 8"/>
    <w:basedOn w:val="Normal"/>
    <w:next w:val="Normal"/>
    <w:autoRedefine/>
    <w:uiPriority w:val="39"/>
    <w:semiHidden/>
    <w:unhideWhenUsed/>
    <w:rsid w:val="002D53B5"/>
    <w:pPr>
      <w:ind w:left="1680"/>
    </w:pPr>
    <w:rPr>
      <w:rFonts w:cstheme="minorHAnsi"/>
      <w:sz w:val="20"/>
      <w:szCs w:val="20"/>
    </w:rPr>
  </w:style>
  <w:style w:type="paragraph" w:styleId="TOC9">
    <w:name w:val="toc 9"/>
    <w:basedOn w:val="Normal"/>
    <w:next w:val="Normal"/>
    <w:autoRedefine/>
    <w:uiPriority w:val="39"/>
    <w:semiHidden/>
    <w:unhideWhenUsed/>
    <w:rsid w:val="002D53B5"/>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5C70B7-8B25-8844-A4C7-441C0D904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13</Pages>
  <Words>5188</Words>
  <Characters>24648</Characters>
  <Application>Microsoft Office Word</Application>
  <DocSecurity>0</DocSecurity>
  <Lines>601</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ACUA6000</dc:title>
  <dc:subject>Data Center Technologies</dc:subject>
  <dc:creator>Bogdan Nicusor Halinga (1715162)</dc:creator>
  <cp:keywords/>
  <dc:description/>
  <cp:lastModifiedBy>Bogdan Nicusor Halinga (1715162)</cp:lastModifiedBy>
  <cp:revision>2</cp:revision>
  <dcterms:created xsi:type="dcterms:W3CDTF">2020-12-29T11:41:00Z</dcterms:created>
  <dcterms:modified xsi:type="dcterms:W3CDTF">2021-01-04T16:45:00Z</dcterms:modified>
</cp:coreProperties>
</file>