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rPr>
        <w:id w:val="1348216924"/>
        <w:docPartObj>
          <w:docPartGallery w:val="Cover Pages"/>
          <w:docPartUnique/>
        </w:docPartObj>
      </w:sdtPr>
      <w:sdtEndPr>
        <w:rPr>
          <w:color w:val="auto"/>
        </w:rPr>
      </w:sdtEndPr>
      <w:sdtContent>
        <w:p w14:paraId="07E306D0" w14:textId="77777777" w:rsidR="00FD4955" w:rsidRDefault="00FD4955" w:rsidP="00FD4955">
          <w:pPr>
            <w:jc w:val="center"/>
            <w:rPr>
              <w:rFonts w:ascii="Arial" w:hAnsi="Arial" w:cs="Arial"/>
              <w:color w:val="4472C4" w:themeColor="accent1"/>
            </w:rPr>
          </w:pPr>
        </w:p>
        <w:p w14:paraId="451EFAC9" w14:textId="77777777" w:rsidR="00FD4955" w:rsidRDefault="00FD4955" w:rsidP="00FD4955">
          <w:pPr>
            <w:jc w:val="center"/>
            <w:rPr>
              <w:rFonts w:ascii="Arial" w:hAnsi="Arial" w:cs="Arial"/>
              <w:color w:val="4472C4" w:themeColor="accent1"/>
            </w:rPr>
          </w:pPr>
        </w:p>
        <w:p w14:paraId="050DE522" w14:textId="77777777" w:rsidR="00FD4955" w:rsidRDefault="00FD4955" w:rsidP="00FD4955">
          <w:pPr>
            <w:jc w:val="center"/>
            <w:rPr>
              <w:rFonts w:ascii="Arial" w:hAnsi="Arial" w:cs="Arial"/>
              <w:color w:val="4472C4" w:themeColor="accent1"/>
            </w:rPr>
          </w:pPr>
        </w:p>
        <w:p w14:paraId="278BBC0A" w14:textId="77777777" w:rsidR="00FD4955" w:rsidRDefault="00FD4955" w:rsidP="00FD4955">
          <w:pPr>
            <w:jc w:val="center"/>
            <w:rPr>
              <w:rFonts w:ascii="Arial" w:hAnsi="Arial" w:cs="Arial"/>
              <w:color w:val="4472C4" w:themeColor="accent1"/>
            </w:rPr>
          </w:pPr>
        </w:p>
        <w:p w14:paraId="058D6F81" w14:textId="77777777" w:rsidR="00FD4955" w:rsidRDefault="00FD4955" w:rsidP="00FD4955">
          <w:pPr>
            <w:jc w:val="center"/>
            <w:rPr>
              <w:rFonts w:ascii="Arial" w:hAnsi="Arial" w:cs="Arial"/>
              <w:color w:val="4472C4" w:themeColor="accent1"/>
            </w:rPr>
          </w:pPr>
        </w:p>
        <w:p w14:paraId="4EF489E4" w14:textId="5967EE5E" w:rsidR="00FD4955" w:rsidRDefault="00FD4955" w:rsidP="00FD4955">
          <w:pPr>
            <w:jc w:val="center"/>
            <w:rPr>
              <w:rFonts w:ascii="Arial" w:hAnsi="Arial" w:cs="Arial"/>
              <w:color w:val="4472C4" w:themeColor="accent1"/>
            </w:rPr>
          </w:pPr>
        </w:p>
        <w:p w14:paraId="03306F0F" w14:textId="74213CEE" w:rsidR="00FD4955" w:rsidRDefault="00FD4955" w:rsidP="00FD4955">
          <w:pPr>
            <w:jc w:val="center"/>
            <w:rPr>
              <w:rFonts w:ascii="Arial" w:hAnsi="Arial" w:cs="Arial"/>
              <w:color w:val="4472C4" w:themeColor="accent1"/>
            </w:rPr>
          </w:pPr>
        </w:p>
        <w:p w14:paraId="3A2B764B" w14:textId="3065E128" w:rsidR="00FD4955" w:rsidRDefault="00FD4955" w:rsidP="00FD4955">
          <w:pPr>
            <w:jc w:val="center"/>
            <w:rPr>
              <w:rFonts w:ascii="Arial" w:hAnsi="Arial" w:cs="Arial"/>
              <w:color w:val="4472C4" w:themeColor="accent1"/>
            </w:rPr>
          </w:pPr>
        </w:p>
        <w:p w14:paraId="4F7B8110" w14:textId="5013323B" w:rsidR="00FD4955" w:rsidRDefault="00FD4955" w:rsidP="00FD4955">
          <w:pPr>
            <w:jc w:val="center"/>
            <w:rPr>
              <w:rFonts w:ascii="Arial" w:hAnsi="Arial" w:cs="Arial"/>
              <w:color w:val="4472C4" w:themeColor="accent1"/>
            </w:rPr>
          </w:pPr>
        </w:p>
        <w:p w14:paraId="0B7ADF19" w14:textId="77777777" w:rsidR="00FD4955" w:rsidRDefault="00FD4955" w:rsidP="00FD4955">
          <w:pPr>
            <w:jc w:val="center"/>
            <w:rPr>
              <w:rFonts w:ascii="Arial" w:hAnsi="Arial" w:cs="Arial"/>
              <w:color w:val="4472C4" w:themeColor="accent1"/>
            </w:rPr>
          </w:pPr>
        </w:p>
        <w:p w14:paraId="0A413E52" w14:textId="1DFB5B91" w:rsidR="00FD4955" w:rsidRDefault="00FD4955" w:rsidP="00FD4955">
          <w:pPr>
            <w:jc w:val="center"/>
            <w:rPr>
              <w:rFonts w:ascii="Arial" w:hAnsi="Arial" w:cs="Arial"/>
              <w:sz w:val="24"/>
              <w:szCs w:val="24"/>
            </w:rPr>
          </w:pPr>
          <w:r>
            <w:rPr>
              <w:rFonts w:ascii="Arial" w:hAnsi="Arial" w:cs="Arial"/>
              <w:sz w:val="24"/>
              <w:szCs w:val="24"/>
            </w:rPr>
            <w:t>Module: Personnel Resourcing &amp; Development BMIH5005</w:t>
          </w:r>
        </w:p>
        <w:p w14:paraId="011AF0DB" w14:textId="77777777" w:rsidR="00FD4955" w:rsidRDefault="00FD4955" w:rsidP="00FD4955">
          <w:pPr>
            <w:jc w:val="center"/>
            <w:rPr>
              <w:rFonts w:ascii="Arial" w:hAnsi="Arial" w:cs="Arial"/>
              <w:sz w:val="24"/>
              <w:szCs w:val="24"/>
            </w:rPr>
          </w:pPr>
          <w:r>
            <w:rPr>
              <w:rFonts w:ascii="Arial" w:hAnsi="Arial" w:cs="Arial"/>
              <w:sz w:val="24"/>
              <w:szCs w:val="24"/>
            </w:rPr>
            <w:t>Research Project Proposal</w:t>
          </w:r>
        </w:p>
        <w:p w14:paraId="0196AE72" w14:textId="5B10E839" w:rsidR="00FD4955" w:rsidRDefault="00FD4955" w:rsidP="00FD4955">
          <w:pPr>
            <w:jc w:val="center"/>
            <w:rPr>
              <w:rFonts w:ascii="Arial" w:hAnsi="Arial" w:cs="Arial"/>
              <w:sz w:val="24"/>
              <w:szCs w:val="24"/>
            </w:rPr>
          </w:pPr>
          <w:r>
            <w:rPr>
              <w:rFonts w:ascii="Arial" w:hAnsi="Arial" w:cs="Arial"/>
              <w:sz w:val="24"/>
              <w:szCs w:val="24"/>
            </w:rPr>
            <w:t xml:space="preserve">Student Name: </w:t>
          </w:r>
          <w:r>
            <w:rPr>
              <w:rFonts w:ascii="Arial" w:hAnsi="Arial" w:cs="Arial"/>
              <w:sz w:val="24"/>
              <w:szCs w:val="24"/>
            </w:rPr>
            <w:t xml:space="preserve">Alina Nicoleta </w:t>
          </w:r>
          <w:proofErr w:type="spellStart"/>
          <w:r>
            <w:rPr>
              <w:rFonts w:ascii="Arial" w:hAnsi="Arial" w:cs="Arial"/>
              <w:sz w:val="24"/>
              <w:szCs w:val="24"/>
            </w:rPr>
            <w:t>Cazan</w:t>
          </w:r>
          <w:proofErr w:type="spellEnd"/>
        </w:p>
        <w:p w14:paraId="0CAEF754" w14:textId="3538A6E8" w:rsidR="00FD4955" w:rsidRDefault="00FD4955" w:rsidP="00FD4955">
          <w:pPr>
            <w:jc w:val="center"/>
            <w:rPr>
              <w:rFonts w:ascii="Arial" w:hAnsi="Arial" w:cs="Arial"/>
              <w:b/>
              <w:sz w:val="24"/>
              <w:szCs w:val="24"/>
            </w:rPr>
          </w:pPr>
          <w:r>
            <w:rPr>
              <w:rFonts w:ascii="Arial" w:hAnsi="Arial" w:cs="Arial"/>
              <w:sz w:val="24"/>
              <w:szCs w:val="24"/>
            </w:rPr>
            <w:t>Student ID:</w:t>
          </w:r>
          <w:r>
            <w:rPr>
              <w:rFonts w:ascii="Arial" w:hAnsi="Arial" w:cs="Arial"/>
              <w:b/>
              <w:sz w:val="24"/>
              <w:szCs w:val="24"/>
            </w:rPr>
            <w:t xml:space="preserve"> </w:t>
          </w:r>
          <w:r>
            <w:rPr>
              <w:rFonts w:ascii="Arial" w:hAnsi="Arial" w:cs="Arial"/>
              <w:bCs/>
              <w:sz w:val="24"/>
              <w:szCs w:val="24"/>
            </w:rPr>
            <w:t>202652</w:t>
          </w:r>
          <w:r>
            <w:rPr>
              <w:rFonts w:ascii="Arial" w:hAnsi="Arial" w:cs="Arial"/>
              <w:bCs/>
              <w:sz w:val="24"/>
              <w:szCs w:val="24"/>
            </w:rPr>
            <w:t>3</w:t>
          </w:r>
        </w:p>
        <w:p w14:paraId="2F52FB10" w14:textId="77777777" w:rsidR="00FD4955" w:rsidRDefault="00FD4955" w:rsidP="00FD4955">
          <w:pPr>
            <w:jc w:val="center"/>
            <w:rPr>
              <w:rFonts w:ascii="Arial" w:hAnsi="Arial" w:cs="Arial"/>
              <w:sz w:val="24"/>
              <w:szCs w:val="24"/>
            </w:rPr>
          </w:pPr>
          <w:r>
            <w:rPr>
              <w:rFonts w:ascii="Arial" w:hAnsi="Arial" w:cs="Arial"/>
              <w:sz w:val="24"/>
              <w:szCs w:val="24"/>
              <w:lang w:val="en-NZ"/>
            </w:rPr>
            <w:t>Lecturer: Kathryn Roberts</w:t>
          </w:r>
        </w:p>
        <w:p w14:paraId="59479D65" w14:textId="1D766017" w:rsidR="002A3A96" w:rsidRPr="00F558A7" w:rsidRDefault="002A3A96" w:rsidP="00CF2F07">
          <w:pPr>
            <w:pStyle w:val="NoSpacing"/>
            <w:spacing w:before="1540" w:after="240" w:line="360" w:lineRule="auto"/>
            <w:jc w:val="center"/>
            <w:rPr>
              <w:rFonts w:ascii="Arial" w:hAnsi="Arial" w:cs="Arial"/>
              <w:color w:val="4472C4" w:themeColor="accent1"/>
            </w:rPr>
          </w:pPr>
        </w:p>
        <w:p w14:paraId="7515A05A" w14:textId="750055B1" w:rsidR="002A3A96" w:rsidRPr="00F558A7" w:rsidRDefault="002A3A96" w:rsidP="00CF2F07">
          <w:pPr>
            <w:pStyle w:val="NoSpacing"/>
            <w:spacing w:before="480" w:line="360" w:lineRule="auto"/>
            <w:jc w:val="center"/>
            <w:rPr>
              <w:rFonts w:ascii="Arial" w:hAnsi="Arial" w:cs="Arial"/>
              <w:color w:val="4472C4" w:themeColor="accent1"/>
            </w:rPr>
          </w:pPr>
        </w:p>
        <w:p w14:paraId="0AC15B4B" w14:textId="39C2ECCA" w:rsidR="002A3A96" w:rsidRPr="00F558A7" w:rsidRDefault="002A3A96" w:rsidP="00CF2F07">
          <w:pPr>
            <w:spacing w:line="360" w:lineRule="auto"/>
            <w:jc w:val="both"/>
            <w:rPr>
              <w:rFonts w:ascii="Arial" w:hAnsi="Arial" w:cs="Arial"/>
            </w:rPr>
          </w:pPr>
          <w:r w:rsidRPr="00F558A7">
            <w:rPr>
              <w:rFonts w:ascii="Arial" w:hAnsi="Arial" w:cs="Arial"/>
            </w:rPr>
            <w:br w:type="page"/>
          </w:r>
        </w:p>
      </w:sdtContent>
    </w:sdt>
    <w:sdt>
      <w:sdtPr>
        <w:rPr>
          <w:rFonts w:asciiTheme="minorHAnsi" w:eastAsiaTheme="minorHAnsi" w:hAnsiTheme="minorHAnsi" w:cstheme="minorBidi"/>
          <w:color w:val="auto"/>
          <w:sz w:val="22"/>
          <w:szCs w:val="22"/>
          <w:lang w:val="en-IN"/>
        </w:rPr>
        <w:id w:val="1307280768"/>
        <w:docPartObj>
          <w:docPartGallery w:val="Table of Contents"/>
          <w:docPartUnique/>
        </w:docPartObj>
      </w:sdtPr>
      <w:sdtEndPr>
        <w:rPr>
          <w:b/>
          <w:bCs/>
          <w:noProof/>
        </w:rPr>
      </w:sdtEndPr>
      <w:sdtContent>
        <w:p w14:paraId="55C3270A" w14:textId="07641E95" w:rsidR="00D66515" w:rsidRPr="00D66515" w:rsidRDefault="00D66515" w:rsidP="00CF2F07">
          <w:pPr>
            <w:pStyle w:val="TOCHeading"/>
            <w:spacing w:line="360" w:lineRule="auto"/>
            <w:rPr>
              <w:rFonts w:ascii="Arial" w:hAnsi="Arial" w:cs="Arial"/>
              <w:b/>
              <w:bCs/>
              <w:color w:val="auto"/>
              <w:sz w:val="28"/>
              <w:szCs w:val="28"/>
            </w:rPr>
          </w:pPr>
          <w:r w:rsidRPr="00D66515">
            <w:rPr>
              <w:rFonts w:ascii="Arial" w:hAnsi="Arial" w:cs="Arial"/>
              <w:b/>
              <w:bCs/>
              <w:color w:val="auto"/>
              <w:sz w:val="28"/>
              <w:szCs w:val="28"/>
            </w:rPr>
            <w:t>Contents</w:t>
          </w:r>
        </w:p>
        <w:p w14:paraId="4B2671D8" w14:textId="7975AC53" w:rsidR="00D66515" w:rsidRPr="00D66515" w:rsidRDefault="00D66515" w:rsidP="00CF2F07">
          <w:pPr>
            <w:pStyle w:val="TOC1"/>
            <w:tabs>
              <w:tab w:val="left" w:pos="440"/>
              <w:tab w:val="right" w:leader="dot" w:pos="9016"/>
            </w:tabs>
            <w:spacing w:line="360" w:lineRule="auto"/>
            <w:rPr>
              <w:noProof/>
            </w:rPr>
          </w:pPr>
          <w:r w:rsidRPr="00D66515">
            <w:fldChar w:fldCharType="begin"/>
          </w:r>
          <w:r w:rsidRPr="00D66515">
            <w:instrText xml:space="preserve"> TOC \o "1-3" \h \z \u </w:instrText>
          </w:r>
          <w:r w:rsidRPr="00D66515">
            <w:fldChar w:fldCharType="separate"/>
          </w:r>
          <w:hyperlink w:anchor="_Toc107230836" w:history="1">
            <w:r w:rsidRPr="00D66515">
              <w:rPr>
                <w:rStyle w:val="Hyperlink"/>
                <w:rFonts w:ascii="Arial" w:hAnsi="Arial" w:cs="Arial"/>
                <w:noProof/>
              </w:rPr>
              <w:t>1.</w:t>
            </w:r>
            <w:r w:rsidRPr="00D66515">
              <w:rPr>
                <w:noProof/>
              </w:rPr>
              <w:tab/>
            </w:r>
            <w:r w:rsidRPr="00D66515">
              <w:rPr>
                <w:rStyle w:val="Hyperlink"/>
                <w:rFonts w:ascii="Arial" w:hAnsi="Arial" w:cs="Arial"/>
                <w:noProof/>
              </w:rPr>
              <w:t>Introduction and Background of the Hyatt</w:t>
            </w:r>
            <w:r w:rsidRPr="00D66515">
              <w:rPr>
                <w:noProof/>
                <w:webHidden/>
              </w:rPr>
              <w:tab/>
            </w:r>
            <w:r w:rsidRPr="00D66515">
              <w:rPr>
                <w:noProof/>
                <w:webHidden/>
              </w:rPr>
              <w:fldChar w:fldCharType="begin"/>
            </w:r>
            <w:r w:rsidRPr="00D66515">
              <w:rPr>
                <w:noProof/>
                <w:webHidden/>
              </w:rPr>
              <w:instrText xml:space="preserve"> PAGEREF _Toc107230836 \h </w:instrText>
            </w:r>
            <w:r w:rsidRPr="00D66515">
              <w:rPr>
                <w:noProof/>
                <w:webHidden/>
              </w:rPr>
            </w:r>
            <w:r w:rsidRPr="00D66515">
              <w:rPr>
                <w:noProof/>
                <w:webHidden/>
              </w:rPr>
              <w:fldChar w:fldCharType="separate"/>
            </w:r>
            <w:r w:rsidRPr="00D66515">
              <w:rPr>
                <w:noProof/>
                <w:webHidden/>
              </w:rPr>
              <w:t>2</w:t>
            </w:r>
            <w:r w:rsidRPr="00D66515">
              <w:rPr>
                <w:noProof/>
                <w:webHidden/>
              </w:rPr>
              <w:fldChar w:fldCharType="end"/>
            </w:r>
          </w:hyperlink>
        </w:p>
        <w:p w14:paraId="1CEA55F2" w14:textId="6C93AF16" w:rsidR="00D66515" w:rsidRPr="00D66515" w:rsidRDefault="00371C62" w:rsidP="00CF2F07">
          <w:pPr>
            <w:pStyle w:val="TOC1"/>
            <w:tabs>
              <w:tab w:val="left" w:pos="440"/>
              <w:tab w:val="right" w:leader="dot" w:pos="9016"/>
            </w:tabs>
            <w:spacing w:line="360" w:lineRule="auto"/>
            <w:rPr>
              <w:noProof/>
            </w:rPr>
          </w:pPr>
          <w:hyperlink w:anchor="_Toc107230837" w:history="1">
            <w:r w:rsidR="00D66515" w:rsidRPr="00D66515">
              <w:rPr>
                <w:rStyle w:val="Hyperlink"/>
                <w:rFonts w:ascii="Arial" w:hAnsi="Arial" w:cs="Arial"/>
                <w:noProof/>
              </w:rPr>
              <w:t>2.</w:t>
            </w:r>
            <w:r w:rsidR="00D66515" w:rsidRPr="00D66515">
              <w:rPr>
                <w:noProof/>
              </w:rPr>
              <w:tab/>
            </w:r>
            <w:r w:rsidR="00D66515" w:rsidRPr="00D66515">
              <w:rPr>
                <w:rStyle w:val="Hyperlink"/>
                <w:rFonts w:ascii="Arial" w:hAnsi="Arial" w:cs="Arial"/>
                <w:noProof/>
              </w:rPr>
              <w:t>Discussion or Literature Review</w:t>
            </w:r>
            <w:r w:rsidR="00D66515" w:rsidRPr="00D66515">
              <w:rPr>
                <w:noProof/>
                <w:webHidden/>
              </w:rPr>
              <w:tab/>
            </w:r>
            <w:r w:rsidR="00D66515" w:rsidRPr="00D66515">
              <w:rPr>
                <w:noProof/>
                <w:webHidden/>
              </w:rPr>
              <w:fldChar w:fldCharType="begin"/>
            </w:r>
            <w:r w:rsidR="00D66515" w:rsidRPr="00D66515">
              <w:rPr>
                <w:noProof/>
                <w:webHidden/>
              </w:rPr>
              <w:instrText xml:space="preserve"> PAGEREF _Toc107230837 \h </w:instrText>
            </w:r>
            <w:r w:rsidR="00D66515" w:rsidRPr="00D66515">
              <w:rPr>
                <w:noProof/>
                <w:webHidden/>
              </w:rPr>
            </w:r>
            <w:r w:rsidR="00D66515" w:rsidRPr="00D66515">
              <w:rPr>
                <w:noProof/>
                <w:webHidden/>
              </w:rPr>
              <w:fldChar w:fldCharType="separate"/>
            </w:r>
            <w:r w:rsidR="00D66515" w:rsidRPr="00D66515">
              <w:rPr>
                <w:noProof/>
                <w:webHidden/>
              </w:rPr>
              <w:t>3</w:t>
            </w:r>
            <w:r w:rsidR="00D66515" w:rsidRPr="00D66515">
              <w:rPr>
                <w:noProof/>
                <w:webHidden/>
              </w:rPr>
              <w:fldChar w:fldCharType="end"/>
            </w:r>
          </w:hyperlink>
        </w:p>
        <w:p w14:paraId="64EFDCA9" w14:textId="2B9F8ABD" w:rsidR="00D66515" w:rsidRPr="00D66515" w:rsidRDefault="00371C62" w:rsidP="00CF2F07">
          <w:pPr>
            <w:pStyle w:val="TOC1"/>
            <w:tabs>
              <w:tab w:val="left" w:pos="440"/>
              <w:tab w:val="right" w:leader="dot" w:pos="9016"/>
            </w:tabs>
            <w:spacing w:line="360" w:lineRule="auto"/>
            <w:rPr>
              <w:noProof/>
            </w:rPr>
          </w:pPr>
          <w:hyperlink w:anchor="_Toc107230838" w:history="1">
            <w:r w:rsidR="00D66515" w:rsidRPr="00D66515">
              <w:rPr>
                <w:rStyle w:val="Hyperlink"/>
                <w:rFonts w:ascii="Arial" w:hAnsi="Arial" w:cs="Arial"/>
                <w:noProof/>
              </w:rPr>
              <w:t>3.</w:t>
            </w:r>
            <w:r w:rsidR="00D66515" w:rsidRPr="00D66515">
              <w:rPr>
                <w:noProof/>
              </w:rPr>
              <w:tab/>
            </w:r>
            <w:r w:rsidR="00D66515" w:rsidRPr="00D66515">
              <w:rPr>
                <w:rStyle w:val="Hyperlink"/>
                <w:rFonts w:ascii="Arial" w:hAnsi="Arial" w:cs="Arial"/>
                <w:noProof/>
              </w:rPr>
              <w:t>Research Methodology</w:t>
            </w:r>
            <w:r w:rsidR="00D66515" w:rsidRPr="00D66515">
              <w:rPr>
                <w:noProof/>
                <w:webHidden/>
              </w:rPr>
              <w:tab/>
            </w:r>
            <w:r w:rsidR="00D66515" w:rsidRPr="00D66515">
              <w:rPr>
                <w:noProof/>
                <w:webHidden/>
              </w:rPr>
              <w:fldChar w:fldCharType="begin"/>
            </w:r>
            <w:r w:rsidR="00D66515" w:rsidRPr="00D66515">
              <w:rPr>
                <w:noProof/>
                <w:webHidden/>
              </w:rPr>
              <w:instrText xml:space="preserve"> PAGEREF _Toc107230838 \h </w:instrText>
            </w:r>
            <w:r w:rsidR="00D66515" w:rsidRPr="00D66515">
              <w:rPr>
                <w:noProof/>
                <w:webHidden/>
              </w:rPr>
            </w:r>
            <w:r w:rsidR="00D66515" w:rsidRPr="00D66515">
              <w:rPr>
                <w:noProof/>
                <w:webHidden/>
              </w:rPr>
              <w:fldChar w:fldCharType="separate"/>
            </w:r>
            <w:r w:rsidR="00D66515" w:rsidRPr="00D66515">
              <w:rPr>
                <w:noProof/>
                <w:webHidden/>
              </w:rPr>
              <w:t>5</w:t>
            </w:r>
            <w:r w:rsidR="00D66515" w:rsidRPr="00D66515">
              <w:rPr>
                <w:noProof/>
                <w:webHidden/>
              </w:rPr>
              <w:fldChar w:fldCharType="end"/>
            </w:r>
          </w:hyperlink>
        </w:p>
        <w:p w14:paraId="60F11EA0" w14:textId="2FB8F567" w:rsidR="00D66515" w:rsidRPr="00D66515" w:rsidRDefault="00371C62" w:rsidP="00CF2F07">
          <w:pPr>
            <w:pStyle w:val="TOC2"/>
            <w:tabs>
              <w:tab w:val="right" w:leader="dot" w:pos="9016"/>
            </w:tabs>
            <w:spacing w:line="360" w:lineRule="auto"/>
            <w:rPr>
              <w:noProof/>
            </w:rPr>
          </w:pPr>
          <w:hyperlink w:anchor="_Toc107230839" w:history="1">
            <w:r w:rsidR="00D66515" w:rsidRPr="00D66515">
              <w:rPr>
                <w:rStyle w:val="Hyperlink"/>
                <w:rFonts w:ascii="Arial" w:hAnsi="Arial" w:cs="Arial"/>
                <w:noProof/>
              </w:rPr>
              <w:t>(a) Research Philosophy</w:t>
            </w:r>
            <w:r w:rsidR="00D66515" w:rsidRPr="00D66515">
              <w:rPr>
                <w:noProof/>
                <w:webHidden/>
              </w:rPr>
              <w:tab/>
            </w:r>
            <w:r w:rsidR="00D66515" w:rsidRPr="00D66515">
              <w:rPr>
                <w:noProof/>
                <w:webHidden/>
              </w:rPr>
              <w:fldChar w:fldCharType="begin"/>
            </w:r>
            <w:r w:rsidR="00D66515" w:rsidRPr="00D66515">
              <w:rPr>
                <w:noProof/>
                <w:webHidden/>
              </w:rPr>
              <w:instrText xml:space="preserve"> PAGEREF _Toc107230839 \h </w:instrText>
            </w:r>
            <w:r w:rsidR="00D66515" w:rsidRPr="00D66515">
              <w:rPr>
                <w:noProof/>
                <w:webHidden/>
              </w:rPr>
            </w:r>
            <w:r w:rsidR="00D66515" w:rsidRPr="00D66515">
              <w:rPr>
                <w:noProof/>
                <w:webHidden/>
              </w:rPr>
              <w:fldChar w:fldCharType="separate"/>
            </w:r>
            <w:r w:rsidR="00D66515" w:rsidRPr="00D66515">
              <w:rPr>
                <w:noProof/>
                <w:webHidden/>
              </w:rPr>
              <w:t>5</w:t>
            </w:r>
            <w:r w:rsidR="00D66515" w:rsidRPr="00D66515">
              <w:rPr>
                <w:noProof/>
                <w:webHidden/>
              </w:rPr>
              <w:fldChar w:fldCharType="end"/>
            </w:r>
          </w:hyperlink>
        </w:p>
        <w:p w14:paraId="1D30DB29" w14:textId="1F6C26DE" w:rsidR="00D66515" w:rsidRPr="00D66515" w:rsidRDefault="00371C62" w:rsidP="00CF2F07">
          <w:pPr>
            <w:pStyle w:val="TOC2"/>
            <w:tabs>
              <w:tab w:val="right" w:leader="dot" w:pos="9016"/>
            </w:tabs>
            <w:spacing w:line="360" w:lineRule="auto"/>
            <w:rPr>
              <w:noProof/>
            </w:rPr>
          </w:pPr>
          <w:hyperlink w:anchor="_Toc107230840" w:history="1">
            <w:r w:rsidR="00D66515" w:rsidRPr="00D66515">
              <w:rPr>
                <w:rStyle w:val="Hyperlink"/>
                <w:rFonts w:ascii="Arial" w:hAnsi="Arial" w:cs="Arial"/>
                <w:noProof/>
              </w:rPr>
              <w:t>(b) Data Collection</w:t>
            </w:r>
            <w:r w:rsidR="00D66515" w:rsidRPr="00D66515">
              <w:rPr>
                <w:noProof/>
                <w:webHidden/>
              </w:rPr>
              <w:tab/>
            </w:r>
            <w:r w:rsidR="00D66515" w:rsidRPr="00D66515">
              <w:rPr>
                <w:noProof/>
                <w:webHidden/>
              </w:rPr>
              <w:fldChar w:fldCharType="begin"/>
            </w:r>
            <w:r w:rsidR="00D66515" w:rsidRPr="00D66515">
              <w:rPr>
                <w:noProof/>
                <w:webHidden/>
              </w:rPr>
              <w:instrText xml:space="preserve"> PAGEREF _Toc107230840 \h </w:instrText>
            </w:r>
            <w:r w:rsidR="00D66515" w:rsidRPr="00D66515">
              <w:rPr>
                <w:noProof/>
                <w:webHidden/>
              </w:rPr>
            </w:r>
            <w:r w:rsidR="00D66515" w:rsidRPr="00D66515">
              <w:rPr>
                <w:noProof/>
                <w:webHidden/>
              </w:rPr>
              <w:fldChar w:fldCharType="separate"/>
            </w:r>
            <w:r w:rsidR="00D66515" w:rsidRPr="00D66515">
              <w:rPr>
                <w:noProof/>
                <w:webHidden/>
              </w:rPr>
              <w:t>6</w:t>
            </w:r>
            <w:r w:rsidR="00D66515" w:rsidRPr="00D66515">
              <w:rPr>
                <w:noProof/>
                <w:webHidden/>
              </w:rPr>
              <w:fldChar w:fldCharType="end"/>
            </w:r>
          </w:hyperlink>
        </w:p>
        <w:p w14:paraId="7654711C" w14:textId="76F44190" w:rsidR="00D66515" w:rsidRPr="00D66515" w:rsidRDefault="00371C62" w:rsidP="00CF2F07">
          <w:pPr>
            <w:pStyle w:val="TOC2"/>
            <w:tabs>
              <w:tab w:val="right" w:leader="dot" w:pos="9016"/>
            </w:tabs>
            <w:spacing w:line="360" w:lineRule="auto"/>
            <w:rPr>
              <w:noProof/>
            </w:rPr>
          </w:pPr>
          <w:hyperlink w:anchor="_Toc107230841" w:history="1">
            <w:r w:rsidR="00D66515" w:rsidRPr="00D66515">
              <w:rPr>
                <w:rStyle w:val="Hyperlink"/>
                <w:rFonts w:ascii="Arial" w:hAnsi="Arial" w:cs="Arial"/>
                <w:noProof/>
              </w:rPr>
              <w:t>(c) Data Analysis Method</w:t>
            </w:r>
            <w:r w:rsidR="00D66515" w:rsidRPr="00D66515">
              <w:rPr>
                <w:noProof/>
                <w:webHidden/>
              </w:rPr>
              <w:tab/>
            </w:r>
            <w:r w:rsidR="00D66515" w:rsidRPr="00D66515">
              <w:rPr>
                <w:noProof/>
                <w:webHidden/>
              </w:rPr>
              <w:fldChar w:fldCharType="begin"/>
            </w:r>
            <w:r w:rsidR="00D66515" w:rsidRPr="00D66515">
              <w:rPr>
                <w:noProof/>
                <w:webHidden/>
              </w:rPr>
              <w:instrText xml:space="preserve"> PAGEREF _Toc107230841 \h </w:instrText>
            </w:r>
            <w:r w:rsidR="00D66515" w:rsidRPr="00D66515">
              <w:rPr>
                <w:noProof/>
                <w:webHidden/>
              </w:rPr>
            </w:r>
            <w:r w:rsidR="00D66515" w:rsidRPr="00D66515">
              <w:rPr>
                <w:noProof/>
                <w:webHidden/>
              </w:rPr>
              <w:fldChar w:fldCharType="separate"/>
            </w:r>
            <w:r w:rsidR="00D66515" w:rsidRPr="00D66515">
              <w:rPr>
                <w:noProof/>
                <w:webHidden/>
              </w:rPr>
              <w:t>6</w:t>
            </w:r>
            <w:r w:rsidR="00D66515" w:rsidRPr="00D66515">
              <w:rPr>
                <w:noProof/>
                <w:webHidden/>
              </w:rPr>
              <w:fldChar w:fldCharType="end"/>
            </w:r>
          </w:hyperlink>
        </w:p>
        <w:p w14:paraId="20842860" w14:textId="6D1E0588" w:rsidR="00D66515" w:rsidRPr="00D66515" w:rsidRDefault="00371C62" w:rsidP="00CF2F07">
          <w:pPr>
            <w:pStyle w:val="TOC2"/>
            <w:tabs>
              <w:tab w:val="right" w:leader="dot" w:pos="9016"/>
            </w:tabs>
            <w:spacing w:line="360" w:lineRule="auto"/>
            <w:rPr>
              <w:noProof/>
            </w:rPr>
          </w:pPr>
          <w:hyperlink w:anchor="_Toc107230842" w:history="1">
            <w:r w:rsidR="00D66515" w:rsidRPr="00D66515">
              <w:rPr>
                <w:rStyle w:val="Hyperlink"/>
                <w:rFonts w:ascii="Arial" w:hAnsi="Arial" w:cs="Arial"/>
                <w:noProof/>
              </w:rPr>
              <w:t>(e) Sampling Method</w:t>
            </w:r>
            <w:r w:rsidR="00D66515" w:rsidRPr="00D66515">
              <w:rPr>
                <w:noProof/>
                <w:webHidden/>
              </w:rPr>
              <w:tab/>
            </w:r>
            <w:r w:rsidR="00D66515" w:rsidRPr="00D66515">
              <w:rPr>
                <w:noProof/>
                <w:webHidden/>
              </w:rPr>
              <w:fldChar w:fldCharType="begin"/>
            </w:r>
            <w:r w:rsidR="00D66515" w:rsidRPr="00D66515">
              <w:rPr>
                <w:noProof/>
                <w:webHidden/>
              </w:rPr>
              <w:instrText xml:space="preserve"> PAGEREF _Toc107230842 \h </w:instrText>
            </w:r>
            <w:r w:rsidR="00D66515" w:rsidRPr="00D66515">
              <w:rPr>
                <w:noProof/>
                <w:webHidden/>
              </w:rPr>
            </w:r>
            <w:r w:rsidR="00D66515" w:rsidRPr="00D66515">
              <w:rPr>
                <w:noProof/>
                <w:webHidden/>
              </w:rPr>
              <w:fldChar w:fldCharType="separate"/>
            </w:r>
            <w:r w:rsidR="00D66515" w:rsidRPr="00D66515">
              <w:rPr>
                <w:noProof/>
                <w:webHidden/>
              </w:rPr>
              <w:t>6</w:t>
            </w:r>
            <w:r w:rsidR="00D66515" w:rsidRPr="00D66515">
              <w:rPr>
                <w:noProof/>
                <w:webHidden/>
              </w:rPr>
              <w:fldChar w:fldCharType="end"/>
            </w:r>
          </w:hyperlink>
        </w:p>
        <w:p w14:paraId="090D9F41" w14:textId="46A717D5" w:rsidR="00D66515" w:rsidRPr="00D66515" w:rsidRDefault="00371C62" w:rsidP="00CF2F07">
          <w:pPr>
            <w:pStyle w:val="TOC1"/>
            <w:tabs>
              <w:tab w:val="left" w:pos="440"/>
              <w:tab w:val="right" w:leader="dot" w:pos="9016"/>
            </w:tabs>
            <w:spacing w:line="360" w:lineRule="auto"/>
            <w:rPr>
              <w:noProof/>
            </w:rPr>
          </w:pPr>
          <w:hyperlink w:anchor="_Toc107230843" w:history="1">
            <w:r w:rsidR="00D66515" w:rsidRPr="00D66515">
              <w:rPr>
                <w:rStyle w:val="Hyperlink"/>
                <w:rFonts w:ascii="Arial" w:hAnsi="Arial" w:cs="Arial"/>
                <w:noProof/>
              </w:rPr>
              <w:t>4.</w:t>
            </w:r>
            <w:r w:rsidR="00D66515" w:rsidRPr="00D66515">
              <w:rPr>
                <w:noProof/>
              </w:rPr>
              <w:tab/>
            </w:r>
            <w:r w:rsidR="00D66515" w:rsidRPr="00D66515">
              <w:rPr>
                <w:rStyle w:val="Hyperlink"/>
                <w:rFonts w:ascii="Arial" w:hAnsi="Arial" w:cs="Arial"/>
                <w:noProof/>
              </w:rPr>
              <w:t>Evaluation and Conclusion</w:t>
            </w:r>
            <w:r w:rsidR="00D66515" w:rsidRPr="00D66515">
              <w:rPr>
                <w:noProof/>
                <w:webHidden/>
              </w:rPr>
              <w:tab/>
            </w:r>
            <w:r w:rsidR="00D66515" w:rsidRPr="00D66515">
              <w:rPr>
                <w:noProof/>
                <w:webHidden/>
              </w:rPr>
              <w:fldChar w:fldCharType="begin"/>
            </w:r>
            <w:r w:rsidR="00D66515" w:rsidRPr="00D66515">
              <w:rPr>
                <w:noProof/>
                <w:webHidden/>
              </w:rPr>
              <w:instrText xml:space="preserve"> PAGEREF _Toc107230843 \h </w:instrText>
            </w:r>
            <w:r w:rsidR="00D66515" w:rsidRPr="00D66515">
              <w:rPr>
                <w:noProof/>
                <w:webHidden/>
              </w:rPr>
            </w:r>
            <w:r w:rsidR="00D66515" w:rsidRPr="00D66515">
              <w:rPr>
                <w:noProof/>
                <w:webHidden/>
              </w:rPr>
              <w:fldChar w:fldCharType="separate"/>
            </w:r>
            <w:r w:rsidR="00D66515" w:rsidRPr="00D66515">
              <w:rPr>
                <w:noProof/>
                <w:webHidden/>
              </w:rPr>
              <w:t>7</w:t>
            </w:r>
            <w:r w:rsidR="00D66515" w:rsidRPr="00D66515">
              <w:rPr>
                <w:noProof/>
                <w:webHidden/>
              </w:rPr>
              <w:fldChar w:fldCharType="end"/>
            </w:r>
          </w:hyperlink>
        </w:p>
        <w:p w14:paraId="6AA332D0" w14:textId="0C3CB242" w:rsidR="00D66515" w:rsidRPr="00D66515" w:rsidRDefault="00371C62" w:rsidP="00CF2F07">
          <w:pPr>
            <w:pStyle w:val="TOC1"/>
            <w:tabs>
              <w:tab w:val="right" w:leader="dot" w:pos="9016"/>
            </w:tabs>
            <w:spacing w:line="360" w:lineRule="auto"/>
            <w:rPr>
              <w:noProof/>
            </w:rPr>
          </w:pPr>
          <w:hyperlink w:anchor="_Toc107230844" w:history="1">
            <w:r w:rsidR="00D66515" w:rsidRPr="00D66515">
              <w:rPr>
                <w:rStyle w:val="Hyperlink"/>
                <w:rFonts w:ascii="Arial" w:hAnsi="Arial" w:cs="Arial"/>
                <w:noProof/>
              </w:rPr>
              <w:t>References</w:t>
            </w:r>
            <w:r w:rsidR="00D66515" w:rsidRPr="00D66515">
              <w:rPr>
                <w:noProof/>
                <w:webHidden/>
              </w:rPr>
              <w:tab/>
            </w:r>
            <w:r w:rsidR="00D66515" w:rsidRPr="00D66515">
              <w:rPr>
                <w:noProof/>
                <w:webHidden/>
              </w:rPr>
              <w:fldChar w:fldCharType="begin"/>
            </w:r>
            <w:r w:rsidR="00D66515" w:rsidRPr="00D66515">
              <w:rPr>
                <w:noProof/>
                <w:webHidden/>
              </w:rPr>
              <w:instrText xml:space="preserve"> PAGEREF _Toc107230844 \h </w:instrText>
            </w:r>
            <w:r w:rsidR="00D66515" w:rsidRPr="00D66515">
              <w:rPr>
                <w:noProof/>
                <w:webHidden/>
              </w:rPr>
            </w:r>
            <w:r w:rsidR="00D66515" w:rsidRPr="00D66515">
              <w:rPr>
                <w:noProof/>
                <w:webHidden/>
              </w:rPr>
              <w:fldChar w:fldCharType="separate"/>
            </w:r>
            <w:r w:rsidR="00D66515" w:rsidRPr="00D66515">
              <w:rPr>
                <w:noProof/>
                <w:webHidden/>
              </w:rPr>
              <w:t>8</w:t>
            </w:r>
            <w:r w:rsidR="00D66515" w:rsidRPr="00D66515">
              <w:rPr>
                <w:noProof/>
                <w:webHidden/>
              </w:rPr>
              <w:fldChar w:fldCharType="end"/>
            </w:r>
          </w:hyperlink>
        </w:p>
        <w:p w14:paraId="3ABD9914" w14:textId="0F8F4C05" w:rsidR="00D66515" w:rsidRDefault="00D66515" w:rsidP="00CF2F07">
          <w:pPr>
            <w:spacing w:line="360" w:lineRule="auto"/>
          </w:pPr>
          <w:r w:rsidRPr="00D66515">
            <w:rPr>
              <w:noProof/>
            </w:rPr>
            <w:fldChar w:fldCharType="end"/>
          </w:r>
        </w:p>
      </w:sdtContent>
    </w:sdt>
    <w:p w14:paraId="30A42C39" w14:textId="77777777" w:rsidR="00D66515" w:rsidRDefault="00D66515" w:rsidP="00CF2F07">
      <w:pPr>
        <w:spacing w:line="360" w:lineRule="auto"/>
        <w:rPr>
          <w:rFonts w:ascii="Arial" w:eastAsiaTheme="majorEastAsia" w:hAnsi="Arial" w:cs="Arial"/>
          <w:b/>
          <w:bCs/>
          <w:sz w:val="28"/>
          <w:szCs w:val="28"/>
        </w:rPr>
      </w:pPr>
      <w:r>
        <w:rPr>
          <w:rFonts w:ascii="Arial" w:hAnsi="Arial" w:cs="Arial"/>
          <w:b/>
          <w:bCs/>
          <w:sz w:val="28"/>
          <w:szCs w:val="28"/>
        </w:rPr>
        <w:br w:type="page"/>
      </w:r>
    </w:p>
    <w:p w14:paraId="226A4F69" w14:textId="48CE6276" w:rsidR="007E09A7" w:rsidRPr="00F558A7" w:rsidRDefault="002A3A96" w:rsidP="00CF2F07">
      <w:pPr>
        <w:pStyle w:val="Heading1"/>
        <w:numPr>
          <w:ilvl w:val="0"/>
          <w:numId w:val="1"/>
        </w:numPr>
        <w:spacing w:line="360" w:lineRule="auto"/>
        <w:jc w:val="both"/>
        <w:rPr>
          <w:rFonts w:ascii="Arial" w:hAnsi="Arial" w:cs="Arial"/>
          <w:b/>
          <w:bCs/>
          <w:color w:val="auto"/>
          <w:sz w:val="28"/>
          <w:szCs w:val="28"/>
        </w:rPr>
      </w:pPr>
      <w:bookmarkStart w:id="0" w:name="_Toc107230836"/>
      <w:r w:rsidRPr="00F558A7">
        <w:rPr>
          <w:rFonts w:ascii="Arial" w:hAnsi="Arial" w:cs="Arial"/>
          <w:b/>
          <w:bCs/>
          <w:color w:val="auto"/>
          <w:sz w:val="28"/>
          <w:szCs w:val="28"/>
        </w:rPr>
        <w:lastRenderedPageBreak/>
        <w:t>Intro</w:t>
      </w:r>
      <w:r w:rsidR="00805438" w:rsidRPr="00F558A7">
        <w:rPr>
          <w:rFonts w:ascii="Arial" w:hAnsi="Arial" w:cs="Arial"/>
          <w:b/>
          <w:bCs/>
          <w:color w:val="auto"/>
          <w:sz w:val="28"/>
          <w:szCs w:val="28"/>
        </w:rPr>
        <w:t>duction and Background</w:t>
      </w:r>
      <w:r w:rsidR="00262CEF" w:rsidRPr="00F558A7">
        <w:rPr>
          <w:rFonts w:ascii="Arial" w:hAnsi="Arial" w:cs="Arial"/>
          <w:b/>
          <w:bCs/>
          <w:color w:val="auto"/>
          <w:sz w:val="28"/>
          <w:szCs w:val="28"/>
        </w:rPr>
        <w:t xml:space="preserve"> of the </w:t>
      </w:r>
      <w:r w:rsidR="0059123D" w:rsidRPr="00F558A7">
        <w:rPr>
          <w:rFonts w:ascii="Arial" w:hAnsi="Arial" w:cs="Arial"/>
          <w:b/>
          <w:bCs/>
          <w:color w:val="auto"/>
          <w:sz w:val="28"/>
          <w:szCs w:val="28"/>
        </w:rPr>
        <w:t>Hyatt</w:t>
      </w:r>
      <w:bookmarkEnd w:id="0"/>
    </w:p>
    <w:p w14:paraId="2A2450EF" w14:textId="7DE18DD7" w:rsidR="000333A6" w:rsidRPr="00F558A7" w:rsidRDefault="00F0545E" w:rsidP="00CF2F07">
      <w:pPr>
        <w:spacing w:line="360" w:lineRule="auto"/>
        <w:jc w:val="both"/>
        <w:rPr>
          <w:rFonts w:ascii="Arial" w:hAnsi="Arial" w:cs="Arial"/>
          <w:sz w:val="24"/>
          <w:szCs w:val="24"/>
        </w:rPr>
      </w:pPr>
      <w:r w:rsidRPr="00F558A7">
        <w:rPr>
          <w:rFonts w:ascii="Arial" w:hAnsi="Arial" w:cs="Arial"/>
          <w:sz w:val="24"/>
          <w:szCs w:val="24"/>
        </w:rPr>
        <w:t>In this report the major focus is t</w:t>
      </w:r>
      <w:r w:rsidR="000333A6" w:rsidRPr="00F558A7">
        <w:rPr>
          <w:rFonts w:ascii="Arial" w:hAnsi="Arial" w:cs="Arial"/>
          <w:sz w:val="24"/>
          <w:szCs w:val="24"/>
        </w:rPr>
        <w:t>o be drawn on the variety of aspects in relation to management while considering the impact of some issues like staff shortage, lack of training, poor management on the employee engagement factor within the companies like Hyatt. In order to conduct in-depth research in this field, it is important to know more about the Hotel’s background and information</w:t>
      </w:r>
      <w:r w:rsidR="002D719E">
        <w:rPr>
          <w:rFonts w:ascii="Arial" w:hAnsi="Arial" w:cs="Arial"/>
          <w:sz w:val="24"/>
          <w:szCs w:val="24"/>
        </w:rPr>
        <w:t xml:space="preserve"> (</w:t>
      </w:r>
      <w:r w:rsidR="002D719E" w:rsidRPr="002D719E">
        <w:rPr>
          <w:rFonts w:ascii="Arial" w:hAnsi="Arial" w:cs="Arial"/>
          <w:color w:val="222222"/>
          <w:sz w:val="24"/>
          <w:szCs w:val="24"/>
          <w:shd w:val="clear" w:color="auto" w:fill="FFFFFF"/>
        </w:rPr>
        <w:t>Du</w:t>
      </w:r>
      <w:r w:rsidR="002D719E">
        <w:rPr>
          <w:rFonts w:ascii="Arial" w:hAnsi="Arial" w:cs="Arial"/>
          <w:color w:val="222222"/>
          <w:sz w:val="24"/>
          <w:szCs w:val="24"/>
          <w:shd w:val="clear" w:color="auto" w:fill="FFFFFF"/>
        </w:rPr>
        <w:t xml:space="preserve"> et.al., 2021</w:t>
      </w:r>
      <w:r w:rsidR="002D719E">
        <w:rPr>
          <w:rFonts w:ascii="Arial" w:hAnsi="Arial" w:cs="Arial"/>
          <w:sz w:val="24"/>
          <w:szCs w:val="24"/>
        </w:rPr>
        <w:t>)</w:t>
      </w:r>
      <w:r w:rsidR="000333A6" w:rsidRPr="00F558A7">
        <w:rPr>
          <w:rFonts w:ascii="Arial" w:hAnsi="Arial" w:cs="Arial"/>
          <w:sz w:val="24"/>
          <w:szCs w:val="24"/>
        </w:rPr>
        <w:t>. In 1957, Jay Pritzker bought the Hyatt House motel that was then located next to the Los Angeles International Airport, marking the beginning of what is now known as the Hyatt hotel chain. Following its first public offering in 1962, Pritzker Hospitality Group is a North American management and hotel ownership corporation founded by Jay Pritzker &amp; his brother Donald Pritzker. Hyatt International was established in 1968 and later became public as a distinct entity. In 1979 and 1982, the Pritzker family's commercial interests took Hyatt Corporation and Hyatt International Corporation private. On December 31, 2004, the Pritzker family's leisure holdings, which included Hyatt Corporation and Hyatt International Corporation, were merged into a single company called Hyatt Hotels Corporation. As of March 31, 2010, Hyatt managed, owned, franchised, or developed 434 hotels across the world</w:t>
      </w:r>
      <w:r w:rsidR="002D719E">
        <w:rPr>
          <w:rFonts w:ascii="Arial" w:hAnsi="Arial" w:cs="Arial"/>
          <w:sz w:val="24"/>
          <w:szCs w:val="24"/>
        </w:rPr>
        <w:t xml:space="preserve"> (</w:t>
      </w:r>
      <w:r w:rsidR="002D719E" w:rsidRPr="002D719E">
        <w:rPr>
          <w:rFonts w:ascii="Arial" w:hAnsi="Arial" w:cs="Arial"/>
          <w:color w:val="222222"/>
          <w:sz w:val="24"/>
          <w:szCs w:val="24"/>
          <w:shd w:val="clear" w:color="auto" w:fill="FFFFFF"/>
        </w:rPr>
        <w:t>Mahmood</w:t>
      </w:r>
      <w:r w:rsidR="002D719E">
        <w:rPr>
          <w:rFonts w:ascii="Arial" w:hAnsi="Arial" w:cs="Arial"/>
          <w:color w:val="222222"/>
          <w:sz w:val="24"/>
          <w:szCs w:val="24"/>
          <w:shd w:val="clear" w:color="auto" w:fill="FFFFFF"/>
        </w:rPr>
        <w:t xml:space="preserve"> et.al., 2019</w:t>
      </w:r>
      <w:r w:rsidR="002D719E">
        <w:rPr>
          <w:rFonts w:ascii="Arial" w:hAnsi="Arial" w:cs="Arial"/>
          <w:sz w:val="24"/>
          <w:szCs w:val="24"/>
        </w:rPr>
        <w:t>)</w:t>
      </w:r>
      <w:r w:rsidR="000333A6" w:rsidRPr="00F558A7">
        <w:rPr>
          <w:rFonts w:ascii="Arial" w:hAnsi="Arial" w:cs="Arial"/>
          <w:sz w:val="24"/>
          <w:szCs w:val="24"/>
        </w:rPr>
        <w:t>.</w:t>
      </w:r>
    </w:p>
    <w:p w14:paraId="1C5FBAB6" w14:textId="054500A9" w:rsidR="0059123D" w:rsidRPr="00F558A7" w:rsidRDefault="000333A6" w:rsidP="00CF2F07">
      <w:pPr>
        <w:spacing w:line="360" w:lineRule="auto"/>
        <w:jc w:val="both"/>
        <w:rPr>
          <w:rFonts w:ascii="Arial" w:hAnsi="Arial" w:cs="Arial"/>
          <w:sz w:val="24"/>
          <w:szCs w:val="24"/>
        </w:rPr>
      </w:pPr>
      <w:r w:rsidRPr="00F558A7">
        <w:rPr>
          <w:rFonts w:ascii="Arial" w:hAnsi="Arial" w:cs="Arial"/>
          <w:sz w:val="24"/>
          <w:szCs w:val="24"/>
        </w:rPr>
        <w:t>Although Hyatt as a whole maintains a consistent culture, the sheer magnitude of the corporation and the number of people worldwide means that each division and property has its own unique culture. As long as they don't undermine Hyatt's core values, Hyatt thinks it's fine if employees cultivate their own unique cultures within the firm. A company as diverse and widespread as Hyatt is certain to have a robust general culture as well as the emergence of potent sub-cultures that share many similarities with the larger culture while also displaying substantial differences. Hyatt fosters a culture where teamwork is valued and staff are required to collaborate for optimal results. Motive and happiness among staff members benefit from this as well, since they receive consistent feed-back. Long-standing staffing issues have not been rectified by this</w:t>
      </w:r>
      <w:r w:rsidR="002D719E">
        <w:rPr>
          <w:rFonts w:ascii="Arial" w:hAnsi="Arial" w:cs="Arial"/>
          <w:sz w:val="24"/>
          <w:szCs w:val="24"/>
        </w:rPr>
        <w:t xml:space="preserve"> (</w:t>
      </w:r>
      <w:r w:rsidR="002D719E" w:rsidRPr="002D719E">
        <w:rPr>
          <w:rFonts w:ascii="Arial" w:hAnsi="Arial" w:cs="Arial"/>
          <w:color w:val="222222"/>
          <w:sz w:val="24"/>
          <w:szCs w:val="24"/>
          <w:shd w:val="clear" w:color="auto" w:fill="FFFFFF"/>
        </w:rPr>
        <w:t>Singh</w:t>
      </w:r>
      <w:r w:rsidR="002D719E">
        <w:rPr>
          <w:rFonts w:ascii="Arial" w:hAnsi="Arial" w:cs="Arial"/>
          <w:color w:val="222222"/>
          <w:sz w:val="24"/>
          <w:szCs w:val="24"/>
          <w:shd w:val="clear" w:color="auto" w:fill="FFFFFF"/>
        </w:rPr>
        <w:t xml:space="preserve"> et.al., 2022</w:t>
      </w:r>
      <w:r w:rsidR="002D719E">
        <w:rPr>
          <w:rFonts w:ascii="Arial" w:hAnsi="Arial" w:cs="Arial"/>
          <w:sz w:val="24"/>
          <w:szCs w:val="24"/>
        </w:rPr>
        <w:t>)</w:t>
      </w:r>
      <w:r w:rsidRPr="00F558A7">
        <w:rPr>
          <w:rFonts w:ascii="Arial" w:hAnsi="Arial" w:cs="Arial"/>
          <w:sz w:val="24"/>
          <w:szCs w:val="24"/>
        </w:rPr>
        <w:t xml:space="preserve">. Theoretically, the widespread layoffs in the sector's many sectors should have alleviated the problem of a shortage of qualified workers. However, recruiters are finding it more challenging to go through all the applications to find the finest possible applicants. As the economy recovers slowly from the coronavirus-induced slump, many restaurants and hotels are finding they cannot afford to add staff. Since many workers at Hyatt aren't always able to provide </w:t>
      </w:r>
      <w:r w:rsidRPr="00F558A7">
        <w:rPr>
          <w:rFonts w:ascii="Arial" w:hAnsi="Arial" w:cs="Arial"/>
          <w:sz w:val="24"/>
          <w:szCs w:val="24"/>
        </w:rPr>
        <w:lastRenderedPageBreak/>
        <w:t>their full effort, this indicates that many businesses encounter difficulties in employee engagement, including staffing shortages, insufficient training, and ineffective management.</w:t>
      </w:r>
    </w:p>
    <w:p w14:paraId="7C09A6AC" w14:textId="5EE7CF4E" w:rsidR="0059123D" w:rsidRPr="00F558A7" w:rsidRDefault="0059123D" w:rsidP="00CF2F07">
      <w:pPr>
        <w:pStyle w:val="Heading1"/>
        <w:numPr>
          <w:ilvl w:val="0"/>
          <w:numId w:val="1"/>
        </w:numPr>
        <w:spacing w:line="360" w:lineRule="auto"/>
        <w:jc w:val="both"/>
        <w:rPr>
          <w:rFonts w:ascii="Arial" w:hAnsi="Arial" w:cs="Arial"/>
          <w:b/>
          <w:bCs/>
          <w:color w:val="auto"/>
          <w:sz w:val="28"/>
          <w:szCs w:val="28"/>
        </w:rPr>
      </w:pPr>
      <w:bookmarkStart w:id="1" w:name="_Toc107230837"/>
      <w:r w:rsidRPr="00F558A7">
        <w:rPr>
          <w:rFonts w:ascii="Arial" w:hAnsi="Arial" w:cs="Arial"/>
          <w:b/>
          <w:bCs/>
          <w:color w:val="auto"/>
          <w:sz w:val="28"/>
          <w:szCs w:val="28"/>
        </w:rPr>
        <w:t>Discussion or Literature Review</w:t>
      </w:r>
      <w:bookmarkEnd w:id="1"/>
    </w:p>
    <w:p w14:paraId="71FC8003" w14:textId="253E8FFB" w:rsidR="00F558A7" w:rsidRPr="00F558A7" w:rsidRDefault="0049148F" w:rsidP="00CF2F07">
      <w:pPr>
        <w:spacing w:line="360" w:lineRule="auto"/>
        <w:jc w:val="both"/>
        <w:rPr>
          <w:rFonts w:ascii="Arial" w:hAnsi="Arial" w:cs="Arial"/>
          <w:sz w:val="24"/>
          <w:szCs w:val="24"/>
        </w:rPr>
      </w:pPr>
      <w:r w:rsidRPr="00F558A7">
        <w:rPr>
          <w:rFonts w:ascii="Arial" w:hAnsi="Arial" w:cs="Arial"/>
          <w:sz w:val="24"/>
          <w:szCs w:val="24"/>
        </w:rPr>
        <w:t xml:space="preserve">Considering the description and analysis of Hyatt organisational culture and employee engagement techniques, it has been depicted that </w:t>
      </w:r>
      <w:r w:rsidR="00F558A7" w:rsidRPr="00F558A7">
        <w:rPr>
          <w:rFonts w:ascii="Arial" w:hAnsi="Arial" w:cs="Arial"/>
          <w:sz w:val="24"/>
          <w:szCs w:val="24"/>
        </w:rPr>
        <w:t>Attracting and keeping top talent, as well as a lack of that talent overall, are three of the many problems now plaguing the hospitality sector and the hotels like Hyatt. The booming nature of industries like retail and IT only serves to exacerbate the dearth of competent labourers. To make matters more difficult, the hospitality industry is traditionally known for its long working hours, schedules to complement a business that operates 24/7 and 365 days, and the intense work of being in contact with consumers pretty much constantly – we can't just shut the doors of a restaurant in the evening, on week-ends, or during festivals</w:t>
      </w:r>
      <w:r w:rsidR="002D719E">
        <w:rPr>
          <w:rFonts w:ascii="Arial" w:hAnsi="Arial" w:cs="Arial"/>
          <w:sz w:val="24"/>
          <w:szCs w:val="24"/>
        </w:rPr>
        <w:t xml:space="preserve"> (</w:t>
      </w:r>
      <w:r w:rsidR="002D719E" w:rsidRPr="002D719E">
        <w:rPr>
          <w:rFonts w:ascii="Arial" w:hAnsi="Arial" w:cs="Arial"/>
          <w:color w:val="222222"/>
          <w:sz w:val="24"/>
          <w:szCs w:val="24"/>
          <w:shd w:val="clear" w:color="auto" w:fill="FFFFFF"/>
        </w:rPr>
        <w:t>Meier</w:t>
      </w:r>
      <w:r w:rsidR="002D719E">
        <w:rPr>
          <w:rFonts w:ascii="Arial" w:hAnsi="Arial" w:cs="Arial"/>
          <w:color w:val="222222"/>
          <w:sz w:val="24"/>
          <w:szCs w:val="24"/>
          <w:shd w:val="clear" w:color="auto" w:fill="FFFFFF"/>
        </w:rPr>
        <w:t>, 2021</w:t>
      </w:r>
      <w:r w:rsidR="002D719E">
        <w:rPr>
          <w:rFonts w:ascii="Arial" w:hAnsi="Arial" w:cs="Arial"/>
          <w:sz w:val="24"/>
          <w:szCs w:val="24"/>
        </w:rPr>
        <w:t>)</w:t>
      </w:r>
      <w:r w:rsidR="00F558A7" w:rsidRPr="00F558A7">
        <w:rPr>
          <w:rFonts w:ascii="Arial" w:hAnsi="Arial" w:cs="Arial"/>
          <w:sz w:val="24"/>
          <w:szCs w:val="24"/>
        </w:rPr>
        <w:t>. A career in the hotel sector can be challenging, but it also has great potential for reward. Since many businesses in the sector are keen on nurturing in-house talent, it's a terrific place to advance one's career.</w:t>
      </w:r>
    </w:p>
    <w:p w14:paraId="57E17529" w14:textId="68A72989" w:rsidR="00F558A7" w:rsidRPr="00F558A7" w:rsidRDefault="00F558A7" w:rsidP="00CF2F07">
      <w:pPr>
        <w:spacing w:line="360" w:lineRule="auto"/>
        <w:jc w:val="both"/>
        <w:rPr>
          <w:rFonts w:ascii="Arial" w:hAnsi="Arial" w:cs="Arial"/>
          <w:sz w:val="24"/>
          <w:szCs w:val="24"/>
        </w:rPr>
      </w:pPr>
      <w:r w:rsidRPr="00F558A7">
        <w:rPr>
          <w:rFonts w:ascii="Arial" w:hAnsi="Arial" w:cs="Arial"/>
          <w:sz w:val="24"/>
          <w:szCs w:val="24"/>
        </w:rPr>
        <w:t>They stress that their plan for employee engagement is not an afterthought meant to keep workers happy. Instead, it serves as a cornerstone of the company's business strategy, which has led to consistent expansion while avoiding common pitfalls in the hospitality sector, such as high staff turnover.</w:t>
      </w:r>
    </w:p>
    <w:p w14:paraId="067CD878" w14:textId="6F5D482F" w:rsidR="00F558A7" w:rsidRPr="00F558A7" w:rsidRDefault="00F558A7" w:rsidP="00CF2F07">
      <w:pPr>
        <w:spacing w:line="360" w:lineRule="auto"/>
        <w:jc w:val="both"/>
        <w:rPr>
          <w:rFonts w:ascii="Arial" w:hAnsi="Arial" w:cs="Arial"/>
          <w:sz w:val="24"/>
          <w:szCs w:val="24"/>
        </w:rPr>
      </w:pPr>
      <w:r w:rsidRPr="00F558A7">
        <w:rPr>
          <w:rFonts w:ascii="Arial" w:hAnsi="Arial" w:cs="Arial"/>
          <w:sz w:val="24"/>
          <w:szCs w:val="24"/>
        </w:rPr>
        <w:t>When asked what keeps them coming to work each day, Hyatt workers consistently point to the company's employee engagement approach. Hyatt values its workers and trains them to listen attentively to each other and to hotel visitors, in addition to providing more material benefits such as concessions on travel as well as meals at the industry's well regarded on-site restaurants.</w:t>
      </w:r>
    </w:p>
    <w:p w14:paraId="7E892C9C" w14:textId="7A421724" w:rsidR="00F558A7" w:rsidRPr="00F558A7" w:rsidRDefault="00F558A7" w:rsidP="00CF2F07">
      <w:pPr>
        <w:spacing w:line="360" w:lineRule="auto"/>
        <w:jc w:val="both"/>
        <w:rPr>
          <w:rFonts w:ascii="Arial" w:hAnsi="Arial" w:cs="Arial"/>
          <w:sz w:val="24"/>
          <w:szCs w:val="24"/>
        </w:rPr>
      </w:pPr>
      <w:r w:rsidRPr="00F558A7">
        <w:rPr>
          <w:rFonts w:ascii="Arial" w:hAnsi="Arial" w:cs="Arial"/>
          <w:sz w:val="24"/>
          <w:szCs w:val="24"/>
        </w:rPr>
        <w:t>In addition, the employer will pay a portion of the cost of attending an accredited educational institution, if the employee is currently employed by the company. To help more workers gain access to better job opportunities, the company partners with educational institutions like Khan Academy to provide skill training</w:t>
      </w:r>
      <w:r w:rsidR="002D719E">
        <w:rPr>
          <w:rFonts w:ascii="Arial" w:hAnsi="Arial" w:cs="Arial"/>
          <w:sz w:val="24"/>
          <w:szCs w:val="24"/>
        </w:rPr>
        <w:t xml:space="preserve"> (</w:t>
      </w:r>
      <w:r w:rsidR="002D719E" w:rsidRPr="002D719E">
        <w:rPr>
          <w:rFonts w:ascii="Arial" w:hAnsi="Arial" w:cs="Arial"/>
          <w:color w:val="222222"/>
          <w:sz w:val="24"/>
          <w:szCs w:val="24"/>
          <w:shd w:val="clear" w:color="auto" w:fill="FFFFFF"/>
        </w:rPr>
        <w:t>Tshukudu</w:t>
      </w:r>
      <w:r w:rsidR="002D719E">
        <w:rPr>
          <w:rFonts w:ascii="Arial" w:hAnsi="Arial" w:cs="Arial"/>
          <w:color w:val="222222"/>
          <w:sz w:val="24"/>
          <w:szCs w:val="24"/>
          <w:shd w:val="clear" w:color="auto" w:fill="FFFFFF"/>
        </w:rPr>
        <w:t>, 2019</w:t>
      </w:r>
      <w:r w:rsidR="002D719E">
        <w:rPr>
          <w:rFonts w:ascii="Arial" w:hAnsi="Arial" w:cs="Arial"/>
          <w:sz w:val="24"/>
          <w:szCs w:val="24"/>
        </w:rPr>
        <w:t>)</w:t>
      </w:r>
      <w:r w:rsidRPr="00F558A7">
        <w:rPr>
          <w:rFonts w:ascii="Arial" w:hAnsi="Arial" w:cs="Arial"/>
          <w:sz w:val="24"/>
          <w:szCs w:val="24"/>
        </w:rPr>
        <w:t>. Overall, Hyatt does more than simply speak the talk when it comes to employee investment. Truth be told, they do it.</w:t>
      </w:r>
    </w:p>
    <w:p w14:paraId="22C69392" w14:textId="71DABBA3" w:rsidR="00F558A7" w:rsidRPr="00F558A7" w:rsidRDefault="00F558A7" w:rsidP="00CF2F07">
      <w:pPr>
        <w:spacing w:line="360" w:lineRule="auto"/>
        <w:jc w:val="both"/>
        <w:rPr>
          <w:rFonts w:ascii="Arial" w:hAnsi="Arial" w:cs="Arial"/>
          <w:sz w:val="24"/>
          <w:szCs w:val="24"/>
        </w:rPr>
      </w:pPr>
      <w:r w:rsidRPr="00F558A7">
        <w:rPr>
          <w:rFonts w:ascii="Arial" w:hAnsi="Arial" w:cs="Arial"/>
          <w:sz w:val="24"/>
          <w:szCs w:val="24"/>
        </w:rPr>
        <w:lastRenderedPageBreak/>
        <w:t>Hyatt's commitment to diversity in the workplace is good for morale since it increases the company's openness and shows that employees of various backgrounds are valued. It is safe to conclude that any employee engagement plan that fails to acknowledge or properly address the diversity of its workforce is doomed to fail.</w:t>
      </w:r>
    </w:p>
    <w:p w14:paraId="585ED718" w14:textId="47351C97" w:rsidR="00F558A7" w:rsidRPr="00F558A7" w:rsidRDefault="00F558A7" w:rsidP="00CF2F07">
      <w:pPr>
        <w:spacing w:line="360" w:lineRule="auto"/>
        <w:jc w:val="both"/>
        <w:rPr>
          <w:rFonts w:ascii="Arial" w:hAnsi="Arial" w:cs="Arial"/>
          <w:sz w:val="24"/>
          <w:szCs w:val="24"/>
        </w:rPr>
      </w:pPr>
      <w:r w:rsidRPr="00F558A7">
        <w:rPr>
          <w:rFonts w:ascii="Arial" w:hAnsi="Arial" w:cs="Arial"/>
          <w:sz w:val="24"/>
          <w:szCs w:val="24"/>
        </w:rPr>
        <w:t>Hyatt's method for encouraging staff participation centres around giving workers more say in their work. When workers have no confidence in their ability to take action when issues develop, they are unable to get started on their task and are therefore not engaged</w:t>
      </w:r>
      <w:r w:rsidR="002D719E">
        <w:rPr>
          <w:rFonts w:ascii="Arial" w:hAnsi="Arial" w:cs="Arial"/>
          <w:sz w:val="24"/>
          <w:szCs w:val="24"/>
        </w:rPr>
        <w:t xml:space="preserve"> (</w:t>
      </w:r>
      <w:r w:rsidR="002D719E" w:rsidRPr="002D719E">
        <w:rPr>
          <w:rFonts w:ascii="Arial" w:hAnsi="Arial" w:cs="Arial"/>
          <w:color w:val="222222"/>
          <w:sz w:val="24"/>
          <w:szCs w:val="24"/>
          <w:shd w:val="clear" w:color="auto" w:fill="FFFFFF"/>
        </w:rPr>
        <w:t>Mahmood</w:t>
      </w:r>
      <w:r w:rsidR="002D719E">
        <w:rPr>
          <w:rFonts w:ascii="Arial" w:hAnsi="Arial" w:cs="Arial"/>
          <w:color w:val="222222"/>
          <w:sz w:val="24"/>
          <w:szCs w:val="24"/>
          <w:shd w:val="clear" w:color="auto" w:fill="FFFFFF"/>
        </w:rPr>
        <w:t>, 2020</w:t>
      </w:r>
      <w:r w:rsidR="002D719E">
        <w:rPr>
          <w:rFonts w:ascii="Arial" w:hAnsi="Arial" w:cs="Arial"/>
          <w:sz w:val="24"/>
          <w:szCs w:val="24"/>
        </w:rPr>
        <w:t>)</w:t>
      </w:r>
      <w:r w:rsidRPr="00F558A7">
        <w:rPr>
          <w:rFonts w:ascii="Arial" w:hAnsi="Arial" w:cs="Arial"/>
          <w:sz w:val="24"/>
          <w:szCs w:val="24"/>
        </w:rPr>
        <w:t>. Hyatt invests in its staff by providing continual education and encouraging them to take initiative when issues emerge. Engaged employees are those that realise their job makes a difference on several levels, therefore this not only leads to faster issue solving but also boosts morale.</w:t>
      </w:r>
    </w:p>
    <w:p w14:paraId="3EB53432" w14:textId="0F5215EB" w:rsidR="00F558A7" w:rsidRPr="00F558A7" w:rsidRDefault="00F558A7" w:rsidP="00CF2F07">
      <w:pPr>
        <w:spacing w:line="360" w:lineRule="auto"/>
        <w:jc w:val="both"/>
        <w:rPr>
          <w:rFonts w:ascii="Arial" w:hAnsi="Arial" w:cs="Arial"/>
          <w:sz w:val="24"/>
          <w:szCs w:val="24"/>
        </w:rPr>
      </w:pPr>
      <w:r w:rsidRPr="00F558A7">
        <w:rPr>
          <w:rFonts w:ascii="Arial" w:hAnsi="Arial" w:cs="Arial"/>
          <w:sz w:val="24"/>
          <w:szCs w:val="24"/>
        </w:rPr>
        <w:t>In a firm that promotes from within, it is essential to give workers more autonomy in their day-to-day job by giving them more responsibility for listening to and solving problems. Ultimately, Hyatt’s employee satisfaction approach is about producing better business outcomes. High staff turnover prevents any organisation from reaching the same degree of proficiency as one with dedicated, well-trained workers. Companies that invest in their employees' professional and personal growth by covering the expense of higher education tend to have more dedicated workers than those that don't</w:t>
      </w:r>
      <w:r w:rsidR="002D719E">
        <w:rPr>
          <w:rFonts w:ascii="Arial" w:hAnsi="Arial" w:cs="Arial"/>
          <w:sz w:val="24"/>
          <w:szCs w:val="24"/>
        </w:rPr>
        <w:t xml:space="preserve"> (</w:t>
      </w:r>
      <w:r w:rsidR="002D719E" w:rsidRPr="002D719E">
        <w:rPr>
          <w:rFonts w:ascii="Arial" w:hAnsi="Arial" w:cs="Arial"/>
          <w:color w:val="222222"/>
          <w:sz w:val="24"/>
          <w:szCs w:val="24"/>
          <w:shd w:val="clear" w:color="auto" w:fill="FFFFFF"/>
        </w:rPr>
        <w:t>Morrison</w:t>
      </w:r>
      <w:r w:rsidR="002D719E">
        <w:rPr>
          <w:rFonts w:ascii="Arial" w:hAnsi="Arial" w:cs="Arial"/>
          <w:color w:val="222222"/>
          <w:sz w:val="24"/>
          <w:szCs w:val="24"/>
          <w:shd w:val="clear" w:color="auto" w:fill="FFFFFF"/>
        </w:rPr>
        <w:t>, 2021</w:t>
      </w:r>
      <w:r w:rsidR="002D719E">
        <w:rPr>
          <w:rFonts w:ascii="Arial" w:hAnsi="Arial" w:cs="Arial"/>
          <w:sz w:val="24"/>
          <w:szCs w:val="24"/>
        </w:rPr>
        <w:t>)</w:t>
      </w:r>
      <w:r w:rsidRPr="00F558A7">
        <w:rPr>
          <w:rFonts w:ascii="Arial" w:hAnsi="Arial" w:cs="Arial"/>
          <w:sz w:val="24"/>
          <w:szCs w:val="24"/>
        </w:rPr>
        <w:t>.</w:t>
      </w:r>
    </w:p>
    <w:p w14:paraId="1154CAC1" w14:textId="26D7D612" w:rsidR="00F558A7" w:rsidRPr="00F558A7" w:rsidRDefault="00F558A7" w:rsidP="00CF2F07">
      <w:pPr>
        <w:spacing w:line="360" w:lineRule="auto"/>
        <w:jc w:val="both"/>
        <w:rPr>
          <w:rFonts w:ascii="Arial" w:hAnsi="Arial" w:cs="Arial"/>
          <w:sz w:val="24"/>
          <w:szCs w:val="24"/>
        </w:rPr>
      </w:pPr>
      <w:r w:rsidRPr="00F558A7">
        <w:rPr>
          <w:rFonts w:ascii="Arial" w:hAnsi="Arial" w:cs="Arial"/>
          <w:sz w:val="24"/>
          <w:szCs w:val="24"/>
        </w:rPr>
        <w:t>The good employee engagement strategy achieves multiple things, but two of the most crucial are enabling workers to excel on a regular basis and making employee satisfaction part of the basic foundation of operating for the firm. It takes time and work, but the returns on investment (ROI) are consistently high and reliable.</w:t>
      </w:r>
    </w:p>
    <w:p w14:paraId="116B7136" w14:textId="0D4414C3" w:rsidR="00F558A7" w:rsidRPr="00F558A7" w:rsidRDefault="00F558A7" w:rsidP="00CF2F07">
      <w:pPr>
        <w:spacing w:line="360" w:lineRule="auto"/>
        <w:jc w:val="both"/>
        <w:rPr>
          <w:rFonts w:ascii="Arial" w:hAnsi="Arial" w:cs="Arial"/>
          <w:sz w:val="24"/>
          <w:szCs w:val="24"/>
        </w:rPr>
      </w:pPr>
      <w:r w:rsidRPr="00F558A7">
        <w:rPr>
          <w:rFonts w:ascii="Arial" w:hAnsi="Arial" w:cs="Arial"/>
          <w:sz w:val="24"/>
          <w:szCs w:val="24"/>
        </w:rPr>
        <w:t>Employees that are invested in their work and motivated to do their best for customers will foster stronger relationships with those customers, which will in turn have a positive effect on visitor retention and, ultimately, our bottom line</w:t>
      </w:r>
      <w:r w:rsidR="000E49F4">
        <w:rPr>
          <w:rFonts w:ascii="Arial" w:hAnsi="Arial" w:cs="Arial"/>
          <w:sz w:val="24"/>
          <w:szCs w:val="24"/>
        </w:rPr>
        <w:t xml:space="preserve"> (</w:t>
      </w:r>
      <w:r w:rsidR="000E49F4" w:rsidRPr="002D719E">
        <w:rPr>
          <w:rFonts w:ascii="Arial" w:hAnsi="Arial" w:cs="Arial"/>
          <w:color w:val="222222"/>
          <w:sz w:val="24"/>
          <w:szCs w:val="24"/>
          <w:shd w:val="clear" w:color="auto" w:fill="FFFFFF"/>
        </w:rPr>
        <w:t>Stoycheva and Favero</w:t>
      </w:r>
      <w:r w:rsidR="000E49F4">
        <w:rPr>
          <w:rFonts w:ascii="Arial" w:hAnsi="Arial" w:cs="Arial"/>
          <w:color w:val="222222"/>
          <w:sz w:val="24"/>
          <w:szCs w:val="24"/>
          <w:shd w:val="clear" w:color="auto" w:fill="FFFFFF"/>
        </w:rPr>
        <w:t>, 2020</w:t>
      </w:r>
      <w:r w:rsidR="000E49F4">
        <w:rPr>
          <w:rFonts w:ascii="Arial" w:hAnsi="Arial" w:cs="Arial"/>
          <w:sz w:val="24"/>
          <w:szCs w:val="24"/>
        </w:rPr>
        <w:t>)</w:t>
      </w:r>
      <w:r w:rsidRPr="00F558A7">
        <w:rPr>
          <w:rFonts w:ascii="Arial" w:hAnsi="Arial" w:cs="Arial"/>
          <w:sz w:val="24"/>
          <w:szCs w:val="24"/>
        </w:rPr>
        <w:t xml:space="preserve">. We think, that for work to be inspiring for teammates, it has to have both significance and engagement. Significance means that colleagues might have a method to serve a greater purpose by connecting their personal purpose to the organization’s mission. Engaging coworkers involves letting them use their strengths in ways that are most beneficial to the company, which requires a balance between allowing them the autonomy to thrive in their responsibilities and giving them the </w:t>
      </w:r>
      <w:r w:rsidRPr="00F558A7">
        <w:rPr>
          <w:rFonts w:ascii="Arial" w:hAnsi="Arial" w:cs="Arial"/>
          <w:sz w:val="24"/>
          <w:szCs w:val="24"/>
        </w:rPr>
        <w:lastRenderedPageBreak/>
        <w:t>resources, they need to learn and grow in those roles</w:t>
      </w:r>
      <w:r w:rsidR="002D719E">
        <w:rPr>
          <w:rFonts w:ascii="Arial" w:hAnsi="Arial" w:cs="Arial"/>
          <w:sz w:val="24"/>
          <w:szCs w:val="24"/>
        </w:rPr>
        <w:t xml:space="preserve"> (</w:t>
      </w:r>
      <w:r w:rsidR="002D719E" w:rsidRPr="002D719E">
        <w:rPr>
          <w:rFonts w:ascii="Arial" w:hAnsi="Arial" w:cs="Arial"/>
          <w:color w:val="222222"/>
          <w:sz w:val="24"/>
          <w:szCs w:val="24"/>
          <w:shd w:val="clear" w:color="auto" w:fill="FFFFFF"/>
        </w:rPr>
        <w:t>Mahmood</w:t>
      </w:r>
      <w:r w:rsidR="002D719E">
        <w:rPr>
          <w:rFonts w:ascii="Arial" w:hAnsi="Arial" w:cs="Arial"/>
          <w:color w:val="222222"/>
          <w:sz w:val="24"/>
          <w:szCs w:val="24"/>
          <w:shd w:val="clear" w:color="auto" w:fill="FFFFFF"/>
        </w:rPr>
        <w:t xml:space="preserve"> et.al., 2019</w:t>
      </w:r>
      <w:r w:rsidR="002D719E">
        <w:rPr>
          <w:rFonts w:ascii="Arial" w:hAnsi="Arial" w:cs="Arial"/>
          <w:sz w:val="24"/>
          <w:szCs w:val="24"/>
        </w:rPr>
        <w:t>)</w:t>
      </w:r>
      <w:r w:rsidRPr="00F558A7">
        <w:rPr>
          <w:rFonts w:ascii="Arial" w:hAnsi="Arial" w:cs="Arial"/>
          <w:sz w:val="24"/>
          <w:szCs w:val="24"/>
        </w:rPr>
        <w:t>. The term "flow" describes the state of optimal difficulty and mastery. We also need to guarantee that everyone has the opportunity to find fulfilment and enjoyment in their employment.</w:t>
      </w:r>
    </w:p>
    <w:p w14:paraId="7E08C976" w14:textId="2C4E34D1" w:rsidR="009048C5" w:rsidRPr="00F558A7" w:rsidRDefault="00F558A7" w:rsidP="00CF2F07">
      <w:pPr>
        <w:spacing w:line="360" w:lineRule="auto"/>
        <w:jc w:val="both"/>
        <w:rPr>
          <w:rFonts w:ascii="Arial" w:hAnsi="Arial" w:cs="Arial"/>
          <w:sz w:val="24"/>
          <w:szCs w:val="24"/>
        </w:rPr>
      </w:pPr>
      <w:r w:rsidRPr="00F558A7">
        <w:rPr>
          <w:rFonts w:ascii="Arial" w:hAnsi="Arial" w:cs="Arial"/>
          <w:sz w:val="24"/>
          <w:szCs w:val="24"/>
        </w:rPr>
        <w:t>Moving forward, there is little question in this that Hyatt and other organisations like it benefit from having workers participate in activities that give their job more meaning and purpose. In order to foster a positive work environment, it is important to assist employees in identifying their own personal goals and allowing them to pursue those goals</w:t>
      </w:r>
      <w:r w:rsidR="002D719E">
        <w:rPr>
          <w:rFonts w:ascii="Arial" w:hAnsi="Arial" w:cs="Arial"/>
          <w:sz w:val="24"/>
          <w:szCs w:val="24"/>
        </w:rPr>
        <w:t xml:space="preserve"> (</w:t>
      </w:r>
      <w:r w:rsidR="002D719E" w:rsidRPr="002D719E">
        <w:rPr>
          <w:rFonts w:ascii="Arial" w:hAnsi="Arial" w:cs="Arial"/>
          <w:color w:val="222222"/>
          <w:sz w:val="24"/>
          <w:szCs w:val="24"/>
          <w:shd w:val="clear" w:color="auto" w:fill="FFFFFF"/>
        </w:rPr>
        <w:t>Ma</w:t>
      </w:r>
      <w:r w:rsidR="002D719E">
        <w:rPr>
          <w:rFonts w:ascii="Arial" w:hAnsi="Arial" w:cs="Arial"/>
          <w:color w:val="222222"/>
          <w:sz w:val="24"/>
          <w:szCs w:val="24"/>
          <w:shd w:val="clear" w:color="auto" w:fill="FFFFFF"/>
        </w:rPr>
        <w:t xml:space="preserve"> et.al., 2021</w:t>
      </w:r>
      <w:r w:rsidR="002D719E">
        <w:rPr>
          <w:rFonts w:ascii="Arial" w:hAnsi="Arial" w:cs="Arial"/>
          <w:sz w:val="24"/>
          <w:szCs w:val="24"/>
        </w:rPr>
        <w:t>)</w:t>
      </w:r>
      <w:r w:rsidRPr="00F558A7">
        <w:rPr>
          <w:rFonts w:ascii="Arial" w:hAnsi="Arial" w:cs="Arial"/>
          <w:sz w:val="24"/>
          <w:szCs w:val="24"/>
        </w:rPr>
        <w:t>. Leadership qualities may be developed in the workplace through volunteer work, teaching, and coaching employees of different sports.</w:t>
      </w:r>
    </w:p>
    <w:p w14:paraId="318C2225" w14:textId="0DE96286" w:rsidR="0059123D" w:rsidRDefault="0059123D" w:rsidP="00CF2F07">
      <w:pPr>
        <w:pStyle w:val="Heading1"/>
        <w:numPr>
          <w:ilvl w:val="0"/>
          <w:numId w:val="1"/>
        </w:numPr>
        <w:spacing w:line="360" w:lineRule="auto"/>
        <w:jc w:val="both"/>
        <w:rPr>
          <w:rFonts w:ascii="Arial" w:hAnsi="Arial" w:cs="Arial"/>
          <w:b/>
          <w:bCs/>
          <w:color w:val="auto"/>
          <w:sz w:val="28"/>
          <w:szCs w:val="28"/>
        </w:rPr>
      </w:pPr>
      <w:bookmarkStart w:id="2" w:name="_Toc107230838"/>
      <w:r w:rsidRPr="00F558A7">
        <w:rPr>
          <w:rFonts w:ascii="Arial" w:hAnsi="Arial" w:cs="Arial"/>
          <w:b/>
          <w:bCs/>
          <w:color w:val="auto"/>
          <w:sz w:val="28"/>
          <w:szCs w:val="28"/>
        </w:rPr>
        <w:t>Research Methodology</w:t>
      </w:r>
      <w:bookmarkEnd w:id="2"/>
    </w:p>
    <w:p w14:paraId="162FE7D8" w14:textId="2E0E4DA1" w:rsidR="002A192F" w:rsidRDefault="002B25D1" w:rsidP="00CF2F07">
      <w:pPr>
        <w:spacing w:line="360" w:lineRule="auto"/>
        <w:jc w:val="both"/>
        <w:rPr>
          <w:rFonts w:ascii="Arial" w:hAnsi="Arial" w:cs="Arial"/>
          <w:sz w:val="24"/>
          <w:szCs w:val="24"/>
        </w:rPr>
      </w:pPr>
      <w:r w:rsidRPr="002A192F">
        <w:rPr>
          <w:rFonts w:ascii="Arial" w:hAnsi="Arial" w:cs="Arial"/>
          <w:sz w:val="24"/>
          <w:szCs w:val="24"/>
        </w:rPr>
        <w:t xml:space="preserve">Based on the above discussion regarding the impact of employee engagement on the </w:t>
      </w:r>
      <w:r w:rsidR="002A192F" w:rsidRPr="002A192F">
        <w:rPr>
          <w:rFonts w:ascii="Arial" w:hAnsi="Arial" w:cs="Arial"/>
          <w:sz w:val="24"/>
          <w:szCs w:val="24"/>
        </w:rPr>
        <w:t>hospitality industry, it has been found that this factor can influence the organisational culture in both positive as well as negative ways. In order to make this research effective and evident, it is important to adopt relevant research methods and techniques that helps in determining the opinions of both researchers and individuals in theoretical and statistical form</w:t>
      </w:r>
      <w:r w:rsidR="000E49F4">
        <w:rPr>
          <w:rFonts w:ascii="Arial" w:hAnsi="Arial" w:cs="Arial"/>
          <w:sz w:val="24"/>
          <w:szCs w:val="24"/>
        </w:rPr>
        <w:t xml:space="preserve"> (</w:t>
      </w:r>
      <w:r w:rsidR="000E49F4" w:rsidRPr="002D719E">
        <w:rPr>
          <w:rFonts w:ascii="Arial" w:hAnsi="Arial" w:cs="Arial"/>
          <w:color w:val="222222"/>
          <w:sz w:val="24"/>
          <w:szCs w:val="24"/>
          <w:shd w:val="clear" w:color="auto" w:fill="FFFFFF"/>
        </w:rPr>
        <w:t>Sakyi</w:t>
      </w:r>
      <w:r w:rsidR="000E49F4">
        <w:rPr>
          <w:rFonts w:ascii="Arial" w:hAnsi="Arial" w:cs="Arial"/>
          <w:color w:val="222222"/>
          <w:sz w:val="24"/>
          <w:szCs w:val="24"/>
          <w:shd w:val="clear" w:color="auto" w:fill="FFFFFF"/>
        </w:rPr>
        <w:t xml:space="preserve"> et.al., 2020</w:t>
      </w:r>
      <w:r w:rsidR="000E49F4">
        <w:rPr>
          <w:rFonts w:ascii="Arial" w:hAnsi="Arial" w:cs="Arial"/>
          <w:sz w:val="24"/>
          <w:szCs w:val="24"/>
        </w:rPr>
        <w:t>)</w:t>
      </w:r>
      <w:r w:rsidR="002A192F" w:rsidRPr="002A192F">
        <w:rPr>
          <w:rFonts w:ascii="Arial" w:hAnsi="Arial" w:cs="Arial"/>
          <w:sz w:val="24"/>
          <w:szCs w:val="24"/>
        </w:rPr>
        <w:t>. Some of the research methods and approaches are described below in a detailed manner:</w:t>
      </w:r>
    </w:p>
    <w:p w14:paraId="7A85D5F2" w14:textId="14A16118" w:rsidR="0011594F" w:rsidRDefault="0011594F" w:rsidP="00CF2F07">
      <w:pPr>
        <w:pStyle w:val="Heading2"/>
        <w:spacing w:line="360" w:lineRule="auto"/>
        <w:jc w:val="both"/>
        <w:rPr>
          <w:rFonts w:ascii="Arial" w:hAnsi="Arial" w:cs="Arial"/>
          <w:b/>
          <w:bCs/>
          <w:color w:val="auto"/>
        </w:rPr>
      </w:pPr>
      <w:bookmarkStart w:id="3" w:name="_Toc107230839"/>
      <w:r w:rsidRPr="0011594F">
        <w:rPr>
          <w:rFonts w:ascii="Arial" w:hAnsi="Arial" w:cs="Arial"/>
          <w:b/>
          <w:bCs/>
          <w:color w:val="auto"/>
        </w:rPr>
        <w:t>(a) Research Philosophy</w:t>
      </w:r>
      <w:bookmarkEnd w:id="3"/>
    </w:p>
    <w:p w14:paraId="0E168D9E" w14:textId="05347766" w:rsidR="004046AD" w:rsidRPr="004318E5" w:rsidRDefault="004318E5" w:rsidP="00CF2F07">
      <w:pPr>
        <w:spacing w:line="360" w:lineRule="auto"/>
        <w:jc w:val="both"/>
        <w:rPr>
          <w:rFonts w:ascii="Arial" w:hAnsi="Arial" w:cs="Arial"/>
          <w:sz w:val="24"/>
          <w:szCs w:val="24"/>
        </w:rPr>
      </w:pPr>
      <w:r w:rsidRPr="004318E5">
        <w:rPr>
          <w:rFonts w:ascii="Arial" w:hAnsi="Arial" w:cs="Arial"/>
          <w:sz w:val="24"/>
          <w:szCs w:val="24"/>
        </w:rPr>
        <w:t>Researchers argue that curious minds are what keep this field of research current and help spread the word. There is a possibility that a common philosophical foundation will affect how data is gathered and analysed. Realist, positivist, and interpretivist approaches are frequently used in scientific research. To better understand the social setting in which their study is being conducted, researchers should adopt an interpretivism mindset</w:t>
      </w:r>
      <w:r w:rsidR="002D719E">
        <w:rPr>
          <w:rFonts w:ascii="Arial" w:hAnsi="Arial" w:cs="Arial"/>
          <w:sz w:val="24"/>
          <w:szCs w:val="24"/>
        </w:rPr>
        <w:t xml:space="preserve"> (</w:t>
      </w:r>
      <w:r w:rsidR="002D719E" w:rsidRPr="002D719E">
        <w:rPr>
          <w:rFonts w:ascii="Arial" w:hAnsi="Arial" w:cs="Arial"/>
          <w:color w:val="222222"/>
          <w:sz w:val="24"/>
          <w:szCs w:val="24"/>
          <w:shd w:val="clear" w:color="auto" w:fill="FFFFFF"/>
        </w:rPr>
        <w:t>Singh</w:t>
      </w:r>
      <w:r w:rsidR="002D719E">
        <w:rPr>
          <w:rFonts w:ascii="Arial" w:hAnsi="Arial" w:cs="Arial"/>
          <w:color w:val="222222"/>
          <w:sz w:val="24"/>
          <w:szCs w:val="24"/>
          <w:shd w:val="clear" w:color="auto" w:fill="FFFFFF"/>
        </w:rPr>
        <w:t xml:space="preserve"> et.al., 2022</w:t>
      </w:r>
      <w:r w:rsidR="002D719E">
        <w:rPr>
          <w:rFonts w:ascii="Arial" w:hAnsi="Arial" w:cs="Arial"/>
          <w:sz w:val="24"/>
          <w:szCs w:val="24"/>
        </w:rPr>
        <w:t>)</w:t>
      </w:r>
      <w:r w:rsidRPr="004318E5">
        <w:rPr>
          <w:rFonts w:ascii="Arial" w:hAnsi="Arial" w:cs="Arial"/>
          <w:sz w:val="24"/>
          <w:szCs w:val="24"/>
        </w:rPr>
        <w:t xml:space="preserve">. The researchers may have leaned toward an interpretivism philosophical approach without resorting to experimentation or observation. To better comprehend the relevance of the issue and the influence of employee engagement, the researchers will be conducting an in-depth study using an interpretivism approach to examine the consequences of the employee engagement issues within Hyatt as an organisational culture. This information is crucial for understanding the results and providing a solution to the study problem. This study's </w:t>
      </w:r>
      <w:r w:rsidRPr="004318E5">
        <w:rPr>
          <w:rFonts w:ascii="Arial" w:hAnsi="Arial" w:cs="Arial"/>
          <w:sz w:val="24"/>
          <w:szCs w:val="24"/>
        </w:rPr>
        <w:lastRenderedPageBreak/>
        <w:t>conclusion is based on data obtained from participants and analysed using interpretivist research methods</w:t>
      </w:r>
      <w:r w:rsidR="000E49F4">
        <w:rPr>
          <w:rFonts w:ascii="Arial" w:hAnsi="Arial" w:cs="Arial"/>
          <w:sz w:val="24"/>
          <w:szCs w:val="24"/>
        </w:rPr>
        <w:t xml:space="preserve"> (</w:t>
      </w:r>
      <w:r w:rsidR="000E49F4" w:rsidRPr="002D719E">
        <w:rPr>
          <w:rFonts w:ascii="Arial" w:hAnsi="Arial" w:cs="Arial"/>
          <w:color w:val="222222"/>
          <w:sz w:val="24"/>
          <w:szCs w:val="24"/>
          <w:shd w:val="clear" w:color="auto" w:fill="FFFFFF"/>
        </w:rPr>
        <w:t>Sileyew</w:t>
      </w:r>
      <w:r w:rsidR="000E49F4">
        <w:rPr>
          <w:rFonts w:ascii="Arial" w:hAnsi="Arial" w:cs="Arial"/>
          <w:color w:val="222222"/>
          <w:sz w:val="24"/>
          <w:szCs w:val="24"/>
          <w:shd w:val="clear" w:color="auto" w:fill="FFFFFF"/>
        </w:rPr>
        <w:t>, 2019</w:t>
      </w:r>
      <w:r w:rsidR="000E49F4">
        <w:rPr>
          <w:rFonts w:ascii="Arial" w:hAnsi="Arial" w:cs="Arial"/>
          <w:sz w:val="24"/>
          <w:szCs w:val="24"/>
        </w:rPr>
        <w:t>)</w:t>
      </w:r>
      <w:r w:rsidRPr="004318E5">
        <w:rPr>
          <w:rFonts w:ascii="Arial" w:hAnsi="Arial" w:cs="Arial"/>
          <w:sz w:val="24"/>
          <w:szCs w:val="24"/>
        </w:rPr>
        <w:t>.</w:t>
      </w:r>
    </w:p>
    <w:p w14:paraId="18C38891" w14:textId="54039A23" w:rsidR="0011594F" w:rsidRDefault="0011594F" w:rsidP="00CF2F07">
      <w:pPr>
        <w:pStyle w:val="Heading2"/>
        <w:spacing w:line="360" w:lineRule="auto"/>
        <w:jc w:val="both"/>
        <w:rPr>
          <w:rFonts w:ascii="Arial" w:hAnsi="Arial" w:cs="Arial"/>
          <w:b/>
          <w:bCs/>
          <w:color w:val="auto"/>
        </w:rPr>
      </w:pPr>
      <w:bookmarkStart w:id="4" w:name="_Toc107230840"/>
      <w:r w:rsidRPr="0011594F">
        <w:rPr>
          <w:rFonts w:ascii="Arial" w:hAnsi="Arial" w:cs="Arial"/>
          <w:b/>
          <w:bCs/>
          <w:color w:val="auto"/>
        </w:rPr>
        <w:t>(</w:t>
      </w:r>
      <w:r w:rsidR="004318E5">
        <w:rPr>
          <w:rFonts w:ascii="Arial" w:hAnsi="Arial" w:cs="Arial"/>
          <w:b/>
          <w:bCs/>
          <w:color w:val="auto"/>
        </w:rPr>
        <w:t>b</w:t>
      </w:r>
      <w:r w:rsidRPr="0011594F">
        <w:rPr>
          <w:rFonts w:ascii="Arial" w:hAnsi="Arial" w:cs="Arial"/>
          <w:b/>
          <w:bCs/>
          <w:color w:val="auto"/>
        </w:rPr>
        <w:t>) Data Collection</w:t>
      </w:r>
      <w:bookmarkEnd w:id="4"/>
    </w:p>
    <w:p w14:paraId="293D0383" w14:textId="0F792251" w:rsidR="004318E5" w:rsidRPr="004318E5" w:rsidRDefault="004318E5" w:rsidP="00CF2F07">
      <w:pPr>
        <w:spacing w:line="360" w:lineRule="auto"/>
        <w:jc w:val="both"/>
        <w:rPr>
          <w:rFonts w:ascii="Arial" w:hAnsi="Arial" w:cs="Arial"/>
          <w:sz w:val="24"/>
          <w:szCs w:val="24"/>
        </w:rPr>
      </w:pPr>
      <w:r w:rsidRPr="004318E5">
        <w:rPr>
          <w:rFonts w:ascii="Arial" w:hAnsi="Arial" w:cs="Arial"/>
          <w:sz w:val="24"/>
          <w:szCs w:val="24"/>
        </w:rPr>
        <w:t>Primary and secondary sources are the two types of information gathering methods. Accessing historical records is one possible use of the secondary method of data acquisition. There is a vast range of print and digital books, theoretical frameworks, and methodological approaches that may be used as reference resources. This is how scientists and academics stay abreast of the latest developments in the fields they study. The primary strategy and its supporting data serve as the foundation for all of the data collection methods used</w:t>
      </w:r>
      <w:r w:rsidR="000E49F4">
        <w:rPr>
          <w:rFonts w:ascii="Arial" w:hAnsi="Arial" w:cs="Arial"/>
          <w:sz w:val="24"/>
          <w:szCs w:val="24"/>
        </w:rPr>
        <w:t xml:space="preserve"> (</w:t>
      </w:r>
      <w:r w:rsidR="000E49F4" w:rsidRPr="002D719E">
        <w:rPr>
          <w:rFonts w:ascii="Arial" w:hAnsi="Arial" w:cs="Arial"/>
          <w:color w:val="222222"/>
          <w:sz w:val="24"/>
          <w:szCs w:val="24"/>
          <w:shd w:val="clear" w:color="auto" w:fill="FFFFFF"/>
        </w:rPr>
        <w:t>Tavitiyaman</w:t>
      </w:r>
      <w:r w:rsidR="000E49F4">
        <w:rPr>
          <w:rFonts w:ascii="Arial" w:hAnsi="Arial" w:cs="Arial"/>
          <w:color w:val="222222"/>
          <w:sz w:val="24"/>
          <w:szCs w:val="24"/>
          <w:shd w:val="clear" w:color="auto" w:fill="FFFFFF"/>
        </w:rPr>
        <w:t xml:space="preserve"> et.al., 2022</w:t>
      </w:r>
      <w:r w:rsidR="000E49F4">
        <w:rPr>
          <w:rFonts w:ascii="Arial" w:hAnsi="Arial" w:cs="Arial"/>
          <w:sz w:val="24"/>
          <w:szCs w:val="24"/>
        </w:rPr>
        <w:t>)</w:t>
      </w:r>
      <w:r w:rsidRPr="004318E5">
        <w:rPr>
          <w:rFonts w:ascii="Arial" w:hAnsi="Arial" w:cs="Arial"/>
          <w:sz w:val="24"/>
          <w:szCs w:val="24"/>
        </w:rPr>
        <w:t>. Since the study has defined aims, the researcher will use a technique most suitable for accomplishing those aims, and that approach will likely be a mixed one that draws on both primary and secondary sources. Using Google forms, we can easily gather data from a large number of individuals and then use that data to draw conclusions about the effect of employee engagement at hotels like Hyatt. Therefore, previous quantitative research or data will be utilised to depict the statistical situation of analysing the effect employee engagement inside Hyatt incorporating difficulties such as staff scarcity, lack of training, and inadequate management. Theoretical knowledge from writers and researchers will also be drawn upon through secondary sources such as journals, books, pdfs, papers, etc</w:t>
      </w:r>
      <w:r w:rsidR="000E49F4">
        <w:rPr>
          <w:rFonts w:ascii="Arial" w:hAnsi="Arial" w:cs="Arial"/>
          <w:sz w:val="24"/>
          <w:szCs w:val="24"/>
        </w:rPr>
        <w:t xml:space="preserve"> (</w:t>
      </w:r>
      <w:r w:rsidR="000E49F4" w:rsidRPr="002D719E">
        <w:rPr>
          <w:rFonts w:ascii="Arial" w:hAnsi="Arial" w:cs="Arial"/>
          <w:color w:val="222222"/>
          <w:sz w:val="24"/>
          <w:szCs w:val="24"/>
          <w:shd w:val="clear" w:color="auto" w:fill="FFFFFF"/>
        </w:rPr>
        <w:t>Mahmood</w:t>
      </w:r>
      <w:r w:rsidR="000E49F4">
        <w:rPr>
          <w:rFonts w:ascii="Arial" w:hAnsi="Arial" w:cs="Arial"/>
          <w:color w:val="222222"/>
          <w:sz w:val="24"/>
          <w:szCs w:val="24"/>
          <w:shd w:val="clear" w:color="auto" w:fill="FFFFFF"/>
        </w:rPr>
        <w:t xml:space="preserve"> et.al., 2021</w:t>
      </w:r>
      <w:r w:rsidR="000E49F4">
        <w:rPr>
          <w:rFonts w:ascii="Arial" w:hAnsi="Arial" w:cs="Arial"/>
          <w:sz w:val="24"/>
          <w:szCs w:val="24"/>
        </w:rPr>
        <w:t>)</w:t>
      </w:r>
      <w:r w:rsidRPr="004318E5">
        <w:rPr>
          <w:rFonts w:ascii="Arial" w:hAnsi="Arial" w:cs="Arial"/>
          <w:sz w:val="24"/>
          <w:szCs w:val="24"/>
        </w:rPr>
        <w:t>.</w:t>
      </w:r>
    </w:p>
    <w:p w14:paraId="62FB136F" w14:textId="57B67DB7" w:rsidR="0011594F" w:rsidRDefault="0011594F" w:rsidP="00CF2F07">
      <w:pPr>
        <w:pStyle w:val="Heading2"/>
        <w:spacing w:line="360" w:lineRule="auto"/>
        <w:jc w:val="both"/>
        <w:rPr>
          <w:rFonts w:ascii="Arial" w:hAnsi="Arial" w:cs="Arial"/>
          <w:b/>
          <w:bCs/>
          <w:color w:val="auto"/>
        </w:rPr>
      </w:pPr>
      <w:bookmarkStart w:id="5" w:name="_Toc107230841"/>
      <w:r w:rsidRPr="0011594F">
        <w:rPr>
          <w:rFonts w:ascii="Arial" w:hAnsi="Arial" w:cs="Arial"/>
          <w:b/>
          <w:bCs/>
          <w:color w:val="auto"/>
        </w:rPr>
        <w:t>(</w:t>
      </w:r>
      <w:r w:rsidR="004318E5">
        <w:rPr>
          <w:rFonts w:ascii="Arial" w:hAnsi="Arial" w:cs="Arial"/>
          <w:b/>
          <w:bCs/>
          <w:color w:val="auto"/>
        </w:rPr>
        <w:t>c</w:t>
      </w:r>
      <w:r w:rsidRPr="0011594F">
        <w:rPr>
          <w:rFonts w:ascii="Arial" w:hAnsi="Arial" w:cs="Arial"/>
          <w:b/>
          <w:bCs/>
          <w:color w:val="auto"/>
        </w:rPr>
        <w:t>) Data Analysis Method</w:t>
      </w:r>
      <w:bookmarkEnd w:id="5"/>
    </w:p>
    <w:p w14:paraId="0F01C234" w14:textId="2E508B40" w:rsidR="004318E5" w:rsidRPr="004318E5" w:rsidRDefault="004318E5" w:rsidP="00CF2F07">
      <w:pPr>
        <w:spacing w:line="360" w:lineRule="auto"/>
        <w:jc w:val="both"/>
        <w:rPr>
          <w:rFonts w:ascii="Arial" w:hAnsi="Arial" w:cs="Arial"/>
          <w:sz w:val="24"/>
          <w:szCs w:val="24"/>
        </w:rPr>
      </w:pPr>
      <w:r w:rsidRPr="004318E5">
        <w:rPr>
          <w:rFonts w:ascii="Arial" w:hAnsi="Arial" w:cs="Arial"/>
          <w:sz w:val="24"/>
          <w:szCs w:val="24"/>
        </w:rPr>
        <w:t>It has been shown that both primary and secondary sources of information are being used in order to make this study successful and obvious, with primary sources serving as the major means by which the research questions are being answered. As such, we have employed the survey questionnaire as a means of collecting data relevant to the issue of our research, which makes use of both quantitative and qualitative methods by way of the incorporation of theoretical background</w:t>
      </w:r>
      <w:r w:rsidR="000E49F4">
        <w:rPr>
          <w:rFonts w:ascii="Arial" w:hAnsi="Arial" w:cs="Arial"/>
          <w:sz w:val="24"/>
          <w:szCs w:val="24"/>
        </w:rPr>
        <w:t xml:space="preserve"> (</w:t>
      </w:r>
      <w:r w:rsidR="000E49F4" w:rsidRPr="002D719E">
        <w:rPr>
          <w:rFonts w:ascii="Arial" w:hAnsi="Arial" w:cs="Arial"/>
          <w:color w:val="222222"/>
          <w:sz w:val="24"/>
          <w:szCs w:val="24"/>
          <w:shd w:val="clear" w:color="auto" w:fill="FFFFFF"/>
        </w:rPr>
        <w:t>Basnyat and Lao</w:t>
      </w:r>
      <w:r w:rsidR="000E49F4">
        <w:rPr>
          <w:rFonts w:ascii="Arial" w:hAnsi="Arial" w:cs="Arial"/>
          <w:color w:val="222222"/>
          <w:sz w:val="24"/>
          <w:szCs w:val="24"/>
          <w:shd w:val="clear" w:color="auto" w:fill="FFFFFF"/>
        </w:rPr>
        <w:t>, 2019</w:t>
      </w:r>
      <w:r w:rsidR="000E49F4">
        <w:rPr>
          <w:rFonts w:ascii="Arial" w:hAnsi="Arial" w:cs="Arial"/>
          <w:sz w:val="24"/>
          <w:szCs w:val="24"/>
        </w:rPr>
        <w:t>)</w:t>
      </w:r>
      <w:r w:rsidRPr="004318E5">
        <w:rPr>
          <w:rFonts w:ascii="Arial" w:hAnsi="Arial" w:cs="Arial"/>
          <w:sz w:val="24"/>
          <w:szCs w:val="24"/>
        </w:rPr>
        <w:t>. Also, we have participants fill out the survey when it is most convenient for them by sending them a link to the survey through email. Therefore, a descriptive method will be employed for an in-depth examination of this study.</w:t>
      </w:r>
    </w:p>
    <w:p w14:paraId="2175A723" w14:textId="489C15C1" w:rsidR="0011594F" w:rsidRDefault="0011594F" w:rsidP="00CF2F07">
      <w:pPr>
        <w:pStyle w:val="Heading2"/>
        <w:spacing w:line="360" w:lineRule="auto"/>
        <w:jc w:val="both"/>
        <w:rPr>
          <w:rFonts w:ascii="Arial" w:hAnsi="Arial" w:cs="Arial"/>
          <w:b/>
          <w:bCs/>
          <w:color w:val="auto"/>
        </w:rPr>
      </w:pPr>
      <w:bookmarkStart w:id="6" w:name="_Toc107230842"/>
      <w:r w:rsidRPr="0011594F">
        <w:rPr>
          <w:rFonts w:ascii="Arial" w:hAnsi="Arial" w:cs="Arial"/>
          <w:b/>
          <w:bCs/>
          <w:color w:val="auto"/>
        </w:rPr>
        <w:lastRenderedPageBreak/>
        <w:t>(e) Sampling Method</w:t>
      </w:r>
      <w:bookmarkEnd w:id="6"/>
    </w:p>
    <w:p w14:paraId="4D75799C" w14:textId="7078653D" w:rsidR="002B25D1" w:rsidRPr="004318E5" w:rsidRDefault="004318E5" w:rsidP="00CF2F07">
      <w:pPr>
        <w:spacing w:line="360" w:lineRule="auto"/>
        <w:jc w:val="both"/>
        <w:rPr>
          <w:rFonts w:ascii="Arial" w:hAnsi="Arial" w:cs="Arial"/>
          <w:sz w:val="24"/>
          <w:szCs w:val="24"/>
        </w:rPr>
      </w:pPr>
      <w:r w:rsidRPr="004318E5">
        <w:rPr>
          <w:rFonts w:ascii="Arial" w:hAnsi="Arial" w:cs="Arial"/>
          <w:sz w:val="24"/>
          <w:szCs w:val="24"/>
        </w:rPr>
        <w:t>It is essential for a researcher to utilise a questionnaire to collect information from respondents during a survey. Thirty people will be selected at random using a basic simple random process. Participants will range in age from 25 to 60 or older to be representative of Hyatt's workforce. With their aid, researchers will be able to weigh the benefits and drawbacks of employee involvement at Hyatt-type hotels</w:t>
      </w:r>
      <w:r w:rsidR="000E49F4">
        <w:rPr>
          <w:rFonts w:ascii="Arial" w:hAnsi="Arial" w:cs="Arial"/>
          <w:sz w:val="24"/>
          <w:szCs w:val="24"/>
        </w:rPr>
        <w:t xml:space="preserve"> (</w:t>
      </w:r>
      <w:r w:rsidR="000E49F4" w:rsidRPr="002D719E">
        <w:rPr>
          <w:rFonts w:ascii="Arial" w:hAnsi="Arial" w:cs="Arial"/>
          <w:color w:val="222222"/>
          <w:sz w:val="24"/>
          <w:szCs w:val="24"/>
          <w:shd w:val="clear" w:color="auto" w:fill="FFFFFF"/>
        </w:rPr>
        <w:t>Dakwa</w:t>
      </w:r>
      <w:r w:rsidR="000E49F4">
        <w:rPr>
          <w:rFonts w:ascii="Arial" w:hAnsi="Arial" w:cs="Arial"/>
          <w:color w:val="222222"/>
          <w:sz w:val="24"/>
          <w:szCs w:val="24"/>
          <w:shd w:val="clear" w:color="auto" w:fill="FFFFFF"/>
        </w:rPr>
        <w:t xml:space="preserve"> et.al., 2018</w:t>
      </w:r>
      <w:r w:rsidR="000E49F4">
        <w:rPr>
          <w:rFonts w:ascii="Arial" w:hAnsi="Arial" w:cs="Arial"/>
          <w:sz w:val="24"/>
          <w:szCs w:val="24"/>
        </w:rPr>
        <w:t>)</w:t>
      </w:r>
      <w:r w:rsidRPr="004318E5">
        <w:rPr>
          <w:rFonts w:ascii="Arial" w:hAnsi="Arial" w:cs="Arial"/>
          <w:sz w:val="24"/>
          <w:szCs w:val="24"/>
        </w:rPr>
        <w:t>. Additionally, a consent form will be distributed to all respondents to ensure that they are aware of the study's purpose and rationale. With this method, researchers should be able to get more trustworthy data. In addition, Microsoft Excel will be used to create charts, graphs, etc. to present the results of the thorough study.</w:t>
      </w:r>
    </w:p>
    <w:p w14:paraId="3F471080" w14:textId="69AD9CBB" w:rsidR="0059123D" w:rsidRPr="00F558A7" w:rsidRDefault="0059123D" w:rsidP="00CF2F07">
      <w:pPr>
        <w:pStyle w:val="Heading1"/>
        <w:numPr>
          <w:ilvl w:val="0"/>
          <w:numId w:val="1"/>
        </w:numPr>
        <w:spacing w:line="360" w:lineRule="auto"/>
        <w:jc w:val="both"/>
        <w:rPr>
          <w:rFonts w:ascii="Arial" w:hAnsi="Arial" w:cs="Arial"/>
          <w:b/>
          <w:bCs/>
          <w:color w:val="auto"/>
          <w:sz w:val="28"/>
          <w:szCs w:val="28"/>
        </w:rPr>
      </w:pPr>
      <w:bookmarkStart w:id="7" w:name="_Toc107230843"/>
      <w:r w:rsidRPr="00F558A7">
        <w:rPr>
          <w:rFonts w:ascii="Arial" w:hAnsi="Arial" w:cs="Arial"/>
          <w:b/>
          <w:bCs/>
          <w:color w:val="auto"/>
          <w:sz w:val="28"/>
          <w:szCs w:val="28"/>
        </w:rPr>
        <w:t>Evaluation and Conclusion</w:t>
      </w:r>
      <w:bookmarkEnd w:id="7"/>
    </w:p>
    <w:p w14:paraId="75EF5415" w14:textId="2D6C4C67" w:rsidR="00A2688C" w:rsidRDefault="00BD05B2" w:rsidP="00CF2F07">
      <w:pPr>
        <w:spacing w:line="360" w:lineRule="auto"/>
        <w:jc w:val="both"/>
        <w:rPr>
          <w:rFonts w:ascii="Arial" w:hAnsi="Arial" w:cs="Arial"/>
          <w:sz w:val="24"/>
          <w:szCs w:val="24"/>
        </w:rPr>
      </w:pPr>
      <w:r w:rsidRPr="004A12F5">
        <w:rPr>
          <w:rFonts w:ascii="Arial" w:hAnsi="Arial" w:cs="Arial"/>
          <w:sz w:val="24"/>
          <w:szCs w:val="24"/>
        </w:rPr>
        <w:t xml:space="preserve">Therefore, from the above discussion it has been concluded that </w:t>
      </w:r>
      <w:r w:rsidR="004A12F5" w:rsidRPr="004A12F5">
        <w:rPr>
          <w:rFonts w:ascii="Arial" w:hAnsi="Arial" w:cs="Arial"/>
          <w:sz w:val="24"/>
          <w:szCs w:val="24"/>
        </w:rPr>
        <w:t>Managers in the hotel business who make an effort to motivate their staff members and employees should expect to see concrete gains in profitability. To get the most out of their efforts, new employees need to be brought up to speed on the company's mission, brand strategy, and how their position contributes to the company's overall success. By acting with integrity and winning the respect of their colleagues, leaders may strengthen their expert and referent authority, which in turn fosters a more positive work environment and enhanced employee engagement. As a general manager at Hyatt, it is my duty to motivate my staff to provide their very best effort by providing them with stimulating opportunities to stretch their abilities. This method encourages active learning and helps students improve their abilities. Employees are able to keep a positive outlook on their jobs because to the whole process's positive impact on their morale.</w:t>
      </w:r>
    </w:p>
    <w:p w14:paraId="2EBBDD77" w14:textId="77777777" w:rsidR="00A2688C" w:rsidRDefault="00A2688C" w:rsidP="00CF2F07">
      <w:pPr>
        <w:spacing w:line="360" w:lineRule="auto"/>
        <w:rPr>
          <w:rFonts w:ascii="Arial" w:hAnsi="Arial" w:cs="Arial"/>
          <w:sz w:val="24"/>
          <w:szCs w:val="24"/>
        </w:rPr>
      </w:pPr>
      <w:r>
        <w:rPr>
          <w:rFonts w:ascii="Arial" w:hAnsi="Arial" w:cs="Arial"/>
          <w:sz w:val="24"/>
          <w:szCs w:val="24"/>
        </w:rPr>
        <w:br w:type="page"/>
      </w:r>
    </w:p>
    <w:p w14:paraId="0BA0A87C" w14:textId="5CF50D0B" w:rsidR="00805438" w:rsidRDefault="00A2688C" w:rsidP="00CF2F07">
      <w:pPr>
        <w:pStyle w:val="Heading1"/>
        <w:spacing w:line="360" w:lineRule="auto"/>
        <w:rPr>
          <w:rFonts w:ascii="Arial" w:hAnsi="Arial" w:cs="Arial"/>
          <w:b/>
          <w:bCs/>
          <w:color w:val="auto"/>
          <w:sz w:val="28"/>
          <w:szCs w:val="28"/>
        </w:rPr>
      </w:pPr>
      <w:bookmarkStart w:id="8" w:name="_Toc107230844"/>
      <w:r w:rsidRPr="0097793D">
        <w:rPr>
          <w:rFonts w:ascii="Arial" w:hAnsi="Arial" w:cs="Arial"/>
          <w:b/>
          <w:bCs/>
          <w:color w:val="auto"/>
          <w:sz w:val="28"/>
          <w:szCs w:val="28"/>
        </w:rPr>
        <w:lastRenderedPageBreak/>
        <w:t>References</w:t>
      </w:r>
      <w:bookmarkEnd w:id="8"/>
    </w:p>
    <w:p w14:paraId="4D0A8851"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t>Basnyat, S. and Lao, C.S.C., 2019. Employees’ perceptions on the relationship between human resource management practices and employee turnover: A qualitative study. </w:t>
      </w:r>
      <w:r w:rsidRPr="002D719E">
        <w:rPr>
          <w:rFonts w:ascii="Arial" w:hAnsi="Arial" w:cs="Arial"/>
          <w:i/>
          <w:iCs/>
          <w:color w:val="222222"/>
          <w:sz w:val="24"/>
          <w:szCs w:val="24"/>
          <w:shd w:val="clear" w:color="auto" w:fill="FFFFFF"/>
        </w:rPr>
        <w:t>Employee Relations: The International Journal</w:t>
      </w:r>
      <w:r w:rsidRPr="002D719E">
        <w:rPr>
          <w:rFonts w:ascii="Arial" w:hAnsi="Arial" w:cs="Arial"/>
          <w:color w:val="222222"/>
          <w:sz w:val="24"/>
          <w:szCs w:val="24"/>
          <w:shd w:val="clear" w:color="auto" w:fill="FFFFFF"/>
        </w:rPr>
        <w:t>.</w:t>
      </w:r>
    </w:p>
    <w:p w14:paraId="281C6EA2"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t>Du, J., Ma, E. and Lin, X., 2021. When diversity leads to divided teams: A multi-level moderated mediation model of team faultlines and employee engagement. </w:t>
      </w:r>
      <w:r w:rsidRPr="002D719E">
        <w:rPr>
          <w:rFonts w:ascii="Arial" w:hAnsi="Arial" w:cs="Arial"/>
          <w:i/>
          <w:iCs/>
          <w:color w:val="222222"/>
          <w:sz w:val="24"/>
          <w:szCs w:val="24"/>
          <w:shd w:val="clear" w:color="auto" w:fill="FFFFFF"/>
        </w:rPr>
        <w:t>International Journal of Hospitality Management</w:t>
      </w:r>
      <w:r w:rsidRPr="002D719E">
        <w:rPr>
          <w:rFonts w:ascii="Arial" w:hAnsi="Arial" w:cs="Arial"/>
          <w:color w:val="222222"/>
          <w:sz w:val="24"/>
          <w:szCs w:val="24"/>
          <w:shd w:val="clear" w:color="auto" w:fill="FFFFFF"/>
        </w:rPr>
        <w:t>, </w:t>
      </w:r>
      <w:r w:rsidRPr="002D719E">
        <w:rPr>
          <w:rFonts w:ascii="Arial" w:hAnsi="Arial" w:cs="Arial"/>
          <w:i/>
          <w:iCs/>
          <w:color w:val="222222"/>
          <w:sz w:val="24"/>
          <w:szCs w:val="24"/>
          <w:shd w:val="clear" w:color="auto" w:fill="FFFFFF"/>
        </w:rPr>
        <w:t>94</w:t>
      </w:r>
      <w:r w:rsidRPr="002D719E">
        <w:rPr>
          <w:rFonts w:ascii="Arial" w:hAnsi="Arial" w:cs="Arial"/>
          <w:color w:val="222222"/>
          <w:sz w:val="24"/>
          <w:szCs w:val="24"/>
          <w:shd w:val="clear" w:color="auto" w:fill="FFFFFF"/>
        </w:rPr>
        <w:t>, p.102818.</w:t>
      </w:r>
    </w:p>
    <w:p w14:paraId="65CD0335"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t>Du, J., Ma, E. and Lin, X., 2021. When diversity leads to divided teams: A multi-level moderated mediation model of team faultlines and employee engagement. </w:t>
      </w:r>
      <w:r w:rsidRPr="002D719E">
        <w:rPr>
          <w:rFonts w:ascii="Arial" w:hAnsi="Arial" w:cs="Arial"/>
          <w:i/>
          <w:iCs/>
          <w:color w:val="222222"/>
          <w:sz w:val="24"/>
          <w:szCs w:val="24"/>
          <w:shd w:val="clear" w:color="auto" w:fill="FFFFFF"/>
        </w:rPr>
        <w:t>International Journal of Hospitality Management</w:t>
      </w:r>
      <w:r w:rsidRPr="002D719E">
        <w:rPr>
          <w:rFonts w:ascii="Arial" w:hAnsi="Arial" w:cs="Arial"/>
          <w:color w:val="222222"/>
          <w:sz w:val="24"/>
          <w:szCs w:val="24"/>
          <w:shd w:val="clear" w:color="auto" w:fill="FFFFFF"/>
        </w:rPr>
        <w:t>, </w:t>
      </w:r>
      <w:r w:rsidRPr="002D719E">
        <w:rPr>
          <w:rFonts w:ascii="Arial" w:hAnsi="Arial" w:cs="Arial"/>
          <w:i/>
          <w:iCs/>
          <w:color w:val="222222"/>
          <w:sz w:val="24"/>
          <w:szCs w:val="24"/>
          <w:shd w:val="clear" w:color="auto" w:fill="FFFFFF"/>
        </w:rPr>
        <w:t>94</w:t>
      </w:r>
      <w:r w:rsidRPr="002D719E">
        <w:rPr>
          <w:rFonts w:ascii="Arial" w:hAnsi="Arial" w:cs="Arial"/>
          <w:color w:val="222222"/>
          <w:sz w:val="24"/>
          <w:szCs w:val="24"/>
          <w:shd w:val="clear" w:color="auto" w:fill="FFFFFF"/>
        </w:rPr>
        <w:t>, p.102818.</w:t>
      </w:r>
    </w:p>
    <w:p w14:paraId="0500F79A" w14:textId="77777777" w:rsidR="002D719E" w:rsidRPr="002D719E" w:rsidRDefault="002D719E" w:rsidP="00CF2F07">
      <w:pPr>
        <w:spacing w:line="360" w:lineRule="auto"/>
        <w:jc w:val="both"/>
        <w:rPr>
          <w:rFonts w:ascii="Arial" w:hAnsi="Arial" w:cs="Arial"/>
          <w:sz w:val="28"/>
          <w:szCs w:val="28"/>
        </w:rPr>
      </w:pPr>
      <w:r w:rsidRPr="002D719E">
        <w:rPr>
          <w:rFonts w:ascii="Arial" w:hAnsi="Arial" w:cs="Arial"/>
          <w:color w:val="222222"/>
          <w:sz w:val="24"/>
          <w:szCs w:val="24"/>
          <w:shd w:val="clear" w:color="auto" w:fill="FFFFFF"/>
        </w:rPr>
        <w:t>He, J., Morrison, A.M. and Zhang, H., 2021. How high-performance HR practices and LMX affect employee engagement and creativity in hospitality. </w:t>
      </w:r>
      <w:r w:rsidRPr="002D719E">
        <w:rPr>
          <w:rFonts w:ascii="Arial" w:hAnsi="Arial" w:cs="Arial"/>
          <w:i/>
          <w:iCs/>
          <w:color w:val="222222"/>
          <w:sz w:val="24"/>
          <w:szCs w:val="24"/>
          <w:shd w:val="clear" w:color="auto" w:fill="FFFFFF"/>
        </w:rPr>
        <w:t>Journal of Hospitality &amp; Tourism Research</w:t>
      </w:r>
      <w:r w:rsidRPr="002D719E">
        <w:rPr>
          <w:rFonts w:ascii="Arial" w:hAnsi="Arial" w:cs="Arial"/>
          <w:color w:val="222222"/>
          <w:sz w:val="24"/>
          <w:szCs w:val="24"/>
          <w:shd w:val="clear" w:color="auto" w:fill="FFFFFF"/>
        </w:rPr>
        <w:t>, </w:t>
      </w:r>
      <w:r w:rsidRPr="002D719E">
        <w:rPr>
          <w:rFonts w:ascii="Arial" w:hAnsi="Arial" w:cs="Arial"/>
          <w:i/>
          <w:iCs/>
          <w:color w:val="222222"/>
          <w:sz w:val="24"/>
          <w:szCs w:val="24"/>
          <w:shd w:val="clear" w:color="auto" w:fill="FFFFFF"/>
        </w:rPr>
        <w:t>45</w:t>
      </w:r>
      <w:r w:rsidRPr="002D719E">
        <w:rPr>
          <w:rFonts w:ascii="Arial" w:hAnsi="Arial" w:cs="Arial"/>
          <w:color w:val="222222"/>
          <w:sz w:val="24"/>
          <w:szCs w:val="24"/>
          <w:shd w:val="clear" w:color="auto" w:fill="FFFFFF"/>
        </w:rPr>
        <w:t xml:space="preserve">(8), pp.1360-1382. </w:t>
      </w:r>
    </w:p>
    <w:p w14:paraId="11277F47"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t>Hespanhol, M.C., Patrício, P.R., da Silva, L.H., Vargas, S.J., Rezende, T. and Campos, R.A., 2019. A sustainable methodology to extract bismuth from secondary sources. </w:t>
      </w:r>
      <w:r w:rsidRPr="002D719E">
        <w:rPr>
          <w:rFonts w:ascii="Arial" w:hAnsi="Arial" w:cs="Arial"/>
          <w:i/>
          <w:iCs/>
          <w:color w:val="222222"/>
          <w:sz w:val="24"/>
          <w:szCs w:val="24"/>
          <w:shd w:val="clear" w:color="auto" w:fill="FFFFFF"/>
        </w:rPr>
        <w:t>Journal of the Brazilian Chemical Society</w:t>
      </w:r>
      <w:r w:rsidRPr="002D719E">
        <w:rPr>
          <w:rFonts w:ascii="Arial" w:hAnsi="Arial" w:cs="Arial"/>
          <w:color w:val="222222"/>
          <w:sz w:val="24"/>
          <w:szCs w:val="24"/>
          <w:shd w:val="clear" w:color="auto" w:fill="FFFFFF"/>
        </w:rPr>
        <w:t>, </w:t>
      </w:r>
      <w:r w:rsidRPr="002D719E">
        <w:rPr>
          <w:rFonts w:ascii="Arial" w:hAnsi="Arial" w:cs="Arial"/>
          <w:i/>
          <w:iCs/>
          <w:color w:val="222222"/>
          <w:sz w:val="24"/>
          <w:szCs w:val="24"/>
          <w:shd w:val="clear" w:color="auto" w:fill="FFFFFF"/>
        </w:rPr>
        <w:t>30</w:t>
      </w:r>
      <w:r w:rsidRPr="002D719E">
        <w:rPr>
          <w:rFonts w:ascii="Arial" w:hAnsi="Arial" w:cs="Arial"/>
          <w:color w:val="222222"/>
          <w:sz w:val="24"/>
          <w:szCs w:val="24"/>
          <w:shd w:val="clear" w:color="auto" w:fill="FFFFFF"/>
        </w:rPr>
        <w:t>, pp.2376-2385.</w:t>
      </w:r>
    </w:p>
    <w:p w14:paraId="334A8057"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t>Mahmood, A., Akhtar, M.N., Talat, U., Shuai, C. and Hyatt, J.C., 2019. Specific HR practices and employee commitment: the mediating role of job satisfaction. </w:t>
      </w:r>
      <w:r w:rsidRPr="002D719E">
        <w:rPr>
          <w:rFonts w:ascii="Arial" w:hAnsi="Arial" w:cs="Arial"/>
          <w:i/>
          <w:iCs/>
          <w:color w:val="222222"/>
          <w:sz w:val="24"/>
          <w:szCs w:val="24"/>
          <w:shd w:val="clear" w:color="auto" w:fill="FFFFFF"/>
        </w:rPr>
        <w:t>Employee Relations: The International Journal</w:t>
      </w:r>
      <w:r w:rsidRPr="002D719E">
        <w:rPr>
          <w:rFonts w:ascii="Arial" w:hAnsi="Arial" w:cs="Arial"/>
          <w:color w:val="222222"/>
          <w:sz w:val="24"/>
          <w:szCs w:val="24"/>
          <w:shd w:val="clear" w:color="auto" w:fill="FFFFFF"/>
        </w:rPr>
        <w:t>.</w:t>
      </w:r>
    </w:p>
    <w:p w14:paraId="4C2A5043"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t>Mahmood, A., Akhtar, M.N., Talat, U., Shuai, C. and Hyatt, J.C., 2020. Employee Relations: The International Journal.</w:t>
      </w:r>
    </w:p>
    <w:p w14:paraId="0E55FF32"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t>Mahmood, A., Akhtar, M.N., Talat, U., Shuai, C. and Hyatt, J.C., 2019. Specific HR practices and employee commitment: the mediating role of job satisfaction. </w:t>
      </w:r>
      <w:r w:rsidRPr="002D719E">
        <w:rPr>
          <w:rFonts w:ascii="Arial" w:hAnsi="Arial" w:cs="Arial"/>
          <w:i/>
          <w:iCs/>
          <w:color w:val="222222"/>
          <w:sz w:val="24"/>
          <w:szCs w:val="24"/>
          <w:shd w:val="clear" w:color="auto" w:fill="FFFFFF"/>
        </w:rPr>
        <w:t>Employee Relations: The International Journal</w:t>
      </w:r>
      <w:r w:rsidRPr="002D719E">
        <w:rPr>
          <w:rFonts w:ascii="Arial" w:hAnsi="Arial" w:cs="Arial"/>
          <w:color w:val="222222"/>
          <w:sz w:val="24"/>
          <w:szCs w:val="24"/>
          <w:shd w:val="clear" w:color="auto" w:fill="FFFFFF"/>
        </w:rPr>
        <w:t>.</w:t>
      </w:r>
    </w:p>
    <w:p w14:paraId="142BE760"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t>Mahmood, A., Akhtar, M.N., Talat, U., Shuai, C. and Hyatt, J.C., Employee Relations: The International Journal.</w:t>
      </w:r>
    </w:p>
    <w:p w14:paraId="735808EA"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t>Meier III, J.G., 2021. </w:t>
      </w:r>
      <w:r w:rsidRPr="002D719E">
        <w:rPr>
          <w:rFonts w:ascii="Arial" w:hAnsi="Arial" w:cs="Arial"/>
          <w:i/>
          <w:iCs/>
          <w:color w:val="222222"/>
          <w:sz w:val="24"/>
          <w:szCs w:val="24"/>
          <w:shd w:val="clear" w:color="auto" w:fill="FFFFFF"/>
        </w:rPr>
        <w:t>The Relation among Employee Alignment, Perceived Organizational Support, and Employee Engagement</w:t>
      </w:r>
      <w:r w:rsidRPr="002D719E">
        <w:rPr>
          <w:rFonts w:ascii="Arial" w:hAnsi="Arial" w:cs="Arial"/>
          <w:color w:val="222222"/>
          <w:sz w:val="24"/>
          <w:szCs w:val="24"/>
          <w:shd w:val="clear" w:color="auto" w:fill="FFFFFF"/>
        </w:rPr>
        <w:t> (Doctoral dissertation, The George Washington University).</w:t>
      </w:r>
    </w:p>
    <w:p w14:paraId="135AFE4F"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lastRenderedPageBreak/>
        <w:t>Opoku</w:t>
      </w:r>
      <w:r w:rsidRPr="002D719E">
        <w:rPr>
          <w:rFonts w:ascii="Cambria Math" w:hAnsi="Cambria Math" w:cs="Cambria Math"/>
          <w:color w:val="222222"/>
          <w:sz w:val="24"/>
          <w:szCs w:val="24"/>
          <w:shd w:val="clear" w:color="auto" w:fill="FFFFFF"/>
        </w:rPr>
        <w:t>‐</w:t>
      </w:r>
      <w:r w:rsidRPr="002D719E">
        <w:rPr>
          <w:rFonts w:ascii="Arial" w:hAnsi="Arial" w:cs="Arial"/>
          <w:color w:val="222222"/>
          <w:sz w:val="24"/>
          <w:szCs w:val="24"/>
          <w:shd w:val="clear" w:color="auto" w:fill="FFFFFF"/>
        </w:rPr>
        <w:t>Dakwa, A., Chen, C.C. and Rupp, D.E., 2018. CSR initiative characteristics and employee engagement: An impact</w:t>
      </w:r>
      <w:r w:rsidRPr="002D719E">
        <w:rPr>
          <w:rFonts w:ascii="Cambria Math" w:hAnsi="Cambria Math" w:cs="Cambria Math"/>
          <w:color w:val="222222"/>
          <w:sz w:val="24"/>
          <w:szCs w:val="24"/>
          <w:shd w:val="clear" w:color="auto" w:fill="FFFFFF"/>
        </w:rPr>
        <w:t>‐</w:t>
      </w:r>
      <w:r w:rsidRPr="002D719E">
        <w:rPr>
          <w:rFonts w:ascii="Arial" w:hAnsi="Arial" w:cs="Arial"/>
          <w:color w:val="222222"/>
          <w:sz w:val="24"/>
          <w:szCs w:val="24"/>
          <w:shd w:val="clear" w:color="auto" w:fill="FFFFFF"/>
        </w:rPr>
        <w:t>based perspective. </w:t>
      </w:r>
      <w:r w:rsidRPr="002D719E">
        <w:rPr>
          <w:rFonts w:ascii="Arial" w:hAnsi="Arial" w:cs="Arial"/>
          <w:i/>
          <w:iCs/>
          <w:color w:val="222222"/>
          <w:sz w:val="24"/>
          <w:szCs w:val="24"/>
          <w:shd w:val="clear" w:color="auto" w:fill="FFFFFF"/>
        </w:rPr>
        <w:t>Journal of Organizational Behavior</w:t>
      </w:r>
      <w:r w:rsidRPr="002D719E">
        <w:rPr>
          <w:rFonts w:ascii="Arial" w:hAnsi="Arial" w:cs="Arial"/>
          <w:color w:val="222222"/>
          <w:sz w:val="24"/>
          <w:szCs w:val="24"/>
          <w:shd w:val="clear" w:color="auto" w:fill="FFFFFF"/>
        </w:rPr>
        <w:t>, </w:t>
      </w:r>
      <w:r w:rsidRPr="002D719E">
        <w:rPr>
          <w:rFonts w:ascii="Arial" w:hAnsi="Arial" w:cs="Arial"/>
          <w:i/>
          <w:iCs/>
          <w:color w:val="222222"/>
          <w:sz w:val="24"/>
          <w:szCs w:val="24"/>
          <w:shd w:val="clear" w:color="auto" w:fill="FFFFFF"/>
        </w:rPr>
        <w:t>39</w:t>
      </w:r>
      <w:r w:rsidRPr="002D719E">
        <w:rPr>
          <w:rFonts w:ascii="Arial" w:hAnsi="Arial" w:cs="Arial"/>
          <w:color w:val="222222"/>
          <w:sz w:val="24"/>
          <w:szCs w:val="24"/>
          <w:shd w:val="clear" w:color="auto" w:fill="FFFFFF"/>
        </w:rPr>
        <w:t>(5), pp.580-593.</w:t>
      </w:r>
    </w:p>
    <w:p w14:paraId="24DAD592"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t>Sakyi, K.A., Musona, D. and Mweshi, G.K., 2020. Research Methods and Method</w:t>
      </w:r>
    </w:p>
    <w:p w14:paraId="7A4016B4"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t>Sileyew, K.J., 2019. </w:t>
      </w:r>
      <w:r w:rsidRPr="002D719E">
        <w:rPr>
          <w:rFonts w:ascii="Arial" w:hAnsi="Arial" w:cs="Arial"/>
          <w:i/>
          <w:iCs/>
          <w:color w:val="222222"/>
          <w:sz w:val="24"/>
          <w:szCs w:val="24"/>
          <w:shd w:val="clear" w:color="auto" w:fill="FFFFFF"/>
        </w:rPr>
        <w:t>Research design and methodology</w:t>
      </w:r>
      <w:r w:rsidRPr="002D719E">
        <w:rPr>
          <w:rFonts w:ascii="Arial" w:hAnsi="Arial" w:cs="Arial"/>
          <w:color w:val="222222"/>
          <w:sz w:val="24"/>
          <w:szCs w:val="24"/>
          <w:shd w:val="clear" w:color="auto" w:fill="FFFFFF"/>
        </w:rPr>
        <w:t> (pp. 1-12). Rijeka: IntechOpen.</w:t>
      </w:r>
    </w:p>
    <w:p w14:paraId="07B40156"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t>Singh, R., Sihag, P. and Dhoopar, A., 2022. Role of resilient leadership and psychological capital in employee engagement with special reference to COVID-19. </w:t>
      </w:r>
      <w:r w:rsidRPr="002D719E">
        <w:rPr>
          <w:rFonts w:ascii="Arial" w:hAnsi="Arial" w:cs="Arial"/>
          <w:i/>
          <w:iCs/>
          <w:color w:val="222222"/>
          <w:sz w:val="24"/>
          <w:szCs w:val="24"/>
          <w:shd w:val="clear" w:color="auto" w:fill="FFFFFF"/>
        </w:rPr>
        <w:t>International Journal of Organizational Analysis</w:t>
      </w:r>
      <w:r w:rsidRPr="002D719E">
        <w:rPr>
          <w:rFonts w:ascii="Arial" w:hAnsi="Arial" w:cs="Arial"/>
          <w:color w:val="222222"/>
          <w:sz w:val="24"/>
          <w:szCs w:val="24"/>
          <w:shd w:val="clear" w:color="auto" w:fill="FFFFFF"/>
        </w:rPr>
        <w:t>.</w:t>
      </w:r>
    </w:p>
    <w:p w14:paraId="1FA40328"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t>Singh, R., Sihag, P. and Dhoopar, A., 2022. Role of resilient leadership and psychological capital in employee engagement with special reference to COVID-19. </w:t>
      </w:r>
      <w:r w:rsidRPr="002D719E">
        <w:rPr>
          <w:rFonts w:ascii="Arial" w:hAnsi="Arial" w:cs="Arial"/>
          <w:i/>
          <w:iCs/>
          <w:color w:val="222222"/>
          <w:sz w:val="24"/>
          <w:szCs w:val="24"/>
          <w:shd w:val="clear" w:color="auto" w:fill="FFFFFF"/>
        </w:rPr>
        <w:t>International Journal of Organizational Analysis</w:t>
      </w:r>
      <w:r w:rsidRPr="002D719E">
        <w:rPr>
          <w:rFonts w:ascii="Arial" w:hAnsi="Arial" w:cs="Arial"/>
          <w:color w:val="222222"/>
          <w:sz w:val="24"/>
          <w:szCs w:val="24"/>
          <w:shd w:val="clear" w:color="auto" w:fill="FFFFFF"/>
        </w:rPr>
        <w:t>.</w:t>
      </w:r>
    </w:p>
    <w:p w14:paraId="7219D0DF" w14:textId="77777777" w:rsidR="002D719E" w:rsidRPr="002D719E" w:rsidRDefault="002D719E" w:rsidP="00CF2F07">
      <w:pPr>
        <w:spacing w:line="360" w:lineRule="auto"/>
        <w:jc w:val="both"/>
        <w:rPr>
          <w:rFonts w:ascii="Arial" w:hAnsi="Arial" w:cs="Arial"/>
          <w:sz w:val="28"/>
          <w:szCs w:val="28"/>
        </w:rPr>
      </w:pPr>
      <w:r w:rsidRPr="002D719E">
        <w:rPr>
          <w:rFonts w:ascii="Arial" w:hAnsi="Arial" w:cs="Arial"/>
          <w:color w:val="222222"/>
          <w:sz w:val="24"/>
          <w:szCs w:val="24"/>
          <w:shd w:val="clear" w:color="auto" w:fill="FFFFFF"/>
        </w:rPr>
        <w:t>Stoycheva, S. and Favero, G., 2020. Research methodology for ethnostatistics in organization studies: towards a historical ethnostatistics. </w:t>
      </w:r>
      <w:r w:rsidRPr="002D719E">
        <w:rPr>
          <w:rFonts w:ascii="Arial" w:hAnsi="Arial" w:cs="Arial"/>
          <w:i/>
          <w:iCs/>
          <w:color w:val="222222"/>
          <w:sz w:val="24"/>
          <w:szCs w:val="24"/>
          <w:shd w:val="clear" w:color="auto" w:fill="FFFFFF"/>
        </w:rPr>
        <w:t>Journal of Organizational Ethnography</w:t>
      </w:r>
      <w:r w:rsidRPr="002D719E">
        <w:rPr>
          <w:rFonts w:ascii="Arial" w:hAnsi="Arial" w:cs="Arial"/>
          <w:color w:val="222222"/>
          <w:sz w:val="24"/>
          <w:szCs w:val="24"/>
          <w:shd w:val="clear" w:color="auto" w:fill="FFFFFF"/>
        </w:rPr>
        <w:t xml:space="preserve">. </w:t>
      </w:r>
    </w:p>
    <w:p w14:paraId="636EF5D1"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t>Tavitiyaman, P., So, C.Y.A., Chan, O.L.K. and Wong, C.K.C., 2022. How Task Technology Fits with Employee Engagement, Organizational Support, and Business Outcomes: Hotel Executives’ Perspective. </w:t>
      </w:r>
      <w:r w:rsidRPr="002D719E">
        <w:rPr>
          <w:rFonts w:ascii="Arial" w:hAnsi="Arial" w:cs="Arial"/>
          <w:i/>
          <w:iCs/>
          <w:color w:val="222222"/>
          <w:sz w:val="24"/>
          <w:szCs w:val="24"/>
          <w:shd w:val="clear" w:color="auto" w:fill="FFFFFF"/>
        </w:rPr>
        <w:t>Journal of China Tourism Research</w:t>
      </w:r>
      <w:r w:rsidRPr="002D719E">
        <w:rPr>
          <w:rFonts w:ascii="Arial" w:hAnsi="Arial" w:cs="Arial"/>
          <w:color w:val="222222"/>
          <w:sz w:val="24"/>
          <w:szCs w:val="24"/>
          <w:shd w:val="clear" w:color="auto" w:fill="FFFFFF"/>
        </w:rPr>
        <w:t>, pp.1-27.</w:t>
      </w:r>
    </w:p>
    <w:p w14:paraId="32D9480A" w14:textId="77777777" w:rsidR="002D719E" w:rsidRPr="002D719E" w:rsidRDefault="002D719E" w:rsidP="00CF2F07">
      <w:pPr>
        <w:spacing w:line="360" w:lineRule="auto"/>
        <w:jc w:val="both"/>
        <w:rPr>
          <w:rFonts w:ascii="Arial" w:hAnsi="Arial" w:cs="Arial"/>
          <w:color w:val="222222"/>
          <w:sz w:val="24"/>
          <w:szCs w:val="24"/>
          <w:shd w:val="clear" w:color="auto" w:fill="FFFFFF"/>
        </w:rPr>
      </w:pPr>
      <w:r w:rsidRPr="002D719E">
        <w:rPr>
          <w:rFonts w:ascii="Arial" w:hAnsi="Arial" w:cs="Arial"/>
          <w:color w:val="222222"/>
          <w:sz w:val="24"/>
          <w:szCs w:val="24"/>
          <w:shd w:val="clear" w:color="auto" w:fill="FFFFFF"/>
        </w:rPr>
        <w:t>Tshukudu, T., 2019. Private Sector Employee Engagement Strategies in Botswana: Case of Choppies Retail Store.</w:t>
      </w:r>
    </w:p>
    <w:p w14:paraId="162290F5" w14:textId="77777777" w:rsidR="00805438" w:rsidRPr="00F558A7" w:rsidRDefault="00805438" w:rsidP="00CF2F07">
      <w:pPr>
        <w:spacing w:line="360" w:lineRule="auto"/>
        <w:jc w:val="both"/>
        <w:rPr>
          <w:rFonts w:ascii="Arial" w:hAnsi="Arial" w:cs="Arial"/>
        </w:rPr>
      </w:pPr>
    </w:p>
    <w:sectPr w:rsidR="00805438" w:rsidRPr="00F558A7" w:rsidSect="002A3A9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4A434" w14:textId="77777777" w:rsidR="00371C62" w:rsidRDefault="00371C62" w:rsidP="002A3A96">
      <w:pPr>
        <w:spacing w:after="0" w:line="240" w:lineRule="auto"/>
      </w:pPr>
      <w:r>
        <w:separator/>
      </w:r>
    </w:p>
  </w:endnote>
  <w:endnote w:type="continuationSeparator" w:id="0">
    <w:p w14:paraId="354A0301" w14:textId="77777777" w:rsidR="00371C62" w:rsidRDefault="00371C62" w:rsidP="002A3A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564BD" w14:textId="77777777" w:rsidR="00FD4955" w:rsidRDefault="00FD49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203D9" w14:textId="77777777" w:rsidR="00FD4955" w:rsidRDefault="00FD49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67838" w14:textId="77777777" w:rsidR="00FD4955" w:rsidRDefault="00FD4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22E8BE" w14:textId="77777777" w:rsidR="00371C62" w:rsidRDefault="00371C62" w:rsidP="002A3A96">
      <w:pPr>
        <w:spacing w:after="0" w:line="240" w:lineRule="auto"/>
      </w:pPr>
      <w:r>
        <w:separator/>
      </w:r>
    </w:p>
  </w:footnote>
  <w:footnote w:type="continuationSeparator" w:id="0">
    <w:p w14:paraId="1EF63A04" w14:textId="77777777" w:rsidR="00371C62" w:rsidRDefault="00371C62" w:rsidP="002A3A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E7D41" w14:textId="77777777" w:rsidR="00FD4955" w:rsidRDefault="00FD49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6AD36" w14:textId="3D7BF8AD" w:rsidR="002A3A96" w:rsidRPr="002A3A96" w:rsidRDefault="002A3A96">
    <w:pPr>
      <w:pStyle w:val="Header"/>
      <w:rPr>
        <w:rFonts w:ascii="Times New Roman" w:hAnsi="Times New Roman" w:cs="Times New Roman"/>
        <w:sz w:val="28"/>
        <w:szCs w:val="28"/>
      </w:rPr>
    </w:pPr>
    <w:r w:rsidRPr="002A3A96">
      <w:rPr>
        <w:rFonts w:ascii="Times New Roman" w:hAnsi="Times New Roman" w:cs="Times New Roman"/>
        <w:sz w:val="28"/>
        <w:szCs w:val="28"/>
      </w:rPr>
      <w:tab/>
    </w:r>
    <w:r w:rsidRPr="002A3A96">
      <w:rPr>
        <w:rFonts w:ascii="Times New Roman" w:hAnsi="Times New Roman" w:cs="Times New Roman"/>
        <w:sz w:val="28"/>
        <w:szCs w:val="28"/>
      </w:rPr>
      <w:tab/>
    </w:r>
    <w:sdt>
      <w:sdtPr>
        <w:rPr>
          <w:rFonts w:ascii="Times New Roman" w:hAnsi="Times New Roman" w:cs="Times New Roman"/>
          <w:sz w:val="28"/>
          <w:szCs w:val="28"/>
        </w:rPr>
        <w:id w:val="1170443756"/>
        <w:docPartObj>
          <w:docPartGallery w:val="Page Numbers (Top of Page)"/>
          <w:docPartUnique/>
        </w:docPartObj>
      </w:sdtPr>
      <w:sdtEndPr>
        <w:rPr>
          <w:noProof/>
        </w:rPr>
      </w:sdtEndPr>
      <w:sdtContent>
        <w:r w:rsidRPr="002A3A96">
          <w:rPr>
            <w:rFonts w:ascii="Times New Roman" w:hAnsi="Times New Roman" w:cs="Times New Roman"/>
            <w:sz w:val="28"/>
            <w:szCs w:val="28"/>
          </w:rPr>
          <w:fldChar w:fldCharType="begin"/>
        </w:r>
        <w:r w:rsidRPr="002A3A96">
          <w:rPr>
            <w:rFonts w:ascii="Times New Roman" w:hAnsi="Times New Roman" w:cs="Times New Roman"/>
            <w:sz w:val="28"/>
            <w:szCs w:val="28"/>
          </w:rPr>
          <w:instrText xml:space="preserve"> PAGE   \* MERGEFORMAT </w:instrText>
        </w:r>
        <w:r w:rsidRPr="002A3A96">
          <w:rPr>
            <w:rFonts w:ascii="Times New Roman" w:hAnsi="Times New Roman" w:cs="Times New Roman"/>
            <w:sz w:val="28"/>
            <w:szCs w:val="28"/>
          </w:rPr>
          <w:fldChar w:fldCharType="separate"/>
        </w:r>
        <w:r w:rsidRPr="002A3A96">
          <w:rPr>
            <w:rFonts w:ascii="Times New Roman" w:hAnsi="Times New Roman" w:cs="Times New Roman"/>
            <w:noProof/>
            <w:sz w:val="28"/>
            <w:szCs w:val="28"/>
          </w:rPr>
          <w:t>2</w:t>
        </w:r>
        <w:r w:rsidRPr="002A3A96">
          <w:rPr>
            <w:rFonts w:ascii="Times New Roman" w:hAnsi="Times New Roman" w:cs="Times New Roman"/>
            <w:noProof/>
            <w:sz w:val="28"/>
            <w:szCs w:val="28"/>
          </w:rPr>
          <w:fldChar w:fldCharType="end"/>
        </w:r>
      </w:sdtContent>
    </w:sdt>
  </w:p>
  <w:p w14:paraId="1A1E11D2" w14:textId="77777777" w:rsidR="002A3A96" w:rsidRDefault="002A3A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D3A60" w14:textId="77777777" w:rsidR="00FD4955" w:rsidRDefault="00FD49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A6041"/>
    <w:multiLevelType w:val="hybridMultilevel"/>
    <w:tmpl w:val="BA386D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583786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9A7"/>
    <w:rsid w:val="000333A6"/>
    <w:rsid w:val="000E49F4"/>
    <w:rsid w:val="000F2A02"/>
    <w:rsid w:val="0011594F"/>
    <w:rsid w:val="00141772"/>
    <w:rsid w:val="001E519C"/>
    <w:rsid w:val="0021062B"/>
    <w:rsid w:val="00262CEF"/>
    <w:rsid w:val="002A192F"/>
    <w:rsid w:val="002A3A96"/>
    <w:rsid w:val="002B25D1"/>
    <w:rsid w:val="002D719E"/>
    <w:rsid w:val="00371C62"/>
    <w:rsid w:val="003F30ED"/>
    <w:rsid w:val="004046AD"/>
    <w:rsid w:val="004318E5"/>
    <w:rsid w:val="0049148F"/>
    <w:rsid w:val="004A12F5"/>
    <w:rsid w:val="004B38EB"/>
    <w:rsid w:val="00577726"/>
    <w:rsid w:val="00577A6B"/>
    <w:rsid w:val="0059123D"/>
    <w:rsid w:val="005F5A78"/>
    <w:rsid w:val="006B211A"/>
    <w:rsid w:val="007E09A7"/>
    <w:rsid w:val="00805438"/>
    <w:rsid w:val="009048C5"/>
    <w:rsid w:val="0097793D"/>
    <w:rsid w:val="00A14DAB"/>
    <w:rsid w:val="00A2688C"/>
    <w:rsid w:val="00BD05B2"/>
    <w:rsid w:val="00CF2F07"/>
    <w:rsid w:val="00D66515"/>
    <w:rsid w:val="00EE2E9E"/>
    <w:rsid w:val="00F0545E"/>
    <w:rsid w:val="00F558A7"/>
    <w:rsid w:val="00FD4955"/>
    <w:rsid w:val="00FD6C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A27BB"/>
  <w15:chartTrackingRefBased/>
  <w15:docId w15:val="{E9E57B20-25F5-4F6C-B8A0-BE15DAAC2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2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59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3A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A96"/>
  </w:style>
  <w:style w:type="paragraph" w:styleId="Footer">
    <w:name w:val="footer"/>
    <w:basedOn w:val="Normal"/>
    <w:link w:val="FooterChar"/>
    <w:uiPriority w:val="99"/>
    <w:unhideWhenUsed/>
    <w:rsid w:val="002A3A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A96"/>
  </w:style>
  <w:style w:type="paragraph" w:styleId="NoSpacing">
    <w:name w:val="No Spacing"/>
    <w:link w:val="NoSpacingChar"/>
    <w:uiPriority w:val="1"/>
    <w:qFormat/>
    <w:rsid w:val="002A3A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3A96"/>
    <w:rPr>
      <w:rFonts w:eastAsiaTheme="minorEastAsia"/>
      <w:lang w:val="en-US"/>
    </w:rPr>
  </w:style>
  <w:style w:type="character" w:customStyle="1" w:styleId="Heading1Char">
    <w:name w:val="Heading 1 Char"/>
    <w:basedOn w:val="DefaultParagraphFont"/>
    <w:link w:val="Heading1"/>
    <w:uiPriority w:val="9"/>
    <w:rsid w:val="0059123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1594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66515"/>
    <w:pPr>
      <w:outlineLvl w:val="9"/>
    </w:pPr>
    <w:rPr>
      <w:lang w:val="en-US"/>
    </w:rPr>
  </w:style>
  <w:style w:type="paragraph" w:styleId="TOC1">
    <w:name w:val="toc 1"/>
    <w:basedOn w:val="Normal"/>
    <w:next w:val="Normal"/>
    <w:autoRedefine/>
    <w:uiPriority w:val="39"/>
    <w:unhideWhenUsed/>
    <w:rsid w:val="00D66515"/>
    <w:pPr>
      <w:spacing w:after="100"/>
    </w:pPr>
  </w:style>
  <w:style w:type="paragraph" w:styleId="TOC2">
    <w:name w:val="toc 2"/>
    <w:basedOn w:val="Normal"/>
    <w:next w:val="Normal"/>
    <w:autoRedefine/>
    <w:uiPriority w:val="39"/>
    <w:unhideWhenUsed/>
    <w:rsid w:val="00D66515"/>
    <w:pPr>
      <w:spacing w:after="100"/>
      <w:ind w:left="220"/>
    </w:pPr>
  </w:style>
  <w:style w:type="character" w:styleId="Hyperlink">
    <w:name w:val="Hyperlink"/>
    <w:basedOn w:val="DefaultParagraphFont"/>
    <w:uiPriority w:val="99"/>
    <w:unhideWhenUsed/>
    <w:rsid w:val="00D665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427382">
      <w:bodyDiv w:val="1"/>
      <w:marLeft w:val="0"/>
      <w:marRight w:val="0"/>
      <w:marTop w:val="0"/>
      <w:marBottom w:val="0"/>
      <w:divBdr>
        <w:top w:val="none" w:sz="0" w:space="0" w:color="auto"/>
        <w:left w:val="none" w:sz="0" w:space="0" w:color="auto"/>
        <w:bottom w:val="none" w:sz="0" w:space="0" w:color="auto"/>
        <w:right w:val="none" w:sz="0" w:space="0" w:color="auto"/>
      </w:divBdr>
    </w:div>
    <w:div w:id="1662418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66BA41-3F7C-4D5E-9FC2-107647C74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2740</Words>
  <Characters>15618</Characters>
  <Application>Microsoft Office Word</Application>
  <DocSecurity>0</DocSecurity>
  <Lines>130</Lines>
  <Paragraphs>36</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BMIH5005</vt:lpstr>
      <vt:lpstr>Introduction and Background of the Hyatt</vt:lpstr>
      <vt:lpstr>Discussion or Literature Review</vt:lpstr>
      <vt:lpstr>Research Methodology</vt:lpstr>
      <vt:lpstr>    (a) Research Philosophy</vt:lpstr>
      <vt:lpstr>    (b) Data Collection</vt:lpstr>
      <vt:lpstr>    (c) Data Analysis Method</vt:lpstr>
      <vt:lpstr>    (e) Sampling Method</vt:lpstr>
      <vt:lpstr>Evaluation and Conclusion</vt:lpstr>
      <vt:lpstr>References</vt:lpstr>
    </vt:vector>
  </TitlesOfParts>
  <Company/>
  <LinksUpToDate>false</LinksUpToDate>
  <CharactersWithSpaces>18322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BMIH5005</dc:title>
  <dc:subject>Student Details:</dc:subject>
  <cp:keywords/>
  <dc:description/>
  <cp:revision>4</cp:revision>
  <dcterms:created xsi:type="dcterms:W3CDTF">2022-07-04T14:40:00Z</dcterms:created>
  <dcterms:modified xsi:type="dcterms:W3CDTF">2022-07-06T10:03:00Z</dcterms:modified>
</cp:coreProperties>
</file>