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934291" w14:textId="77777777" w:rsidR="003D24E2" w:rsidRDefault="003D24E2">
      <w:pPr>
        <w:pStyle w:val="NoSpacing"/>
        <w:pageBreakBefore/>
        <w:jc w:val="center"/>
        <w:rPr>
          <w:rFonts w:ascii="Times New Roman" w:hAnsi="Times New Roman"/>
          <w:b/>
          <w:bCs/>
          <w:sz w:val="96"/>
          <w:szCs w:val="96"/>
        </w:rPr>
      </w:pPr>
      <w:bookmarkStart w:id="0" w:name="_GoBack"/>
      <w:bookmarkEnd w:id="0"/>
    </w:p>
    <w:p w14:paraId="6D6D8419" w14:textId="77777777" w:rsidR="003D24E2" w:rsidRDefault="003D24E2">
      <w:pPr>
        <w:pStyle w:val="NoSpacing"/>
        <w:jc w:val="center"/>
        <w:rPr>
          <w:rFonts w:ascii="Times New Roman" w:hAnsi="Times New Roman"/>
          <w:b/>
          <w:bCs/>
          <w:sz w:val="96"/>
          <w:szCs w:val="96"/>
        </w:rPr>
      </w:pPr>
    </w:p>
    <w:p w14:paraId="1D71A19B" w14:textId="77777777" w:rsidR="003D24E2" w:rsidRDefault="003D24E2">
      <w:pPr>
        <w:pStyle w:val="NoSpacing"/>
        <w:rPr>
          <w:rFonts w:ascii="Times New Roman" w:hAnsi="Times New Roman"/>
          <w:b/>
          <w:bCs/>
          <w:sz w:val="96"/>
          <w:szCs w:val="96"/>
        </w:rPr>
      </w:pPr>
    </w:p>
    <w:p w14:paraId="2B5167CA" w14:textId="31F8A003" w:rsidR="003D24E2" w:rsidRDefault="008D07F4">
      <w:pPr>
        <w:pStyle w:val="NoSpacing"/>
        <w:ind w:left="1440" w:firstLine="720"/>
        <w:rPr>
          <w:rFonts w:ascii="Times New Roman" w:hAnsi="Times New Roman"/>
          <w:b/>
          <w:bCs/>
          <w:i/>
          <w:iCs/>
          <w:sz w:val="96"/>
          <w:szCs w:val="96"/>
        </w:rPr>
      </w:pPr>
      <w:r>
        <w:rPr>
          <w:rFonts w:ascii="Times New Roman" w:hAnsi="Times New Roman"/>
          <w:b/>
          <w:bCs/>
          <w:i/>
          <w:iCs/>
          <w:sz w:val="96"/>
          <w:szCs w:val="96"/>
        </w:rPr>
        <w:t>Public Law</w:t>
      </w:r>
    </w:p>
    <w:p w14:paraId="2A1F6AFB" w14:textId="1257FB80" w:rsidR="00405C75" w:rsidRDefault="00405C75">
      <w:pPr>
        <w:pStyle w:val="NoSpacing"/>
        <w:ind w:left="1440" w:firstLine="720"/>
        <w:rPr>
          <w:rFonts w:ascii="Times New Roman" w:hAnsi="Times New Roman"/>
          <w:b/>
          <w:bCs/>
          <w:i/>
          <w:iCs/>
          <w:sz w:val="96"/>
          <w:szCs w:val="96"/>
        </w:rPr>
      </w:pPr>
    </w:p>
    <w:p w14:paraId="54580895" w14:textId="504E26FA" w:rsidR="00405C75" w:rsidRDefault="00405C75">
      <w:pPr>
        <w:pStyle w:val="NoSpacing"/>
        <w:ind w:left="1440" w:firstLine="720"/>
        <w:rPr>
          <w:rFonts w:ascii="Times New Roman" w:hAnsi="Times New Roman"/>
          <w:b/>
          <w:bCs/>
          <w:i/>
          <w:iCs/>
          <w:sz w:val="96"/>
          <w:szCs w:val="96"/>
        </w:rPr>
      </w:pPr>
    </w:p>
    <w:p w14:paraId="613A1F68" w14:textId="0B3D52BB" w:rsidR="00405C75" w:rsidRDefault="00405C75">
      <w:pPr>
        <w:pStyle w:val="NoSpacing"/>
        <w:ind w:left="1440" w:firstLine="720"/>
        <w:rPr>
          <w:rFonts w:ascii="Times New Roman" w:hAnsi="Times New Roman"/>
          <w:sz w:val="40"/>
          <w:szCs w:val="40"/>
        </w:rPr>
      </w:pPr>
      <w:r>
        <w:rPr>
          <w:rFonts w:ascii="Times New Roman" w:hAnsi="Times New Roman"/>
          <w:sz w:val="40"/>
          <w:szCs w:val="40"/>
        </w:rPr>
        <w:t xml:space="preserve">By – </w:t>
      </w:r>
      <w:proofErr w:type="spellStart"/>
      <w:r>
        <w:rPr>
          <w:rFonts w:ascii="Times New Roman" w:hAnsi="Times New Roman"/>
          <w:sz w:val="40"/>
          <w:szCs w:val="40"/>
        </w:rPr>
        <w:t>Samsul</w:t>
      </w:r>
      <w:proofErr w:type="spellEnd"/>
      <w:r>
        <w:rPr>
          <w:rFonts w:ascii="Times New Roman" w:hAnsi="Times New Roman"/>
          <w:sz w:val="40"/>
          <w:szCs w:val="40"/>
        </w:rPr>
        <w:t xml:space="preserve"> Islam</w:t>
      </w:r>
    </w:p>
    <w:p w14:paraId="6DD0A5AB" w14:textId="7550B6A3" w:rsidR="00405C75" w:rsidRDefault="00405C75" w:rsidP="00405C75">
      <w:pPr>
        <w:pStyle w:val="NoSpacing"/>
        <w:ind w:left="1440" w:firstLine="720"/>
        <w:rPr>
          <w:rFonts w:ascii="Times New Roman" w:hAnsi="Times New Roman"/>
          <w:sz w:val="40"/>
          <w:szCs w:val="40"/>
        </w:rPr>
      </w:pPr>
      <w:r>
        <w:rPr>
          <w:rFonts w:ascii="Times New Roman" w:hAnsi="Times New Roman"/>
          <w:sz w:val="40"/>
          <w:szCs w:val="40"/>
        </w:rPr>
        <w:t>Student ID – 1914178</w:t>
      </w:r>
    </w:p>
    <w:p w14:paraId="347B79A9" w14:textId="6F4939A4" w:rsidR="007A773B" w:rsidRDefault="007A773B" w:rsidP="00405C75">
      <w:pPr>
        <w:pStyle w:val="NoSpacing"/>
        <w:ind w:left="1440" w:firstLine="720"/>
        <w:rPr>
          <w:rFonts w:ascii="Times New Roman" w:hAnsi="Times New Roman"/>
          <w:sz w:val="40"/>
          <w:szCs w:val="40"/>
        </w:rPr>
      </w:pPr>
      <w:r>
        <w:rPr>
          <w:rFonts w:ascii="Times New Roman" w:hAnsi="Times New Roman"/>
          <w:sz w:val="40"/>
          <w:szCs w:val="40"/>
        </w:rPr>
        <w:t>Lecturer – Laura Knight</w:t>
      </w:r>
    </w:p>
    <w:p w14:paraId="67352FAD" w14:textId="646EA0A5" w:rsidR="007A773B" w:rsidRDefault="007A773B" w:rsidP="00405C75">
      <w:pPr>
        <w:pStyle w:val="NoSpacing"/>
        <w:ind w:left="1440" w:firstLine="720"/>
        <w:rPr>
          <w:rFonts w:ascii="Times New Roman" w:hAnsi="Times New Roman"/>
          <w:sz w:val="40"/>
          <w:szCs w:val="40"/>
        </w:rPr>
      </w:pPr>
      <w:r>
        <w:rPr>
          <w:rFonts w:ascii="Times New Roman" w:hAnsi="Times New Roman"/>
          <w:sz w:val="40"/>
          <w:szCs w:val="40"/>
        </w:rPr>
        <w:t>Module – BMLW4004</w:t>
      </w:r>
    </w:p>
    <w:p w14:paraId="38300581" w14:textId="4CD19B8A" w:rsidR="00405C75" w:rsidRPr="00405C75" w:rsidRDefault="00405C75" w:rsidP="00405C75">
      <w:pPr>
        <w:pStyle w:val="NoSpacing"/>
        <w:ind w:left="1440" w:firstLine="720"/>
        <w:rPr>
          <w:rFonts w:ascii="Times New Roman" w:hAnsi="Times New Roman"/>
          <w:sz w:val="40"/>
          <w:szCs w:val="40"/>
        </w:rPr>
      </w:pPr>
    </w:p>
    <w:p w14:paraId="6D0777DD" w14:textId="77777777" w:rsidR="003D24E2" w:rsidRDefault="008D07F4">
      <w:pPr>
        <w:pStyle w:val="ContentsHeading"/>
        <w:pageBreakBefore/>
      </w:pPr>
      <w:r>
        <w:lastRenderedPageBreak/>
        <w:t>Table of Contents</w:t>
      </w:r>
    </w:p>
    <w:p w14:paraId="528E3E10" w14:textId="77777777" w:rsidR="003D24E2" w:rsidRDefault="008D07F4">
      <w:pPr>
        <w:pStyle w:val="TOC2"/>
        <w:tabs>
          <w:tab w:val="clear" w:pos="9077"/>
          <w:tab w:val="right" w:leader="dot" w:pos="9340"/>
        </w:tabs>
      </w:pPr>
      <w:r>
        <w:fldChar w:fldCharType="begin"/>
      </w:r>
      <w:r>
        <w:instrText xml:space="preserve"> TOC \o 1-2 </w:instrText>
      </w:r>
      <w:r>
        <w:fldChar w:fldCharType="separate"/>
      </w:r>
    </w:p>
    <w:p w14:paraId="35EFD17E" w14:textId="77777777" w:rsidR="003D24E2" w:rsidRDefault="008D07F4">
      <w:pPr>
        <w:pStyle w:val="TOC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4</w:t>
      </w:r>
      <w:r>
        <w:fldChar w:fldCharType="end"/>
      </w:r>
    </w:p>
    <w:p w14:paraId="4C4494E8" w14:textId="77777777" w:rsidR="003D24E2" w:rsidRDefault="008D07F4">
      <w:pPr>
        <w:pStyle w:val="TOC1"/>
      </w:pPr>
      <w:r>
        <w:rPr>
          <w:rFonts w:eastAsia="Arial Unicode MS" w:cs="Arial Unicode MS"/>
        </w:rPr>
        <w:t>PART ONE</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4</w:t>
      </w:r>
      <w:r>
        <w:fldChar w:fldCharType="end"/>
      </w:r>
    </w:p>
    <w:p w14:paraId="7E1162B7" w14:textId="77777777" w:rsidR="003D24E2" w:rsidRDefault="008D07F4">
      <w:pPr>
        <w:pStyle w:val="TOC2"/>
      </w:pPr>
      <w:r>
        <w:rPr>
          <w:rFonts w:eastAsia="Arial Unicode MS" w:cs="Arial Unicode MS"/>
        </w:rPr>
        <w:t>Three Main Organs of the Government</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4</w:t>
      </w:r>
      <w:r>
        <w:fldChar w:fldCharType="end"/>
      </w:r>
    </w:p>
    <w:p w14:paraId="7C050FE5" w14:textId="77777777" w:rsidR="003D24E2" w:rsidRDefault="008D07F4">
      <w:pPr>
        <w:pStyle w:val="TOC2"/>
      </w:pPr>
      <w:r>
        <w:rPr>
          <w:rFonts w:eastAsia="Arial Unicode MS" w:cs="Arial Unicode MS"/>
        </w:rPr>
        <w:t>Separation of the Executive and Legislature</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5</w:t>
      </w:r>
      <w:r>
        <w:fldChar w:fldCharType="end"/>
      </w:r>
    </w:p>
    <w:p w14:paraId="693FC97D" w14:textId="77777777" w:rsidR="003D24E2" w:rsidRDefault="008D07F4">
      <w:pPr>
        <w:pStyle w:val="TOC2"/>
      </w:pPr>
      <w:r>
        <w:rPr>
          <w:rFonts w:eastAsia="Arial Unicode MS" w:cs="Arial Unicode MS"/>
        </w:rPr>
        <w:t>Separation of the Legislature and Judiciary</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6</w:t>
      </w:r>
      <w:r>
        <w:fldChar w:fldCharType="end"/>
      </w:r>
    </w:p>
    <w:p w14:paraId="4F219FA5" w14:textId="77777777" w:rsidR="003D24E2" w:rsidRDefault="008D07F4">
      <w:pPr>
        <w:pStyle w:val="TOC2"/>
      </w:pPr>
      <w:r>
        <w:rPr>
          <w:rFonts w:eastAsia="Arial Unicode MS" w:cs="Arial Unicode MS"/>
        </w:rPr>
        <w:t>Separation of the Executive and Judiciary</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7</w:t>
      </w:r>
      <w:r>
        <w:fldChar w:fldCharType="end"/>
      </w:r>
    </w:p>
    <w:p w14:paraId="57F6519C" w14:textId="77777777" w:rsidR="003D24E2" w:rsidRDefault="008D07F4">
      <w:pPr>
        <w:pStyle w:val="TOC1"/>
      </w:pPr>
      <w:r>
        <w:rPr>
          <w:rFonts w:eastAsia="Arial Unicode MS" w:cs="Arial Unicode MS"/>
        </w:rPr>
        <w:t>REFERNCES</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9</w:t>
      </w:r>
      <w:r>
        <w:fldChar w:fldCharType="end"/>
      </w:r>
    </w:p>
    <w:p w14:paraId="1FA5B141" w14:textId="77777777" w:rsidR="003D24E2" w:rsidRDefault="008D07F4">
      <w:pPr>
        <w:pStyle w:val="TOC1"/>
      </w:pPr>
      <w:r>
        <w:rPr>
          <w:rFonts w:eastAsia="Arial Unicode MS" w:cs="Arial Unicode MS"/>
        </w:rPr>
        <w:t>PART TWO</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10</w:t>
      </w:r>
      <w:r>
        <w:fldChar w:fldCharType="end"/>
      </w:r>
    </w:p>
    <w:p w14:paraId="328DCD73" w14:textId="77777777" w:rsidR="003D24E2" w:rsidRDefault="008D07F4">
      <w:pPr>
        <w:pStyle w:val="TOC2"/>
      </w:pPr>
      <w:r>
        <w:rPr>
          <w:rFonts w:eastAsia="Arial Unicode MS" w:cs="Arial Unicode MS"/>
        </w:rPr>
        <w:t>(A) Powers of Chief Constable towards Intended March</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10</w:t>
      </w:r>
      <w:r>
        <w:fldChar w:fldCharType="end"/>
      </w:r>
    </w:p>
    <w:p w14:paraId="050F8F85" w14:textId="77777777" w:rsidR="003D24E2" w:rsidRDefault="008D07F4">
      <w:pPr>
        <w:pStyle w:val="TOC2"/>
      </w:pPr>
      <w:r>
        <w:rPr>
          <w:rFonts w:eastAsia="Arial Unicode MS" w:cs="Arial Unicode MS"/>
        </w:rPr>
        <w:t>(B) Legality of Police Constable’s Actions</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12</w:t>
      </w:r>
      <w:r>
        <w:fldChar w:fldCharType="end"/>
      </w:r>
    </w:p>
    <w:p w14:paraId="41019385" w14:textId="77777777" w:rsidR="003D24E2" w:rsidRDefault="008D07F4">
      <w:pPr>
        <w:pStyle w:val="TOC1"/>
      </w:pPr>
      <w:r>
        <w:rPr>
          <w:rFonts w:eastAsia="Arial Unicode MS" w:cs="Arial Unicode MS"/>
        </w:rPr>
        <w:t>CONCLUSION</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13</w:t>
      </w:r>
      <w:r>
        <w:fldChar w:fldCharType="end"/>
      </w:r>
    </w:p>
    <w:p w14:paraId="7485239D" w14:textId="77777777" w:rsidR="003D24E2" w:rsidRDefault="008D07F4">
      <w:pPr>
        <w:pStyle w:val="TOC1"/>
      </w:pPr>
      <w:r>
        <w:rPr>
          <w:rFonts w:eastAsia="Arial Unicode MS" w:cs="Arial Unicode MS"/>
        </w:rPr>
        <w:t>REFERNCES</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13</w:t>
      </w:r>
      <w:r>
        <w:fldChar w:fldCharType="end"/>
      </w:r>
    </w:p>
    <w:p w14:paraId="32B4371F" w14:textId="77777777" w:rsidR="003D24E2" w:rsidRDefault="008D07F4">
      <w:pPr>
        <w:tabs>
          <w:tab w:val="right" w:leader="dot" w:pos="9340"/>
        </w:tabs>
        <w:rPr>
          <w:b/>
          <w:bCs/>
          <w:shd w:val="clear" w:color="auto" w:fill="FFFFFF"/>
        </w:rPr>
      </w:pPr>
      <w:r>
        <w:fldChar w:fldCharType="end"/>
      </w:r>
    </w:p>
    <w:p w14:paraId="46B3681E" w14:textId="77777777" w:rsidR="003D24E2" w:rsidRDefault="003D24E2">
      <w:pPr>
        <w:pStyle w:val="Heading1"/>
        <w:tabs>
          <w:tab w:val="right" w:leader="dot" w:pos="9340"/>
        </w:tabs>
        <w:rPr>
          <w:shd w:val="clear" w:color="auto" w:fill="FFFFFF"/>
        </w:rPr>
      </w:pPr>
    </w:p>
    <w:p w14:paraId="6BAE2827" w14:textId="77777777" w:rsidR="003D24E2" w:rsidRDefault="008D07F4">
      <w:pPr>
        <w:pStyle w:val="Heading1"/>
        <w:pageBreakBefore/>
        <w:rPr>
          <w:shd w:val="clear" w:color="auto" w:fill="FFFFFF"/>
        </w:rPr>
      </w:pPr>
      <w:bookmarkStart w:id="1" w:name="_Toc"/>
      <w:r>
        <w:rPr>
          <w:shd w:val="clear" w:color="auto" w:fill="FFFFFF"/>
        </w:rPr>
        <w:lastRenderedPageBreak/>
        <w:t xml:space="preserve">INTRODUCTION </w:t>
      </w:r>
      <w:bookmarkEnd w:id="1"/>
    </w:p>
    <w:p w14:paraId="13475788" w14:textId="77777777" w:rsidR="003D24E2" w:rsidRDefault="008D07F4">
      <w:pPr>
        <w:ind w:firstLine="432"/>
      </w:pPr>
      <w:r>
        <w:t xml:space="preserve">Separation of powers is essential in order for a democratic government to function efficiently. Simply said, power is allocated across the various government organs, along with their respective powers and responsibilities. Modern democracies include the separation of powers. Through the balance of powers, this notion limits government corruption. The correct division of powers amongst the governmental institutions ensures citizens' equality and safety </w:t>
      </w:r>
      <w:r>
        <w:rPr>
          <w:shd w:val="clear" w:color="auto" w:fill="FFFFFF"/>
        </w:rPr>
        <w:t>(Chen, 2021)</w:t>
      </w:r>
      <w:r>
        <w:t>.</w:t>
      </w:r>
    </w:p>
    <w:p w14:paraId="32F5BD85" w14:textId="77777777" w:rsidR="003D24E2" w:rsidRDefault="008D07F4">
      <w:pPr>
        <w:ind w:firstLine="432"/>
      </w:pPr>
      <w:r>
        <w:t>The report examines the role of government’s three main organs and their separation of powers accordingly. The powers of these organs are closely intertwined to each other and further, the report examines its relevance in the United Kingdom. The report provides brief comparison of these powers with other jurisdictions. Also the second part of report provides fictitious scenario which highlights the powers of Chief Constable to control or prohibit the intended march and also examines the relevant sections of Public Order Act (1986) and the Police and Criminal Evidence Act (1984).</w:t>
      </w:r>
    </w:p>
    <w:p w14:paraId="18746B3D" w14:textId="77777777" w:rsidR="003D24E2" w:rsidRDefault="008D07F4">
      <w:pPr>
        <w:pStyle w:val="Heading1"/>
      </w:pPr>
      <w:bookmarkStart w:id="2" w:name="_Toc1"/>
      <w:r>
        <w:rPr>
          <w:rFonts w:eastAsia="Arial Unicode MS" w:cs="Arial Unicode MS"/>
        </w:rPr>
        <w:t>PART ONE</w:t>
      </w:r>
      <w:bookmarkEnd w:id="2"/>
    </w:p>
    <w:p w14:paraId="4542C76B" w14:textId="77777777" w:rsidR="003D24E2" w:rsidRDefault="008D07F4">
      <w:pPr>
        <w:pStyle w:val="Heading2"/>
      </w:pPr>
      <w:bookmarkStart w:id="3" w:name="_Toc2"/>
      <w:r>
        <w:rPr>
          <w:rFonts w:eastAsia="Arial Unicode MS" w:cs="Arial Unicode MS"/>
        </w:rPr>
        <w:t>Three Main Organs of the Government</w:t>
      </w:r>
      <w:bookmarkEnd w:id="3"/>
    </w:p>
    <w:p w14:paraId="2DE93FEB" w14:textId="77777777" w:rsidR="003D24E2" w:rsidRDefault="008D07F4">
      <w:pPr>
        <w:ind w:firstLine="432"/>
      </w:pPr>
      <w:r>
        <w:t xml:space="preserve">Since the United Kingdom's constitution is uncodified, the lack of a formal written constitution implies that there is no constitutional division of powers </w:t>
      </w:r>
      <w:r>
        <w:rPr>
          <w:shd w:val="clear" w:color="auto" w:fill="FFFFFF"/>
        </w:rPr>
        <w:t>(Ceil, 2020)</w:t>
      </w:r>
      <w:r>
        <w:t xml:space="preserve">. They do, in reality, exist because they overlap and collaborate. The three main government organs play the following roles: As the Parliament wields authority, the </w:t>
      </w:r>
      <w:r>
        <w:rPr>
          <w:b/>
          <w:bCs/>
          <w:i/>
          <w:iCs/>
        </w:rPr>
        <w:t>Legislative</w:t>
      </w:r>
      <w:r>
        <w:t xml:space="preserve"> organ performs a critical function. It is the UK's supreme law-making authority, with the power to make and repeal any legislation. The Crown, House of Lords, and House of Commons compose up the UK Parliament. The Crown has notional power and is required to obey the Prime Minister's advice, who in turn takes advices from the Members of Parliament (MPs). Furthermore, the House of Commons is made up of elected members of Parliament with a majority of 326 or more seats, whilst the House of Lords is made up of clergy members, hereditary peers, and life peers elected by the Crown.</w:t>
      </w:r>
    </w:p>
    <w:p w14:paraId="6845F15C" w14:textId="77777777" w:rsidR="003D24E2" w:rsidRDefault="008D07F4">
      <w:pPr>
        <w:ind w:firstLine="432"/>
      </w:pPr>
      <w:r>
        <w:t xml:space="preserve">The </w:t>
      </w:r>
      <w:r>
        <w:rPr>
          <w:b/>
          <w:bCs/>
          <w:i/>
          <w:iCs/>
        </w:rPr>
        <w:t>executive's</w:t>
      </w:r>
      <w:r>
        <w:t xml:space="preserve"> primary function is to administer the state, with the government delegating authority and responsibility. It focuses on enforcing or executing the law. The Crown and the Government comprise the executive branch, which includes the Head of State, the Queen in the United Kingdom, the Head of Government, the Prime Minister, and the Cabinet of Ministers. The Prime Minister appoints the Cabinet Ministers, which consists of 20 ministers from several government agencies. The executive branch is responsible for developing and enforcing efficient government policies. Furthermore, the administration is accountable to Parliament for its policies, which has the ultimate ability to dissolve a government and call a new election. Members of Parliament who represent the House of Lords or the House of Commons are usually elected to govern. As a result of their capacity to issue executive orders or decrees, the branch is often known as the source of law. Even the Parliament may assign its legislative authority to the Government for the purpose of enacting subordinate laws. For example, the UK's Parliament passed the Sales of Goods Act 1979, which oversees contract and commercial law </w:t>
      </w:r>
      <w:r>
        <w:rPr>
          <w:shd w:val="clear" w:color="auto" w:fill="FFFFFF"/>
        </w:rPr>
        <w:t>(</w:t>
      </w:r>
      <w:proofErr w:type="spellStart"/>
      <w:r>
        <w:rPr>
          <w:shd w:val="clear" w:color="auto" w:fill="FFFFFF"/>
        </w:rPr>
        <w:t>Tarabar</w:t>
      </w:r>
      <w:proofErr w:type="spellEnd"/>
      <w:r>
        <w:rPr>
          <w:shd w:val="clear" w:color="auto" w:fill="FFFFFF"/>
        </w:rPr>
        <w:t xml:space="preserve"> and Young, 2021)</w:t>
      </w:r>
      <w:r>
        <w:t xml:space="preserve">. </w:t>
      </w:r>
    </w:p>
    <w:p w14:paraId="5E495234" w14:textId="77777777" w:rsidR="003D24E2" w:rsidRDefault="008D07F4">
      <w:pPr>
        <w:ind w:firstLine="432"/>
      </w:pPr>
      <w:r>
        <w:t xml:space="preserve">The </w:t>
      </w:r>
      <w:r>
        <w:rPr>
          <w:b/>
          <w:bCs/>
          <w:i/>
          <w:iCs/>
        </w:rPr>
        <w:t>Judiciary</w:t>
      </w:r>
      <w:r>
        <w:t xml:space="preserve"> is the other important organ; it consists of judges of the courts, who occupy judicial positions in tribunals, as well as personnel of magistrate courts. The Crown is in charge of appointing senior judges. This branch's primary responsibility is to resolve disputes in conformity with the law. They are also the source of law, namely Common Law, which is established based on the decisions or rulings of judges in the courts. A person, for example, has a responsibility to read the conditions of a contract. This branch also operates independently of the executive and legislative branches. To resolve a dispute, the English legal system has a hierarchy of court system. Superior courts' decisions are binding on subordinate courts, but judges can override them if they believe they are significant. Judges must be effective in their decision-making by following proper natural justice norms.</w:t>
      </w:r>
    </w:p>
    <w:p w14:paraId="3DE3716D" w14:textId="77777777" w:rsidR="003D24E2" w:rsidRDefault="008D07F4">
      <w:pPr>
        <w:pStyle w:val="Heading2"/>
      </w:pPr>
      <w:bookmarkStart w:id="4" w:name="_Toc3"/>
      <w:r>
        <w:rPr>
          <w:rFonts w:eastAsia="Arial Unicode MS" w:cs="Arial Unicode MS"/>
        </w:rPr>
        <w:t>Separation of the Executive and Legislature</w:t>
      </w:r>
      <w:bookmarkEnd w:id="4"/>
    </w:p>
    <w:p w14:paraId="598348F3" w14:textId="77777777" w:rsidR="003D24E2" w:rsidRDefault="008D07F4">
      <w:r>
        <w:rPr>
          <w:rFonts w:eastAsia="Arial Unicode MS" w:cs="Arial Unicode MS"/>
        </w:rPr>
        <w:tab/>
        <w:t xml:space="preserve">The powers of executive and legislature are closely connected to each other. As the Prime Minister and his or her Cabinet Ministers are the Members of Parliament and even sit in the House of Commons. Whereas, the executive is considered as the heart of Parliament. There integration of powers led to stability as well as efficiency in the operations of government’s role. For instance the Prime Minister being the head of executive branch and leader to majority party allows him or her to enjoy the freedom of action </w:t>
      </w:r>
      <w:r>
        <w:rPr>
          <w:rFonts w:eastAsia="Arial Unicode MS" w:cs="Arial Unicode MS"/>
          <w:shd w:val="clear" w:color="auto" w:fill="FFFFFF"/>
        </w:rPr>
        <w:t>(</w:t>
      </w:r>
      <w:proofErr w:type="spellStart"/>
      <w:r>
        <w:rPr>
          <w:rFonts w:eastAsia="Arial Unicode MS" w:cs="Arial Unicode MS"/>
          <w:shd w:val="clear" w:color="auto" w:fill="FFFFFF"/>
        </w:rPr>
        <w:t>Cairney</w:t>
      </w:r>
      <w:proofErr w:type="spellEnd"/>
      <w:r>
        <w:rPr>
          <w:rFonts w:eastAsia="Arial Unicode MS" w:cs="Arial Unicode MS"/>
          <w:shd w:val="clear" w:color="auto" w:fill="FFFFFF"/>
        </w:rPr>
        <w:t>, 2021)</w:t>
      </w:r>
      <w:r>
        <w:rPr>
          <w:rFonts w:eastAsia="Arial Unicode MS" w:cs="Arial Unicode MS"/>
        </w:rPr>
        <w:t xml:space="preserve">. On the other hand, Parliament being supreme law making authority may delegate its power to the government by way of delegated legislation. The question in respect of dominance arises in case where government consumes large majority of seats in the Houses of Commons. </w:t>
      </w:r>
    </w:p>
    <w:p w14:paraId="1C9270C4" w14:textId="77777777" w:rsidR="003D24E2" w:rsidRDefault="008D07F4">
      <w:pPr>
        <w:ind w:firstLine="720"/>
      </w:pPr>
      <w:r>
        <w:t xml:space="preserve">However, in order to prevent the dominance of executive over Parliament, the </w:t>
      </w:r>
      <w:r>
        <w:rPr>
          <w:b/>
          <w:bCs/>
          <w:i/>
          <w:iCs/>
        </w:rPr>
        <w:t>House of Commons (Disqualification) Act 1975</w:t>
      </w:r>
      <w:r>
        <w:t xml:space="preserve">, limits the seating of members in the House </w:t>
      </w:r>
      <w:r>
        <w:rPr>
          <w:shd w:val="clear" w:color="auto" w:fill="FFFFFF"/>
        </w:rPr>
        <w:t>(Smith, 2021)</w:t>
      </w:r>
      <w:r>
        <w:t xml:space="preserve">. In addition, the legislative branch has the formal authority to discharge the officers from their respective offices. The </w:t>
      </w:r>
      <w:r>
        <w:rPr>
          <w:i/>
          <w:iCs/>
        </w:rPr>
        <w:t xml:space="preserve">Convention of Ministerial Responsibility </w:t>
      </w:r>
      <w:r>
        <w:t xml:space="preserve">aims to establish certain responsibilities of government towards the Parliament. The </w:t>
      </w:r>
      <w:r>
        <w:rPr>
          <w:b/>
          <w:bCs/>
          <w:i/>
          <w:iCs/>
        </w:rPr>
        <w:t>Parliamentary Voting System and Constituencies Act 2011</w:t>
      </w:r>
      <w:r>
        <w:t xml:space="preserve"> provides the cut off in the Parliament Members from 650 to 600. Furthermore, the Committees established under the act focuses on the roles and responsibilities of minsters in the House. In order to prevent the strengthening of the executive as compared to parliament the Section 14 of Parliamentary Voting System and Constituencies Act 2011, requires to examine the reduction effects in the number of MPs. The recent reform includes the </w:t>
      </w:r>
      <w:r>
        <w:rPr>
          <w:b/>
          <w:bCs/>
          <w:i/>
          <w:iCs/>
        </w:rPr>
        <w:t>Backbench Business Committee</w:t>
      </w:r>
      <w:r>
        <w:t xml:space="preserve"> in 2010 with an aim of facilitating the legislature with more independence relatively in terms of operations, from the executive. It is believed that the committee will facilitate more control and ownership to the MPs in respect of Parliament agenda. Further, will be relevant for the public interest as well as strengthen the oversight role of Select Committees. </w:t>
      </w:r>
    </w:p>
    <w:p w14:paraId="38FCC48E" w14:textId="77777777" w:rsidR="003D24E2" w:rsidRDefault="008D07F4">
      <w:pPr>
        <w:pStyle w:val="Heading2"/>
      </w:pPr>
      <w:bookmarkStart w:id="5" w:name="_Toc4"/>
      <w:r>
        <w:rPr>
          <w:rFonts w:eastAsia="Arial Unicode MS" w:cs="Arial Unicode MS"/>
        </w:rPr>
        <w:t>Separation of the Legislature and Judiciary</w:t>
      </w:r>
      <w:bookmarkEnd w:id="5"/>
    </w:p>
    <w:p w14:paraId="540D3BA6" w14:textId="77777777" w:rsidR="003D24E2" w:rsidRDefault="008D07F4">
      <w:r>
        <w:rPr>
          <w:rFonts w:eastAsia="Arial Unicode MS" w:cs="Arial Unicode MS"/>
        </w:rPr>
        <w:tab/>
        <w:t xml:space="preserve">The second comparison of powers is between the legislature and judiciary. According to the </w:t>
      </w:r>
      <w:r>
        <w:rPr>
          <w:rFonts w:eastAsia="Arial Unicode MS" w:cs="Arial Unicode MS"/>
          <w:b/>
          <w:bCs/>
          <w:i/>
          <w:iCs/>
        </w:rPr>
        <w:t>House of Commons (Disqualification) Act 1975</w:t>
      </w:r>
      <w:r>
        <w:rPr>
          <w:rFonts w:eastAsia="Arial Unicode MS" w:cs="Arial Unicode MS"/>
        </w:rPr>
        <w:t xml:space="preserve">, there are certain enactments specifying the disqualification for being the members of House of Commons </w:t>
      </w:r>
      <w:r>
        <w:rPr>
          <w:rFonts w:eastAsia="Arial Unicode MS" w:cs="Arial Unicode MS"/>
          <w:shd w:val="clear" w:color="auto" w:fill="FFFFFF"/>
        </w:rPr>
        <w:t>(</w:t>
      </w:r>
      <w:proofErr w:type="spellStart"/>
      <w:r>
        <w:rPr>
          <w:rFonts w:eastAsia="Arial Unicode MS" w:cs="Arial Unicode MS"/>
          <w:shd w:val="clear" w:color="auto" w:fill="FFFFFF"/>
        </w:rPr>
        <w:t>McCullagh</w:t>
      </w:r>
      <w:proofErr w:type="spellEnd"/>
      <w:r>
        <w:rPr>
          <w:rFonts w:eastAsia="Arial Unicode MS" w:cs="Arial Unicode MS"/>
          <w:shd w:val="clear" w:color="auto" w:fill="FFFFFF"/>
        </w:rPr>
        <w:t>, 2020)</w:t>
      </w:r>
      <w:r>
        <w:rPr>
          <w:rFonts w:eastAsia="Arial Unicode MS" w:cs="Arial Unicode MS"/>
        </w:rPr>
        <w:t>. The act prohibits certain categories of members to obtain membership in the House of Commons. Anecdotally, the judges of the UK comes under the prohibited category. As the role of judges is to interpret the legislation passed by the Parliament and even they are responsible for devising Common Law (laws formulated on basis of judgements), categorized as one of the sources of law. Constitutionally, judges being subordinate to the Parliament cannot challenge their acts. However, the judges have considerable discretion in interpreting statutes, which begs the question of whether they are competent to “</w:t>
      </w:r>
      <w:r>
        <w:rPr>
          <w:rFonts w:eastAsia="Arial Unicode MS" w:cs="Arial Unicode MS"/>
          <w:i/>
          <w:iCs/>
        </w:rPr>
        <w:t>make law</w:t>
      </w:r>
      <w:r>
        <w:rPr>
          <w:rFonts w:eastAsia="Arial Unicode MS" w:cs="Arial Unicode MS"/>
        </w:rPr>
        <w:t xml:space="preserve">.”  In </w:t>
      </w:r>
      <w:r>
        <w:rPr>
          <w:rFonts w:eastAsia="Arial Unicode MS" w:cs="Arial Unicode MS"/>
          <w:b/>
          <w:bCs/>
          <w:i/>
          <w:iCs/>
        </w:rPr>
        <w:t>Jackson v Her Majesty’s Attorney General [2005]</w:t>
      </w:r>
      <w:r>
        <w:rPr>
          <w:rFonts w:eastAsia="Arial Unicode MS" w:cs="Arial Unicode MS"/>
        </w:rPr>
        <w:t xml:space="preserve">, the case is brought by Jackson and other members of Countryside Alliance, challenged the application of Parliament Acts to the Hunting Act 2004 </w:t>
      </w:r>
      <w:r>
        <w:rPr>
          <w:rFonts w:eastAsia="Arial Unicode MS" w:cs="Arial Unicode MS"/>
          <w:shd w:val="clear" w:color="auto" w:fill="FFFFFF"/>
        </w:rPr>
        <w:t>(May and et. al., 2021)</w:t>
      </w:r>
      <w:r>
        <w:rPr>
          <w:rFonts w:eastAsia="Arial Unicode MS" w:cs="Arial Unicode MS"/>
        </w:rPr>
        <w:t xml:space="preserve">. The appellant claimed the invalidity of this act on the basis that the concerned act is passed without the consent of House of Lords, which raised the question on the relationship between parliament sovereignty and rule of law, implying that there certain restraints to sovereignty where constitutional fundamentals were in jeopardy.  </w:t>
      </w:r>
    </w:p>
    <w:p w14:paraId="1AB634C3" w14:textId="77777777" w:rsidR="003D24E2" w:rsidRDefault="008D07F4">
      <w:r>
        <w:rPr>
          <w:rFonts w:eastAsia="Arial Unicode MS" w:cs="Arial Unicode MS"/>
        </w:rPr>
        <w:tab/>
        <w:t xml:space="preserve">Whereas notion of </w:t>
      </w:r>
      <w:r>
        <w:rPr>
          <w:rFonts w:eastAsia="Arial Unicode MS" w:cs="Arial Unicode MS"/>
          <w:b/>
          <w:bCs/>
          <w:i/>
          <w:iCs/>
        </w:rPr>
        <w:t>Parliament privilege</w:t>
      </w:r>
      <w:r>
        <w:rPr>
          <w:rFonts w:eastAsia="Arial Unicode MS" w:cs="Arial Unicode MS"/>
        </w:rPr>
        <w:t xml:space="preserve"> is set out under </w:t>
      </w:r>
      <w:r>
        <w:rPr>
          <w:rFonts w:eastAsia="Arial Unicode MS" w:cs="Arial Unicode MS"/>
          <w:i/>
          <w:iCs/>
        </w:rPr>
        <w:t>Article 9</w:t>
      </w:r>
      <w:r>
        <w:rPr>
          <w:rFonts w:eastAsia="Arial Unicode MS" w:cs="Arial Unicode MS"/>
        </w:rPr>
        <w:t xml:space="preserve"> of the </w:t>
      </w:r>
      <w:r>
        <w:rPr>
          <w:rFonts w:eastAsia="Arial Unicode MS" w:cs="Arial Unicode MS"/>
          <w:i/>
          <w:iCs/>
        </w:rPr>
        <w:t>Bill of Rights 1689</w:t>
      </w:r>
      <w:r>
        <w:rPr>
          <w:rFonts w:eastAsia="Arial Unicode MS" w:cs="Arial Unicode MS"/>
        </w:rPr>
        <w:t xml:space="preserve">, providing the freedom of speech and debate. This privilege is considered as constitutional importance and provides to be as unconstitutional if any courts attempts to contravene the parliament privilege. In simple words, no court has power to prohibit this privilege through its order or decree </w:t>
      </w:r>
      <w:r>
        <w:rPr>
          <w:rFonts w:eastAsia="Arial Unicode MS" w:cs="Arial Unicode MS"/>
          <w:shd w:val="clear" w:color="auto" w:fill="FFFFFF"/>
        </w:rPr>
        <w:t>(</w:t>
      </w:r>
      <w:proofErr w:type="spellStart"/>
      <w:r>
        <w:rPr>
          <w:rFonts w:eastAsia="Arial Unicode MS" w:cs="Arial Unicode MS"/>
          <w:shd w:val="clear" w:color="auto" w:fill="FFFFFF"/>
        </w:rPr>
        <w:t>Hatchard</w:t>
      </w:r>
      <w:proofErr w:type="spellEnd"/>
      <w:r>
        <w:rPr>
          <w:rFonts w:eastAsia="Arial Unicode MS" w:cs="Arial Unicode MS"/>
          <w:shd w:val="clear" w:color="auto" w:fill="FFFFFF"/>
        </w:rPr>
        <w:t xml:space="preserve"> and </w:t>
      </w:r>
      <w:proofErr w:type="spellStart"/>
      <w:r>
        <w:rPr>
          <w:rFonts w:eastAsia="Arial Unicode MS" w:cs="Arial Unicode MS"/>
          <w:shd w:val="clear" w:color="auto" w:fill="FFFFFF"/>
        </w:rPr>
        <w:t>Slinn</w:t>
      </w:r>
      <w:proofErr w:type="spellEnd"/>
      <w:r>
        <w:rPr>
          <w:rFonts w:eastAsia="Arial Unicode MS" w:cs="Arial Unicode MS"/>
          <w:shd w:val="clear" w:color="auto" w:fill="FFFFFF"/>
        </w:rPr>
        <w:t>, 2021)</w:t>
      </w:r>
      <w:r>
        <w:rPr>
          <w:rFonts w:eastAsia="Arial Unicode MS" w:cs="Arial Unicode MS"/>
        </w:rPr>
        <w:t xml:space="preserve">. On the other hand, a convention is established which prohibits the MPs to criticize judicial decisions. The convention is complemented by the </w:t>
      </w:r>
      <w:r>
        <w:rPr>
          <w:rFonts w:eastAsia="Arial Unicode MS" w:cs="Arial Unicode MS"/>
          <w:b/>
          <w:bCs/>
          <w:i/>
          <w:iCs/>
        </w:rPr>
        <w:t xml:space="preserve">sub </w:t>
      </w:r>
      <w:proofErr w:type="spellStart"/>
      <w:r>
        <w:rPr>
          <w:rFonts w:eastAsia="Arial Unicode MS" w:cs="Arial Unicode MS"/>
          <w:b/>
          <w:bCs/>
          <w:i/>
          <w:iCs/>
        </w:rPr>
        <w:t>judice</w:t>
      </w:r>
      <w:proofErr w:type="spellEnd"/>
      <w:r>
        <w:rPr>
          <w:rFonts w:eastAsia="Arial Unicode MS" w:cs="Arial Unicode MS"/>
          <w:b/>
          <w:bCs/>
          <w:i/>
          <w:iCs/>
        </w:rPr>
        <w:t xml:space="preserve"> rule</w:t>
      </w:r>
      <w:r>
        <w:rPr>
          <w:rFonts w:eastAsia="Arial Unicode MS" w:cs="Arial Unicode MS"/>
        </w:rPr>
        <w:t xml:space="preserve"> that protects against Parliamentary involvement in cases which are currently brought before courts. It provides that where the decision is awaiting by the appropriate determination by the courts, the issue is not require to be discussed in the House and thus, should not affect the decisions of the court. However, the rule is not absolute and even does not affect the Parliament’s right to legislate any matter </w:t>
      </w:r>
      <w:r>
        <w:rPr>
          <w:rFonts w:eastAsia="Arial Unicode MS" w:cs="Arial Unicode MS"/>
          <w:shd w:val="clear" w:color="auto" w:fill="FFFFFF"/>
        </w:rPr>
        <w:t>(</w:t>
      </w:r>
      <w:proofErr w:type="spellStart"/>
      <w:r>
        <w:rPr>
          <w:rFonts w:eastAsia="Arial Unicode MS" w:cs="Arial Unicode MS"/>
          <w:shd w:val="clear" w:color="auto" w:fill="FFFFFF"/>
        </w:rPr>
        <w:t>Masinde</w:t>
      </w:r>
      <w:proofErr w:type="spellEnd"/>
      <w:r>
        <w:rPr>
          <w:rFonts w:eastAsia="Arial Unicode MS" w:cs="Arial Unicode MS"/>
          <w:shd w:val="clear" w:color="auto" w:fill="FFFFFF"/>
        </w:rPr>
        <w:t>, 2021)</w:t>
      </w:r>
      <w:r>
        <w:rPr>
          <w:rFonts w:eastAsia="Arial Unicode MS" w:cs="Arial Unicode MS"/>
        </w:rPr>
        <w:t>.</w:t>
      </w:r>
    </w:p>
    <w:p w14:paraId="5B12CE11" w14:textId="77777777" w:rsidR="003D24E2" w:rsidRDefault="008D07F4">
      <w:pPr>
        <w:pStyle w:val="Heading2"/>
      </w:pPr>
      <w:bookmarkStart w:id="6" w:name="_Toc5"/>
      <w:r>
        <w:rPr>
          <w:rFonts w:eastAsia="Arial Unicode MS" w:cs="Arial Unicode MS"/>
        </w:rPr>
        <w:t>Separation of the Executive and Judiciary</w:t>
      </w:r>
      <w:bookmarkEnd w:id="6"/>
    </w:p>
    <w:p w14:paraId="7B7848F9" w14:textId="77777777" w:rsidR="003D24E2" w:rsidRDefault="008D07F4">
      <w:r>
        <w:rPr>
          <w:rFonts w:eastAsia="Arial Unicode MS" w:cs="Arial Unicode MS"/>
        </w:rPr>
        <w:tab/>
        <w:t xml:space="preserve">The third is the separation of power between the executive and the judiciary. The function of the judiciary includes the scope of delegated legislation and other power granted by the parliament and even ensures the action of government and other legal bodies. The judiciary has the power to review the actions of the public bodies and raise questions. Recently in </w:t>
      </w:r>
      <w:r>
        <w:rPr>
          <w:rFonts w:eastAsia="Arial Unicode MS" w:cs="Arial Unicode MS"/>
          <w:b/>
          <w:bCs/>
          <w:i/>
          <w:iCs/>
        </w:rPr>
        <w:t>A v Secretary of State for Home Department [2004]</w:t>
      </w:r>
      <w:r>
        <w:rPr>
          <w:rFonts w:eastAsia="Arial Unicode MS" w:cs="Arial Unicode MS"/>
        </w:rPr>
        <w:t xml:space="preserve">, in which the attorney argued that the matters are of political nature rather than the judicial judgement. Further, said that the court has no authority to reclaim belonging in respect to the detention without any reasonable suspicion and charge of international terrorists in </w:t>
      </w:r>
      <w:proofErr w:type="spellStart"/>
      <w:r>
        <w:rPr>
          <w:rFonts w:eastAsia="Arial Unicode MS" w:cs="Arial Unicode MS"/>
        </w:rPr>
        <w:t>Belmarsh</w:t>
      </w:r>
      <w:proofErr w:type="spellEnd"/>
      <w:r>
        <w:rPr>
          <w:rFonts w:eastAsia="Arial Unicode MS" w:cs="Arial Unicode MS"/>
        </w:rPr>
        <w:t xml:space="preserve"> prison. The Lord rejected the argument and concluded that the role of judge to interpret and apply the law universally is the vital function and the Attorney General was wrong to persecute the judicial decisions in undemocratic manner.</w:t>
      </w:r>
    </w:p>
    <w:p w14:paraId="509480C0" w14:textId="4CD552B4" w:rsidR="003D24E2" w:rsidRDefault="008D07F4">
      <w:r>
        <w:rPr>
          <w:rFonts w:eastAsia="Arial Unicode MS" w:cs="Arial Unicode MS"/>
        </w:rPr>
        <w:tab/>
        <w:t xml:space="preserve">Moreover, in </w:t>
      </w:r>
      <w:r>
        <w:rPr>
          <w:rFonts w:eastAsia="Arial Unicode MS" w:cs="Arial Unicode MS"/>
          <w:b/>
          <w:bCs/>
          <w:i/>
          <w:iCs/>
        </w:rPr>
        <w:t>Constitutional Reform Act 2005</w:t>
      </w:r>
      <w:r>
        <w:rPr>
          <w:rFonts w:eastAsia="Arial Unicode MS" w:cs="Arial Unicode MS"/>
        </w:rPr>
        <w:t xml:space="preserve">, provides the reformed powers of the government and parliament in the UK. The act created Supreme Court and Lord Chancellor was replaced by the Lord Chief Justice, as head of judiciary. The act even placed certain statutory duties on ministers to maintain the independence of judiciary </w:t>
      </w:r>
      <w:r>
        <w:rPr>
          <w:rFonts w:eastAsia="Arial Unicode MS" w:cs="Arial Unicode MS"/>
          <w:shd w:val="clear" w:color="auto" w:fill="FFFFFF"/>
        </w:rPr>
        <w:t xml:space="preserve">(Phillips of </w:t>
      </w:r>
      <w:proofErr w:type="gramStart"/>
      <w:r>
        <w:rPr>
          <w:rFonts w:eastAsia="Arial Unicode MS" w:cs="Arial Unicode MS"/>
          <w:shd w:val="clear" w:color="auto" w:fill="FFFFFF"/>
        </w:rPr>
        <w:t>Worth</w:t>
      </w:r>
      <w:proofErr w:type="gramEnd"/>
      <w:r>
        <w:rPr>
          <w:rFonts w:eastAsia="Arial Unicode MS" w:cs="Arial Unicode MS"/>
          <w:shd w:val="clear" w:color="auto" w:fill="FFFFFF"/>
        </w:rPr>
        <w:t xml:space="preserve"> </w:t>
      </w:r>
      <w:proofErr w:type="spellStart"/>
      <w:r>
        <w:rPr>
          <w:rFonts w:eastAsia="Arial Unicode MS" w:cs="Arial Unicode MS"/>
          <w:shd w:val="clear" w:color="auto" w:fill="FFFFFF"/>
        </w:rPr>
        <w:t>Matravers</w:t>
      </w:r>
      <w:proofErr w:type="spellEnd"/>
      <w:r>
        <w:rPr>
          <w:rFonts w:eastAsia="Arial Unicode MS" w:cs="Arial Unicode MS"/>
          <w:shd w:val="clear" w:color="auto" w:fill="FFFFFF"/>
        </w:rPr>
        <w:t>, 2021)</w:t>
      </w:r>
      <w:r>
        <w:rPr>
          <w:rFonts w:eastAsia="Arial Unicode MS" w:cs="Arial Unicode MS"/>
        </w:rPr>
        <w:t xml:space="preserve">. Before 2005, being </w:t>
      </w:r>
      <w:r w:rsidR="00405C75">
        <w:rPr>
          <w:rFonts w:eastAsia="Arial Unicode MS" w:cs="Arial Unicode MS"/>
        </w:rPr>
        <w:t>the head of judiciary,</w:t>
      </w:r>
      <w:r>
        <w:rPr>
          <w:rFonts w:eastAsia="Arial Unicode MS" w:cs="Arial Unicode MS"/>
        </w:rPr>
        <w:t xml:space="preserve"> the Lord Chancellor has the responsibility to appoint the judges and further, a member of Cabinet and Speaker of the House of Lords. In </w:t>
      </w:r>
      <w:r>
        <w:rPr>
          <w:rFonts w:eastAsia="Arial Unicode MS" w:cs="Arial Unicode MS"/>
          <w:b/>
          <w:bCs/>
          <w:i/>
          <w:iCs/>
        </w:rPr>
        <w:t>McGonnell v United Kingdom [2000]</w:t>
      </w:r>
      <w:r>
        <w:rPr>
          <w:rFonts w:eastAsia="Arial Unicode MS" w:cs="Arial Unicode MS"/>
        </w:rPr>
        <w:t xml:space="preserve">, Lord Irvine as Lord Chancellor stated that “the Lord Chancellor shall not deal any case where he had been involved directly in the passage of legislation, nor in any case where the interests of executive is involved directly”. The Lord Chancellor after 2005 was no longer Speaker of the House of Lords. Furthermore, the act reduced the diversity in relation to new appointments and the process was later criticized for being time consuming and slow </w:t>
      </w:r>
      <w:r>
        <w:rPr>
          <w:rFonts w:eastAsia="Arial Unicode MS" w:cs="Arial Unicode MS"/>
          <w:shd w:val="clear" w:color="auto" w:fill="FFFFFF"/>
        </w:rPr>
        <w:t xml:space="preserve">(Forde, </w:t>
      </w:r>
      <w:proofErr w:type="spellStart"/>
      <w:r>
        <w:rPr>
          <w:rFonts w:eastAsia="Arial Unicode MS" w:cs="Arial Unicode MS"/>
          <w:shd w:val="clear" w:color="auto" w:fill="FFFFFF"/>
        </w:rPr>
        <w:t>Kappler</w:t>
      </w:r>
      <w:proofErr w:type="spellEnd"/>
      <w:r>
        <w:rPr>
          <w:rFonts w:eastAsia="Arial Unicode MS" w:cs="Arial Unicode MS"/>
          <w:shd w:val="clear" w:color="auto" w:fill="FFFFFF"/>
        </w:rPr>
        <w:t xml:space="preserve"> and </w:t>
      </w:r>
      <w:proofErr w:type="spellStart"/>
      <w:r>
        <w:rPr>
          <w:rFonts w:eastAsia="Arial Unicode MS" w:cs="Arial Unicode MS"/>
          <w:shd w:val="clear" w:color="auto" w:fill="FFFFFF"/>
        </w:rPr>
        <w:t>Bjorkdahl</w:t>
      </w:r>
      <w:proofErr w:type="spellEnd"/>
      <w:r>
        <w:rPr>
          <w:rFonts w:eastAsia="Arial Unicode MS" w:cs="Arial Unicode MS"/>
          <w:shd w:val="clear" w:color="auto" w:fill="FFFFFF"/>
        </w:rPr>
        <w:t>, 2021)</w:t>
      </w:r>
      <w:r>
        <w:rPr>
          <w:rFonts w:eastAsia="Arial Unicode MS" w:cs="Arial Unicode MS"/>
        </w:rPr>
        <w:t xml:space="preserve">. Since on emergence of Supreme Court the concerns were raised in respect of dependency of judiciary over the executive. Furthermore, the </w:t>
      </w:r>
      <w:r>
        <w:rPr>
          <w:rFonts w:eastAsia="Arial Unicode MS" w:cs="Arial Unicode MS"/>
          <w:b/>
          <w:bCs/>
          <w:i/>
          <w:iCs/>
        </w:rPr>
        <w:t>Senior Courts Act 1981</w:t>
      </w:r>
      <w:r>
        <w:rPr>
          <w:rFonts w:eastAsia="Arial Unicode MS" w:cs="Arial Unicode MS"/>
        </w:rPr>
        <w:t xml:space="preserve">, prescribes the legal structure and jurisdictions for the senior courts in England and Wales. </w:t>
      </w:r>
      <w:r>
        <w:rPr>
          <w:rFonts w:eastAsia="Arial Unicode MS" w:cs="Arial Unicode MS"/>
          <w:i/>
          <w:iCs/>
        </w:rPr>
        <w:t>Section 11</w:t>
      </w:r>
      <w:r>
        <w:rPr>
          <w:rFonts w:eastAsia="Arial Unicode MS" w:cs="Arial Unicode MS"/>
        </w:rPr>
        <w:t xml:space="preserve"> of the </w:t>
      </w:r>
      <w:r>
        <w:rPr>
          <w:rFonts w:eastAsia="Arial Unicode MS" w:cs="Arial Unicode MS"/>
          <w:i/>
          <w:iCs/>
        </w:rPr>
        <w:t xml:space="preserve">Senior Courts Act 1981, </w:t>
      </w:r>
      <w:r>
        <w:rPr>
          <w:rFonts w:eastAsia="Arial Unicode MS" w:cs="Arial Unicode MS"/>
        </w:rPr>
        <w:t xml:space="preserve">applies to the office of judge which provides that the person appointed shall vacate the office on attaining the age of 73 years unless ceased to hold office before then. Even the person is </w:t>
      </w:r>
      <w:r w:rsidR="0036630E">
        <w:rPr>
          <w:rFonts w:eastAsia="Arial Unicode MS" w:cs="Arial Unicode MS"/>
        </w:rPr>
        <w:t>required</w:t>
      </w:r>
      <w:r>
        <w:rPr>
          <w:rFonts w:eastAsia="Arial Unicode MS" w:cs="Arial Unicode MS"/>
        </w:rPr>
        <w:t xml:space="preserve"> to hold the office in good faith and in case of bad </w:t>
      </w:r>
      <w:r w:rsidR="00405C75">
        <w:rPr>
          <w:rFonts w:eastAsia="Arial Unicode MS" w:cs="Arial Unicode MS"/>
        </w:rPr>
        <w:t>behavior</w:t>
      </w:r>
      <w:r>
        <w:rPr>
          <w:rFonts w:eastAsia="Arial Unicode MS" w:cs="Arial Unicode MS"/>
        </w:rPr>
        <w:t xml:space="preserve"> shall be removed by Majesty on presenting matter before both the Houses of Parliament </w:t>
      </w:r>
      <w:r>
        <w:rPr>
          <w:rFonts w:eastAsia="Arial Unicode MS" w:cs="Arial Unicode MS"/>
          <w:shd w:val="clear" w:color="auto" w:fill="FFFFFF"/>
        </w:rPr>
        <w:t>(</w:t>
      </w:r>
      <w:proofErr w:type="spellStart"/>
      <w:r>
        <w:rPr>
          <w:rFonts w:eastAsia="Arial Unicode MS" w:cs="Arial Unicode MS"/>
          <w:shd w:val="clear" w:color="auto" w:fill="FFFFFF"/>
        </w:rPr>
        <w:t>Holme</w:t>
      </w:r>
      <w:proofErr w:type="spellEnd"/>
      <w:r>
        <w:rPr>
          <w:rFonts w:eastAsia="Arial Unicode MS" w:cs="Arial Unicode MS"/>
          <w:shd w:val="clear" w:color="auto" w:fill="FFFFFF"/>
        </w:rPr>
        <w:t xml:space="preserve"> of Cheltenham, 2021)</w:t>
      </w:r>
      <w:r>
        <w:rPr>
          <w:rFonts w:eastAsia="Arial Unicode MS" w:cs="Arial Unicode MS"/>
        </w:rPr>
        <w:t xml:space="preserve">. </w:t>
      </w:r>
    </w:p>
    <w:p w14:paraId="6C1C2F2C" w14:textId="77777777" w:rsidR="003D24E2" w:rsidRDefault="003D24E2"/>
    <w:p w14:paraId="104A9AA1" w14:textId="77777777" w:rsidR="003D24E2" w:rsidRDefault="003D24E2"/>
    <w:p w14:paraId="191ADED8" w14:textId="77777777" w:rsidR="003D24E2" w:rsidRDefault="003D24E2"/>
    <w:p w14:paraId="36E3BB78" w14:textId="77777777" w:rsidR="003D24E2" w:rsidRDefault="003D24E2"/>
    <w:p w14:paraId="599BAA82" w14:textId="77777777" w:rsidR="003D24E2" w:rsidRDefault="003D24E2"/>
    <w:p w14:paraId="43E914BE" w14:textId="77777777" w:rsidR="003D24E2" w:rsidRDefault="003D24E2"/>
    <w:p w14:paraId="5FCD9CDB" w14:textId="77777777" w:rsidR="003D24E2" w:rsidRDefault="003D24E2"/>
    <w:p w14:paraId="6E07639C" w14:textId="77777777" w:rsidR="003D24E2" w:rsidRDefault="003D24E2"/>
    <w:p w14:paraId="2C8540A6" w14:textId="77777777" w:rsidR="003D24E2" w:rsidRDefault="003D24E2"/>
    <w:p w14:paraId="0F0DE637" w14:textId="77777777" w:rsidR="003D24E2" w:rsidRDefault="003D24E2"/>
    <w:p w14:paraId="23459184" w14:textId="77777777" w:rsidR="003D24E2" w:rsidRDefault="003D24E2"/>
    <w:p w14:paraId="3EEC3E02" w14:textId="77777777" w:rsidR="003D24E2" w:rsidRDefault="003D24E2"/>
    <w:p w14:paraId="0813B064" w14:textId="77777777" w:rsidR="003D24E2" w:rsidRDefault="003D24E2"/>
    <w:p w14:paraId="7662A1C0" w14:textId="77777777" w:rsidR="003D24E2" w:rsidRDefault="003D24E2"/>
    <w:p w14:paraId="40E43025" w14:textId="77777777" w:rsidR="003D24E2" w:rsidRDefault="003D24E2"/>
    <w:p w14:paraId="0D17DCC7" w14:textId="77777777" w:rsidR="003D24E2" w:rsidRDefault="003D24E2"/>
    <w:p w14:paraId="677D6FE5" w14:textId="77777777" w:rsidR="003D24E2" w:rsidRDefault="003D24E2"/>
    <w:p w14:paraId="63B9DD5C" w14:textId="77777777" w:rsidR="00405C75" w:rsidRDefault="00405C75">
      <w:pPr>
        <w:pStyle w:val="Heading1"/>
        <w:rPr>
          <w:rFonts w:eastAsia="Arial Unicode MS" w:cs="Arial Unicode MS"/>
        </w:rPr>
      </w:pPr>
      <w:bookmarkStart w:id="7" w:name="_Toc6"/>
    </w:p>
    <w:p w14:paraId="544F06FF" w14:textId="77777777" w:rsidR="00405C75" w:rsidRDefault="00405C75">
      <w:pPr>
        <w:pStyle w:val="Heading1"/>
        <w:rPr>
          <w:rFonts w:eastAsia="Arial Unicode MS" w:cs="Arial Unicode MS"/>
        </w:rPr>
      </w:pPr>
    </w:p>
    <w:p w14:paraId="161DCDA1" w14:textId="2B6CD818" w:rsidR="00405C75" w:rsidRDefault="00405C75">
      <w:pPr>
        <w:suppressAutoHyphens w:val="0"/>
        <w:spacing w:line="240" w:lineRule="auto"/>
        <w:jc w:val="left"/>
        <w:rPr>
          <w:rFonts w:eastAsia="Arial Unicode MS" w:cs="Arial Unicode MS"/>
          <w:b/>
          <w:bCs/>
          <w:sz w:val="28"/>
          <w:szCs w:val="28"/>
        </w:rPr>
      </w:pPr>
      <w:r>
        <w:rPr>
          <w:rFonts w:eastAsia="Arial Unicode MS" w:cs="Arial Unicode MS"/>
        </w:rPr>
        <w:br w:type="page"/>
      </w:r>
    </w:p>
    <w:p w14:paraId="09AADE93" w14:textId="77777777" w:rsidR="00405C75" w:rsidRDefault="00405C75">
      <w:pPr>
        <w:pStyle w:val="Heading1"/>
        <w:rPr>
          <w:rFonts w:eastAsia="Arial Unicode MS" w:cs="Arial Unicode MS"/>
        </w:rPr>
      </w:pPr>
    </w:p>
    <w:p w14:paraId="523A8778" w14:textId="73ADDCB2" w:rsidR="003D24E2" w:rsidRDefault="008D07F4">
      <w:pPr>
        <w:pStyle w:val="Heading1"/>
      </w:pPr>
      <w:r>
        <w:rPr>
          <w:rFonts w:eastAsia="Arial Unicode MS" w:cs="Arial Unicode MS"/>
        </w:rPr>
        <w:t>REFERNCES</w:t>
      </w:r>
      <w:bookmarkEnd w:id="7"/>
    </w:p>
    <w:p w14:paraId="2A6BFA49" w14:textId="77777777" w:rsidR="003D24E2" w:rsidRDefault="008D07F4">
      <w:pPr>
        <w:rPr>
          <w:u w:val="single"/>
        </w:rPr>
      </w:pPr>
      <w:r>
        <w:rPr>
          <w:rFonts w:eastAsia="Arial Unicode MS" w:cs="Arial Unicode MS"/>
          <w:u w:val="single"/>
        </w:rPr>
        <w:t>Books and Journals</w:t>
      </w:r>
    </w:p>
    <w:p w14:paraId="0B6D8762" w14:textId="3A22E5CB" w:rsidR="003D24E2" w:rsidRDefault="008D07F4">
      <w:pPr>
        <w:spacing w:line="240" w:lineRule="auto"/>
        <w:ind w:left="720" w:hanging="720"/>
        <w:rPr>
          <w:shd w:val="clear" w:color="auto" w:fill="FFFFFF"/>
        </w:rPr>
      </w:pPr>
      <w:r>
        <w:rPr>
          <w:shd w:val="clear" w:color="auto" w:fill="FFFFFF"/>
        </w:rPr>
        <w:t>Ceil, C., 2020. The Concept of Separation of Powers Is Not Well-Respected in the UK Constitution. </w:t>
      </w:r>
      <w:r>
        <w:rPr>
          <w:i/>
          <w:iCs/>
          <w:shd w:val="clear" w:color="auto" w:fill="FFFFFF"/>
        </w:rPr>
        <w:t>SSRN Electronic Journal</w:t>
      </w:r>
      <w:r w:rsidR="00405C75">
        <w:rPr>
          <w:shd w:val="clear" w:color="auto" w:fill="FFFFFF"/>
        </w:rPr>
        <w:t>.</w:t>
      </w:r>
    </w:p>
    <w:p w14:paraId="67D66F3D" w14:textId="77777777" w:rsidR="00405C75" w:rsidRDefault="00405C75">
      <w:pPr>
        <w:spacing w:line="240" w:lineRule="auto"/>
        <w:ind w:left="720" w:hanging="720"/>
        <w:rPr>
          <w:shd w:val="clear" w:color="auto" w:fill="FFFFFF"/>
        </w:rPr>
      </w:pPr>
    </w:p>
    <w:p w14:paraId="03EF6B4F" w14:textId="6A1E8D56" w:rsidR="003D24E2" w:rsidRDefault="008D07F4">
      <w:pPr>
        <w:spacing w:line="240" w:lineRule="auto"/>
        <w:ind w:left="720" w:hanging="720"/>
        <w:rPr>
          <w:shd w:val="clear" w:color="auto" w:fill="FFFFFF"/>
        </w:rPr>
      </w:pPr>
      <w:proofErr w:type="spellStart"/>
      <w:r>
        <w:rPr>
          <w:shd w:val="clear" w:color="auto" w:fill="FFFFFF"/>
        </w:rPr>
        <w:t>Hatchard</w:t>
      </w:r>
      <w:proofErr w:type="spellEnd"/>
      <w:r>
        <w:rPr>
          <w:shd w:val="clear" w:color="auto" w:fill="FFFFFF"/>
        </w:rPr>
        <w:t xml:space="preserve">, J. and </w:t>
      </w:r>
      <w:proofErr w:type="spellStart"/>
      <w:r>
        <w:rPr>
          <w:shd w:val="clear" w:color="auto" w:fill="FFFFFF"/>
        </w:rPr>
        <w:t>Slinn</w:t>
      </w:r>
      <w:proofErr w:type="spellEnd"/>
      <w:r>
        <w:rPr>
          <w:shd w:val="clear" w:color="auto" w:fill="FFFFFF"/>
        </w:rPr>
        <w:t>, P., 2021. </w:t>
      </w:r>
      <w:r>
        <w:rPr>
          <w:i/>
          <w:iCs/>
          <w:shd w:val="clear" w:color="auto" w:fill="FFFFFF"/>
        </w:rPr>
        <w:t>Parliamentary supremacy and judicial independence</w:t>
      </w:r>
      <w:r>
        <w:rPr>
          <w:shd w:val="clear" w:color="auto" w:fill="FFFFFF"/>
        </w:rPr>
        <w:t>. London: Cavendish Pub.</w:t>
      </w:r>
    </w:p>
    <w:p w14:paraId="31211002" w14:textId="77777777" w:rsidR="0036630E" w:rsidRDefault="0036630E">
      <w:pPr>
        <w:spacing w:line="240" w:lineRule="auto"/>
        <w:ind w:left="720" w:hanging="720"/>
        <w:rPr>
          <w:shd w:val="clear" w:color="auto" w:fill="FFFFFF"/>
        </w:rPr>
      </w:pPr>
    </w:p>
    <w:p w14:paraId="12F46BBA" w14:textId="4FB98AA7" w:rsidR="003D24E2" w:rsidRDefault="008D07F4">
      <w:pPr>
        <w:spacing w:line="240" w:lineRule="auto"/>
        <w:ind w:left="720" w:hanging="720"/>
        <w:rPr>
          <w:shd w:val="clear" w:color="auto" w:fill="FFFFFF"/>
        </w:rPr>
      </w:pPr>
      <w:proofErr w:type="spellStart"/>
      <w:r>
        <w:rPr>
          <w:shd w:val="clear" w:color="auto" w:fill="FFFFFF"/>
        </w:rPr>
        <w:t>Holme</w:t>
      </w:r>
      <w:proofErr w:type="spellEnd"/>
      <w:r>
        <w:rPr>
          <w:shd w:val="clear" w:color="auto" w:fill="FFFFFF"/>
        </w:rPr>
        <w:t xml:space="preserve"> of Cheltenham, R., 2021. </w:t>
      </w:r>
      <w:r>
        <w:rPr>
          <w:i/>
          <w:iCs/>
          <w:shd w:val="clear" w:color="auto" w:fill="FFFFFF"/>
        </w:rPr>
        <w:t>Constitutional Reform Act 2005</w:t>
      </w:r>
      <w:r>
        <w:rPr>
          <w:shd w:val="clear" w:color="auto" w:fill="FFFFFF"/>
        </w:rPr>
        <w:t>.</w:t>
      </w:r>
    </w:p>
    <w:p w14:paraId="1C0918B0" w14:textId="77777777" w:rsidR="0036630E" w:rsidRDefault="0036630E">
      <w:pPr>
        <w:spacing w:line="240" w:lineRule="auto"/>
        <w:ind w:left="720" w:hanging="720"/>
        <w:rPr>
          <w:shd w:val="clear" w:color="auto" w:fill="FFFFFF"/>
        </w:rPr>
      </w:pPr>
    </w:p>
    <w:p w14:paraId="45D5709F" w14:textId="25C79E5C" w:rsidR="003D24E2" w:rsidRDefault="008D07F4">
      <w:pPr>
        <w:spacing w:line="240" w:lineRule="auto"/>
        <w:ind w:left="720" w:hanging="720"/>
        <w:rPr>
          <w:shd w:val="clear" w:color="auto" w:fill="FFFFFF"/>
        </w:rPr>
      </w:pPr>
      <w:proofErr w:type="spellStart"/>
      <w:r>
        <w:rPr>
          <w:shd w:val="clear" w:color="auto" w:fill="FFFFFF"/>
        </w:rPr>
        <w:t>Masinde</w:t>
      </w:r>
      <w:proofErr w:type="spellEnd"/>
      <w:r>
        <w:rPr>
          <w:shd w:val="clear" w:color="auto" w:fill="FFFFFF"/>
        </w:rPr>
        <w:t>, M., 2021. Separation of power in Kenya: analysis of the relations between judiciary and the executive. </w:t>
      </w:r>
      <w:r>
        <w:rPr>
          <w:i/>
          <w:iCs/>
          <w:shd w:val="clear" w:color="auto" w:fill="FFFFFF"/>
        </w:rPr>
        <w:t>International Journal of Human Rights and Constitutional Studies</w:t>
      </w:r>
      <w:r w:rsidR="0036630E">
        <w:rPr>
          <w:shd w:val="clear" w:color="auto" w:fill="FFFFFF"/>
        </w:rPr>
        <w:t>.</w:t>
      </w:r>
    </w:p>
    <w:p w14:paraId="7612F122" w14:textId="77777777" w:rsidR="0036630E" w:rsidRDefault="0036630E">
      <w:pPr>
        <w:spacing w:line="240" w:lineRule="auto"/>
        <w:ind w:left="720" w:hanging="720"/>
        <w:rPr>
          <w:shd w:val="clear" w:color="auto" w:fill="FFFFFF"/>
        </w:rPr>
      </w:pPr>
    </w:p>
    <w:p w14:paraId="284E6A7D" w14:textId="2404E09F" w:rsidR="003D24E2" w:rsidRDefault="008D07F4">
      <w:pPr>
        <w:spacing w:line="240" w:lineRule="auto"/>
        <w:ind w:left="720" w:hanging="720"/>
        <w:rPr>
          <w:shd w:val="clear" w:color="auto" w:fill="FFFFFF"/>
        </w:rPr>
      </w:pPr>
      <w:r>
        <w:rPr>
          <w:shd w:val="clear" w:color="auto" w:fill="FFFFFF"/>
        </w:rPr>
        <w:t xml:space="preserve">May and </w:t>
      </w:r>
      <w:proofErr w:type="gramStart"/>
      <w:r>
        <w:rPr>
          <w:shd w:val="clear" w:color="auto" w:fill="FFFFFF"/>
        </w:rPr>
        <w:t>et</w:t>
      </w:r>
      <w:proofErr w:type="gramEnd"/>
      <w:r>
        <w:rPr>
          <w:shd w:val="clear" w:color="auto" w:fill="FFFFFF"/>
        </w:rPr>
        <w:t>. al., 2021. </w:t>
      </w:r>
      <w:r>
        <w:rPr>
          <w:i/>
          <w:iCs/>
          <w:shd w:val="clear" w:color="auto" w:fill="FFFFFF"/>
        </w:rPr>
        <w:t>Erskine May's treatise on the law, privileges, proceedings, and usage of Parliament</w:t>
      </w:r>
      <w:r>
        <w:rPr>
          <w:shd w:val="clear" w:color="auto" w:fill="FFFFFF"/>
        </w:rPr>
        <w:t>. London: LexisNexis.</w:t>
      </w:r>
    </w:p>
    <w:p w14:paraId="6A29EE94" w14:textId="77777777" w:rsidR="0036630E" w:rsidRDefault="0036630E">
      <w:pPr>
        <w:spacing w:line="240" w:lineRule="auto"/>
        <w:ind w:left="720" w:hanging="720"/>
        <w:rPr>
          <w:shd w:val="clear" w:color="auto" w:fill="FFFFFF"/>
        </w:rPr>
      </w:pPr>
    </w:p>
    <w:p w14:paraId="6358185F" w14:textId="704614A8" w:rsidR="003D24E2" w:rsidRDefault="008D07F4">
      <w:pPr>
        <w:spacing w:line="240" w:lineRule="auto"/>
        <w:ind w:left="720" w:hanging="720"/>
        <w:rPr>
          <w:shd w:val="clear" w:color="auto" w:fill="FFFFFF"/>
        </w:rPr>
      </w:pPr>
      <w:proofErr w:type="spellStart"/>
      <w:r>
        <w:rPr>
          <w:shd w:val="clear" w:color="auto" w:fill="FFFFFF"/>
        </w:rPr>
        <w:t>McCullagh</w:t>
      </w:r>
      <w:proofErr w:type="spellEnd"/>
      <w:r>
        <w:rPr>
          <w:shd w:val="clear" w:color="auto" w:fill="FFFFFF"/>
        </w:rPr>
        <w:t xml:space="preserve">, K., 2020. A Tangled Web of Access to Information: Reflections on R (on the Application of Evans) and </w:t>
      </w:r>
      <w:proofErr w:type="gramStart"/>
      <w:r>
        <w:rPr>
          <w:shd w:val="clear" w:color="auto" w:fill="FFFFFF"/>
        </w:rPr>
        <w:t>Another</w:t>
      </w:r>
      <w:proofErr w:type="gramEnd"/>
      <w:r>
        <w:rPr>
          <w:shd w:val="clear" w:color="auto" w:fill="FFFFFF"/>
        </w:rPr>
        <w:t xml:space="preserve"> v Her Majesty's Attorney General. </w:t>
      </w:r>
      <w:r>
        <w:rPr>
          <w:i/>
          <w:iCs/>
          <w:shd w:val="clear" w:color="auto" w:fill="FFFFFF"/>
        </w:rPr>
        <w:t>SSRN Electronic Journal</w:t>
      </w:r>
      <w:r w:rsidR="0036630E">
        <w:rPr>
          <w:shd w:val="clear" w:color="auto" w:fill="FFFFFF"/>
        </w:rPr>
        <w:t>.</w:t>
      </w:r>
    </w:p>
    <w:p w14:paraId="4B93714F" w14:textId="77777777" w:rsidR="0036630E" w:rsidRDefault="0036630E">
      <w:pPr>
        <w:spacing w:line="240" w:lineRule="auto"/>
        <w:ind w:left="720" w:hanging="720"/>
        <w:rPr>
          <w:shd w:val="clear" w:color="auto" w:fill="FFFFFF"/>
        </w:rPr>
      </w:pPr>
    </w:p>
    <w:p w14:paraId="45ABE1FB" w14:textId="726EBC56" w:rsidR="003D24E2" w:rsidRDefault="008D07F4">
      <w:pPr>
        <w:spacing w:line="240" w:lineRule="auto"/>
        <w:ind w:left="720" w:hanging="720"/>
        <w:rPr>
          <w:shd w:val="clear" w:color="auto" w:fill="FFFFFF"/>
        </w:rPr>
      </w:pPr>
      <w:r>
        <w:rPr>
          <w:shd w:val="clear" w:color="auto" w:fill="FFFFFF"/>
        </w:rPr>
        <w:t xml:space="preserve">Phillips of Worth </w:t>
      </w:r>
      <w:proofErr w:type="spellStart"/>
      <w:r>
        <w:rPr>
          <w:shd w:val="clear" w:color="auto" w:fill="FFFFFF"/>
        </w:rPr>
        <w:t>Matravers</w:t>
      </w:r>
      <w:proofErr w:type="spellEnd"/>
      <w:r>
        <w:rPr>
          <w:shd w:val="clear" w:color="auto" w:fill="FFFFFF"/>
        </w:rPr>
        <w:t>, N., 2021. </w:t>
      </w:r>
      <w:r>
        <w:rPr>
          <w:i/>
          <w:iCs/>
          <w:shd w:val="clear" w:color="auto" w:fill="FFFFFF"/>
        </w:rPr>
        <w:t>The Lord Chief Justice's review of the administration of justice in the courts</w:t>
      </w:r>
      <w:r>
        <w:rPr>
          <w:shd w:val="clear" w:color="auto" w:fill="FFFFFF"/>
        </w:rPr>
        <w:t>. London: Stationery Office.</w:t>
      </w:r>
    </w:p>
    <w:p w14:paraId="1D3C2AE0" w14:textId="77777777" w:rsidR="0036630E" w:rsidRDefault="0036630E">
      <w:pPr>
        <w:spacing w:line="240" w:lineRule="auto"/>
        <w:ind w:left="720" w:hanging="720"/>
        <w:rPr>
          <w:shd w:val="clear" w:color="auto" w:fill="FFFFFF"/>
        </w:rPr>
      </w:pPr>
    </w:p>
    <w:p w14:paraId="6E09427B" w14:textId="211DF1BC" w:rsidR="003D24E2" w:rsidRDefault="008D07F4">
      <w:pPr>
        <w:spacing w:line="240" w:lineRule="auto"/>
        <w:ind w:left="720" w:hanging="720"/>
        <w:rPr>
          <w:shd w:val="clear" w:color="auto" w:fill="FFFFFF"/>
        </w:rPr>
      </w:pPr>
      <w:r>
        <w:rPr>
          <w:shd w:val="clear" w:color="auto" w:fill="FFFFFF"/>
        </w:rPr>
        <w:t>Smith, S., 2021. House of Commons Disqualification Act, 1957. </w:t>
      </w:r>
      <w:r>
        <w:rPr>
          <w:i/>
          <w:iCs/>
          <w:shd w:val="clear" w:color="auto" w:fill="FFFFFF"/>
        </w:rPr>
        <w:t>The Modern Law Review</w:t>
      </w:r>
      <w:r>
        <w:rPr>
          <w:shd w:val="clear" w:color="auto" w:fill="FFFFFF"/>
        </w:rPr>
        <w:t>.</w:t>
      </w:r>
    </w:p>
    <w:p w14:paraId="14CF7744" w14:textId="77777777" w:rsidR="0036630E" w:rsidRDefault="0036630E">
      <w:pPr>
        <w:spacing w:line="240" w:lineRule="auto"/>
        <w:ind w:left="720" w:hanging="720"/>
        <w:rPr>
          <w:shd w:val="clear" w:color="auto" w:fill="FFFFFF"/>
        </w:rPr>
      </w:pPr>
    </w:p>
    <w:p w14:paraId="744862E4" w14:textId="761F277E" w:rsidR="003D24E2" w:rsidRDefault="008D07F4">
      <w:pPr>
        <w:spacing w:line="240" w:lineRule="auto"/>
        <w:ind w:left="720" w:hanging="720"/>
        <w:rPr>
          <w:shd w:val="clear" w:color="auto" w:fill="FFFFFF"/>
        </w:rPr>
      </w:pPr>
      <w:r>
        <w:rPr>
          <w:shd w:val="clear" w:color="auto" w:fill="FFFFFF"/>
        </w:rPr>
        <w:t>Chen, W., 2021. Theory of Judicial Power and Its Transformation. In </w:t>
      </w:r>
      <w:r>
        <w:rPr>
          <w:i/>
          <w:iCs/>
          <w:shd w:val="clear" w:color="auto" w:fill="FFFFFF"/>
        </w:rPr>
        <w:t>Reform and Development of Powers and Functions of China's Criminal Proceedings</w:t>
      </w:r>
      <w:r>
        <w:rPr>
          <w:shd w:val="clear" w:color="auto" w:fill="FFFFFF"/>
        </w:rPr>
        <w:t> (pp. 49-184). Springer, Singapore.</w:t>
      </w:r>
    </w:p>
    <w:p w14:paraId="243B0B08" w14:textId="77777777" w:rsidR="0036630E" w:rsidRDefault="0036630E">
      <w:pPr>
        <w:spacing w:line="240" w:lineRule="auto"/>
        <w:ind w:left="720" w:hanging="720"/>
        <w:rPr>
          <w:shd w:val="clear" w:color="auto" w:fill="FFFFFF"/>
        </w:rPr>
      </w:pPr>
    </w:p>
    <w:p w14:paraId="1806A88F" w14:textId="73154746" w:rsidR="003D24E2" w:rsidRDefault="008D07F4">
      <w:pPr>
        <w:spacing w:line="240" w:lineRule="auto"/>
        <w:ind w:left="720" w:hanging="720"/>
        <w:rPr>
          <w:shd w:val="clear" w:color="auto" w:fill="FFFFFF"/>
        </w:rPr>
      </w:pPr>
      <w:proofErr w:type="spellStart"/>
      <w:r>
        <w:rPr>
          <w:shd w:val="clear" w:color="auto" w:fill="FFFFFF"/>
        </w:rPr>
        <w:t>Tarabar</w:t>
      </w:r>
      <w:proofErr w:type="spellEnd"/>
      <w:r>
        <w:rPr>
          <w:shd w:val="clear" w:color="auto" w:fill="FFFFFF"/>
        </w:rPr>
        <w:t>, D. and Young, A.T., 2021. What constitutes a constitutional amendment culture</w:t>
      </w:r>
      <w:proofErr w:type="gramStart"/>
      <w:r>
        <w:rPr>
          <w:shd w:val="clear" w:color="auto" w:fill="FFFFFF"/>
        </w:rPr>
        <w:t>?.</w:t>
      </w:r>
      <w:proofErr w:type="gramEnd"/>
      <w:r>
        <w:rPr>
          <w:shd w:val="clear" w:color="auto" w:fill="FFFFFF"/>
        </w:rPr>
        <w:t> </w:t>
      </w:r>
      <w:r>
        <w:rPr>
          <w:i/>
          <w:iCs/>
          <w:shd w:val="clear" w:color="auto" w:fill="FFFFFF"/>
        </w:rPr>
        <w:t>European Journal of Political Economy</w:t>
      </w:r>
      <w:r w:rsidR="0036630E">
        <w:rPr>
          <w:shd w:val="clear" w:color="auto" w:fill="FFFFFF"/>
        </w:rPr>
        <w:t>.</w:t>
      </w:r>
    </w:p>
    <w:p w14:paraId="125C4257" w14:textId="77777777" w:rsidR="0036630E" w:rsidRDefault="0036630E">
      <w:pPr>
        <w:spacing w:line="240" w:lineRule="auto"/>
        <w:ind w:left="720" w:hanging="720"/>
        <w:rPr>
          <w:shd w:val="clear" w:color="auto" w:fill="FFFFFF"/>
        </w:rPr>
      </w:pPr>
    </w:p>
    <w:p w14:paraId="527D46CC" w14:textId="7869CB75" w:rsidR="003D24E2" w:rsidRDefault="008D07F4">
      <w:pPr>
        <w:spacing w:line="240" w:lineRule="auto"/>
        <w:ind w:left="720" w:hanging="720"/>
        <w:rPr>
          <w:shd w:val="clear" w:color="auto" w:fill="FFFFFF"/>
        </w:rPr>
      </w:pPr>
      <w:proofErr w:type="spellStart"/>
      <w:r>
        <w:rPr>
          <w:shd w:val="clear" w:color="auto" w:fill="FFFFFF"/>
        </w:rPr>
        <w:t>Cairney</w:t>
      </w:r>
      <w:proofErr w:type="spellEnd"/>
      <w:r>
        <w:rPr>
          <w:shd w:val="clear" w:color="auto" w:fill="FFFFFF"/>
        </w:rPr>
        <w:t>, P., 2021. </w:t>
      </w:r>
      <w:r>
        <w:rPr>
          <w:i/>
          <w:iCs/>
          <w:shd w:val="clear" w:color="auto" w:fill="FFFFFF"/>
        </w:rPr>
        <w:t>The politics of policy analysis</w:t>
      </w:r>
      <w:r>
        <w:rPr>
          <w:shd w:val="clear" w:color="auto" w:fill="FFFFFF"/>
        </w:rPr>
        <w:t>. Springer Nature.</w:t>
      </w:r>
    </w:p>
    <w:p w14:paraId="0DAF4F21" w14:textId="77777777" w:rsidR="0036630E" w:rsidRDefault="0036630E">
      <w:pPr>
        <w:spacing w:line="240" w:lineRule="auto"/>
        <w:ind w:left="720" w:hanging="720"/>
        <w:rPr>
          <w:shd w:val="clear" w:color="auto" w:fill="FFFFFF"/>
        </w:rPr>
      </w:pPr>
    </w:p>
    <w:p w14:paraId="2B11D993" w14:textId="2D91E14A" w:rsidR="003D24E2" w:rsidRDefault="008D07F4">
      <w:pPr>
        <w:spacing w:line="240" w:lineRule="auto"/>
        <w:ind w:left="720" w:hanging="720"/>
        <w:rPr>
          <w:shd w:val="clear" w:color="auto" w:fill="FFFFFF"/>
        </w:rPr>
      </w:pPr>
      <w:r>
        <w:rPr>
          <w:shd w:val="clear" w:color="auto" w:fill="FFFFFF"/>
        </w:rPr>
        <w:t xml:space="preserve">Forde, S., </w:t>
      </w:r>
      <w:proofErr w:type="spellStart"/>
      <w:r>
        <w:rPr>
          <w:shd w:val="clear" w:color="auto" w:fill="FFFFFF"/>
        </w:rPr>
        <w:t>Kappler</w:t>
      </w:r>
      <w:proofErr w:type="spellEnd"/>
      <w:r>
        <w:rPr>
          <w:shd w:val="clear" w:color="auto" w:fill="FFFFFF"/>
        </w:rPr>
        <w:t xml:space="preserve">, S. and </w:t>
      </w:r>
      <w:proofErr w:type="spellStart"/>
      <w:r>
        <w:rPr>
          <w:shd w:val="clear" w:color="auto" w:fill="FFFFFF"/>
        </w:rPr>
        <w:t>Bjorkdahl</w:t>
      </w:r>
      <w:proofErr w:type="spellEnd"/>
      <w:r>
        <w:rPr>
          <w:shd w:val="clear" w:color="auto" w:fill="FFFFFF"/>
        </w:rPr>
        <w:t>, A., 2021. Peacebuilding, Structural Violence and Spatial Reparations in Post-Colonial South Africa. </w:t>
      </w:r>
      <w:r>
        <w:rPr>
          <w:i/>
          <w:iCs/>
          <w:shd w:val="clear" w:color="auto" w:fill="FFFFFF"/>
        </w:rPr>
        <w:t xml:space="preserve">Journal of Intervention and </w:t>
      </w:r>
      <w:proofErr w:type="spellStart"/>
      <w:r>
        <w:rPr>
          <w:i/>
          <w:iCs/>
          <w:shd w:val="clear" w:color="auto" w:fill="FFFFFF"/>
        </w:rPr>
        <w:t>Statebuilding</w:t>
      </w:r>
      <w:proofErr w:type="spellEnd"/>
      <w:r w:rsidR="0036630E">
        <w:rPr>
          <w:shd w:val="clear" w:color="auto" w:fill="FFFFFF"/>
        </w:rPr>
        <w:t>.</w:t>
      </w:r>
    </w:p>
    <w:p w14:paraId="66D4B198" w14:textId="77777777" w:rsidR="003D24E2" w:rsidRDefault="003D24E2">
      <w:pPr>
        <w:spacing w:line="240" w:lineRule="auto"/>
        <w:ind w:left="720" w:hanging="720"/>
        <w:rPr>
          <w:shd w:val="clear" w:color="auto" w:fill="FFFFFF"/>
        </w:rPr>
      </w:pPr>
    </w:p>
    <w:p w14:paraId="08AE0238" w14:textId="77777777" w:rsidR="003D24E2" w:rsidRDefault="008D07F4">
      <w:r>
        <w:rPr>
          <w:rFonts w:eastAsia="Arial Unicode MS" w:cs="Arial Unicode MS"/>
          <w:shd w:val="clear" w:color="auto" w:fill="FFFFFF"/>
        </w:rPr>
        <w:t xml:space="preserve"> </w:t>
      </w:r>
    </w:p>
    <w:p w14:paraId="1697C456" w14:textId="77777777" w:rsidR="003D24E2" w:rsidRDefault="003D24E2">
      <w:pPr>
        <w:spacing w:line="240" w:lineRule="auto"/>
        <w:ind w:left="720" w:hanging="720"/>
        <w:rPr>
          <w:shd w:val="clear" w:color="auto" w:fill="FFFFFF"/>
        </w:rPr>
      </w:pPr>
    </w:p>
    <w:p w14:paraId="5753CE3D" w14:textId="77777777" w:rsidR="003D24E2" w:rsidRDefault="003D24E2">
      <w:pPr>
        <w:spacing w:line="240" w:lineRule="auto"/>
        <w:ind w:left="720" w:hanging="720"/>
        <w:rPr>
          <w:shd w:val="clear" w:color="auto" w:fill="FFFFFF"/>
        </w:rPr>
      </w:pPr>
    </w:p>
    <w:p w14:paraId="451BE070" w14:textId="77777777" w:rsidR="003D24E2" w:rsidRDefault="003D24E2">
      <w:pPr>
        <w:ind w:left="720" w:hanging="720"/>
      </w:pPr>
    </w:p>
    <w:p w14:paraId="597E0034" w14:textId="77777777" w:rsidR="003D24E2" w:rsidRDefault="003D24E2"/>
    <w:p w14:paraId="51DAAAB9" w14:textId="77777777" w:rsidR="003D24E2" w:rsidRDefault="003D24E2"/>
    <w:p w14:paraId="4CD46142" w14:textId="77777777" w:rsidR="003D24E2" w:rsidRDefault="003D24E2"/>
    <w:p w14:paraId="0AA409F4" w14:textId="77777777" w:rsidR="003D24E2" w:rsidRDefault="003D24E2"/>
    <w:p w14:paraId="521E9B79" w14:textId="77777777" w:rsidR="003D24E2" w:rsidRDefault="003D24E2"/>
    <w:p w14:paraId="7B3F55E2" w14:textId="77777777" w:rsidR="003D24E2" w:rsidRDefault="003D24E2"/>
    <w:p w14:paraId="47CEB2A4" w14:textId="77777777" w:rsidR="003D24E2" w:rsidRDefault="003D24E2"/>
    <w:p w14:paraId="5FA81B03" w14:textId="77777777" w:rsidR="003D24E2" w:rsidRDefault="003D24E2"/>
    <w:p w14:paraId="4F212F56" w14:textId="77777777" w:rsidR="003D24E2" w:rsidRDefault="003D24E2"/>
    <w:p w14:paraId="4721C9A3" w14:textId="77777777" w:rsidR="003D24E2" w:rsidRDefault="003D24E2"/>
    <w:p w14:paraId="7641526B" w14:textId="77777777" w:rsidR="003D24E2" w:rsidRDefault="003D24E2"/>
    <w:p w14:paraId="4303DBC4" w14:textId="77777777" w:rsidR="003D24E2" w:rsidRDefault="003D24E2"/>
    <w:p w14:paraId="0612C2A7" w14:textId="77777777" w:rsidR="003D24E2" w:rsidRDefault="008D07F4">
      <w:pPr>
        <w:pStyle w:val="Heading1"/>
      </w:pPr>
      <w:bookmarkStart w:id="8" w:name="_Toc7"/>
      <w:r>
        <w:rPr>
          <w:rFonts w:eastAsia="Arial Unicode MS" w:cs="Arial Unicode MS"/>
        </w:rPr>
        <w:t>PART TWO</w:t>
      </w:r>
      <w:bookmarkEnd w:id="8"/>
    </w:p>
    <w:p w14:paraId="18C228FB" w14:textId="77777777" w:rsidR="003D24E2" w:rsidRDefault="008D07F4">
      <w:pPr>
        <w:pStyle w:val="Heading2"/>
      </w:pPr>
      <w:bookmarkStart w:id="9" w:name="_Toc8"/>
      <w:r>
        <w:rPr>
          <w:rFonts w:eastAsia="Arial Unicode MS" w:cs="Arial Unicode MS"/>
        </w:rPr>
        <w:t>(A) Powers of Chief Constable towards Intended March</w:t>
      </w:r>
      <w:bookmarkEnd w:id="9"/>
    </w:p>
    <w:p w14:paraId="6BAAF461" w14:textId="77777777" w:rsidR="003D24E2" w:rsidRDefault="008D07F4">
      <w:r>
        <w:rPr>
          <w:rFonts w:eastAsia="Arial Unicode MS" w:cs="Arial Unicode MS"/>
        </w:rPr>
        <w:t xml:space="preserve">According to the </w:t>
      </w:r>
      <w:r>
        <w:rPr>
          <w:rFonts w:eastAsia="Arial Unicode MS" w:cs="Arial Unicode MS"/>
          <w:b/>
          <w:bCs/>
          <w:i/>
          <w:iCs/>
        </w:rPr>
        <w:t>Public Order Act 1986</w:t>
      </w:r>
      <w:r>
        <w:rPr>
          <w:rFonts w:eastAsia="Arial Unicode MS" w:cs="Arial Unicode MS"/>
        </w:rPr>
        <w:t xml:space="preserve">, the march or moving protest is considered as a procession. The act provides differences between the </w:t>
      </w:r>
      <w:proofErr w:type="gramStart"/>
      <w:r>
        <w:rPr>
          <w:rFonts w:eastAsia="Arial Unicode MS" w:cs="Arial Unicode MS"/>
        </w:rPr>
        <w:t>march</w:t>
      </w:r>
      <w:proofErr w:type="gramEnd"/>
      <w:r>
        <w:rPr>
          <w:rFonts w:eastAsia="Arial Unicode MS" w:cs="Arial Unicode MS"/>
        </w:rPr>
        <w:t xml:space="preserve"> and static gathering. Police powers associated with the march or moving protests and static protests are somewhat similar. The act provides the police with three powers which are: The </w:t>
      </w:r>
      <w:proofErr w:type="spellStart"/>
      <w:r>
        <w:rPr>
          <w:rFonts w:eastAsia="Arial Unicode MS" w:cs="Arial Unicode MS"/>
        </w:rPr>
        <w:t>organiser</w:t>
      </w:r>
      <w:proofErr w:type="spellEnd"/>
      <w:r>
        <w:rPr>
          <w:rFonts w:eastAsia="Arial Unicode MS" w:cs="Arial Unicode MS"/>
        </w:rPr>
        <w:t xml:space="preserve"> of the march or moving protest is require to notify such information at least six days before to the local police </w:t>
      </w:r>
      <w:r>
        <w:rPr>
          <w:rFonts w:eastAsia="Arial Unicode MS" w:cs="Arial Unicode MS"/>
          <w:shd w:val="clear" w:color="auto" w:fill="FFFFFF"/>
        </w:rPr>
        <w:t xml:space="preserve"> (Fuchs, 2021)</w:t>
      </w:r>
      <w:r>
        <w:rPr>
          <w:rFonts w:eastAsia="Arial Unicode MS" w:cs="Arial Unicode MS"/>
        </w:rPr>
        <w:t xml:space="preserve">. The notification must inform the local police about the date, time, route and other names of organizers participating and other relevant information related to the march, as per </w:t>
      </w:r>
      <w:r>
        <w:rPr>
          <w:rFonts w:eastAsia="Arial Unicode MS" w:cs="Arial Unicode MS"/>
          <w:i/>
          <w:iCs/>
        </w:rPr>
        <w:t>section 11</w:t>
      </w:r>
      <w:r>
        <w:rPr>
          <w:rFonts w:eastAsia="Arial Unicode MS" w:cs="Arial Unicode MS"/>
        </w:rPr>
        <w:t xml:space="preserve"> of this act. It is an offence if the march or moving protest is organized without informing the local police officers. Also it is an offence if the </w:t>
      </w:r>
      <w:proofErr w:type="spellStart"/>
      <w:r>
        <w:rPr>
          <w:rFonts w:eastAsia="Arial Unicode MS" w:cs="Arial Unicode MS"/>
        </w:rPr>
        <w:t>organisers</w:t>
      </w:r>
      <w:proofErr w:type="spellEnd"/>
      <w:r>
        <w:rPr>
          <w:rFonts w:eastAsia="Arial Unicode MS" w:cs="Arial Unicode MS"/>
        </w:rPr>
        <w:t xml:space="preserve"> or individuals change the route, date or time and other information as notified to the local police officers </w:t>
      </w:r>
      <w:r>
        <w:rPr>
          <w:rFonts w:eastAsia="Arial Unicode MS" w:cs="Arial Unicode MS"/>
          <w:shd w:val="clear" w:color="auto" w:fill="FFFFFF"/>
        </w:rPr>
        <w:t>(Dixon, 2021)</w:t>
      </w:r>
      <w:r>
        <w:rPr>
          <w:rFonts w:eastAsia="Arial Unicode MS" w:cs="Arial Unicode MS"/>
        </w:rPr>
        <w:t>.  On the other hand, police has the power to limit the march or moving protest, change route if required, and even can set terms and conditions in respect to the march, if feel appropriate. Furthermore, police can make arrangements for stewarding and policing. Those participating in the march or moving protest is require to comply with negotiations made in order to maintain public trust and essential support.</w:t>
      </w:r>
    </w:p>
    <w:p w14:paraId="186E2D38" w14:textId="77777777" w:rsidR="003D24E2" w:rsidRDefault="008D07F4">
      <w:pPr>
        <w:ind w:firstLine="432"/>
      </w:pPr>
      <w:r>
        <w:rPr>
          <w:i/>
          <w:iCs/>
        </w:rPr>
        <w:t>Section 13</w:t>
      </w:r>
      <w:r>
        <w:t xml:space="preserve"> of the </w:t>
      </w:r>
      <w:r>
        <w:rPr>
          <w:i/>
          <w:iCs/>
        </w:rPr>
        <w:t>Public Order Act 1986</w:t>
      </w:r>
      <w:r>
        <w:t xml:space="preserve">, facilitates power to ban marches outright.  The Chief Constable has the power if he or she believes that imposing restrictions will not be sufficient from preventing major public disorder which is resulting from the march. The decision of the Chief Constable is require to be approved by the Local Council (unless such march is intended in the London) and by the Home Secretary. The ban of </w:t>
      </w:r>
      <w:proofErr w:type="gramStart"/>
      <w:r>
        <w:t>march</w:t>
      </w:r>
      <w:proofErr w:type="gramEnd"/>
      <w:r>
        <w:t xml:space="preserve"> applies to all other marches in the area for the duration of the ban. Generally such power is used infrequently. Powers in practice include the prohibiting the marches or moving protests. The police have the ability to recommend that a planned protest or </w:t>
      </w:r>
      <w:proofErr w:type="gramStart"/>
      <w:r>
        <w:t>march</w:t>
      </w:r>
      <w:proofErr w:type="gramEnd"/>
      <w:r>
        <w:t xml:space="preserve"> be prohibited by the relevant local authority. They can do so in concern of their ability to safely regulate the planned march or protest.  The local authorities, on the other hand, is require to seek consent from the Home Secretary before taking any step to prohibit the march or moving protest. Furthermore, the offence is committed when the march is organized after being prohibited. Those who are convicted of the offence are charged with either fine or imprisoned, deems fit </w:t>
      </w:r>
      <w:r>
        <w:rPr>
          <w:shd w:val="clear" w:color="auto" w:fill="FFFFFF"/>
        </w:rPr>
        <w:t>(</w:t>
      </w:r>
      <w:proofErr w:type="spellStart"/>
      <w:r>
        <w:rPr>
          <w:shd w:val="clear" w:color="auto" w:fill="FFFFFF"/>
        </w:rPr>
        <w:t>Dehaghani</w:t>
      </w:r>
      <w:proofErr w:type="spellEnd"/>
      <w:r>
        <w:rPr>
          <w:shd w:val="clear" w:color="auto" w:fill="FFFFFF"/>
        </w:rPr>
        <w:t xml:space="preserve"> and Newman, 2021)</w:t>
      </w:r>
      <w:r>
        <w:t xml:space="preserve">.  </w:t>
      </w:r>
    </w:p>
    <w:p w14:paraId="55C97A1C" w14:textId="77777777" w:rsidR="003D24E2" w:rsidRDefault="008D07F4">
      <w:pPr>
        <w:ind w:firstLine="432"/>
      </w:pPr>
      <w:r>
        <w:t>Section 14 of the act, allows the senior officers to issue direction if they reasonably believe:-</w:t>
      </w:r>
    </w:p>
    <w:p w14:paraId="2D5E69ED" w14:textId="77777777" w:rsidR="003D24E2" w:rsidRDefault="008D07F4">
      <w:pPr>
        <w:numPr>
          <w:ilvl w:val="0"/>
          <w:numId w:val="2"/>
        </w:numPr>
      </w:pPr>
      <w:r>
        <w:t xml:space="preserve">That the protest or march may led to serious public disorder, serious damage to property or disruption of life, as in this case scenario the police believes so, </w:t>
      </w:r>
      <w:r>
        <w:rPr>
          <w:shd w:val="clear" w:color="auto" w:fill="FFFFFF"/>
        </w:rPr>
        <w:t>(</w:t>
      </w:r>
      <w:proofErr w:type="spellStart"/>
      <w:r>
        <w:rPr>
          <w:shd w:val="clear" w:color="auto" w:fill="FFFFFF"/>
        </w:rPr>
        <w:t>Gelber</w:t>
      </w:r>
      <w:proofErr w:type="spellEnd"/>
      <w:r>
        <w:rPr>
          <w:shd w:val="clear" w:color="auto" w:fill="FFFFFF"/>
        </w:rPr>
        <w:t xml:space="preserve">, 2021) </w:t>
      </w:r>
      <w:r>
        <w:t xml:space="preserve">or </w:t>
      </w:r>
    </w:p>
    <w:p w14:paraId="1A127634" w14:textId="77777777" w:rsidR="003D24E2" w:rsidRDefault="008D07F4">
      <w:pPr>
        <w:numPr>
          <w:ilvl w:val="0"/>
          <w:numId w:val="2"/>
        </w:numPr>
      </w:pPr>
      <w:r>
        <w:t xml:space="preserve">The main motive of the protest or march is to intimidate others and even to compel others in respect of the right to do an act which they have no right or not to do an act to which they have right to do so.  </w:t>
      </w:r>
    </w:p>
    <w:p w14:paraId="514D58D8" w14:textId="77777777" w:rsidR="003D24E2" w:rsidRDefault="008D07F4">
      <w:r>
        <w:rPr>
          <w:rFonts w:eastAsia="Arial Unicode MS" w:cs="Arial Unicode MS"/>
        </w:rPr>
        <w:t xml:space="preserve">Under the eyes of law the police officers have the power to use some force in certain circumstances. There are certain provisions stated under the </w:t>
      </w:r>
      <w:r>
        <w:rPr>
          <w:rFonts w:eastAsia="Arial Unicode MS" w:cs="Arial Unicode MS"/>
          <w:i/>
          <w:iCs/>
        </w:rPr>
        <w:t>Criminal Law Act 1967</w:t>
      </w:r>
      <w:r>
        <w:rPr>
          <w:rFonts w:eastAsia="Arial Unicode MS" w:cs="Arial Unicode MS"/>
        </w:rPr>
        <w:t xml:space="preserve"> and the </w:t>
      </w:r>
      <w:r>
        <w:rPr>
          <w:rFonts w:eastAsia="Arial Unicode MS" w:cs="Arial Unicode MS"/>
          <w:i/>
          <w:iCs/>
        </w:rPr>
        <w:t>Police and Criminal Evidence Act 1984</w:t>
      </w:r>
      <w:r>
        <w:rPr>
          <w:rFonts w:eastAsia="Arial Unicode MS" w:cs="Arial Unicode MS"/>
        </w:rPr>
        <w:t xml:space="preserve">, which allows the police officers to use powers in case of reasonable circumstances </w:t>
      </w:r>
      <w:r>
        <w:rPr>
          <w:rFonts w:eastAsia="Arial Unicode MS" w:cs="Arial Unicode MS"/>
          <w:shd w:val="clear" w:color="auto" w:fill="FFFFFF"/>
        </w:rPr>
        <w:t>(</w:t>
      </w:r>
      <w:proofErr w:type="spellStart"/>
      <w:r>
        <w:rPr>
          <w:rFonts w:eastAsia="Arial Unicode MS" w:cs="Arial Unicode MS"/>
          <w:shd w:val="clear" w:color="auto" w:fill="FFFFFF"/>
        </w:rPr>
        <w:t>Diab</w:t>
      </w:r>
      <w:proofErr w:type="spellEnd"/>
      <w:r>
        <w:rPr>
          <w:rFonts w:eastAsia="Arial Unicode MS" w:cs="Arial Unicode MS"/>
          <w:shd w:val="clear" w:color="auto" w:fill="FFFFFF"/>
        </w:rPr>
        <w:t xml:space="preserve"> and </w:t>
      </w:r>
      <w:proofErr w:type="spellStart"/>
      <w:r>
        <w:rPr>
          <w:rFonts w:eastAsia="Arial Unicode MS" w:cs="Arial Unicode MS"/>
          <w:shd w:val="clear" w:color="auto" w:fill="FFFFFF"/>
        </w:rPr>
        <w:t>Pue</w:t>
      </w:r>
      <w:proofErr w:type="spellEnd"/>
      <w:r>
        <w:rPr>
          <w:rFonts w:eastAsia="Arial Unicode MS" w:cs="Arial Unicode MS"/>
          <w:shd w:val="clear" w:color="auto" w:fill="FFFFFF"/>
        </w:rPr>
        <w:t>, 2021)</w:t>
      </w:r>
      <w:r>
        <w:rPr>
          <w:rFonts w:eastAsia="Arial Unicode MS" w:cs="Arial Unicode MS"/>
        </w:rPr>
        <w:t>. As per the act ‘</w:t>
      </w:r>
      <w:r>
        <w:rPr>
          <w:rFonts w:eastAsia="Arial Unicode MS" w:cs="Arial Unicode MS"/>
          <w:i/>
          <w:iCs/>
        </w:rPr>
        <w:t>reasonable circumstance</w:t>
      </w:r>
      <w:r>
        <w:rPr>
          <w:rFonts w:eastAsia="Arial Unicode MS" w:cs="Arial Unicode MS"/>
        </w:rPr>
        <w:t xml:space="preserve">s’ is defined as in case of absolute necessity. Some of the police tactics such as usage of batons and the deployment of shields can be used as force. Officers are require to give proper training in respect of using such tactics and sometimes their use necessitates explicit permission. One of the controversial tactic is the </w:t>
      </w:r>
      <w:r>
        <w:rPr>
          <w:rFonts w:eastAsia="Arial Unicode MS" w:cs="Arial Unicode MS"/>
          <w:i/>
          <w:iCs/>
        </w:rPr>
        <w:t xml:space="preserve">containment </w:t>
      </w:r>
      <w:r>
        <w:rPr>
          <w:rFonts w:eastAsia="Arial Unicode MS" w:cs="Arial Unicode MS"/>
        </w:rPr>
        <w:t xml:space="preserve">as the use of force. It allows the police officers to handle and better control the crowds. Generally the containment as per the public order, is used as final resort and in case where there is breach of peace or reasonably thought to be imminent. Another tactic involves the </w:t>
      </w:r>
      <w:r>
        <w:rPr>
          <w:rFonts w:eastAsia="Arial Unicode MS" w:cs="Arial Unicode MS"/>
          <w:i/>
          <w:iCs/>
        </w:rPr>
        <w:t>communication</w:t>
      </w:r>
      <w:r>
        <w:rPr>
          <w:rFonts w:eastAsia="Arial Unicode MS" w:cs="Arial Unicode MS"/>
        </w:rPr>
        <w:t xml:space="preserve"> which aims to eliminate conflicts, strengthen the relationships between police and the </w:t>
      </w:r>
      <w:proofErr w:type="spellStart"/>
      <w:r>
        <w:rPr>
          <w:rFonts w:eastAsia="Arial Unicode MS" w:cs="Arial Unicode MS"/>
        </w:rPr>
        <w:t>organisers</w:t>
      </w:r>
      <w:proofErr w:type="spellEnd"/>
      <w:r>
        <w:rPr>
          <w:rFonts w:eastAsia="Arial Unicode MS" w:cs="Arial Unicode MS"/>
        </w:rPr>
        <w:t xml:space="preserve">, support the police operations smoothly and identify the police response effectively. </w:t>
      </w:r>
    </w:p>
    <w:p w14:paraId="1F5639E7" w14:textId="77777777" w:rsidR="003D24E2" w:rsidRDefault="008D07F4">
      <w:pPr>
        <w:pStyle w:val="Heading2"/>
      </w:pPr>
      <w:bookmarkStart w:id="10" w:name="_Toc9"/>
      <w:r>
        <w:rPr>
          <w:rFonts w:eastAsia="Arial Unicode MS" w:cs="Arial Unicode MS"/>
        </w:rPr>
        <w:t xml:space="preserve">(B) Legality of Police Constable’s Actions </w:t>
      </w:r>
      <w:bookmarkEnd w:id="10"/>
    </w:p>
    <w:p w14:paraId="49F807D1" w14:textId="77777777" w:rsidR="003D24E2" w:rsidRDefault="008D07F4">
      <w:r>
        <w:tab/>
      </w:r>
      <w:r>
        <w:rPr>
          <w:rFonts w:eastAsia="Arial Unicode MS" w:cs="Arial Unicode MS"/>
          <w:i/>
          <w:iCs/>
        </w:rPr>
        <w:t>Section 4</w:t>
      </w:r>
      <w:r>
        <w:rPr>
          <w:rFonts w:eastAsia="Arial Unicode MS" w:cs="Arial Unicode MS"/>
        </w:rPr>
        <w:t xml:space="preserve"> of the </w:t>
      </w:r>
      <w:r>
        <w:rPr>
          <w:rFonts w:eastAsia="Arial Unicode MS" w:cs="Arial Unicode MS"/>
          <w:i/>
          <w:iCs/>
        </w:rPr>
        <w:t>Public Order Act 1986</w:t>
      </w:r>
      <w:r>
        <w:rPr>
          <w:rFonts w:eastAsia="Arial Unicode MS" w:cs="Arial Unicode MS"/>
        </w:rPr>
        <w:t xml:space="preserve">, states the fear or provocation of violence </w:t>
      </w:r>
      <w:r>
        <w:rPr>
          <w:rFonts w:eastAsia="Arial Unicode MS" w:cs="Arial Unicode MS"/>
          <w:shd w:val="clear" w:color="auto" w:fill="FFFFFF"/>
        </w:rPr>
        <w:t>(</w:t>
      </w:r>
      <w:proofErr w:type="spellStart"/>
      <w:r>
        <w:rPr>
          <w:rFonts w:eastAsia="Arial Unicode MS" w:cs="Arial Unicode MS"/>
          <w:shd w:val="clear" w:color="auto" w:fill="FFFFFF"/>
        </w:rPr>
        <w:t>Hattery</w:t>
      </w:r>
      <w:proofErr w:type="spellEnd"/>
      <w:r>
        <w:rPr>
          <w:rFonts w:eastAsia="Arial Unicode MS" w:cs="Arial Unicode MS"/>
          <w:shd w:val="clear" w:color="auto" w:fill="FFFFFF"/>
        </w:rPr>
        <w:t xml:space="preserve"> and Smith, 2021)</w:t>
      </w:r>
      <w:r>
        <w:rPr>
          <w:rFonts w:eastAsia="Arial Unicode MS" w:cs="Arial Unicode MS"/>
        </w:rPr>
        <w:t>. The section 2 of this act provides that the person is guilty of offence when he or she:-</w:t>
      </w:r>
    </w:p>
    <w:p w14:paraId="4B50BFE8" w14:textId="77777777" w:rsidR="003D24E2" w:rsidRDefault="008D07F4">
      <w:pPr>
        <w:numPr>
          <w:ilvl w:val="0"/>
          <w:numId w:val="4"/>
        </w:numPr>
      </w:pPr>
      <w:r>
        <w:t xml:space="preserve">Make usage of words or conduct any such </w:t>
      </w:r>
      <w:proofErr w:type="spellStart"/>
      <w:r>
        <w:t>behaviour</w:t>
      </w:r>
      <w:proofErr w:type="spellEnd"/>
      <w:r>
        <w:t xml:space="preserve"> towards the other person, or</w:t>
      </w:r>
    </w:p>
    <w:p w14:paraId="73DEFF18" w14:textId="77777777" w:rsidR="003D24E2" w:rsidRDefault="008D07F4">
      <w:pPr>
        <w:numPr>
          <w:ilvl w:val="0"/>
          <w:numId w:val="4"/>
        </w:numPr>
      </w:pPr>
      <w:r>
        <w:t xml:space="preserve">Make display or distributes any such writing, sign or other visible representation </w:t>
      </w:r>
    </w:p>
    <w:p w14:paraId="4CED376D" w14:textId="77777777" w:rsidR="003D24E2" w:rsidRDefault="008D07F4">
      <w:pPr>
        <w:ind w:left="360"/>
      </w:pPr>
      <w:proofErr w:type="gramStart"/>
      <w:r>
        <w:t>that</w:t>
      </w:r>
      <w:proofErr w:type="gramEnd"/>
      <w:r>
        <w:t xml:space="preserve"> are committed to threaten or abuse or insult the other person. Such is done either:-</w:t>
      </w:r>
    </w:p>
    <w:p w14:paraId="4374263E" w14:textId="77777777" w:rsidR="003D24E2" w:rsidRDefault="008D07F4">
      <w:pPr>
        <w:numPr>
          <w:ilvl w:val="0"/>
          <w:numId w:val="6"/>
        </w:numPr>
      </w:pPr>
      <w:r>
        <w:t>With an intention to cause harm or believe that such will led to immediate violence against other person, or with an intention to provoke such immediate violence or harm against the other person.</w:t>
      </w:r>
    </w:p>
    <w:p w14:paraId="59EBE39A" w14:textId="77777777" w:rsidR="003D24E2" w:rsidRDefault="008D07F4">
      <w:pPr>
        <w:numPr>
          <w:ilvl w:val="0"/>
          <w:numId w:val="6"/>
        </w:numPr>
      </w:pPr>
      <w:r>
        <w:t xml:space="preserve">Whereby the person committing guilt is likely to believe that such will led to immediate violence or harm, or it is very likely that such violence will be instigated.  </w:t>
      </w:r>
    </w:p>
    <w:p w14:paraId="498764EF" w14:textId="77777777" w:rsidR="003D24E2" w:rsidRDefault="008D07F4">
      <w:pPr>
        <w:ind w:firstLine="360"/>
      </w:pPr>
      <w:r>
        <w:t xml:space="preserve">The offence is not committed on occasion of disorderly conduct. The offence under section 4 of this act is considered to be fairly serious and the </w:t>
      </w:r>
      <w:proofErr w:type="spellStart"/>
      <w:r>
        <w:t>behaviour</w:t>
      </w:r>
      <w:proofErr w:type="spellEnd"/>
      <w:r>
        <w:t xml:space="preserve"> related to merely disorderly conduct is usually dealt under section 4A or section 5 of the act </w:t>
      </w:r>
      <w:r>
        <w:rPr>
          <w:shd w:val="clear" w:color="auto" w:fill="FFFFFF"/>
        </w:rPr>
        <w:t>(</w:t>
      </w:r>
      <w:proofErr w:type="spellStart"/>
      <w:r>
        <w:rPr>
          <w:shd w:val="clear" w:color="auto" w:fill="FFFFFF"/>
        </w:rPr>
        <w:t>LaVan</w:t>
      </w:r>
      <w:proofErr w:type="spellEnd"/>
      <w:r>
        <w:rPr>
          <w:shd w:val="clear" w:color="auto" w:fill="FFFFFF"/>
        </w:rPr>
        <w:t xml:space="preserve"> and Martin, 2021)</w:t>
      </w:r>
      <w:r>
        <w:t xml:space="preserve">. The offence require that such word, </w:t>
      </w:r>
      <w:proofErr w:type="spellStart"/>
      <w:r>
        <w:t>behaviour</w:t>
      </w:r>
      <w:proofErr w:type="spellEnd"/>
      <w:r>
        <w:t xml:space="preserve"> or visible representation must be directed towards someone. Which in this case scenario is as Tim one of the protestors called the Police Constable Hemp a ‘pig’ in response to which the PC Hemp arrested Tim on the basis of section 4 of Public Order Act 1986, for using such abusive language </w:t>
      </w:r>
      <w:r>
        <w:rPr>
          <w:shd w:val="clear" w:color="auto" w:fill="FFFFFF"/>
        </w:rPr>
        <w:t>(Stasi, 2021)</w:t>
      </w:r>
      <w:r>
        <w:t xml:space="preserve">. </w:t>
      </w:r>
    </w:p>
    <w:p w14:paraId="6A38046E" w14:textId="77777777" w:rsidR="003D24E2" w:rsidRDefault="008D07F4">
      <w:pPr>
        <w:pStyle w:val="Heading1"/>
        <w:rPr>
          <w:shd w:val="clear" w:color="auto" w:fill="FFFFFF"/>
        </w:rPr>
      </w:pPr>
      <w:bookmarkStart w:id="11" w:name="_Toc10"/>
      <w:r>
        <w:rPr>
          <w:rFonts w:eastAsia="Arial Unicode MS" w:cs="Arial Unicode MS"/>
          <w:shd w:val="clear" w:color="auto" w:fill="FFFFFF"/>
        </w:rPr>
        <w:t xml:space="preserve">CONCLUSION </w:t>
      </w:r>
      <w:bookmarkEnd w:id="11"/>
    </w:p>
    <w:p w14:paraId="020EE77A" w14:textId="77777777" w:rsidR="003D24E2" w:rsidRDefault="008D07F4">
      <w:pPr>
        <w:ind w:firstLine="432"/>
      </w:pPr>
      <w:r>
        <w:t xml:space="preserve">The above report is bifurcated into two parts, Part one provides the separation of power theory and its relevance with the British Constitution. The report examined briefly the separation of each powers and their comparison with other jurisdictions with relevant acts, rule and case studies. Whereas, Part two of the report highlighted the answers in response to the questions raised from the fictitious case scenario provided. The report examined the power of the Chief Constable in respect to control or prohibit the intended march or moving protest. Furthermore, examined the legality of one of the protestor’s actions under section 4 of the Public Order Act 1986. The report has discussed briefly the relevant sections related to Public Order Act 1986 as well as the Police and Criminal Evidence Act 1984. </w:t>
      </w:r>
    </w:p>
    <w:p w14:paraId="10D2DBEF" w14:textId="77777777" w:rsidR="003D24E2" w:rsidRDefault="003D24E2">
      <w:pPr>
        <w:ind w:firstLine="432"/>
      </w:pPr>
    </w:p>
    <w:p w14:paraId="044C248A" w14:textId="77777777" w:rsidR="003D24E2" w:rsidRDefault="003D24E2">
      <w:pPr>
        <w:ind w:firstLine="432"/>
      </w:pPr>
    </w:p>
    <w:p w14:paraId="78227BE6" w14:textId="77777777" w:rsidR="003D24E2" w:rsidRDefault="003D24E2">
      <w:pPr>
        <w:ind w:firstLine="432"/>
      </w:pPr>
    </w:p>
    <w:p w14:paraId="5DF8287B" w14:textId="77777777" w:rsidR="003D24E2" w:rsidRDefault="003D24E2">
      <w:pPr>
        <w:ind w:firstLine="432"/>
      </w:pPr>
    </w:p>
    <w:p w14:paraId="1435CF54" w14:textId="77777777" w:rsidR="003D24E2" w:rsidRDefault="003D24E2">
      <w:pPr>
        <w:ind w:firstLine="432"/>
      </w:pPr>
    </w:p>
    <w:p w14:paraId="6F5F786B" w14:textId="77777777" w:rsidR="003D24E2" w:rsidRDefault="003D24E2">
      <w:pPr>
        <w:ind w:firstLine="432"/>
      </w:pPr>
    </w:p>
    <w:p w14:paraId="3C9B95D6" w14:textId="77777777" w:rsidR="003D24E2" w:rsidRDefault="003D24E2"/>
    <w:p w14:paraId="37CFFB0C" w14:textId="77777777" w:rsidR="003D24E2" w:rsidRDefault="003D24E2"/>
    <w:p w14:paraId="40DEE010" w14:textId="77777777" w:rsidR="003D24E2" w:rsidRDefault="003D24E2"/>
    <w:p w14:paraId="4146A472" w14:textId="77777777" w:rsidR="003D24E2" w:rsidRDefault="008D07F4">
      <w:pPr>
        <w:pStyle w:val="Heading1"/>
      </w:pPr>
      <w:bookmarkStart w:id="12" w:name="_Toc11"/>
      <w:r>
        <w:rPr>
          <w:rFonts w:eastAsia="Arial Unicode MS" w:cs="Arial Unicode MS"/>
        </w:rPr>
        <w:t>REFERNCES</w:t>
      </w:r>
      <w:bookmarkEnd w:id="12"/>
    </w:p>
    <w:p w14:paraId="4E1F9310" w14:textId="77777777" w:rsidR="003D24E2" w:rsidRDefault="008D07F4">
      <w:pPr>
        <w:rPr>
          <w:u w:val="single"/>
        </w:rPr>
      </w:pPr>
      <w:r>
        <w:rPr>
          <w:rFonts w:eastAsia="Arial Unicode MS" w:cs="Arial Unicode MS"/>
          <w:u w:val="single"/>
        </w:rPr>
        <w:t>Books and Journals</w:t>
      </w:r>
    </w:p>
    <w:p w14:paraId="2C59AB00" w14:textId="16EC4F22" w:rsidR="003D24E2" w:rsidRDefault="008D07F4">
      <w:pPr>
        <w:spacing w:line="240" w:lineRule="auto"/>
        <w:ind w:left="720" w:hanging="720"/>
        <w:rPr>
          <w:shd w:val="clear" w:color="auto" w:fill="FFFFFF"/>
        </w:rPr>
      </w:pPr>
      <w:proofErr w:type="spellStart"/>
      <w:r>
        <w:rPr>
          <w:shd w:val="clear" w:color="auto" w:fill="FFFFFF"/>
        </w:rPr>
        <w:t>Dehaghani</w:t>
      </w:r>
      <w:proofErr w:type="spellEnd"/>
      <w:r>
        <w:rPr>
          <w:shd w:val="clear" w:color="auto" w:fill="FFFFFF"/>
        </w:rPr>
        <w:t>, R. and Newman, D., 2021. Criminal legal aid and access to justice: an empirical account of a reduction in resilience. </w:t>
      </w:r>
      <w:r>
        <w:rPr>
          <w:i/>
          <w:iCs/>
          <w:shd w:val="clear" w:color="auto" w:fill="FFFFFF"/>
        </w:rPr>
        <w:t>International Journal of the Legal Profession</w:t>
      </w:r>
      <w:r>
        <w:rPr>
          <w:shd w:val="clear" w:color="auto" w:fill="FFFFFF"/>
        </w:rPr>
        <w:t>.</w:t>
      </w:r>
    </w:p>
    <w:p w14:paraId="02A48E1E" w14:textId="77777777" w:rsidR="0036630E" w:rsidRDefault="0036630E">
      <w:pPr>
        <w:spacing w:line="240" w:lineRule="auto"/>
        <w:ind w:left="720" w:hanging="720"/>
        <w:rPr>
          <w:shd w:val="clear" w:color="auto" w:fill="FFFFFF"/>
        </w:rPr>
      </w:pPr>
    </w:p>
    <w:p w14:paraId="0701DED8" w14:textId="7EE70705" w:rsidR="003D24E2" w:rsidRDefault="008D07F4">
      <w:pPr>
        <w:spacing w:line="240" w:lineRule="auto"/>
        <w:ind w:left="720" w:hanging="720"/>
        <w:rPr>
          <w:shd w:val="clear" w:color="auto" w:fill="FFFFFF"/>
        </w:rPr>
      </w:pPr>
      <w:proofErr w:type="spellStart"/>
      <w:r>
        <w:rPr>
          <w:shd w:val="clear" w:color="auto" w:fill="FFFFFF"/>
        </w:rPr>
        <w:t>Diab</w:t>
      </w:r>
      <w:proofErr w:type="spellEnd"/>
      <w:r>
        <w:rPr>
          <w:shd w:val="clear" w:color="auto" w:fill="FFFFFF"/>
        </w:rPr>
        <w:t xml:space="preserve">, R. and </w:t>
      </w:r>
      <w:proofErr w:type="spellStart"/>
      <w:r>
        <w:rPr>
          <w:shd w:val="clear" w:color="auto" w:fill="FFFFFF"/>
        </w:rPr>
        <w:t>Pue</w:t>
      </w:r>
      <w:proofErr w:type="spellEnd"/>
      <w:r>
        <w:rPr>
          <w:shd w:val="clear" w:color="auto" w:fill="FFFFFF"/>
        </w:rPr>
        <w:t>, W., 2021. The Gap in Canadian Police Powers: Canada Needs 'Public Order Policing' Legislation. </w:t>
      </w:r>
      <w:r>
        <w:rPr>
          <w:i/>
          <w:iCs/>
          <w:shd w:val="clear" w:color="auto" w:fill="FFFFFF"/>
        </w:rPr>
        <w:t>SSRN Electronic Journal</w:t>
      </w:r>
      <w:r>
        <w:rPr>
          <w:shd w:val="clear" w:color="auto" w:fill="FFFFFF"/>
        </w:rPr>
        <w:t>.</w:t>
      </w:r>
    </w:p>
    <w:p w14:paraId="0005561D" w14:textId="77777777" w:rsidR="0036630E" w:rsidRDefault="0036630E">
      <w:pPr>
        <w:spacing w:line="240" w:lineRule="auto"/>
        <w:ind w:left="720" w:hanging="720"/>
        <w:rPr>
          <w:shd w:val="clear" w:color="auto" w:fill="FFFFFF"/>
        </w:rPr>
      </w:pPr>
    </w:p>
    <w:p w14:paraId="6DCEAEA7" w14:textId="3A3DC7EB" w:rsidR="003D24E2" w:rsidRDefault="008D07F4">
      <w:pPr>
        <w:spacing w:line="240" w:lineRule="auto"/>
        <w:ind w:left="720" w:hanging="720"/>
        <w:rPr>
          <w:shd w:val="clear" w:color="auto" w:fill="FFFFFF"/>
        </w:rPr>
      </w:pPr>
      <w:r>
        <w:rPr>
          <w:shd w:val="clear" w:color="auto" w:fill="FFFFFF"/>
        </w:rPr>
        <w:t>Dixon, D., 2021. Protest and Disorder: The Public Order Act 1986. </w:t>
      </w:r>
      <w:r>
        <w:rPr>
          <w:i/>
          <w:iCs/>
          <w:shd w:val="clear" w:color="auto" w:fill="FFFFFF"/>
        </w:rPr>
        <w:t>Critical Social Policy</w:t>
      </w:r>
      <w:r w:rsidR="0036630E">
        <w:rPr>
          <w:shd w:val="clear" w:color="auto" w:fill="FFFFFF"/>
        </w:rPr>
        <w:t>.</w:t>
      </w:r>
    </w:p>
    <w:p w14:paraId="6F2B5504" w14:textId="77777777" w:rsidR="0036630E" w:rsidRDefault="0036630E">
      <w:pPr>
        <w:spacing w:line="240" w:lineRule="auto"/>
        <w:ind w:left="720" w:hanging="720"/>
        <w:rPr>
          <w:shd w:val="clear" w:color="auto" w:fill="FFFFFF"/>
        </w:rPr>
      </w:pPr>
    </w:p>
    <w:p w14:paraId="2D0F20A0" w14:textId="6C6961B4" w:rsidR="003D24E2" w:rsidRDefault="008D07F4">
      <w:pPr>
        <w:spacing w:line="240" w:lineRule="auto"/>
        <w:ind w:left="720" w:hanging="720"/>
        <w:rPr>
          <w:shd w:val="clear" w:color="auto" w:fill="FFFFFF"/>
        </w:rPr>
      </w:pPr>
      <w:r>
        <w:rPr>
          <w:shd w:val="clear" w:color="auto" w:fill="FFFFFF"/>
        </w:rPr>
        <w:t>Fuchs, P., 2021. Wafting spheres: much ado about nothing. </w:t>
      </w:r>
      <w:proofErr w:type="spellStart"/>
      <w:r>
        <w:rPr>
          <w:i/>
          <w:iCs/>
          <w:shd w:val="clear" w:color="auto" w:fill="FFFFFF"/>
        </w:rPr>
        <w:t>Kybernetes</w:t>
      </w:r>
      <w:proofErr w:type="spellEnd"/>
      <w:r>
        <w:rPr>
          <w:shd w:val="clear" w:color="auto" w:fill="FFFFFF"/>
        </w:rPr>
        <w:t>.</w:t>
      </w:r>
    </w:p>
    <w:p w14:paraId="21D61BEC" w14:textId="77777777" w:rsidR="0036630E" w:rsidRDefault="0036630E">
      <w:pPr>
        <w:spacing w:line="240" w:lineRule="auto"/>
        <w:ind w:left="720" w:hanging="720"/>
        <w:rPr>
          <w:shd w:val="clear" w:color="auto" w:fill="FFFFFF"/>
        </w:rPr>
      </w:pPr>
    </w:p>
    <w:p w14:paraId="38635997" w14:textId="14C2873A" w:rsidR="003D24E2" w:rsidRDefault="008D07F4">
      <w:pPr>
        <w:spacing w:line="240" w:lineRule="auto"/>
        <w:ind w:left="720" w:hanging="720"/>
        <w:rPr>
          <w:shd w:val="clear" w:color="auto" w:fill="FFFFFF"/>
        </w:rPr>
      </w:pPr>
      <w:proofErr w:type="spellStart"/>
      <w:r>
        <w:rPr>
          <w:shd w:val="clear" w:color="auto" w:fill="FFFFFF"/>
        </w:rPr>
        <w:t>Gelber</w:t>
      </w:r>
      <w:proofErr w:type="spellEnd"/>
      <w:r>
        <w:rPr>
          <w:shd w:val="clear" w:color="auto" w:fill="FFFFFF"/>
        </w:rPr>
        <w:t>, K., 2021. Norms, institutions and freedom of speech in the US, the UK and Australia. </w:t>
      </w:r>
      <w:r>
        <w:rPr>
          <w:i/>
          <w:iCs/>
          <w:shd w:val="clear" w:color="auto" w:fill="FFFFFF"/>
        </w:rPr>
        <w:t>Journal of Public Policy</w:t>
      </w:r>
      <w:r w:rsidR="0036630E">
        <w:rPr>
          <w:shd w:val="clear" w:color="auto" w:fill="FFFFFF"/>
        </w:rPr>
        <w:t>.</w:t>
      </w:r>
    </w:p>
    <w:p w14:paraId="05CA7CF6" w14:textId="77777777" w:rsidR="0036630E" w:rsidRDefault="0036630E">
      <w:pPr>
        <w:spacing w:line="240" w:lineRule="auto"/>
        <w:ind w:left="720" w:hanging="720"/>
        <w:rPr>
          <w:shd w:val="clear" w:color="auto" w:fill="FFFFFF"/>
        </w:rPr>
      </w:pPr>
    </w:p>
    <w:p w14:paraId="5670C9ED" w14:textId="4428A862" w:rsidR="003D24E2" w:rsidRDefault="008D07F4">
      <w:pPr>
        <w:spacing w:line="240" w:lineRule="auto"/>
        <w:ind w:left="720" w:hanging="720"/>
        <w:rPr>
          <w:shd w:val="clear" w:color="auto" w:fill="FFFFFF"/>
        </w:rPr>
      </w:pPr>
      <w:proofErr w:type="spellStart"/>
      <w:r>
        <w:rPr>
          <w:shd w:val="clear" w:color="auto" w:fill="FFFFFF"/>
        </w:rPr>
        <w:t>Hattery</w:t>
      </w:r>
      <w:proofErr w:type="spellEnd"/>
      <w:r>
        <w:rPr>
          <w:shd w:val="clear" w:color="auto" w:fill="FFFFFF"/>
        </w:rPr>
        <w:t>, A.J. and Smith, E., 2021. </w:t>
      </w:r>
      <w:r>
        <w:rPr>
          <w:i/>
          <w:iCs/>
          <w:shd w:val="clear" w:color="auto" w:fill="FFFFFF"/>
        </w:rPr>
        <w:t>Policing black bodies: How black lives are surveilled and how to work for change</w:t>
      </w:r>
      <w:r>
        <w:rPr>
          <w:shd w:val="clear" w:color="auto" w:fill="FFFFFF"/>
        </w:rPr>
        <w:t>. Rowman &amp; Littlefield Publishers.</w:t>
      </w:r>
    </w:p>
    <w:p w14:paraId="66D08839" w14:textId="77777777" w:rsidR="0036630E" w:rsidRDefault="0036630E">
      <w:pPr>
        <w:spacing w:line="240" w:lineRule="auto"/>
        <w:ind w:left="720" w:hanging="720"/>
        <w:rPr>
          <w:shd w:val="clear" w:color="auto" w:fill="FFFFFF"/>
        </w:rPr>
      </w:pPr>
    </w:p>
    <w:p w14:paraId="3FFF5B4B" w14:textId="425A827B" w:rsidR="003D24E2" w:rsidRDefault="008D07F4">
      <w:pPr>
        <w:spacing w:line="240" w:lineRule="auto"/>
        <w:ind w:left="720" w:hanging="720"/>
        <w:rPr>
          <w:shd w:val="clear" w:color="auto" w:fill="FFFFFF"/>
        </w:rPr>
      </w:pPr>
      <w:proofErr w:type="spellStart"/>
      <w:r>
        <w:rPr>
          <w:shd w:val="clear" w:color="auto" w:fill="FFFFFF"/>
        </w:rPr>
        <w:t>LaVan</w:t>
      </w:r>
      <w:proofErr w:type="spellEnd"/>
      <w:r>
        <w:rPr>
          <w:shd w:val="clear" w:color="auto" w:fill="FFFFFF"/>
        </w:rPr>
        <w:t>, H. and Martin, W.M., 2021. Ethical challenges in workplace bullying and harassment: Creating ethical awareness and sensitivity. </w:t>
      </w:r>
      <w:r>
        <w:rPr>
          <w:i/>
          <w:iCs/>
          <w:shd w:val="clear" w:color="auto" w:fill="FFFFFF"/>
        </w:rPr>
        <w:t>Concepts, Approaches and Methods</w:t>
      </w:r>
      <w:r>
        <w:rPr>
          <w:shd w:val="clear" w:color="auto" w:fill="FFFFFF"/>
        </w:rPr>
        <w:t>.</w:t>
      </w:r>
    </w:p>
    <w:p w14:paraId="254C72B7" w14:textId="77777777" w:rsidR="0036630E" w:rsidRDefault="0036630E">
      <w:pPr>
        <w:spacing w:line="240" w:lineRule="auto"/>
        <w:ind w:left="720" w:hanging="720"/>
        <w:rPr>
          <w:shd w:val="clear" w:color="auto" w:fill="FFFFFF"/>
        </w:rPr>
      </w:pPr>
    </w:p>
    <w:p w14:paraId="425E300D" w14:textId="77777777" w:rsidR="003D24E2" w:rsidRDefault="008D07F4">
      <w:pPr>
        <w:spacing w:line="240" w:lineRule="auto"/>
        <w:ind w:left="720" w:hanging="720"/>
        <w:rPr>
          <w:shd w:val="clear" w:color="auto" w:fill="FFFFFF"/>
        </w:rPr>
      </w:pPr>
      <w:r>
        <w:rPr>
          <w:shd w:val="clear" w:color="auto" w:fill="FFFFFF"/>
        </w:rPr>
        <w:t>Stasi, A., 2021. Basic Concepts and Principles of Criminal Law. In </w:t>
      </w:r>
      <w:r>
        <w:rPr>
          <w:i/>
          <w:iCs/>
          <w:shd w:val="clear" w:color="auto" w:fill="FFFFFF"/>
        </w:rPr>
        <w:t>General Principles of Thai Criminal Law</w:t>
      </w:r>
      <w:r>
        <w:rPr>
          <w:shd w:val="clear" w:color="auto" w:fill="FFFFFF"/>
        </w:rPr>
        <w:t> (pp. 1-14). Springer, Singapore.</w:t>
      </w:r>
    </w:p>
    <w:p w14:paraId="32663A77" w14:textId="77777777" w:rsidR="003D24E2" w:rsidRDefault="003D24E2">
      <w:pPr>
        <w:spacing w:line="240" w:lineRule="auto"/>
        <w:ind w:left="720" w:hanging="720"/>
        <w:rPr>
          <w:shd w:val="clear" w:color="auto" w:fill="FFFFFF"/>
        </w:rPr>
      </w:pPr>
    </w:p>
    <w:p w14:paraId="16DDB59C" w14:textId="77777777" w:rsidR="003D24E2" w:rsidRDefault="003D24E2">
      <w:pPr>
        <w:spacing w:line="240" w:lineRule="auto"/>
        <w:ind w:left="720" w:hanging="720"/>
      </w:pPr>
    </w:p>
    <w:sectPr w:rsidR="003D24E2">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C49CC" w14:textId="77777777" w:rsidR="008A4B67" w:rsidRDefault="008A4B67">
      <w:pPr>
        <w:spacing w:line="240" w:lineRule="auto"/>
      </w:pPr>
      <w:r>
        <w:separator/>
      </w:r>
    </w:p>
  </w:endnote>
  <w:endnote w:type="continuationSeparator" w:id="0">
    <w:p w14:paraId="2F0B4477" w14:textId="77777777" w:rsidR="008A4B67" w:rsidRDefault="008A4B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Tino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2C469" w14:textId="77777777" w:rsidR="003D24E2" w:rsidRDefault="003D24E2">
    <w:pPr>
      <w:pStyle w:val="Header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B65E3" w14:textId="77777777" w:rsidR="008A4B67" w:rsidRDefault="008A4B67">
      <w:pPr>
        <w:spacing w:line="240" w:lineRule="auto"/>
      </w:pPr>
      <w:r>
        <w:separator/>
      </w:r>
    </w:p>
  </w:footnote>
  <w:footnote w:type="continuationSeparator" w:id="0">
    <w:p w14:paraId="6D60074D" w14:textId="77777777" w:rsidR="008A4B67" w:rsidRDefault="008A4B6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758A1" w14:textId="77777777" w:rsidR="003D24E2" w:rsidRDefault="008D07F4">
    <w:pPr>
      <w:pStyle w:val="HeaderFooter"/>
      <w:rPr>
        <w:rFonts w:hint="eastAsia"/>
      </w:rPr>
    </w:pPr>
    <w:r>
      <w:rPr>
        <w:noProof/>
      </w:rPr>
      <mc:AlternateContent>
        <mc:Choice Requires="wps">
          <w:drawing>
            <wp:anchor distT="152400" distB="152400" distL="152400" distR="152400" simplePos="0" relativeHeight="251658240" behindDoc="1" locked="0" layoutInCell="1" allowOverlap="1" wp14:anchorId="75BFB59C" wp14:editId="56A729D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342E5"/>
    <w:multiLevelType w:val="hybridMultilevel"/>
    <w:tmpl w:val="30989AE0"/>
    <w:styleLink w:val="ImportedStyle4"/>
    <w:lvl w:ilvl="0" w:tplc="FAFACA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3A371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0FCD2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5AC2F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C2607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1662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5090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47420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FE43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64693C"/>
    <w:multiLevelType w:val="hybridMultilevel"/>
    <w:tmpl w:val="30989AE0"/>
    <w:numStyleLink w:val="ImportedStyle4"/>
  </w:abstractNum>
  <w:abstractNum w:abstractNumId="2" w15:restartNumberingAfterBreak="0">
    <w:nsid w:val="31E55DA0"/>
    <w:multiLevelType w:val="hybridMultilevel"/>
    <w:tmpl w:val="FE10357A"/>
    <w:numStyleLink w:val="ImportedStyle2"/>
  </w:abstractNum>
  <w:abstractNum w:abstractNumId="3" w15:restartNumberingAfterBreak="0">
    <w:nsid w:val="331265D9"/>
    <w:multiLevelType w:val="hybridMultilevel"/>
    <w:tmpl w:val="FE10357A"/>
    <w:styleLink w:val="ImportedStyle2"/>
    <w:lvl w:ilvl="0" w:tplc="E1E484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1B8C1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B56B5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C9CF2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86629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9E5C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9F07A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F3400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44F2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6B95F55"/>
    <w:multiLevelType w:val="hybridMultilevel"/>
    <w:tmpl w:val="C714C508"/>
    <w:numStyleLink w:val="ImportedStyle3"/>
  </w:abstractNum>
  <w:abstractNum w:abstractNumId="5" w15:restartNumberingAfterBreak="0">
    <w:nsid w:val="73BD7752"/>
    <w:multiLevelType w:val="hybridMultilevel"/>
    <w:tmpl w:val="C714C508"/>
    <w:styleLink w:val="ImportedStyle3"/>
    <w:lvl w:ilvl="0" w:tplc="6116E7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08E2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BF489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B081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3D4D86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8A0F8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0006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A30B5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A8A50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4E2"/>
    <w:rsid w:val="0036630E"/>
    <w:rsid w:val="003D24E2"/>
    <w:rsid w:val="00405C75"/>
    <w:rsid w:val="004704DE"/>
    <w:rsid w:val="007A773B"/>
    <w:rsid w:val="008A4B67"/>
    <w:rsid w:val="008D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3E08"/>
  <w15:docId w15:val="{8E30A4B5-2B5C-4A7C-9FBE-E35ABA55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rFonts w:eastAsia="Times New Roman"/>
      <w:color w:val="000000"/>
      <w:sz w:val="24"/>
      <w:szCs w:val="24"/>
      <w:u w:color="000000"/>
      <w:lang w:val="en-US"/>
      <w14:textOutline w14:w="0" w14:cap="flat" w14:cmpd="sng" w14:algn="ctr">
        <w14:noFill/>
        <w14:prstDash w14:val="solid"/>
        <w14:bevel/>
      </w14:textOutline>
    </w:rPr>
  </w:style>
  <w:style w:type="paragraph" w:styleId="Heading1">
    <w:name w:val="heading 1"/>
    <w:next w:val="Normal"/>
    <w:uiPriority w:val="9"/>
    <w:qFormat/>
    <w:pPr>
      <w:keepNext/>
      <w:keepLines/>
      <w:suppressAutoHyphens/>
      <w:spacing w:before="113" w:line="360" w:lineRule="auto"/>
      <w:ind w:left="432" w:hanging="432"/>
      <w:jc w:val="both"/>
      <w:outlineLvl w:val="0"/>
    </w:pPr>
    <w:rPr>
      <w:rFonts w:eastAsia="Times New Roman"/>
      <w:b/>
      <w:bCs/>
      <w:color w:val="000000"/>
      <w:sz w:val="28"/>
      <w:szCs w:val="28"/>
      <w:u w:color="000000"/>
      <w:lang w:val="en-US"/>
      <w14:textOutline w14:w="0" w14:cap="flat" w14:cmpd="sng" w14:algn="ctr">
        <w14:noFill/>
        <w14:prstDash w14:val="solid"/>
        <w14:bevel/>
      </w14:textOutline>
    </w:rPr>
  </w:style>
  <w:style w:type="paragraph" w:styleId="Heading2">
    <w:name w:val="heading 2"/>
    <w:next w:val="Normal"/>
    <w:uiPriority w:val="9"/>
    <w:unhideWhenUsed/>
    <w:qFormat/>
    <w:pPr>
      <w:keepNext/>
      <w:keepLines/>
      <w:suppressAutoHyphens/>
      <w:spacing w:before="113" w:line="360" w:lineRule="auto"/>
      <w:ind w:left="576" w:hanging="576"/>
      <w:jc w:val="both"/>
      <w:outlineLvl w:val="1"/>
    </w:pPr>
    <w:rPr>
      <w:rFonts w:eastAsia="Times New Roman"/>
      <w:color w:val="000000"/>
      <w:sz w:val="24"/>
      <w:szCs w:val="24"/>
      <w:u w:val="single"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Spacing">
    <w:name w:val="No Spacing"/>
    <w:pPr>
      <w:suppressAutoHyphens/>
      <w:spacing w:line="100" w:lineRule="atLeast"/>
      <w:jc w:val="both"/>
    </w:pPr>
    <w:rPr>
      <w:rFonts w:ascii="Tinos" w:eastAsia="Tinos" w:hAnsi="Tinos" w:cs="Tinos"/>
      <w:color w:val="000000"/>
      <w:sz w:val="24"/>
      <w:szCs w:val="24"/>
      <w:u w:color="000000"/>
      <w:lang w:val="en-US"/>
    </w:rPr>
  </w:style>
  <w:style w:type="paragraph" w:customStyle="1" w:styleId="ContentsHeading">
    <w:name w:val="Contents Heading"/>
    <w:pPr>
      <w:keepNext/>
      <w:suppressAutoHyphens/>
      <w:spacing w:before="240" w:after="120" w:line="360" w:lineRule="auto"/>
      <w:jc w:val="center"/>
    </w:pPr>
    <w:rPr>
      <w:rFonts w:cs="Arial Unicode MS"/>
      <w:b/>
      <w:bCs/>
      <w:color w:val="000000"/>
      <w:sz w:val="28"/>
      <w:szCs w:val="28"/>
      <w:u w:color="000000"/>
      <w:lang w:val="en-US"/>
    </w:rPr>
  </w:style>
  <w:style w:type="paragraph" w:styleId="TOC1">
    <w:name w:val="toc 1"/>
    <w:pPr>
      <w:tabs>
        <w:tab w:val="right" w:leader="dot" w:pos="9340"/>
      </w:tabs>
      <w:suppressAutoHyphens/>
      <w:spacing w:line="360" w:lineRule="auto"/>
      <w:jc w:val="both"/>
    </w:pPr>
    <w:rPr>
      <w:rFonts w:eastAsia="Times New Roman"/>
      <w:color w:val="000000"/>
      <w:sz w:val="24"/>
      <w:szCs w:val="24"/>
      <w:u w:color="000000"/>
      <w:lang w:val="en-US"/>
    </w:rPr>
  </w:style>
  <w:style w:type="paragraph" w:styleId="TOC2">
    <w:name w:val="toc 2"/>
    <w:pPr>
      <w:tabs>
        <w:tab w:val="right" w:leader="dot" w:pos="9077"/>
      </w:tabs>
      <w:suppressAutoHyphens/>
      <w:spacing w:line="360" w:lineRule="auto"/>
      <w:ind w:left="283"/>
      <w:jc w:val="both"/>
    </w:pPr>
    <w:rPr>
      <w:rFonts w:eastAsia="Times New Roman"/>
      <w:color w:val="000000"/>
      <w:sz w:val="24"/>
      <w:szCs w:val="24"/>
      <w:u w:color="000000"/>
      <w:lang w:val="en-US"/>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numbering" w:customStyle="1" w:styleId="ImportedStyle4">
    <w:name w:val="Imported Style 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3230</Words>
  <Characters>18416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Laura Knight</cp:lastModifiedBy>
  <cp:revision>2</cp:revision>
  <dcterms:created xsi:type="dcterms:W3CDTF">2021-06-28T09:09:00Z</dcterms:created>
  <dcterms:modified xsi:type="dcterms:W3CDTF">2021-06-28T09:09:00Z</dcterms:modified>
</cp:coreProperties>
</file>