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B04C1" w:rsidRPr="00467508" w:rsidRDefault="00800249" w:rsidP="00800249">
      <w:pPr>
        <w:jc w:val="center"/>
        <w:rPr>
          <w:u w:val="single"/>
        </w:rPr>
      </w:pPr>
      <w:r w:rsidRPr="00467508">
        <w:rPr>
          <w:u w:val="single"/>
        </w:rPr>
        <w:t>Character Dossier</w:t>
      </w:r>
    </w:p>
    <w:p w:rsidR="00800249" w:rsidRDefault="00800249" w:rsidP="00800249">
      <w:pPr>
        <w:jc w:val="center"/>
      </w:pPr>
    </w:p>
    <w:p w:rsidR="00800249" w:rsidRDefault="00800249" w:rsidP="00467508">
      <w:pPr>
        <w:spacing w:line="480" w:lineRule="auto"/>
      </w:pPr>
      <w:r>
        <w:t xml:space="preserve">My character </w:t>
      </w:r>
      <w:r w:rsidR="000B4285">
        <w:t>is</w:t>
      </w:r>
      <w:r>
        <w:t xml:space="preserve"> the head of the Merchants in Alexandria. Alexandria was an important city for trade.</w:t>
      </w:r>
      <w:r w:rsidR="009567BA">
        <w:t xml:space="preserve"> In Alexan</w:t>
      </w:r>
      <w:r w:rsidR="000B4285">
        <w:t>dria there was the Alexandrian A</w:t>
      </w:r>
      <w:r w:rsidR="009567BA">
        <w:t xml:space="preserve">ssociation </w:t>
      </w:r>
      <w:r w:rsidR="000B4285">
        <w:t xml:space="preserve">which </w:t>
      </w:r>
      <w:r w:rsidR="009567BA">
        <w:t>included other senior merchants</w:t>
      </w:r>
      <w:r w:rsidR="000B4285">
        <w:t xml:space="preserve"> and </w:t>
      </w:r>
      <w:r w:rsidR="0080224A">
        <w:t xml:space="preserve">my character </w:t>
      </w:r>
      <w:r w:rsidR="000B4285">
        <w:t>would</w:t>
      </w:r>
      <w:r w:rsidR="0080224A">
        <w:t xml:space="preserve"> be a member of</w:t>
      </w:r>
      <w:r w:rsidR="000B4285">
        <w:t xml:space="preserve"> this association</w:t>
      </w:r>
      <w:r w:rsidR="00910AD5">
        <w:t>.</w:t>
      </w:r>
      <w:r w:rsidR="0080224A">
        <w:t xml:space="preserve"> This will allow my character to engage in trade with other nations </w:t>
      </w:r>
      <w:r w:rsidR="000B4285">
        <w:t>more easily</w:t>
      </w:r>
      <w:r w:rsidR="0080224A">
        <w:t xml:space="preserve">. </w:t>
      </w:r>
      <w:r w:rsidR="000201F2">
        <w:t>There would have been agents representing different nations and their trade concerns.</w:t>
      </w:r>
      <w:r w:rsidR="000201F2">
        <w:rPr>
          <w:rStyle w:val="FootnoteReference"/>
        </w:rPr>
        <w:footnoteReference w:id="1"/>
      </w:r>
      <w:r w:rsidR="000201F2">
        <w:t xml:space="preserve"> As part of my role I will be overseeing their queries and </w:t>
      </w:r>
      <w:r w:rsidR="000B4285">
        <w:t xml:space="preserve">attempting to smooth out their </w:t>
      </w:r>
      <w:r w:rsidR="000201F2">
        <w:t xml:space="preserve">problems. </w:t>
      </w:r>
      <w:r w:rsidR="000B4285">
        <w:t xml:space="preserve">However, my prime motivation will be to promote the interests and wealth of Alexandria. The Alexandrian Association is an important business opportunity for my character and through the networking opportunities it provides I will be able to keep my finger on the pulse of the key deals and alliances being made beyond Alexandria. </w:t>
      </w:r>
    </w:p>
    <w:p w:rsidR="00800249" w:rsidRDefault="00800249" w:rsidP="00467508">
      <w:pPr>
        <w:spacing w:line="480" w:lineRule="auto"/>
        <w:ind w:firstLine="720"/>
      </w:pPr>
      <w:r>
        <w:t>My character will have well-tanned skin due to the climate of Alexandria.</w:t>
      </w:r>
      <w:r>
        <w:rPr>
          <w:rStyle w:val="FootnoteReference"/>
        </w:rPr>
        <w:footnoteReference w:id="2"/>
      </w:r>
      <w:r w:rsidR="00E64228">
        <w:t xml:space="preserve"> </w:t>
      </w:r>
      <w:r w:rsidR="0080224A">
        <w:t xml:space="preserve">My character will also be male, have brown eyes and brown hair and be of average height. </w:t>
      </w:r>
      <w:r w:rsidR="000A2910">
        <w:t>My character will be Greek in ethnicity</w:t>
      </w:r>
      <w:r w:rsidR="000B4285">
        <w:t>. Scholarship suggests that</w:t>
      </w:r>
      <w:r w:rsidR="000A2910">
        <w:t xml:space="preserve"> </w:t>
      </w:r>
      <w:r w:rsidR="009B61DB">
        <w:t xml:space="preserve">there was a bias in society whereby </w:t>
      </w:r>
      <w:r w:rsidR="001616D8">
        <w:t xml:space="preserve">more </w:t>
      </w:r>
      <w:r w:rsidR="000B4285">
        <w:t xml:space="preserve">people of </w:t>
      </w:r>
      <w:r w:rsidR="001616D8">
        <w:t xml:space="preserve">Greek and Macedonian </w:t>
      </w:r>
      <w:r w:rsidR="000B4285">
        <w:t>ethnicity</w:t>
      </w:r>
      <w:r w:rsidR="001616D8">
        <w:t xml:space="preserve"> held </w:t>
      </w:r>
      <w:r w:rsidR="000B4285">
        <w:t xml:space="preserve">the </w:t>
      </w:r>
      <w:r w:rsidR="001616D8">
        <w:t xml:space="preserve">more </w:t>
      </w:r>
      <w:r w:rsidR="0080224A">
        <w:t>prominent</w:t>
      </w:r>
      <w:r w:rsidR="001616D8">
        <w:t xml:space="preserve"> offices</w:t>
      </w:r>
      <w:r w:rsidR="0080224A">
        <w:t xml:space="preserve"> and </w:t>
      </w:r>
      <w:r w:rsidR="000B4285">
        <w:t>positions</w:t>
      </w:r>
      <w:r w:rsidR="009B61DB">
        <w:t>,</w:t>
      </w:r>
      <w:r w:rsidR="000B4285">
        <w:t xml:space="preserve"> and </w:t>
      </w:r>
      <w:r w:rsidR="0080224A">
        <w:t xml:space="preserve">there were few Egyptians who were elevated to </w:t>
      </w:r>
      <w:r w:rsidR="009B61DB">
        <w:t>the higher</w:t>
      </w:r>
      <w:r w:rsidR="0080224A">
        <w:t xml:space="preserve"> rank</w:t>
      </w:r>
      <w:r w:rsidR="009B61DB">
        <w:t>s</w:t>
      </w:r>
      <w:r w:rsidR="001616D8">
        <w:t>.</w:t>
      </w:r>
      <w:r w:rsidR="0080224A">
        <w:rPr>
          <w:rStyle w:val="FootnoteReference"/>
        </w:rPr>
        <w:footnoteReference w:id="3"/>
      </w:r>
      <w:r w:rsidR="0080224A">
        <w:t xml:space="preserve"> Alexandria was considered to be of Greek and Macedonian nationality even though it was in Egypt due to the founding by Alexander the Grea</w:t>
      </w:r>
      <w:r w:rsidR="009B61DB">
        <w:t xml:space="preserve">t and the ruling by the </w:t>
      </w:r>
      <w:proofErr w:type="spellStart"/>
      <w:r w:rsidR="009B61DB">
        <w:t>Ptolemy</w:t>
      </w:r>
      <w:r w:rsidR="0080224A">
        <w:t>s</w:t>
      </w:r>
      <w:proofErr w:type="spellEnd"/>
      <w:r w:rsidR="0080224A">
        <w:t>.</w:t>
      </w:r>
      <w:r w:rsidR="001616D8">
        <w:rPr>
          <w:rStyle w:val="FootnoteReference"/>
        </w:rPr>
        <w:footnoteReference w:id="4"/>
      </w:r>
      <w:r w:rsidR="001616D8">
        <w:t xml:space="preserve"> </w:t>
      </w:r>
    </w:p>
    <w:p w:rsidR="00910AD5" w:rsidRDefault="0080224A" w:rsidP="00467508">
      <w:pPr>
        <w:spacing w:line="480" w:lineRule="auto"/>
        <w:ind w:firstLine="720"/>
      </w:pPr>
      <w:r>
        <w:t>Alexandria was a very important trading city at the time</w:t>
      </w:r>
      <w:r w:rsidR="009B61DB">
        <w:t>. It occupied a key</w:t>
      </w:r>
      <w:r>
        <w:t xml:space="preserve"> position </w:t>
      </w:r>
      <w:r w:rsidR="009B61DB">
        <w:t>at</w:t>
      </w:r>
      <w:r>
        <w:t xml:space="preserve"> the </w:t>
      </w:r>
      <w:r w:rsidR="009B61DB">
        <w:t xml:space="preserve">head of the </w:t>
      </w:r>
      <w:r>
        <w:t xml:space="preserve">Nile </w:t>
      </w:r>
      <w:r w:rsidR="009B61DB">
        <w:t>with access to</w:t>
      </w:r>
      <w:r>
        <w:t xml:space="preserve"> the Mediterranean </w:t>
      </w:r>
      <w:r w:rsidR="00B63FCC">
        <w:t>Sea</w:t>
      </w:r>
      <w:r>
        <w:t>.</w:t>
      </w:r>
      <w:r>
        <w:rPr>
          <w:rStyle w:val="FootnoteReference"/>
        </w:rPr>
        <w:footnoteReference w:id="5"/>
      </w:r>
      <w:r w:rsidRPr="0080224A">
        <w:t xml:space="preserve"> </w:t>
      </w:r>
      <w:r>
        <w:t>Strabo writes about the importance of trade in Alexandria and about the exports being larger than the imports.</w:t>
      </w:r>
      <w:r>
        <w:rPr>
          <w:rStyle w:val="FootnoteReference"/>
        </w:rPr>
        <w:footnoteReference w:id="6"/>
      </w:r>
      <w:r>
        <w:t xml:space="preserve"> This can be seen w</w:t>
      </w:r>
      <w:r w:rsidR="009B61DB">
        <w:t>h</w:t>
      </w:r>
      <w:r>
        <w:t xml:space="preserve">ere </w:t>
      </w:r>
      <w:r w:rsidR="00DD48EE">
        <w:t>Alexandria was important in trading items such as metal and glass objects fr</w:t>
      </w:r>
      <w:r w:rsidR="009B61DB">
        <w:t xml:space="preserve">om the raw materials as </w:t>
      </w:r>
      <w:r w:rsidR="009B61DB">
        <w:lastRenderedPageBreak/>
        <w:t xml:space="preserve">well as textiles and </w:t>
      </w:r>
      <w:r w:rsidR="00DD48EE">
        <w:t>papyrus.</w:t>
      </w:r>
      <w:r>
        <w:t xml:space="preserve"> It will be part of my character</w:t>
      </w:r>
      <w:r w:rsidR="009B61DB">
        <w:t>’</w:t>
      </w:r>
      <w:r>
        <w:t xml:space="preserve">s role to ensure smooth trade and that items are exported for a </w:t>
      </w:r>
      <w:r w:rsidR="009B61DB">
        <w:t>good</w:t>
      </w:r>
      <w:r>
        <w:t xml:space="preserve"> price. </w:t>
      </w:r>
      <w:r w:rsidR="009B61DB">
        <w:t>Trade could be an important tool of leverage politically in the region. My character is positioned to manipulate and control neighbouring powers with strategies such as withholding goods or slowing down shipments or giving favourable trade deals. Such strategies can put pressure on or smooth relations with neighbours.</w:t>
      </w:r>
      <w:r w:rsidR="00910AD5">
        <w:t xml:space="preserve"> </w:t>
      </w:r>
      <w:r w:rsidR="00910AD5">
        <w:t xml:space="preserve">The </w:t>
      </w:r>
      <w:proofErr w:type="spellStart"/>
      <w:r w:rsidR="00910AD5">
        <w:t>Ptolemys</w:t>
      </w:r>
      <w:proofErr w:type="spellEnd"/>
      <w:r w:rsidR="00910AD5">
        <w:t xml:space="preserve"> need Alexandria to trade political items such as war elephants and gold from the south.</w:t>
      </w:r>
      <w:r w:rsidR="00910AD5">
        <w:rPr>
          <w:rStyle w:val="FootnoteReference"/>
        </w:rPr>
        <w:footnoteReference w:id="7"/>
      </w:r>
      <w:r w:rsidR="00910AD5">
        <w:t xml:space="preserve"> It will be part of my character’s role to ensure that these items are traded safely. I would have considerable political influence through the arrangements and transport of such goods</w:t>
      </w:r>
    </w:p>
    <w:p w:rsidR="00DD48EE" w:rsidRDefault="0080224A" w:rsidP="00467508">
      <w:pPr>
        <w:spacing w:line="480" w:lineRule="auto"/>
        <w:ind w:firstLine="720"/>
      </w:pPr>
      <w:r>
        <w:t xml:space="preserve">Alexandria </w:t>
      </w:r>
      <w:r w:rsidR="003A0211">
        <w:t>was</w:t>
      </w:r>
      <w:r>
        <w:t xml:space="preserve"> often used to store goods. </w:t>
      </w:r>
      <w:r w:rsidR="00DD48EE">
        <w:t>Consumable goods such as barley, Grain and wheat, oil and honey were shipped to Alexandria, possibly to be stored in the ‘storehouses’</w:t>
      </w:r>
      <w:r>
        <w:t xml:space="preserve"> in the city.</w:t>
      </w:r>
      <w:r w:rsidR="00DD48EE">
        <w:rPr>
          <w:rStyle w:val="FootnoteReference"/>
        </w:rPr>
        <w:footnoteReference w:id="8"/>
      </w:r>
      <w:r>
        <w:t xml:space="preserve"> This could provide fo</w:t>
      </w:r>
      <w:r w:rsidR="003A0211">
        <w:t>od for the people of Alexandria but also secure the wealth of Alexandria and enhance its strength in the region.</w:t>
      </w:r>
      <w:r>
        <w:t xml:space="preserve"> It will be part of my Character’s job to ensure that enough goods are stored and there is not an excess or lack of goods. </w:t>
      </w:r>
    </w:p>
    <w:p w:rsidR="00B63FCC" w:rsidRDefault="00B63FCC" w:rsidP="00467508">
      <w:pPr>
        <w:spacing w:line="480" w:lineRule="auto"/>
        <w:ind w:firstLine="720"/>
      </w:pPr>
      <w:r>
        <w:t xml:space="preserve">Alexandria was situated very closely to the Island of Pharos and the </w:t>
      </w:r>
      <w:proofErr w:type="spellStart"/>
      <w:r>
        <w:t>Heptatadion</w:t>
      </w:r>
      <w:proofErr w:type="spellEnd"/>
      <w:r>
        <w:t xml:space="preserve"> was bu</w:t>
      </w:r>
      <w:r w:rsidR="003A0211">
        <w:t>ilt by Ptolemy I which created two</w:t>
      </w:r>
      <w:r>
        <w:t xml:space="preserve"> harbours, one to the west and one to the East.</w:t>
      </w:r>
      <w:r>
        <w:rPr>
          <w:rStyle w:val="FootnoteReference"/>
        </w:rPr>
        <w:footnoteReference w:id="9"/>
      </w:r>
      <w:r>
        <w:t xml:space="preserve"> As part of my role I will </w:t>
      </w:r>
      <w:r w:rsidR="003A0211">
        <w:t>control the use of the harbours which could, in certain circumstances be key negotiating points between powers.</w:t>
      </w:r>
      <w:r>
        <w:t xml:space="preserve"> </w:t>
      </w:r>
    </w:p>
    <w:p w:rsidR="00A8518B" w:rsidRDefault="00A8518B" w:rsidP="00467508">
      <w:pPr>
        <w:spacing w:line="480" w:lineRule="auto"/>
        <w:ind w:firstLine="720"/>
      </w:pPr>
      <w:r>
        <w:t>There is a considerable amount of internal trade as well as foreign trade.</w:t>
      </w:r>
      <w:r>
        <w:rPr>
          <w:rStyle w:val="FootnoteReference"/>
        </w:rPr>
        <w:footnoteReference w:id="10"/>
      </w:r>
      <w:r>
        <w:t xml:space="preserve"> Alexandria commanded the caravan routes into Africa and to the Red sea ports. In many ways Alexandria was perfectly positioned to facilitate trade between Africa, India and the Red sea and the ports in the Mediterranean. A head of trade for Alexandria I will need to manage the flow of goods.</w:t>
      </w:r>
    </w:p>
    <w:p w:rsidR="00B63FCC" w:rsidRDefault="003A0211" w:rsidP="00467508">
      <w:pPr>
        <w:spacing w:line="480" w:lineRule="auto"/>
        <w:ind w:firstLine="720"/>
      </w:pPr>
      <w:r>
        <w:lastRenderedPageBreak/>
        <w:t>Alexandria is famous for its l</w:t>
      </w:r>
      <w:r w:rsidR="00B63FCC">
        <w:t xml:space="preserve">ighthouse </w:t>
      </w:r>
      <w:r>
        <w:t>unique in the ancient world. The lighthouse</w:t>
      </w:r>
      <w:r w:rsidR="00B63FCC">
        <w:t xml:space="preserve"> ens</w:t>
      </w:r>
      <w:r>
        <w:t>ured that Alexandria was a safe</w:t>
      </w:r>
      <w:r w:rsidR="00B63FCC">
        <w:t xml:space="preserve"> harbour </w:t>
      </w:r>
      <w:r>
        <w:t xml:space="preserve">in which </w:t>
      </w:r>
      <w:r w:rsidR="00B63FCC">
        <w:t>to dock as the entrance was very rocky.</w:t>
      </w:r>
      <w:r w:rsidR="00B63FCC">
        <w:rPr>
          <w:rStyle w:val="FootnoteReference"/>
        </w:rPr>
        <w:footnoteReference w:id="11"/>
      </w:r>
      <w:r w:rsidR="00B63FCC">
        <w:t xml:space="preserve"> </w:t>
      </w:r>
      <w:r>
        <w:t xml:space="preserve">In addition the lighthouse was clearly impressive and enhanced the status of Alexandria. </w:t>
      </w:r>
      <w:r w:rsidR="00B63FCC">
        <w:t xml:space="preserve">As part of my job I will </w:t>
      </w:r>
      <w:r>
        <w:t>promote the advantages of Alexandria for shipping.</w:t>
      </w:r>
    </w:p>
    <w:p w:rsidR="00DF02FF" w:rsidRDefault="00B63FCC" w:rsidP="00467508">
      <w:pPr>
        <w:spacing w:line="480" w:lineRule="auto"/>
        <w:ind w:firstLine="720"/>
      </w:pPr>
      <w:r>
        <w:t xml:space="preserve">My character hopes to </w:t>
      </w:r>
      <w:r w:rsidR="00DF02FF">
        <w:t>petition the court to lower the custom taxes on the goods that were imported as well as traded inside Egypt.</w:t>
      </w:r>
      <w:r w:rsidR="00DF02FF">
        <w:rPr>
          <w:rStyle w:val="FootnoteReference"/>
        </w:rPr>
        <w:footnoteReference w:id="12"/>
      </w:r>
      <w:r>
        <w:t xml:space="preserve"> In doing this it would encourage more trade to happen within Alexandria rather than using other ports. Alexandria would profit greatly from added trade.</w:t>
      </w:r>
      <w:r w:rsidR="00910AD5">
        <w:t xml:space="preserve"> </w:t>
      </w:r>
      <w:r w:rsidR="00910AD5">
        <w:t>As Rome begins to grow more power, their trade with Alexandria becomes more important.</w:t>
      </w:r>
      <w:r w:rsidR="00910AD5">
        <w:rPr>
          <w:rStyle w:val="FootnoteReference"/>
        </w:rPr>
        <w:footnoteReference w:id="13"/>
      </w:r>
      <w:r w:rsidR="00910AD5">
        <w:t xml:space="preserve"> My character will also have to establish trade deals with nations such as Rome. </w:t>
      </w:r>
    </w:p>
    <w:p w:rsidR="00CF1A39" w:rsidRDefault="00CF1A39" w:rsidP="00467508">
      <w:pPr>
        <w:spacing w:line="480" w:lineRule="auto"/>
        <w:ind w:firstLine="720"/>
      </w:pPr>
      <w:r>
        <w:t>Security issues were significant in ancient times as whole cargos could be lost to storms or pirates.</w:t>
      </w:r>
      <w:r w:rsidR="00A8518B">
        <w:rPr>
          <w:rStyle w:val="FootnoteReference"/>
        </w:rPr>
        <w:footnoteReference w:id="14"/>
      </w:r>
      <w:r>
        <w:t xml:space="preserve"> A good knowledge of sea routes as well as the beneficial trade winds would help bring my character success. </w:t>
      </w:r>
      <w:r w:rsidR="00DA1C8C">
        <w:t>Land caravans also required armed guards to protect them against marauders.</w:t>
      </w:r>
      <w:r w:rsidR="00A8518B">
        <w:rPr>
          <w:rStyle w:val="FootnoteReference"/>
        </w:rPr>
        <w:footnoteReference w:id="15"/>
      </w:r>
      <w:r w:rsidR="00DA1C8C">
        <w:t xml:space="preserve"> A good degree of local knowledge and forward planning skills would be important for my character. </w:t>
      </w:r>
    </w:p>
    <w:p w:rsidR="00A8518B" w:rsidRDefault="00A8518B" w:rsidP="00467508">
      <w:pPr>
        <w:spacing w:line="480" w:lineRule="auto"/>
        <w:ind w:firstLine="720"/>
      </w:pPr>
      <w:r>
        <w:t>In the third and second century there was limited trade with India.</w:t>
      </w:r>
      <w:r>
        <w:rPr>
          <w:rStyle w:val="FootnoteReference"/>
        </w:rPr>
        <w:footnoteReference w:id="16"/>
      </w:r>
      <w:r>
        <w:t xml:space="preserve"> As part of my role it will be important to expand trade with India. India was a source of luxury goods and to some extent many of these had to travel through Alexandria to reach the Mediterranean markets. My character would be an important person to have on your side to ensure a good supply of luxury goods. </w:t>
      </w:r>
    </w:p>
    <w:p w:rsidR="00DA1C8C" w:rsidRDefault="00DA1C8C" w:rsidP="00467508">
      <w:pPr>
        <w:spacing w:line="480" w:lineRule="auto"/>
        <w:ind w:firstLine="720"/>
      </w:pPr>
      <w:r>
        <w:t xml:space="preserve">The diverse responsibilities and roles of my character mean that I am likely to enjoy a range of connections with people from all ranks of society. I will be a key figure at court, have a diplomatic </w:t>
      </w:r>
      <w:r w:rsidR="00910AD5">
        <w:t>responsibilities</w:t>
      </w:r>
      <w:r>
        <w:t>, meeting and doing bu</w:t>
      </w:r>
      <w:r w:rsidR="00910AD5">
        <w:t xml:space="preserve">siness with trade ambassadors </w:t>
      </w:r>
      <w:r>
        <w:t xml:space="preserve">from other nations. At the same time I will be a presence in the port overseeing and manging the smooth running of the dock. I </w:t>
      </w:r>
      <w:r>
        <w:lastRenderedPageBreak/>
        <w:t xml:space="preserve">will also need to have my ear to the ground listening and learning about the </w:t>
      </w:r>
      <w:r w:rsidR="00910AD5">
        <w:t>dangers</w:t>
      </w:r>
      <w:r>
        <w:t xml:space="preserve"> and problems faced by the caravans.</w:t>
      </w:r>
    </w:p>
    <w:p w:rsidR="00425B69" w:rsidRDefault="00910AD5" w:rsidP="00425B69">
      <w:pPr>
        <w:spacing w:line="480" w:lineRule="auto"/>
        <w:ind w:firstLine="720"/>
      </w:pPr>
      <w:r>
        <w:t>M</w:t>
      </w:r>
      <w:r w:rsidR="00DA1C8C">
        <w:t xml:space="preserve">y character is going to be called </w:t>
      </w:r>
      <w:proofErr w:type="spellStart"/>
      <w:r w:rsidR="00EF7726">
        <w:t>Callinicus</w:t>
      </w:r>
      <w:proofErr w:type="spellEnd"/>
    </w:p>
    <w:p w:rsidR="00425B69" w:rsidRDefault="00425B69" w:rsidP="00425B69">
      <w:pPr>
        <w:spacing w:line="480" w:lineRule="auto"/>
      </w:pPr>
    </w:p>
    <w:p w:rsidR="00425B69" w:rsidRDefault="00425B69">
      <w:r>
        <w:br w:type="page"/>
      </w:r>
    </w:p>
    <w:p w:rsidR="00467508" w:rsidRDefault="00467508" w:rsidP="00425B69">
      <w:pPr>
        <w:spacing w:line="480" w:lineRule="auto"/>
      </w:pPr>
      <w:bookmarkStart w:id="0" w:name="_GoBack"/>
      <w:bookmarkEnd w:id="0"/>
      <w:r>
        <w:lastRenderedPageBreak/>
        <w:t xml:space="preserve">Bibliography </w:t>
      </w:r>
    </w:p>
    <w:p w:rsidR="00467508" w:rsidRPr="00467508" w:rsidRDefault="00467508" w:rsidP="00467508">
      <w:pPr>
        <w:spacing w:line="480" w:lineRule="auto"/>
        <w:rPr>
          <w:u w:val="single"/>
        </w:rPr>
      </w:pPr>
      <w:r w:rsidRPr="00467508">
        <w:rPr>
          <w:u w:val="single"/>
        </w:rPr>
        <w:t xml:space="preserve">Ancient </w:t>
      </w:r>
    </w:p>
    <w:p w:rsidR="00467508" w:rsidRDefault="00467508" w:rsidP="00467508">
      <w:pPr>
        <w:spacing w:line="480" w:lineRule="auto"/>
      </w:pPr>
      <w:r>
        <w:t xml:space="preserve">Pliny the Elder. </w:t>
      </w:r>
      <w:r w:rsidRPr="00425B69">
        <w:rPr>
          <w:i/>
        </w:rPr>
        <w:t>The Natural History</w:t>
      </w:r>
      <w:r>
        <w:t>. Bostock, J. (</w:t>
      </w:r>
      <w:proofErr w:type="gramStart"/>
      <w:r>
        <w:t>trans</w:t>
      </w:r>
      <w:proofErr w:type="gramEnd"/>
      <w:r>
        <w:t xml:space="preserve">.). 1855. London: Taylor and Francis </w:t>
      </w:r>
    </w:p>
    <w:p w:rsidR="00467508" w:rsidRDefault="00467508" w:rsidP="00467508">
      <w:pPr>
        <w:spacing w:line="480" w:lineRule="auto"/>
      </w:pPr>
      <w:r>
        <w:t xml:space="preserve">Strabo. </w:t>
      </w:r>
      <w:r w:rsidRPr="00425B69">
        <w:rPr>
          <w:i/>
        </w:rPr>
        <w:t>Geography</w:t>
      </w:r>
      <w:r>
        <w:t>. Hamilton, H. (</w:t>
      </w:r>
      <w:proofErr w:type="gramStart"/>
      <w:r>
        <w:t>trans</w:t>
      </w:r>
      <w:proofErr w:type="gramEnd"/>
      <w:r>
        <w:t xml:space="preserve">.). 1903. London: George Bell &amp; Sons. </w:t>
      </w:r>
    </w:p>
    <w:p w:rsidR="00467508" w:rsidRDefault="00467508" w:rsidP="00467508">
      <w:pPr>
        <w:spacing w:line="480" w:lineRule="auto"/>
        <w:rPr>
          <w:u w:val="single"/>
        </w:rPr>
      </w:pPr>
      <w:r w:rsidRPr="00467508">
        <w:rPr>
          <w:u w:val="single"/>
        </w:rPr>
        <w:t xml:space="preserve">Modern </w:t>
      </w:r>
    </w:p>
    <w:p w:rsidR="00A148B5" w:rsidRDefault="00A148B5" w:rsidP="00A148B5">
      <w:pPr>
        <w:spacing w:line="480" w:lineRule="auto"/>
        <w:ind w:firstLine="720"/>
      </w:pPr>
      <w:r>
        <w:t xml:space="preserve">Ellis, W. 1994. </w:t>
      </w:r>
      <w:r w:rsidRPr="00A148B5">
        <w:rPr>
          <w:i/>
        </w:rPr>
        <w:t>Ptolemy of Egypt</w:t>
      </w:r>
      <w:r>
        <w:t>. London, NY: Routledge</w:t>
      </w:r>
      <w:r w:rsidR="00425B69">
        <w:t>.</w:t>
      </w:r>
    </w:p>
    <w:p w:rsidR="00A148B5" w:rsidRDefault="00A148B5" w:rsidP="00A148B5">
      <w:pPr>
        <w:spacing w:line="480" w:lineRule="auto"/>
        <w:ind w:firstLine="720"/>
      </w:pPr>
      <w:r>
        <w:t>Fraser, P.</w:t>
      </w:r>
      <w:r w:rsidR="00467508" w:rsidRPr="00A148B5">
        <w:t xml:space="preserve"> </w:t>
      </w:r>
      <w:r w:rsidRPr="00A148B5">
        <w:t xml:space="preserve">1972. </w:t>
      </w:r>
      <w:r w:rsidRPr="00A148B5">
        <w:rPr>
          <w:i/>
        </w:rPr>
        <w:t>Ptolemaic Alexandria</w:t>
      </w:r>
      <w:r w:rsidRPr="00A148B5">
        <w:t>. Oxford: Clarendon Press</w:t>
      </w:r>
      <w:r w:rsidR="00425B69">
        <w:t>.</w:t>
      </w:r>
    </w:p>
    <w:p w:rsidR="00A148B5" w:rsidRDefault="00A148B5" w:rsidP="00A148B5">
      <w:pPr>
        <w:spacing w:line="480" w:lineRule="auto"/>
        <w:ind w:firstLine="720"/>
      </w:pPr>
      <w:r>
        <w:t xml:space="preserve">Baines, J. 2004. ‘Egyptian Elite Self-Presentation in the Context of Ptolemaic Rule’, in Harris, W. </w:t>
      </w:r>
      <w:proofErr w:type="spellStart"/>
      <w:r>
        <w:t>Ruffini</w:t>
      </w:r>
      <w:proofErr w:type="spellEnd"/>
      <w:r>
        <w:t xml:space="preserve">, G. (ed.), </w:t>
      </w:r>
      <w:r w:rsidRPr="00425B69">
        <w:rPr>
          <w:i/>
        </w:rPr>
        <w:t>Ancient Alexandria between Egypt and Greece</w:t>
      </w:r>
      <w:r>
        <w:t>. Boston: Brill</w:t>
      </w:r>
      <w:r w:rsidR="00425B69">
        <w:t>.</w:t>
      </w:r>
    </w:p>
    <w:p w:rsidR="00A148B5" w:rsidRDefault="00A148B5" w:rsidP="00A148B5">
      <w:pPr>
        <w:spacing w:line="480" w:lineRule="auto"/>
        <w:ind w:firstLine="720"/>
      </w:pPr>
      <w:r>
        <w:t>Manning, J. 2003</w:t>
      </w:r>
      <w:r w:rsidR="00425B69">
        <w:t>.</w:t>
      </w:r>
      <w:r>
        <w:t xml:space="preserve"> </w:t>
      </w:r>
      <w:r w:rsidRPr="00425B69">
        <w:rPr>
          <w:i/>
        </w:rPr>
        <w:t>Land and Power in Ptolemaic Egypt</w:t>
      </w:r>
      <w:r w:rsidRPr="00A148B5">
        <w:t>: The Structure of Land Tenure</w:t>
      </w:r>
      <w:r>
        <w:t>. Cambridge: Cambridge University Press</w:t>
      </w:r>
      <w:r w:rsidR="00425B69">
        <w:t>.</w:t>
      </w:r>
    </w:p>
    <w:p w:rsidR="00A148B5" w:rsidRPr="00A148B5" w:rsidRDefault="00A148B5" w:rsidP="00467508">
      <w:pPr>
        <w:spacing w:line="480" w:lineRule="auto"/>
      </w:pPr>
    </w:p>
    <w:sectPr w:rsidR="00A148B5" w:rsidRPr="00A148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922D4" w:rsidRDefault="004922D4" w:rsidP="00800249">
      <w:pPr>
        <w:spacing w:after="0" w:line="240" w:lineRule="auto"/>
      </w:pPr>
      <w:r>
        <w:separator/>
      </w:r>
    </w:p>
  </w:endnote>
  <w:endnote w:type="continuationSeparator" w:id="0">
    <w:p w:rsidR="004922D4" w:rsidRDefault="004922D4" w:rsidP="00800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922D4" w:rsidRDefault="004922D4" w:rsidP="00800249">
      <w:pPr>
        <w:spacing w:after="0" w:line="240" w:lineRule="auto"/>
      </w:pPr>
      <w:r>
        <w:separator/>
      </w:r>
    </w:p>
  </w:footnote>
  <w:footnote w:type="continuationSeparator" w:id="0">
    <w:p w:rsidR="004922D4" w:rsidRDefault="004922D4" w:rsidP="00800249">
      <w:pPr>
        <w:spacing w:after="0" w:line="240" w:lineRule="auto"/>
      </w:pPr>
      <w:r>
        <w:continuationSeparator/>
      </w:r>
    </w:p>
  </w:footnote>
  <w:footnote w:id="1">
    <w:p w:rsidR="000201F2" w:rsidRDefault="000201F2" w:rsidP="000201F2">
      <w:pPr>
        <w:pStyle w:val="FootnoteText"/>
      </w:pPr>
      <w:r>
        <w:rPr>
          <w:rStyle w:val="FootnoteReference"/>
        </w:rPr>
        <w:footnoteRef/>
      </w:r>
      <w:r>
        <w:t xml:space="preserve"> Fraser. 1972: 186</w:t>
      </w:r>
      <w:r w:rsidR="00910AD5">
        <w:t>-187</w:t>
      </w:r>
    </w:p>
  </w:footnote>
  <w:footnote w:id="2">
    <w:p w:rsidR="00800249" w:rsidRDefault="00800249">
      <w:pPr>
        <w:pStyle w:val="FootnoteText"/>
      </w:pPr>
      <w:r>
        <w:rPr>
          <w:rStyle w:val="FootnoteReference"/>
        </w:rPr>
        <w:footnoteRef/>
      </w:r>
      <w:r>
        <w:t xml:space="preserve"> Strabo. 793</w:t>
      </w:r>
    </w:p>
  </w:footnote>
  <w:footnote w:id="3">
    <w:p w:rsidR="0080224A" w:rsidRDefault="0080224A">
      <w:pPr>
        <w:pStyle w:val="FootnoteText"/>
      </w:pPr>
      <w:r>
        <w:rPr>
          <w:rStyle w:val="FootnoteReference"/>
        </w:rPr>
        <w:footnoteRef/>
      </w:r>
      <w:r>
        <w:t xml:space="preserve"> Baines. 2004: 66</w:t>
      </w:r>
    </w:p>
  </w:footnote>
  <w:footnote w:id="4">
    <w:p w:rsidR="001616D8" w:rsidRDefault="001616D8">
      <w:pPr>
        <w:pStyle w:val="FootnoteText"/>
      </w:pPr>
      <w:r>
        <w:rPr>
          <w:rStyle w:val="FootnoteReference"/>
        </w:rPr>
        <w:footnoteRef/>
      </w:r>
      <w:r>
        <w:t xml:space="preserve"> Fraser. 1972: 53 </w:t>
      </w:r>
    </w:p>
  </w:footnote>
  <w:footnote w:id="5">
    <w:p w:rsidR="0080224A" w:rsidRDefault="0080224A">
      <w:pPr>
        <w:pStyle w:val="FootnoteText"/>
      </w:pPr>
      <w:r>
        <w:rPr>
          <w:rStyle w:val="FootnoteReference"/>
        </w:rPr>
        <w:footnoteRef/>
      </w:r>
      <w:r>
        <w:t xml:space="preserve"> </w:t>
      </w:r>
      <w:r w:rsidR="00B63FCC">
        <w:t>Ellis. 1994: 50</w:t>
      </w:r>
    </w:p>
  </w:footnote>
  <w:footnote w:id="6">
    <w:p w:rsidR="0080224A" w:rsidRDefault="0080224A" w:rsidP="0080224A">
      <w:pPr>
        <w:pStyle w:val="FootnoteText"/>
      </w:pPr>
      <w:r>
        <w:rPr>
          <w:rStyle w:val="FootnoteReference"/>
        </w:rPr>
        <w:footnoteRef/>
      </w:r>
      <w:r>
        <w:t xml:space="preserve"> Strabo. 17</w:t>
      </w:r>
    </w:p>
  </w:footnote>
  <w:footnote w:id="7">
    <w:p w:rsidR="00910AD5" w:rsidRDefault="00910AD5" w:rsidP="00910AD5">
      <w:pPr>
        <w:pStyle w:val="FootnoteText"/>
      </w:pPr>
      <w:r>
        <w:rPr>
          <w:rStyle w:val="FootnoteReference"/>
        </w:rPr>
        <w:footnoteRef/>
      </w:r>
      <w:r>
        <w:t xml:space="preserve"> Fraser. 1972: 136; 138; 141; 175</w:t>
      </w:r>
    </w:p>
  </w:footnote>
  <w:footnote w:id="8">
    <w:p w:rsidR="00DD48EE" w:rsidRDefault="00DD48EE">
      <w:pPr>
        <w:pStyle w:val="FootnoteText"/>
      </w:pPr>
      <w:r>
        <w:rPr>
          <w:rStyle w:val="FootnoteReference"/>
        </w:rPr>
        <w:footnoteRef/>
      </w:r>
      <w:r>
        <w:t xml:space="preserve"> Fraser. 1972:147</w:t>
      </w:r>
    </w:p>
  </w:footnote>
  <w:footnote w:id="9">
    <w:p w:rsidR="00B63FCC" w:rsidRDefault="00B63FCC">
      <w:pPr>
        <w:pStyle w:val="FootnoteText"/>
      </w:pPr>
      <w:r>
        <w:rPr>
          <w:rStyle w:val="FootnoteReference"/>
        </w:rPr>
        <w:footnoteRef/>
      </w:r>
      <w:r>
        <w:t xml:space="preserve"> Ellis. 1994: 50</w:t>
      </w:r>
    </w:p>
  </w:footnote>
  <w:footnote w:id="10">
    <w:p w:rsidR="00A8518B" w:rsidRDefault="00A8518B" w:rsidP="00A8518B">
      <w:pPr>
        <w:pStyle w:val="FootnoteText"/>
      </w:pPr>
      <w:r>
        <w:rPr>
          <w:rStyle w:val="FootnoteReference"/>
        </w:rPr>
        <w:footnoteRef/>
      </w:r>
      <w:r>
        <w:t xml:space="preserve"> Fraser. 1972</w:t>
      </w:r>
    </w:p>
  </w:footnote>
  <w:footnote w:id="11">
    <w:p w:rsidR="00B63FCC" w:rsidRDefault="00B63FCC">
      <w:pPr>
        <w:pStyle w:val="FootnoteText"/>
      </w:pPr>
      <w:r>
        <w:rPr>
          <w:rStyle w:val="FootnoteReference"/>
        </w:rPr>
        <w:footnoteRef/>
      </w:r>
      <w:r>
        <w:t xml:space="preserve"> Ellis. 1994: 50</w:t>
      </w:r>
    </w:p>
  </w:footnote>
  <w:footnote w:id="12">
    <w:p w:rsidR="00DF02FF" w:rsidRDefault="00DF02FF">
      <w:pPr>
        <w:pStyle w:val="FootnoteText"/>
      </w:pPr>
      <w:r>
        <w:rPr>
          <w:rStyle w:val="FootnoteReference"/>
        </w:rPr>
        <w:footnoteRef/>
      </w:r>
      <w:r>
        <w:t xml:space="preserve"> Fraser. 1972: 148</w:t>
      </w:r>
    </w:p>
  </w:footnote>
  <w:footnote w:id="13">
    <w:p w:rsidR="00910AD5" w:rsidRDefault="00910AD5" w:rsidP="00910AD5">
      <w:pPr>
        <w:pStyle w:val="FootnoteText"/>
      </w:pPr>
      <w:r>
        <w:rPr>
          <w:rStyle w:val="FootnoteReference"/>
        </w:rPr>
        <w:footnoteRef/>
      </w:r>
      <w:r>
        <w:t xml:space="preserve"> Fraser. 1972: 155</w:t>
      </w:r>
    </w:p>
  </w:footnote>
  <w:footnote w:id="14">
    <w:p w:rsidR="00A8518B" w:rsidRDefault="00A8518B">
      <w:pPr>
        <w:pStyle w:val="FootnoteText"/>
      </w:pPr>
      <w:r>
        <w:rPr>
          <w:rStyle w:val="FootnoteReference"/>
        </w:rPr>
        <w:footnoteRef/>
      </w:r>
      <w:r>
        <w:t xml:space="preserve"> </w:t>
      </w:r>
      <w:proofErr w:type="spellStart"/>
      <w:r w:rsidRPr="00A8518B">
        <w:t>Plin</w:t>
      </w:r>
      <w:proofErr w:type="spellEnd"/>
      <w:r w:rsidRPr="00A8518B">
        <w:t>. Nat. 26</w:t>
      </w:r>
    </w:p>
  </w:footnote>
  <w:footnote w:id="15">
    <w:p w:rsidR="00A8518B" w:rsidRDefault="00A8518B">
      <w:pPr>
        <w:pStyle w:val="FootnoteText"/>
      </w:pPr>
      <w:r>
        <w:rPr>
          <w:rStyle w:val="FootnoteReference"/>
        </w:rPr>
        <w:footnoteRef/>
      </w:r>
      <w:r>
        <w:t xml:space="preserve"> </w:t>
      </w:r>
      <w:r>
        <w:t>Fraser. 1972</w:t>
      </w:r>
    </w:p>
  </w:footnote>
  <w:footnote w:id="16">
    <w:p w:rsidR="00A8518B" w:rsidRDefault="00A8518B" w:rsidP="00A8518B">
      <w:pPr>
        <w:pStyle w:val="FootnoteText"/>
      </w:pPr>
      <w:r>
        <w:rPr>
          <w:rStyle w:val="FootnoteReference"/>
        </w:rPr>
        <w:footnoteRef/>
      </w:r>
      <w:r>
        <w:t xml:space="preserve"> Fraser. 1972: 181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0249"/>
    <w:rsid w:val="000201F2"/>
    <w:rsid w:val="000A2910"/>
    <w:rsid w:val="000B4285"/>
    <w:rsid w:val="001616D8"/>
    <w:rsid w:val="001C5AE4"/>
    <w:rsid w:val="00211EA0"/>
    <w:rsid w:val="003A0211"/>
    <w:rsid w:val="00425B69"/>
    <w:rsid w:val="00464B60"/>
    <w:rsid w:val="00467508"/>
    <w:rsid w:val="004922D4"/>
    <w:rsid w:val="00725BFB"/>
    <w:rsid w:val="007B04C1"/>
    <w:rsid w:val="00800249"/>
    <w:rsid w:val="0080224A"/>
    <w:rsid w:val="00910AD5"/>
    <w:rsid w:val="009567BA"/>
    <w:rsid w:val="009B61DB"/>
    <w:rsid w:val="00A148B5"/>
    <w:rsid w:val="00A8518B"/>
    <w:rsid w:val="00B63FCC"/>
    <w:rsid w:val="00BC3A50"/>
    <w:rsid w:val="00CF1A39"/>
    <w:rsid w:val="00DA1C8C"/>
    <w:rsid w:val="00DD48EE"/>
    <w:rsid w:val="00DF02FF"/>
    <w:rsid w:val="00E64228"/>
    <w:rsid w:val="00EE3195"/>
    <w:rsid w:val="00EF7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6D5C796-9EA3-4882-97BA-1A2C1AAE8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A148B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148B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002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0249"/>
    <w:rPr>
      <w:sz w:val="20"/>
      <w:szCs w:val="20"/>
    </w:rPr>
  </w:style>
  <w:style w:type="character" w:styleId="FootnoteReference">
    <w:name w:val="footnote reference"/>
    <w:basedOn w:val="DefaultParagraphFont"/>
    <w:uiPriority w:val="99"/>
    <w:semiHidden/>
    <w:unhideWhenUsed/>
    <w:rsid w:val="00800249"/>
    <w:rPr>
      <w:vertAlign w:val="superscript"/>
    </w:rPr>
  </w:style>
  <w:style w:type="character" w:customStyle="1" w:styleId="Heading2Char">
    <w:name w:val="Heading 2 Char"/>
    <w:basedOn w:val="DefaultParagraphFont"/>
    <w:link w:val="Heading2"/>
    <w:uiPriority w:val="9"/>
    <w:rsid w:val="00A148B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148B5"/>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24773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B753B1-5BDC-4593-8736-4511F79108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5</Pages>
  <Words>965</Words>
  <Characters>5504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Bell</dc:creator>
  <cp:keywords/>
  <dc:description/>
  <cp:lastModifiedBy>J Bell</cp:lastModifiedBy>
  <cp:revision>8</cp:revision>
  <dcterms:created xsi:type="dcterms:W3CDTF">2018-02-13T12:56:00Z</dcterms:created>
  <dcterms:modified xsi:type="dcterms:W3CDTF">2018-02-13T19:14:00Z</dcterms:modified>
</cp:coreProperties>
</file>