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2883" w:rsidRPr="00B82358" w:rsidRDefault="00532883" w:rsidP="00532883">
      <w:pPr>
        <w:pStyle w:val="Heading2"/>
        <w:jc w:val="center"/>
        <w:rPr>
          <w:color w:val="F79646"/>
          <w:sz w:val="28"/>
        </w:rPr>
      </w:pPr>
      <w:r w:rsidRPr="00B82358">
        <w:rPr>
          <w:color w:val="F79646"/>
        </w:rPr>
        <w:t>The Book of Genesis and its Literary and Artistic Afterlives</w:t>
      </w:r>
    </w:p>
    <w:p w:rsidR="00532883" w:rsidRDefault="00532883" w:rsidP="00532883">
      <w:pPr>
        <w:pStyle w:val="NormalWeb"/>
        <w:spacing w:before="0" w:beforeAutospacing="0" w:after="0" w:afterAutospacing="0"/>
        <w:rPr>
          <w:rFonts w:ascii="Arial" w:hAnsi="Arial" w:cs="Arial"/>
        </w:rPr>
      </w:pPr>
    </w:p>
    <w:p w:rsidR="00532883" w:rsidRDefault="00532883" w:rsidP="00532883">
      <w:pPr>
        <w:pStyle w:val="BodyText"/>
      </w:pPr>
      <w:r>
        <w:t>The Book of Genesis, like all book of the Bible</w:t>
      </w:r>
      <w:r w:rsidR="004C50CE">
        <w:t>,</w:t>
      </w:r>
      <w:r>
        <w:t xml:space="preserve"> has a rich and varied afterlife.  Authors, poets, artists and musicians have been inspired to reflect on, and frequently offer closure to, many of the questions raised by the biblical text. As well as the more obvious cultural interpretations that spring to mind such as Michelangelo’s frescoes of the creation, or Haydn’s oratorio </w:t>
      </w:r>
      <w:r>
        <w:rPr>
          <w:i/>
          <w:iCs/>
        </w:rPr>
        <w:t>The Creation</w:t>
      </w:r>
      <w:r>
        <w:t xml:space="preserve">, there is a wealth of other literary and cultural interpretations such as Thomas Mann’s novel, </w:t>
      </w:r>
      <w:r>
        <w:rPr>
          <w:i/>
          <w:iCs/>
        </w:rPr>
        <w:t>Joseph and his Brothers</w:t>
      </w:r>
      <w:r>
        <w:t xml:space="preserve">.  Many biblical commentators now use the literary and cultural afterlives of biblical texts to add a further rich dimension to the text: such interpretations often lead us to ask searching questions of the biblical narrative and of, course, many artistic representations of biblical texts are intensely theological in tone. </w:t>
      </w:r>
    </w:p>
    <w:p w:rsidR="00532883" w:rsidRDefault="00532883" w:rsidP="00532883">
      <w:pPr>
        <w:rPr>
          <w:rFonts w:ascii="Arial" w:hAnsi="Arial" w:cs="Arial"/>
        </w:rPr>
      </w:pPr>
    </w:p>
    <w:p w:rsidR="00532883" w:rsidRDefault="00532883" w:rsidP="00532883">
      <w:pPr>
        <w:rPr>
          <w:rFonts w:ascii="Arial" w:hAnsi="Arial" w:cs="Arial"/>
          <w:b/>
          <w:bCs/>
        </w:rPr>
      </w:pPr>
      <w:r>
        <w:rPr>
          <w:rFonts w:ascii="Arial" w:hAnsi="Arial" w:cs="Arial"/>
          <w:b/>
          <w:bCs/>
        </w:rPr>
        <w:t>Resources:</w:t>
      </w:r>
    </w:p>
    <w:p w:rsidR="00532883" w:rsidRDefault="00532883" w:rsidP="00532883">
      <w:pPr>
        <w:rPr>
          <w:rFonts w:ascii="Arial" w:hAnsi="Arial" w:cs="Arial"/>
        </w:rPr>
      </w:pPr>
    </w:p>
    <w:p w:rsidR="00532883" w:rsidRDefault="00532883" w:rsidP="00532883">
      <w:pPr>
        <w:pStyle w:val="BodyText"/>
      </w:pPr>
      <w:r>
        <w:t xml:space="preserve">Increasingly, there are very many websites where you can access paintings and literature inspired by biblical themes.  In addition to the websites of all the main galleries (e.g. National Gallery, Louvre, Uffizi), there is an </w:t>
      </w:r>
      <w:proofErr w:type="gramStart"/>
      <w:r>
        <w:t>excellent  starting</w:t>
      </w:r>
      <w:proofErr w:type="gramEnd"/>
      <w:r>
        <w:t xml:space="preserve"> point to research into the artistic and cultural afterlives of biblical texts:</w:t>
      </w:r>
    </w:p>
    <w:p w:rsidR="00532883" w:rsidRDefault="00532883" w:rsidP="00532883">
      <w:pPr>
        <w:pStyle w:val="BodyText"/>
      </w:pPr>
    </w:p>
    <w:p w:rsidR="00532883" w:rsidRDefault="000D7AAF" w:rsidP="00532883">
      <w:pPr>
        <w:pStyle w:val="BodyText"/>
      </w:pPr>
      <w:hyperlink r:id="rId7" w:history="1">
        <w:r w:rsidR="00532883" w:rsidRPr="005D52C3">
          <w:rPr>
            <w:rStyle w:val="Hyperlink"/>
          </w:rPr>
          <w:t>www.biblical-art.com</w:t>
        </w:r>
      </w:hyperlink>
    </w:p>
    <w:p w:rsidR="004C50CE" w:rsidRDefault="004C50CE" w:rsidP="00532883">
      <w:pPr>
        <w:pStyle w:val="BodyText"/>
      </w:pPr>
    </w:p>
    <w:p w:rsidR="004C50CE" w:rsidRDefault="000D7AAF" w:rsidP="00532883">
      <w:pPr>
        <w:pStyle w:val="BodyText"/>
      </w:pPr>
      <w:hyperlink r:id="rId8" w:history="1">
        <w:r w:rsidR="004C50CE" w:rsidRPr="00B72E5D">
          <w:rPr>
            <w:rStyle w:val="Hyperlink"/>
          </w:rPr>
          <w:t>www.artbible.info</w:t>
        </w:r>
      </w:hyperlink>
    </w:p>
    <w:p w:rsidR="004C50CE" w:rsidRDefault="004C50CE" w:rsidP="00532883">
      <w:pPr>
        <w:pStyle w:val="BodyText"/>
      </w:pPr>
    </w:p>
    <w:p w:rsidR="004C50CE" w:rsidRDefault="000D7AAF" w:rsidP="00532883">
      <w:pPr>
        <w:pStyle w:val="BodyText"/>
      </w:pPr>
      <w:hyperlink r:id="rId9" w:history="1">
        <w:r w:rsidR="004C50CE" w:rsidRPr="00B72E5D">
          <w:rPr>
            <w:rStyle w:val="Hyperlink"/>
          </w:rPr>
          <w:t>www.artbible.net</w:t>
        </w:r>
      </w:hyperlink>
      <w:r w:rsidR="004C50CE">
        <w:t xml:space="preserve"> </w:t>
      </w:r>
    </w:p>
    <w:p w:rsidR="00532883" w:rsidRDefault="00532883" w:rsidP="00532883">
      <w:pPr>
        <w:pStyle w:val="BodyText"/>
      </w:pPr>
    </w:p>
    <w:p w:rsidR="00532883" w:rsidRDefault="00532883" w:rsidP="00532883">
      <w:pPr>
        <w:pStyle w:val="BodyText"/>
      </w:pPr>
      <w:proofErr w:type="gramStart"/>
      <w:r>
        <w:t>for</w:t>
      </w:r>
      <w:proofErr w:type="gramEnd"/>
      <w:r>
        <w:t xml:space="preserve"> Wales, see:</w:t>
      </w:r>
    </w:p>
    <w:p w:rsidR="00532883" w:rsidRDefault="00532883" w:rsidP="00532883">
      <w:pPr>
        <w:pStyle w:val="BodyText"/>
      </w:pPr>
    </w:p>
    <w:p w:rsidR="00532883" w:rsidRDefault="004C50CE" w:rsidP="00532883">
      <w:pPr>
        <w:pStyle w:val="BodyText"/>
      </w:pPr>
      <w:r>
        <w:t>www.imagingthebible.org</w:t>
      </w:r>
    </w:p>
    <w:p w:rsidR="004C50CE" w:rsidRDefault="004C50CE" w:rsidP="00532883">
      <w:pPr>
        <w:pStyle w:val="BodyText"/>
      </w:pPr>
    </w:p>
    <w:p w:rsidR="004C50CE" w:rsidRDefault="004C50CE" w:rsidP="00532883">
      <w:pPr>
        <w:pStyle w:val="BodyText"/>
      </w:pPr>
      <w:proofErr w:type="gramStart"/>
      <w:r>
        <w:t>and</w:t>
      </w:r>
      <w:proofErr w:type="gramEnd"/>
      <w:r>
        <w:t xml:space="preserve"> the large database of biblical paintings from Wales hosted on the National Library of Wales website:</w:t>
      </w:r>
    </w:p>
    <w:p w:rsidR="004C50CE" w:rsidRDefault="004C50CE" w:rsidP="00532883">
      <w:pPr>
        <w:pStyle w:val="BodyText"/>
      </w:pPr>
    </w:p>
    <w:p w:rsidR="004C50CE" w:rsidRDefault="000D7AAF" w:rsidP="00532883">
      <w:pPr>
        <w:pStyle w:val="BodyText"/>
      </w:pPr>
      <w:hyperlink r:id="rId10" w:history="1">
        <w:r w:rsidR="004C50CE" w:rsidRPr="00B72E5D">
          <w:rPr>
            <w:rStyle w:val="Hyperlink"/>
          </w:rPr>
          <w:t>http://imagingthebible.llgc.org.uk</w:t>
        </w:r>
      </w:hyperlink>
    </w:p>
    <w:p w:rsidR="004C50CE" w:rsidRDefault="004C50CE" w:rsidP="00532883">
      <w:pPr>
        <w:pStyle w:val="BodyText"/>
      </w:pPr>
    </w:p>
    <w:p w:rsidR="00532883" w:rsidRDefault="00532883" w:rsidP="004C50CE">
      <w:pPr>
        <w:pStyle w:val="BodyText"/>
      </w:pPr>
      <w:r>
        <w:t xml:space="preserve"> </w:t>
      </w:r>
    </w:p>
    <w:p w:rsidR="00532883" w:rsidRDefault="00532883" w:rsidP="00532883">
      <w:pPr>
        <w:jc w:val="both"/>
        <w:rPr>
          <w:rFonts w:ascii="Arial" w:hAnsi="Arial" w:cs="Arial"/>
        </w:rPr>
      </w:pPr>
    </w:p>
    <w:p w:rsidR="00532883" w:rsidRDefault="00532883" w:rsidP="00532883">
      <w:pPr>
        <w:jc w:val="both"/>
        <w:rPr>
          <w:rFonts w:ascii="Arial" w:hAnsi="Arial" w:cs="Arial"/>
        </w:rPr>
      </w:pPr>
      <w:r>
        <w:rPr>
          <w:rFonts w:ascii="Arial" w:hAnsi="Arial" w:cs="Arial"/>
        </w:rPr>
        <w:t xml:space="preserve">You are encouraged to use at least a few cultural expressions of biblical texts in your assignment. They may help to support your argument as to why a particular text should be read or interpreted along certain lines. For the purpose of this </w:t>
      </w:r>
      <w:r w:rsidR="004C50CE">
        <w:rPr>
          <w:rFonts w:ascii="Arial" w:hAnsi="Arial" w:cs="Arial"/>
        </w:rPr>
        <w:t>unit,</w:t>
      </w:r>
      <w:r>
        <w:rPr>
          <w:rFonts w:ascii="Arial" w:hAnsi="Arial" w:cs="Arial"/>
        </w:rPr>
        <w:t xml:space="preserve"> only a few themes from Genesis can be looked at but it is hoped that this will encourage you to search for other rich interpretations that strike you as particularly pertinent.</w:t>
      </w:r>
    </w:p>
    <w:p w:rsidR="00532883" w:rsidRDefault="00532883" w:rsidP="00532883">
      <w:pPr>
        <w:rPr>
          <w:rFonts w:ascii="Arial" w:hAnsi="Arial" w:cs="Arial"/>
        </w:rPr>
      </w:pPr>
    </w:p>
    <w:p w:rsidR="00532883" w:rsidRDefault="00532883" w:rsidP="00532883">
      <w:pPr>
        <w:rPr>
          <w:rFonts w:ascii="Arial" w:hAnsi="Arial" w:cs="Arial"/>
        </w:rPr>
      </w:pPr>
      <w:r>
        <w:rPr>
          <w:rFonts w:ascii="Arial" w:hAnsi="Arial" w:cs="Arial"/>
        </w:rPr>
        <w:t>(a)  The Story of Adam and Eve (Gen. 1-3).</w:t>
      </w:r>
    </w:p>
    <w:p w:rsidR="00532883" w:rsidRDefault="00532883" w:rsidP="00532883">
      <w:pPr>
        <w:rPr>
          <w:rFonts w:ascii="Arial" w:hAnsi="Arial" w:cs="Arial"/>
        </w:rPr>
      </w:pPr>
      <w:r>
        <w:rPr>
          <w:rFonts w:ascii="Arial" w:hAnsi="Arial" w:cs="Arial"/>
        </w:rPr>
        <w:t>(b)  The Sacrifice of Isaac (Gen. 22)</w:t>
      </w:r>
    </w:p>
    <w:p w:rsidR="00532883" w:rsidRDefault="00532883" w:rsidP="00532883">
      <w:pPr>
        <w:rPr>
          <w:rFonts w:ascii="Arial" w:hAnsi="Arial" w:cs="Arial"/>
        </w:rPr>
      </w:pPr>
      <w:r>
        <w:rPr>
          <w:rFonts w:ascii="Arial" w:hAnsi="Arial" w:cs="Arial"/>
        </w:rPr>
        <w:t>(c)  The Deception of Isaac (Gen. 27)</w:t>
      </w:r>
    </w:p>
    <w:p w:rsidR="00532883" w:rsidRDefault="00532883" w:rsidP="00532883">
      <w:pPr>
        <w:rPr>
          <w:rFonts w:ascii="Arial" w:hAnsi="Arial" w:cs="Arial"/>
        </w:rPr>
      </w:pPr>
      <w:r>
        <w:rPr>
          <w:rFonts w:ascii="Arial" w:hAnsi="Arial" w:cs="Arial"/>
        </w:rPr>
        <w:t>(d)  Joseph and Pharaoh’s Wife (Gen. 39).</w:t>
      </w:r>
    </w:p>
    <w:p w:rsidR="00532883" w:rsidRDefault="00532883" w:rsidP="00532883">
      <w:pPr>
        <w:rPr>
          <w:rFonts w:ascii="Arial" w:hAnsi="Arial" w:cs="Arial"/>
        </w:rPr>
      </w:pPr>
    </w:p>
    <w:p w:rsidR="00532883" w:rsidRDefault="00532883" w:rsidP="00532883">
      <w:pPr>
        <w:rPr>
          <w:rFonts w:ascii="Arial" w:hAnsi="Arial" w:cs="Arial"/>
        </w:rPr>
      </w:pPr>
    </w:p>
    <w:p w:rsidR="00532883" w:rsidRDefault="00532883" w:rsidP="00532883">
      <w:pPr>
        <w:rPr>
          <w:rFonts w:ascii="Arial" w:hAnsi="Arial" w:cs="Arial"/>
        </w:rPr>
      </w:pPr>
    </w:p>
    <w:p w:rsidR="00532883" w:rsidRPr="00B82358" w:rsidRDefault="00532883" w:rsidP="00532883">
      <w:pPr>
        <w:pStyle w:val="Heading2"/>
        <w:rPr>
          <w:color w:val="1F497D"/>
        </w:rPr>
      </w:pPr>
      <w:r w:rsidRPr="00B82358">
        <w:rPr>
          <w:color w:val="1F497D"/>
        </w:rPr>
        <w:t>(a)  The Story of Adam and Eve</w:t>
      </w:r>
    </w:p>
    <w:p w:rsidR="00532883" w:rsidRPr="00B82358" w:rsidRDefault="00532883" w:rsidP="00532883">
      <w:pPr>
        <w:pStyle w:val="NormalWeb"/>
        <w:spacing w:before="0" w:beforeAutospacing="0" w:after="0" w:afterAutospacing="0"/>
        <w:rPr>
          <w:color w:val="1F497D"/>
        </w:rPr>
      </w:pPr>
    </w:p>
    <w:p w:rsidR="00532883" w:rsidRPr="00B82358" w:rsidRDefault="00532883" w:rsidP="00532883">
      <w:pPr>
        <w:rPr>
          <w:rFonts w:ascii="Arial" w:hAnsi="Arial" w:cs="Arial"/>
          <w:b/>
          <w:bCs/>
          <w:color w:val="1F497D"/>
        </w:rPr>
      </w:pPr>
      <w:r w:rsidRPr="00B82358">
        <w:rPr>
          <w:rFonts w:ascii="Arial" w:hAnsi="Arial" w:cs="Arial"/>
          <w:b/>
          <w:bCs/>
          <w:color w:val="1F497D"/>
        </w:rPr>
        <w:t>Iconography:</w:t>
      </w:r>
    </w:p>
    <w:p w:rsidR="00532883" w:rsidRDefault="00532883" w:rsidP="00532883">
      <w:pPr>
        <w:rPr>
          <w:rFonts w:ascii="Arial" w:hAnsi="Arial" w:cs="Arial"/>
        </w:rPr>
      </w:pPr>
    </w:p>
    <w:p w:rsidR="00532883" w:rsidRDefault="00532883" w:rsidP="00532883">
      <w:pPr>
        <w:jc w:val="both"/>
        <w:rPr>
          <w:rFonts w:ascii="Arial" w:hAnsi="Arial" w:cs="Arial"/>
        </w:rPr>
      </w:pPr>
    </w:p>
    <w:p w:rsidR="00532883" w:rsidRDefault="00532883" w:rsidP="00532883">
      <w:pPr>
        <w:pStyle w:val="BodyText"/>
      </w:pPr>
      <w:r>
        <w:t xml:space="preserve">Adam and Eve are naked and as such constitute one of the few biblical scenes, which allow artists to depict the nude figure.  The most important scenes in iconography are: the Creation of Adam, Adam in the Garden of Eden, the Creation of Eve (owing to the symbolic creation of Eve and </w:t>
      </w:r>
      <w:proofErr w:type="gramStart"/>
      <w:r>
        <w:t>her  union</w:t>
      </w:r>
      <w:proofErr w:type="gramEnd"/>
      <w:r>
        <w:t xml:space="preserve"> with Adam as the foundation of marriage, the sequence was widely illustrated in Jewish and Christian traditions. For Christianity, the events also prefigured the mystic marriage between Christ and his Church). The Fall was also copiously illustrated as well </w:t>
      </w:r>
      <w:proofErr w:type="gramStart"/>
      <w:r>
        <w:t>as  the</w:t>
      </w:r>
      <w:proofErr w:type="gramEnd"/>
      <w:r>
        <w:t xml:space="preserve"> Judgment and Condemnation, Adam and Eve driven from Paradise and Adam and Eve after their expulsion.</w:t>
      </w:r>
    </w:p>
    <w:p w:rsidR="00532883" w:rsidRDefault="00532883" w:rsidP="00532883">
      <w:pPr>
        <w:rPr>
          <w:rFonts w:ascii="Arial" w:hAnsi="Arial" w:cs="Arial"/>
        </w:rPr>
      </w:pPr>
    </w:p>
    <w:p w:rsidR="00532883" w:rsidRDefault="00532883" w:rsidP="00532883">
      <w:pPr>
        <w:rPr>
          <w:rFonts w:ascii="Arial" w:hAnsi="Arial" w:cs="Arial"/>
        </w:rPr>
      </w:pPr>
    </w:p>
    <w:p w:rsidR="00532883" w:rsidRDefault="00532883" w:rsidP="00532883">
      <w:pPr>
        <w:pStyle w:val="NormalWeb"/>
        <w:spacing w:before="0" w:beforeAutospacing="0" w:after="0" w:afterAutospacing="0"/>
        <w:jc w:val="both"/>
      </w:pPr>
    </w:p>
    <w:p w:rsidR="00532883" w:rsidRPr="00B82358" w:rsidRDefault="00532883" w:rsidP="00532883">
      <w:pPr>
        <w:pStyle w:val="NormalWeb"/>
        <w:spacing w:before="0" w:beforeAutospacing="0" w:after="0" w:afterAutospacing="0"/>
        <w:jc w:val="both"/>
        <w:rPr>
          <w:rFonts w:ascii="Arial" w:hAnsi="Arial" w:cs="Arial"/>
          <w:b/>
          <w:bCs/>
          <w:color w:val="1F497D"/>
        </w:rPr>
      </w:pPr>
    </w:p>
    <w:p w:rsidR="00532883" w:rsidRPr="00B82358" w:rsidRDefault="00532883" w:rsidP="00532883">
      <w:pPr>
        <w:pStyle w:val="NormalWeb"/>
        <w:spacing w:before="0" w:beforeAutospacing="0" w:after="0" w:afterAutospacing="0"/>
        <w:jc w:val="both"/>
        <w:rPr>
          <w:rFonts w:ascii="Arial" w:hAnsi="Arial" w:cs="Arial"/>
          <w:b/>
          <w:bCs/>
          <w:color w:val="1F497D"/>
        </w:rPr>
      </w:pPr>
      <w:r w:rsidRPr="00B82358">
        <w:rPr>
          <w:rFonts w:ascii="Arial" w:hAnsi="Arial" w:cs="Arial"/>
          <w:b/>
          <w:bCs/>
          <w:color w:val="1F497D"/>
        </w:rPr>
        <w:t>(b) The Sacrifice of Isaac (Gen. 22)</w:t>
      </w:r>
    </w:p>
    <w:p w:rsidR="00532883" w:rsidRPr="00B82358" w:rsidRDefault="00532883" w:rsidP="00532883">
      <w:pPr>
        <w:pStyle w:val="NormalWeb"/>
        <w:spacing w:before="0" w:beforeAutospacing="0" w:after="0" w:afterAutospacing="0"/>
        <w:jc w:val="both"/>
        <w:rPr>
          <w:rFonts w:ascii="Arial" w:hAnsi="Arial" w:cs="Arial"/>
          <w:b/>
          <w:bCs/>
          <w:color w:val="1F497D"/>
        </w:rPr>
      </w:pPr>
    </w:p>
    <w:p w:rsidR="00532883" w:rsidRPr="00B82358" w:rsidRDefault="00532883" w:rsidP="00532883">
      <w:pPr>
        <w:rPr>
          <w:color w:val="1F497D"/>
        </w:rPr>
      </w:pPr>
    </w:p>
    <w:p w:rsidR="00532883" w:rsidRPr="00B82358" w:rsidRDefault="00532883" w:rsidP="00532883">
      <w:pPr>
        <w:pStyle w:val="NormalWeb"/>
        <w:spacing w:before="0" w:beforeAutospacing="0" w:after="0" w:afterAutospacing="0"/>
        <w:jc w:val="both"/>
        <w:rPr>
          <w:rFonts w:ascii="Arial" w:hAnsi="Arial" w:cs="Arial"/>
          <w:b/>
          <w:bCs/>
          <w:color w:val="1F497D"/>
        </w:rPr>
      </w:pPr>
      <w:r w:rsidRPr="00B82358">
        <w:rPr>
          <w:rFonts w:ascii="Arial" w:hAnsi="Arial" w:cs="Arial"/>
          <w:b/>
          <w:bCs/>
          <w:color w:val="1F497D"/>
        </w:rPr>
        <w:t>Iconography:</w:t>
      </w:r>
    </w:p>
    <w:p w:rsidR="00532883" w:rsidRDefault="00532883" w:rsidP="00532883">
      <w:pPr>
        <w:pStyle w:val="NormalWeb"/>
        <w:spacing w:before="0" w:beforeAutospacing="0" w:after="0" w:afterAutospacing="0"/>
        <w:jc w:val="both"/>
        <w:rPr>
          <w:rFonts w:ascii="Arial" w:hAnsi="Arial" w:cs="Arial"/>
          <w:b/>
          <w:bCs/>
        </w:rPr>
      </w:pPr>
    </w:p>
    <w:p w:rsidR="00532883" w:rsidRDefault="00532883" w:rsidP="00532883">
      <w:pPr>
        <w:pStyle w:val="NormalWeb"/>
        <w:spacing w:before="0" w:beforeAutospacing="0" w:after="0" w:afterAutospacing="0"/>
        <w:jc w:val="both"/>
        <w:rPr>
          <w:rFonts w:ascii="Arial" w:hAnsi="Arial" w:cs="Arial"/>
        </w:rPr>
      </w:pPr>
      <w:r>
        <w:rPr>
          <w:rFonts w:ascii="Arial" w:hAnsi="Arial" w:cs="Arial"/>
        </w:rPr>
        <w:t xml:space="preserve">The binding of Isaac, (or in Hebrew, </w:t>
      </w:r>
      <w:r>
        <w:rPr>
          <w:rFonts w:ascii="Arial" w:hAnsi="Arial" w:cs="Arial"/>
          <w:i/>
          <w:iCs/>
        </w:rPr>
        <w:t xml:space="preserve">the </w:t>
      </w:r>
      <w:proofErr w:type="spellStart"/>
      <w:r>
        <w:rPr>
          <w:rFonts w:ascii="Arial" w:hAnsi="Arial" w:cs="Arial"/>
          <w:i/>
          <w:iCs/>
        </w:rPr>
        <w:t>Akedah</w:t>
      </w:r>
      <w:proofErr w:type="spellEnd"/>
      <w:r>
        <w:rPr>
          <w:rFonts w:ascii="Arial" w:hAnsi="Arial" w:cs="Arial"/>
        </w:rPr>
        <w:t>), symbolises for Jews the believer’s total confidence in the word of God and for Christians it prefigures the sacrifice of Christ on the cross.  One of the oldest representations is found on the frescoes of the Synagogue in Dura-</w:t>
      </w:r>
      <w:proofErr w:type="spellStart"/>
      <w:r>
        <w:rPr>
          <w:rFonts w:ascii="Arial" w:hAnsi="Arial" w:cs="Arial"/>
        </w:rPr>
        <w:t>Euopas</w:t>
      </w:r>
      <w:proofErr w:type="spellEnd"/>
      <w:r>
        <w:rPr>
          <w:rFonts w:ascii="Arial" w:hAnsi="Arial" w:cs="Arial"/>
        </w:rPr>
        <w:t xml:space="preserve"> (245 AD). Ghiberti and Brunelleschi depicted the scene in the competition panels for the doors of the Florence Baptistery (1401).  Rembrandt did a famous painting of the scene (1636, Hermitage, St. Petersburg) as did Caravaggio (1603, Uffizi, Florence).</w:t>
      </w:r>
    </w:p>
    <w:p w:rsidR="00532883" w:rsidRDefault="00532883" w:rsidP="00532883">
      <w:pPr>
        <w:pStyle w:val="NormalWeb"/>
        <w:spacing w:before="0" w:beforeAutospacing="0" w:after="0" w:afterAutospacing="0"/>
        <w:jc w:val="both"/>
        <w:rPr>
          <w:rFonts w:ascii="Arial" w:hAnsi="Arial" w:cs="Arial"/>
          <w:b/>
          <w:bCs/>
        </w:rPr>
      </w:pPr>
    </w:p>
    <w:p w:rsidR="00532883" w:rsidRDefault="00532883" w:rsidP="00532883">
      <w:pPr>
        <w:pStyle w:val="NormalWeb"/>
        <w:spacing w:before="0" w:beforeAutospacing="0" w:after="0" w:afterAutospacing="0"/>
        <w:jc w:val="both"/>
        <w:rPr>
          <w:rFonts w:ascii="Arial" w:hAnsi="Arial" w:cs="Arial"/>
          <w:b/>
          <w:bCs/>
          <w:sz w:val="22"/>
        </w:rPr>
      </w:pPr>
    </w:p>
    <w:p w:rsidR="00532883" w:rsidRDefault="00532883" w:rsidP="00532883">
      <w:pPr>
        <w:pStyle w:val="NormalWeb"/>
        <w:spacing w:before="0" w:beforeAutospacing="0" w:after="0" w:afterAutospacing="0"/>
        <w:jc w:val="both"/>
        <w:rPr>
          <w:rFonts w:ascii="Arial" w:hAnsi="Arial" w:cs="Arial"/>
          <w:sz w:val="22"/>
        </w:rPr>
      </w:pPr>
      <w:r>
        <w:rPr>
          <w:rFonts w:ascii="Arial" w:hAnsi="Arial" w:cs="Arial"/>
          <w:sz w:val="22"/>
        </w:rPr>
        <w:t xml:space="preserve">There are several websites on the </w:t>
      </w:r>
      <w:proofErr w:type="spellStart"/>
      <w:r>
        <w:rPr>
          <w:rFonts w:ascii="Arial" w:hAnsi="Arial" w:cs="Arial"/>
          <w:i/>
          <w:iCs/>
          <w:sz w:val="22"/>
        </w:rPr>
        <w:t>Akedah</w:t>
      </w:r>
      <w:proofErr w:type="spellEnd"/>
      <w:r>
        <w:rPr>
          <w:rFonts w:ascii="Arial" w:hAnsi="Arial" w:cs="Arial"/>
          <w:sz w:val="22"/>
        </w:rPr>
        <w:t>.  Use search engines to locate these.</w:t>
      </w:r>
    </w:p>
    <w:p w:rsidR="00532883" w:rsidRDefault="00532883" w:rsidP="00532883">
      <w:pPr>
        <w:pStyle w:val="NormalWeb"/>
        <w:spacing w:before="0" w:beforeAutospacing="0" w:after="0" w:afterAutospacing="0"/>
        <w:jc w:val="both"/>
        <w:rPr>
          <w:rFonts w:ascii="Arial" w:hAnsi="Arial" w:cs="Arial"/>
        </w:rPr>
      </w:pPr>
    </w:p>
    <w:p w:rsidR="00532883" w:rsidRPr="00B82358" w:rsidRDefault="00532883" w:rsidP="00532883">
      <w:pPr>
        <w:rPr>
          <w:rFonts w:ascii="Arial" w:hAnsi="Arial" w:cs="Arial"/>
          <w:b/>
          <w:bCs/>
          <w:color w:val="1F497D"/>
        </w:rPr>
      </w:pPr>
    </w:p>
    <w:p w:rsidR="00532883" w:rsidRPr="00B82358" w:rsidRDefault="00532883" w:rsidP="00532883">
      <w:pPr>
        <w:rPr>
          <w:rFonts w:ascii="Arial" w:hAnsi="Arial" w:cs="Arial"/>
          <w:b/>
          <w:bCs/>
          <w:color w:val="1F497D"/>
        </w:rPr>
      </w:pPr>
      <w:r w:rsidRPr="00B82358">
        <w:rPr>
          <w:rFonts w:ascii="Arial" w:hAnsi="Arial" w:cs="Arial"/>
          <w:b/>
          <w:bCs/>
          <w:color w:val="1F497D"/>
        </w:rPr>
        <w:t>(c) The Deception of Isaac (Gen. 27)</w:t>
      </w:r>
    </w:p>
    <w:p w:rsidR="00532883" w:rsidRPr="00B82358" w:rsidRDefault="00532883" w:rsidP="00532883">
      <w:pPr>
        <w:rPr>
          <w:color w:val="1F497D"/>
        </w:rPr>
      </w:pPr>
    </w:p>
    <w:p w:rsidR="00532883" w:rsidRPr="00B82358" w:rsidRDefault="00532883" w:rsidP="00532883">
      <w:pPr>
        <w:rPr>
          <w:rFonts w:ascii="Arial" w:hAnsi="Arial" w:cs="Arial"/>
          <w:b/>
          <w:bCs/>
          <w:color w:val="1F497D"/>
        </w:rPr>
      </w:pPr>
      <w:r w:rsidRPr="00B82358">
        <w:rPr>
          <w:rFonts w:ascii="Arial" w:hAnsi="Arial" w:cs="Arial"/>
          <w:b/>
          <w:bCs/>
          <w:color w:val="1F497D"/>
        </w:rPr>
        <w:t>Iconography:</w:t>
      </w:r>
    </w:p>
    <w:p w:rsidR="00532883" w:rsidRDefault="00532883" w:rsidP="00532883">
      <w:pPr>
        <w:rPr>
          <w:rFonts w:ascii="Arial" w:hAnsi="Arial" w:cs="Arial"/>
          <w:b/>
          <w:bCs/>
          <w:sz w:val="22"/>
        </w:rPr>
      </w:pPr>
    </w:p>
    <w:p w:rsidR="00532883" w:rsidRDefault="00532883" w:rsidP="00532883">
      <w:pPr>
        <w:jc w:val="both"/>
        <w:rPr>
          <w:rFonts w:ascii="Arial" w:hAnsi="Arial" w:cs="Arial"/>
        </w:rPr>
      </w:pPr>
      <w:r>
        <w:rPr>
          <w:rFonts w:ascii="Arial" w:hAnsi="Arial" w:cs="Arial"/>
        </w:rPr>
        <w:t>The theme appears in early Christian, Byzantine and medieval art but it only comes into prominence in the Renaissance and seventeenth century. The most famous Renaissance treatments of the theme are Ghiberti’s relief on the doors of the Baptistery at Florence (1439) and Raphael’s fresco in the Loggia of the Vatican (1516).  Late 16</w:t>
      </w:r>
      <w:r>
        <w:rPr>
          <w:rFonts w:ascii="Arial" w:hAnsi="Arial" w:cs="Arial"/>
          <w:vertAlign w:val="superscript"/>
        </w:rPr>
        <w:t>th</w:t>
      </w:r>
      <w:r>
        <w:rPr>
          <w:rFonts w:ascii="Arial" w:hAnsi="Arial" w:cs="Arial"/>
        </w:rPr>
        <w:t xml:space="preserve"> century representations of the theme portray </w:t>
      </w:r>
      <w:proofErr w:type="spellStart"/>
      <w:r>
        <w:rPr>
          <w:rFonts w:ascii="Arial" w:hAnsi="Arial" w:cs="Arial"/>
        </w:rPr>
        <w:t>Rebekah</w:t>
      </w:r>
      <w:proofErr w:type="spellEnd"/>
      <w:r>
        <w:rPr>
          <w:rFonts w:ascii="Arial" w:hAnsi="Arial" w:cs="Arial"/>
        </w:rPr>
        <w:t xml:space="preserve"> in a benevolent light: Luther and Calvin both regarded the biblical story as a classic example of the doctrine of predestination.  Rather than being seen a wife who deceives her husband, she was regarded as an agent of the Lord, whose decision “flowed from no other source but her faith”.  </w:t>
      </w:r>
      <w:r>
        <w:rPr>
          <w:rFonts w:ascii="Arial" w:hAnsi="Arial" w:cs="Arial"/>
        </w:rPr>
        <w:lastRenderedPageBreak/>
        <w:t xml:space="preserve">Calvin observed, “The inheritance promised by God was firmly fixed in </w:t>
      </w:r>
      <w:proofErr w:type="spellStart"/>
      <w:proofErr w:type="gramStart"/>
      <w:r>
        <w:rPr>
          <w:rFonts w:ascii="Arial" w:hAnsi="Arial" w:cs="Arial"/>
        </w:rPr>
        <w:t>he</w:t>
      </w:r>
      <w:proofErr w:type="spellEnd"/>
      <w:proofErr w:type="gramEnd"/>
      <w:r>
        <w:rPr>
          <w:rFonts w:ascii="Arial" w:hAnsi="Arial" w:cs="Arial"/>
        </w:rPr>
        <w:t xml:space="preserve"> mind. She knew that it was decreed to her son Jacob”.</w:t>
      </w:r>
    </w:p>
    <w:p w:rsidR="00532883" w:rsidRDefault="00532883" w:rsidP="00532883">
      <w:pPr>
        <w:rPr>
          <w:rFonts w:ascii="Arial" w:hAnsi="Arial" w:cs="Arial"/>
          <w:b/>
          <w:bCs/>
        </w:rPr>
      </w:pPr>
    </w:p>
    <w:p w:rsidR="00532883" w:rsidRDefault="00532883" w:rsidP="00532883">
      <w:pPr>
        <w:rPr>
          <w:rFonts w:ascii="Arial" w:hAnsi="Arial" w:cs="Arial"/>
          <w:b/>
          <w:bCs/>
        </w:rPr>
      </w:pPr>
    </w:p>
    <w:p w:rsidR="00532883" w:rsidRDefault="00532883" w:rsidP="00532883">
      <w:pPr>
        <w:rPr>
          <w:rFonts w:ascii="Arial" w:hAnsi="Arial" w:cs="Arial"/>
          <w:b/>
          <w:bCs/>
        </w:rPr>
      </w:pPr>
    </w:p>
    <w:p w:rsidR="00532883" w:rsidRPr="00B82358" w:rsidRDefault="00532883" w:rsidP="00532883">
      <w:pPr>
        <w:pStyle w:val="NormalWeb"/>
        <w:spacing w:before="0" w:beforeAutospacing="0" w:after="0" w:afterAutospacing="0"/>
        <w:jc w:val="both"/>
        <w:rPr>
          <w:rFonts w:ascii="Arial" w:hAnsi="Arial" w:cs="Arial"/>
          <w:b/>
          <w:bCs/>
          <w:color w:val="1F497D"/>
        </w:rPr>
      </w:pPr>
      <w:r w:rsidRPr="00B82358">
        <w:rPr>
          <w:rFonts w:ascii="Arial" w:hAnsi="Arial" w:cs="Arial"/>
          <w:b/>
          <w:bCs/>
          <w:color w:val="1F497D"/>
        </w:rPr>
        <w:t>(d)  Joseph and Pharaoh’s Wife (Gen. 39)</w:t>
      </w:r>
    </w:p>
    <w:p w:rsidR="00532883" w:rsidRPr="00B82358" w:rsidRDefault="00532883" w:rsidP="00532883">
      <w:pPr>
        <w:pStyle w:val="NormalWeb"/>
        <w:spacing w:before="0" w:beforeAutospacing="0" w:after="0" w:afterAutospacing="0"/>
        <w:jc w:val="both"/>
        <w:rPr>
          <w:rFonts w:ascii="Arial" w:hAnsi="Arial" w:cs="Arial"/>
          <w:b/>
          <w:bCs/>
          <w:color w:val="1F497D"/>
        </w:rPr>
      </w:pPr>
    </w:p>
    <w:p w:rsidR="00532883" w:rsidRPr="00B82358" w:rsidRDefault="00532883" w:rsidP="00532883">
      <w:pPr>
        <w:rPr>
          <w:color w:val="1F497D"/>
        </w:rPr>
      </w:pPr>
    </w:p>
    <w:p w:rsidR="00532883" w:rsidRPr="00B82358" w:rsidRDefault="00532883" w:rsidP="00532883">
      <w:pPr>
        <w:pStyle w:val="NormalWeb"/>
        <w:spacing w:before="0" w:beforeAutospacing="0" w:after="0" w:afterAutospacing="0"/>
        <w:jc w:val="both"/>
        <w:rPr>
          <w:rFonts w:ascii="Arial" w:hAnsi="Arial" w:cs="Arial"/>
          <w:b/>
          <w:bCs/>
          <w:color w:val="1F497D"/>
        </w:rPr>
      </w:pPr>
      <w:r w:rsidRPr="00B82358">
        <w:rPr>
          <w:rFonts w:ascii="Arial" w:hAnsi="Arial" w:cs="Arial"/>
          <w:b/>
          <w:bCs/>
          <w:color w:val="1F497D"/>
        </w:rPr>
        <w:t>Iconography:</w:t>
      </w:r>
    </w:p>
    <w:p w:rsidR="00532883" w:rsidRDefault="00532883" w:rsidP="00532883">
      <w:pPr>
        <w:pStyle w:val="NormalWeb"/>
        <w:spacing w:before="0" w:beforeAutospacing="0" w:after="0" w:afterAutospacing="0"/>
        <w:jc w:val="both"/>
        <w:rPr>
          <w:rFonts w:ascii="Arial" w:hAnsi="Arial" w:cs="Arial"/>
          <w:b/>
          <w:bCs/>
        </w:rPr>
      </w:pPr>
    </w:p>
    <w:p w:rsidR="00532883" w:rsidRDefault="00532883" w:rsidP="00532883">
      <w:pPr>
        <w:pStyle w:val="NormalWeb"/>
        <w:spacing w:before="0" w:beforeAutospacing="0" w:after="0" w:afterAutospacing="0"/>
        <w:rPr>
          <w:rFonts w:ascii="Arial" w:hAnsi="Arial" w:cs="Arial"/>
        </w:rPr>
      </w:pPr>
    </w:p>
    <w:p w:rsidR="00532883" w:rsidRDefault="00532883" w:rsidP="00532883">
      <w:pPr>
        <w:pStyle w:val="NormalWeb"/>
        <w:spacing w:before="0" w:beforeAutospacing="0" w:after="0" w:afterAutospacing="0"/>
        <w:jc w:val="both"/>
        <w:rPr>
          <w:rFonts w:ascii="Arial" w:hAnsi="Arial" w:cs="Arial"/>
        </w:rPr>
      </w:pPr>
      <w:r>
        <w:rPr>
          <w:rFonts w:ascii="Arial" w:hAnsi="Arial" w:cs="Arial"/>
        </w:rPr>
        <w:t xml:space="preserve">The attempted seduction of Joseph by </w:t>
      </w:r>
      <w:proofErr w:type="spellStart"/>
      <w:r>
        <w:rPr>
          <w:rFonts w:ascii="Arial" w:hAnsi="Arial" w:cs="Arial"/>
        </w:rPr>
        <w:t>Potiphar's</w:t>
      </w:r>
      <w:proofErr w:type="spellEnd"/>
      <w:r>
        <w:rPr>
          <w:rFonts w:ascii="Arial" w:hAnsi="Arial" w:cs="Arial"/>
        </w:rPr>
        <w:t xml:space="preserve"> wife is common in art. Of particular note are: Raphael’s depiction in the fresco of the Loggia of the Vatican (1510), </w:t>
      </w:r>
      <w:proofErr w:type="gramStart"/>
      <w:r>
        <w:rPr>
          <w:rFonts w:ascii="Arial" w:hAnsi="Arial" w:cs="Arial"/>
        </w:rPr>
        <w:t>del</w:t>
      </w:r>
      <w:proofErr w:type="gramEnd"/>
      <w:r>
        <w:rPr>
          <w:rFonts w:ascii="Arial" w:hAnsi="Arial" w:cs="Arial"/>
        </w:rPr>
        <w:t xml:space="preserve"> Castillo’s depiction (c. 1610), Tintoretto (1560), Rembrandt (1640) and Marc Chagall (1960).  In Chagall’s painting </w:t>
      </w:r>
      <w:proofErr w:type="spellStart"/>
      <w:r>
        <w:rPr>
          <w:rFonts w:ascii="Arial" w:hAnsi="Arial" w:cs="Arial"/>
        </w:rPr>
        <w:t>Potiphar’s</w:t>
      </w:r>
      <w:proofErr w:type="spellEnd"/>
      <w:r>
        <w:rPr>
          <w:rFonts w:ascii="Arial" w:hAnsi="Arial" w:cs="Arial"/>
        </w:rPr>
        <w:t xml:space="preserve"> wife who has feigned sickness in order to trap Joseph, folds back her blanket to entice him with the sight of her nude body. But he resists and turns away. The contrast of the naked seductress on her bright bed and chaste Joseph, covered by heavy, dark clothing is striking.</w:t>
      </w:r>
    </w:p>
    <w:p w:rsidR="00532883" w:rsidRDefault="00532883" w:rsidP="00532883">
      <w:pPr>
        <w:pStyle w:val="NormalWeb"/>
        <w:spacing w:before="0" w:beforeAutospacing="0" w:after="0" w:afterAutospacing="0"/>
        <w:jc w:val="both"/>
        <w:rPr>
          <w:b/>
          <w:bCs/>
        </w:rPr>
      </w:pPr>
    </w:p>
    <w:p w:rsidR="00532883" w:rsidRDefault="00532883" w:rsidP="00532883">
      <w:pPr>
        <w:pStyle w:val="NormalWeb"/>
        <w:spacing w:before="0" w:beforeAutospacing="0" w:after="0" w:afterAutospacing="0"/>
        <w:jc w:val="both"/>
        <w:rPr>
          <w:b/>
          <w:bCs/>
        </w:rPr>
      </w:pPr>
    </w:p>
    <w:p w:rsidR="00532883" w:rsidRDefault="004C50CE" w:rsidP="00532883">
      <w:pPr>
        <w:pStyle w:val="NormalWeb"/>
        <w:spacing w:before="0" w:beforeAutospacing="0" w:after="0" w:afterAutospacing="0"/>
        <w:jc w:val="both"/>
        <w:rPr>
          <w:b/>
          <w:bCs/>
        </w:rPr>
      </w:pPr>
      <w:r>
        <w:rPr>
          <w:b/>
          <w:bCs/>
        </w:rPr>
        <w:t>Reading:</w:t>
      </w:r>
    </w:p>
    <w:p w:rsidR="008538A1" w:rsidRPr="004C50CE" w:rsidRDefault="000D7AAF" w:rsidP="008538A1">
      <w:pPr>
        <w:numPr>
          <w:ilvl w:val="0"/>
          <w:numId w:val="1"/>
        </w:numPr>
        <w:shd w:val="clear" w:color="auto" w:fill="EDEFF4"/>
        <w:spacing w:beforeAutospacing="1" w:afterAutospacing="1" w:line="408" w:lineRule="atLeast"/>
        <w:ind w:left="0"/>
        <w:rPr>
          <w:rFonts w:asciiTheme="minorHAnsi" w:hAnsiTheme="minorHAnsi" w:cs="Arial"/>
          <w:color w:val="000000" w:themeColor="text1"/>
          <w:sz w:val="22"/>
          <w:szCs w:val="22"/>
        </w:rPr>
      </w:pPr>
      <w:hyperlink r:id="rId11" w:history="1">
        <w:proofErr w:type="spellStart"/>
        <w:r w:rsidR="008538A1" w:rsidRPr="004C50CE">
          <w:rPr>
            <w:rStyle w:val="Hyperlink"/>
            <w:rFonts w:asciiTheme="minorHAnsi" w:hAnsiTheme="minorHAnsi"/>
            <w:color w:val="000000" w:themeColor="text1"/>
            <w:sz w:val="22"/>
            <w:szCs w:val="22"/>
            <w:u w:val="none"/>
          </w:rPr>
          <w:t>N.Timberley</w:t>
        </w:r>
        <w:proofErr w:type="spellEnd"/>
        <w:r w:rsidR="008538A1" w:rsidRPr="004C50CE">
          <w:rPr>
            <w:rStyle w:val="Hyperlink"/>
            <w:rFonts w:asciiTheme="minorHAnsi" w:hAnsiTheme="minorHAnsi"/>
            <w:color w:val="000000" w:themeColor="text1"/>
            <w:sz w:val="22"/>
            <w:szCs w:val="22"/>
            <w:u w:val="none"/>
          </w:rPr>
          <w:t xml:space="preserve"> (Haydn, </w:t>
        </w:r>
        <w:r w:rsidR="008538A1" w:rsidRPr="004C50CE">
          <w:rPr>
            <w:rStyle w:val="Hyperlink"/>
            <w:rFonts w:asciiTheme="minorHAnsi" w:hAnsiTheme="minorHAnsi"/>
            <w:i/>
            <w:color w:val="000000" w:themeColor="text1"/>
            <w:sz w:val="22"/>
            <w:szCs w:val="22"/>
            <w:u w:val="none"/>
          </w:rPr>
          <w:t>The Creation)</w:t>
        </w:r>
        <w:r w:rsidR="008538A1" w:rsidRPr="004C50CE">
          <w:rPr>
            <w:rStyle w:val="accesshide1"/>
            <w:rFonts w:asciiTheme="minorHAnsi" w:hAnsiTheme="minorHAnsi" w:cs="Arial"/>
            <w:color w:val="000000" w:themeColor="text1"/>
            <w:sz w:val="22"/>
            <w:szCs w:val="22"/>
          </w:rPr>
          <w:t xml:space="preserve"> </w:t>
        </w:r>
      </w:hyperlink>
    </w:p>
    <w:p w:rsidR="008538A1" w:rsidRPr="00693EF1" w:rsidRDefault="000D7AAF" w:rsidP="008538A1">
      <w:pPr>
        <w:numPr>
          <w:ilvl w:val="0"/>
          <w:numId w:val="1"/>
        </w:numPr>
        <w:shd w:val="clear" w:color="auto" w:fill="EDEFF4"/>
        <w:spacing w:beforeAutospacing="1" w:afterAutospacing="1" w:line="408" w:lineRule="atLeast"/>
        <w:ind w:left="0"/>
        <w:rPr>
          <w:rFonts w:asciiTheme="minorHAnsi" w:hAnsiTheme="minorHAnsi" w:cs="Arial"/>
          <w:color w:val="000000" w:themeColor="text1"/>
          <w:sz w:val="22"/>
          <w:szCs w:val="22"/>
        </w:rPr>
      </w:pPr>
      <w:hyperlink r:id="rId12" w:history="1">
        <w:r w:rsidR="008538A1" w:rsidRPr="004C50CE">
          <w:rPr>
            <w:rStyle w:val="Hyperlink"/>
            <w:rFonts w:asciiTheme="minorHAnsi" w:hAnsiTheme="minorHAnsi"/>
            <w:color w:val="000000" w:themeColor="text1"/>
            <w:sz w:val="22"/>
            <w:szCs w:val="22"/>
            <w:u w:val="none"/>
          </w:rPr>
          <w:t>C. Rowland (</w:t>
        </w:r>
        <w:r w:rsidR="008538A1" w:rsidRPr="004C50CE">
          <w:rPr>
            <w:rStyle w:val="Hyperlink"/>
            <w:rFonts w:asciiTheme="minorHAnsi" w:hAnsiTheme="minorHAnsi"/>
            <w:i/>
            <w:color w:val="000000" w:themeColor="text1"/>
            <w:sz w:val="22"/>
            <w:szCs w:val="22"/>
            <w:u w:val="none"/>
          </w:rPr>
          <w:t>Oxford Handbook of Reception History of the Bible</w:t>
        </w:r>
        <w:r w:rsidR="008538A1" w:rsidRPr="004C50CE">
          <w:rPr>
            <w:rStyle w:val="Hyperlink"/>
            <w:rFonts w:asciiTheme="minorHAnsi" w:hAnsiTheme="minorHAnsi"/>
            <w:color w:val="000000" w:themeColor="text1"/>
            <w:sz w:val="22"/>
            <w:szCs w:val="22"/>
            <w:u w:val="none"/>
          </w:rPr>
          <w:t>)</w:t>
        </w:r>
        <w:r w:rsidR="008538A1" w:rsidRPr="004C50CE">
          <w:rPr>
            <w:rStyle w:val="accesshide1"/>
            <w:rFonts w:asciiTheme="minorHAnsi" w:hAnsiTheme="minorHAnsi" w:cs="Arial"/>
            <w:color w:val="000000" w:themeColor="text1"/>
            <w:sz w:val="22"/>
            <w:szCs w:val="22"/>
          </w:rPr>
          <w:t xml:space="preserve"> </w:t>
        </w:r>
      </w:hyperlink>
    </w:p>
    <w:p w:rsidR="00693EF1" w:rsidRPr="00693EF1" w:rsidRDefault="00693EF1" w:rsidP="008538A1">
      <w:pPr>
        <w:numPr>
          <w:ilvl w:val="0"/>
          <w:numId w:val="1"/>
        </w:numPr>
        <w:shd w:val="clear" w:color="auto" w:fill="EDEFF4"/>
        <w:spacing w:beforeAutospacing="1" w:afterAutospacing="1" w:line="408" w:lineRule="atLeast"/>
        <w:ind w:left="0"/>
        <w:rPr>
          <w:rFonts w:asciiTheme="minorHAnsi" w:hAnsiTheme="minorHAnsi" w:cs="Arial"/>
          <w:color w:val="000000" w:themeColor="text1"/>
          <w:sz w:val="22"/>
          <w:szCs w:val="22"/>
        </w:rPr>
      </w:pPr>
      <w:r>
        <w:t>D. Lyle Jeffrey (</w:t>
      </w:r>
      <w:r w:rsidRPr="00693EF1">
        <w:rPr>
          <w:i/>
        </w:rPr>
        <w:t>A Dictionary of Biblical Tradition in English Literature</w:t>
      </w:r>
      <w:r>
        <w:rPr>
          <w:i/>
        </w:rPr>
        <w:t>)</w:t>
      </w:r>
    </w:p>
    <w:p w:rsidR="00693EF1" w:rsidRPr="004C50CE" w:rsidRDefault="00693EF1" w:rsidP="00693EF1">
      <w:pPr>
        <w:shd w:val="clear" w:color="auto" w:fill="EDEFF4"/>
        <w:spacing w:beforeAutospacing="1" w:afterAutospacing="1" w:line="408" w:lineRule="atLeast"/>
        <w:rPr>
          <w:rFonts w:asciiTheme="minorHAnsi" w:hAnsiTheme="minorHAnsi" w:cs="Arial"/>
          <w:color w:val="000000" w:themeColor="text1"/>
          <w:sz w:val="22"/>
          <w:szCs w:val="22"/>
        </w:rPr>
      </w:pPr>
      <w:r>
        <w:rPr>
          <w:rFonts w:asciiTheme="minorHAnsi" w:hAnsiTheme="minorHAnsi" w:cs="Arial"/>
          <w:color w:val="000000" w:themeColor="text1"/>
          <w:sz w:val="22"/>
          <w:szCs w:val="22"/>
        </w:rPr>
        <w:t xml:space="preserve">Excerpts on the characters of Noah, Hagar and </w:t>
      </w:r>
      <w:proofErr w:type="spellStart"/>
      <w:r>
        <w:rPr>
          <w:rFonts w:asciiTheme="minorHAnsi" w:hAnsiTheme="minorHAnsi" w:cs="Arial"/>
          <w:color w:val="000000" w:themeColor="text1"/>
          <w:sz w:val="22"/>
          <w:szCs w:val="22"/>
        </w:rPr>
        <w:t>Rebekah</w:t>
      </w:r>
      <w:proofErr w:type="spellEnd"/>
      <w:r>
        <w:rPr>
          <w:rFonts w:asciiTheme="minorHAnsi" w:hAnsiTheme="minorHAnsi" w:cs="Arial"/>
          <w:color w:val="000000" w:themeColor="text1"/>
          <w:sz w:val="22"/>
          <w:szCs w:val="22"/>
        </w:rPr>
        <w:t xml:space="preserve"> from </w:t>
      </w:r>
      <w:r w:rsidRPr="00693EF1">
        <w:rPr>
          <w:i/>
        </w:rPr>
        <w:t>A Dictionary of Biblical Tradition in English Literature</w:t>
      </w:r>
      <w:r>
        <w:rPr>
          <w:i/>
        </w:rPr>
        <w:t xml:space="preserve"> </w:t>
      </w:r>
      <w:r>
        <w:rPr>
          <w:rFonts w:asciiTheme="minorHAnsi" w:hAnsiTheme="minorHAnsi" w:cs="Arial"/>
          <w:color w:val="000000" w:themeColor="text1"/>
          <w:sz w:val="22"/>
          <w:szCs w:val="22"/>
        </w:rPr>
        <w:t>are attached.</w:t>
      </w:r>
    </w:p>
    <w:p w:rsidR="00331795" w:rsidRDefault="00331795" w:rsidP="00331795">
      <w:pPr>
        <w:pStyle w:val="NormalWeb"/>
        <w:spacing w:before="0" w:beforeAutospacing="0" w:after="0" w:afterAutospacing="0"/>
        <w:jc w:val="both"/>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8522"/>
      </w:tblGrid>
      <w:tr w:rsidR="00331795" w:rsidTr="009607EB">
        <w:tc>
          <w:tcPr>
            <w:tcW w:w="8522" w:type="dxa"/>
          </w:tcPr>
          <w:p w:rsidR="00331795" w:rsidRDefault="00331795" w:rsidP="009607EB">
            <w:pPr>
              <w:pStyle w:val="NormalWeb"/>
              <w:spacing w:before="0" w:beforeAutospacing="0" w:after="0" w:afterAutospacing="0"/>
              <w:jc w:val="both"/>
              <w:rPr>
                <w:b/>
                <w:bCs/>
              </w:rPr>
            </w:pPr>
          </w:p>
          <w:p w:rsidR="00331795" w:rsidRDefault="00331795" w:rsidP="009607EB">
            <w:pPr>
              <w:rPr>
                <w:rFonts w:ascii="Arial" w:hAnsi="Arial" w:cs="Arial"/>
                <w:b/>
                <w:bCs/>
              </w:rPr>
            </w:pPr>
            <w:r>
              <w:rPr>
                <w:rFonts w:ascii="Arial" w:hAnsi="Arial" w:cs="Arial"/>
                <w:b/>
                <w:bCs/>
              </w:rPr>
              <w:t>Issues to explore:</w:t>
            </w:r>
          </w:p>
          <w:p w:rsidR="00331795" w:rsidRDefault="00331795" w:rsidP="009607EB">
            <w:pPr>
              <w:rPr>
                <w:rFonts w:ascii="Arial" w:hAnsi="Arial" w:cs="Arial"/>
                <w:b/>
                <w:bCs/>
              </w:rPr>
            </w:pPr>
          </w:p>
          <w:p w:rsidR="00331795" w:rsidRDefault="00331795" w:rsidP="00331795">
            <w:pPr>
              <w:numPr>
                <w:ilvl w:val="0"/>
                <w:numId w:val="3"/>
              </w:numPr>
              <w:jc w:val="both"/>
              <w:rPr>
                <w:rFonts w:ascii="Arial" w:hAnsi="Arial" w:cs="Arial"/>
              </w:rPr>
            </w:pPr>
            <w:r>
              <w:rPr>
                <w:rFonts w:ascii="Arial" w:hAnsi="Arial" w:cs="Arial"/>
              </w:rPr>
              <w:t>Which artistic representations of Adam and Eve do you find most closely convey the nuances of the biblical text?</w:t>
            </w:r>
          </w:p>
          <w:p w:rsidR="00331795" w:rsidRDefault="00331795" w:rsidP="00331795">
            <w:pPr>
              <w:numPr>
                <w:ilvl w:val="0"/>
                <w:numId w:val="3"/>
              </w:numPr>
              <w:jc w:val="both"/>
              <w:rPr>
                <w:rFonts w:ascii="Arial" w:hAnsi="Arial" w:cs="Arial"/>
              </w:rPr>
            </w:pPr>
            <w:r>
              <w:rPr>
                <w:rFonts w:ascii="Arial" w:hAnsi="Arial" w:cs="Arial"/>
              </w:rPr>
              <w:t xml:space="preserve">Why has the </w:t>
            </w:r>
            <w:proofErr w:type="spellStart"/>
            <w:r>
              <w:rPr>
                <w:rFonts w:ascii="Arial" w:hAnsi="Arial" w:cs="Arial"/>
                <w:i/>
                <w:iCs/>
              </w:rPr>
              <w:t>Akedah</w:t>
            </w:r>
            <w:proofErr w:type="spellEnd"/>
            <w:r>
              <w:rPr>
                <w:rFonts w:ascii="Arial" w:hAnsi="Arial" w:cs="Arial"/>
              </w:rPr>
              <w:t xml:space="preserve"> tradition become such an important tradition in contemporary Judaism?</w:t>
            </w:r>
          </w:p>
          <w:p w:rsidR="00331795" w:rsidRDefault="00331795" w:rsidP="00331795">
            <w:pPr>
              <w:numPr>
                <w:ilvl w:val="0"/>
                <w:numId w:val="2"/>
              </w:numPr>
              <w:jc w:val="both"/>
              <w:rPr>
                <w:rFonts w:ascii="Arial" w:hAnsi="Arial" w:cs="Arial"/>
              </w:rPr>
            </w:pPr>
            <w:r>
              <w:rPr>
                <w:rFonts w:ascii="Arial" w:hAnsi="Arial" w:cs="Arial"/>
              </w:rPr>
              <w:t xml:space="preserve">In general, do you find that artistic representations of women in Genesis are simply no more than male voyeurism or do they help rehabilitate the way women are presented by the authors </w:t>
            </w:r>
            <w:proofErr w:type="gramStart"/>
            <w:r>
              <w:rPr>
                <w:rFonts w:ascii="Arial" w:hAnsi="Arial" w:cs="Arial"/>
              </w:rPr>
              <w:t>of  the</w:t>
            </w:r>
            <w:proofErr w:type="gramEnd"/>
            <w:r>
              <w:rPr>
                <w:rFonts w:ascii="Arial" w:hAnsi="Arial" w:cs="Arial"/>
              </w:rPr>
              <w:t xml:space="preserve"> Book of Genesis?</w:t>
            </w:r>
          </w:p>
          <w:p w:rsidR="00331795" w:rsidRDefault="00331795" w:rsidP="009607EB">
            <w:pPr>
              <w:pStyle w:val="NormalWeb"/>
              <w:spacing w:before="0" w:beforeAutospacing="0" w:after="0" w:afterAutospacing="0"/>
              <w:rPr>
                <w:rFonts w:ascii="Arial" w:hAnsi="Arial" w:cs="Arial"/>
              </w:rPr>
            </w:pPr>
          </w:p>
          <w:p w:rsidR="00331795" w:rsidRDefault="00331795" w:rsidP="009607EB">
            <w:pPr>
              <w:pStyle w:val="NormalWeb"/>
              <w:spacing w:before="0" w:beforeAutospacing="0" w:after="0" w:afterAutospacing="0"/>
              <w:rPr>
                <w:rFonts w:ascii="Arial" w:hAnsi="Arial" w:cs="Arial"/>
              </w:rPr>
            </w:pPr>
          </w:p>
          <w:p w:rsidR="00331795" w:rsidRDefault="00331795" w:rsidP="009607EB">
            <w:pPr>
              <w:rPr>
                <w:rFonts w:ascii="Arial" w:hAnsi="Arial" w:cs="Arial"/>
                <w:b/>
                <w:bCs/>
              </w:rPr>
            </w:pPr>
            <w:r>
              <w:rPr>
                <w:rFonts w:ascii="Arial" w:hAnsi="Arial" w:cs="Arial"/>
                <w:b/>
                <w:bCs/>
              </w:rPr>
              <w:t>Formative assignment:</w:t>
            </w:r>
          </w:p>
          <w:p w:rsidR="00331795" w:rsidRDefault="00331795" w:rsidP="009607EB">
            <w:pPr>
              <w:rPr>
                <w:rFonts w:ascii="Arial" w:hAnsi="Arial" w:cs="Arial"/>
              </w:rPr>
            </w:pPr>
          </w:p>
          <w:p w:rsidR="00331795" w:rsidRDefault="00331795" w:rsidP="009607EB">
            <w:pPr>
              <w:rPr>
                <w:rFonts w:ascii="Arial" w:hAnsi="Arial" w:cs="Arial"/>
              </w:rPr>
            </w:pPr>
            <w:r>
              <w:rPr>
                <w:rFonts w:ascii="Arial" w:hAnsi="Arial" w:cs="Arial"/>
              </w:rPr>
              <w:t>By the end of this unit, you should be able to answer the following question, in the context of contemporary scholarship:</w:t>
            </w:r>
          </w:p>
          <w:p w:rsidR="00331795" w:rsidRDefault="00331795" w:rsidP="009607EB">
            <w:pPr>
              <w:rPr>
                <w:rFonts w:ascii="Arial" w:hAnsi="Arial" w:cs="Arial"/>
              </w:rPr>
            </w:pPr>
          </w:p>
          <w:p w:rsidR="00331795" w:rsidRDefault="00331795" w:rsidP="009607EB">
            <w:pPr>
              <w:pStyle w:val="NormalWeb"/>
              <w:spacing w:before="0" w:beforeAutospacing="0" w:after="0" w:afterAutospacing="0"/>
              <w:jc w:val="both"/>
              <w:rPr>
                <w:b/>
                <w:bCs/>
              </w:rPr>
            </w:pPr>
            <w:r>
              <w:rPr>
                <w:rFonts w:ascii="Arial" w:hAnsi="Arial" w:cs="Arial"/>
                <w:b/>
                <w:bCs/>
                <w:sz w:val="22"/>
              </w:rPr>
              <w:t>Do artistic and cultural representations of characters or scenes from Genesis challenge the ways in which traditional biblical commentators have interpreted these texts?</w:t>
            </w:r>
          </w:p>
          <w:p w:rsidR="00331795" w:rsidRDefault="00331795" w:rsidP="009607EB">
            <w:pPr>
              <w:pStyle w:val="NormalWeb"/>
              <w:spacing w:before="0" w:beforeAutospacing="0" w:after="0" w:afterAutospacing="0"/>
              <w:jc w:val="both"/>
              <w:rPr>
                <w:b/>
                <w:bCs/>
              </w:rPr>
            </w:pPr>
          </w:p>
        </w:tc>
      </w:tr>
    </w:tbl>
    <w:p w:rsidR="0095710E" w:rsidRDefault="0095710E"/>
    <w:sectPr w:rsidR="0095710E" w:rsidSect="009F037B">
      <w:footerReference w:type="even" r:id="rId13"/>
      <w:footerReference w:type="default" r:id="rId14"/>
      <w:pgSz w:w="11906" w:h="16838"/>
      <w:pgMar w:top="1440" w:right="1800" w:bottom="1440" w:left="180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F037B" w:rsidRDefault="009F037B" w:rsidP="009F037B">
      <w:r>
        <w:separator/>
      </w:r>
    </w:p>
  </w:endnote>
  <w:endnote w:type="continuationSeparator" w:id="0">
    <w:p w:rsidR="009F037B" w:rsidRDefault="009F037B" w:rsidP="009F037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2B8F" w:rsidRDefault="000D7AAF">
    <w:pPr>
      <w:pStyle w:val="Footer"/>
      <w:framePr w:wrap="around" w:vAnchor="text" w:hAnchor="margin" w:xAlign="center" w:y="1"/>
      <w:rPr>
        <w:rStyle w:val="PageNumber"/>
      </w:rPr>
    </w:pPr>
    <w:r>
      <w:rPr>
        <w:rStyle w:val="PageNumber"/>
      </w:rPr>
      <w:fldChar w:fldCharType="begin"/>
    </w:r>
    <w:r w:rsidR="00532883">
      <w:rPr>
        <w:rStyle w:val="PageNumber"/>
      </w:rPr>
      <w:instrText xml:space="preserve">PAGE  </w:instrText>
    </w:r>
    <w:r>
      <w:rPr>
        <w:rStyle w:val="PageNumber"/>
      </w:rPr>
      <w:fldChar w:fldCharType="end"/>
    </w:r>
  </w:p>
  <w:p w:rsidR="00392B8F" w:rsidRDefault="00693EF1">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2B8F" w:rsidRDefault="000D7AAF">
    <w:pPr>
      <w:pStyle w:val="Footer"/>
      <w:framePr w:wrap="around" w:vAnchor="text" w:hAnchor="margin" w:xAlign="center" w:y="1"/>
      <w:rPr>
        <w:rStyle w:val="PageNumber"/>
      </w:rPr>
    </w:pPr>
    <w:r>
      <w:rPr>
        <w:rStyle w:val="PageNumber"/>
      </w:rPr>
      <w:fldChar w:fldCharType="begin"/>
    </w:r>
    <w:r w:rsidR="00532883">
      <w:rPr>
        <w:rStyle w:val="PageNumber"/>
      </w:rPr>
      <w:instrText xml:space="preserve">PAGE  </w:instrText>
    </w:r>
    <w:r>
      <w:rPr>
        <w:rStyle w:val="PageNumber"/>
      </w:rPr>
      <w:fldChar w:fldCharType="separate"/>
    </w:r>
    <w:r w:rsidR="00693EF1">
      <w:rPr>
        <w:rStyle w:val="PageNumber"/>
        <w:noProof/>
      </w:rPr>
      <w:t>3</w:t>
    </w:r>
    <w:r>
      <w:rPr>
        <w:rStyle w:val="PageNumber"/>
      </w:rPr>
      <w:fldChar w:fldCharType="end"/>
    </w:r>
  </w:p>
  <w:p w:rsidR="00392B8F" w:rsidRDefault="00693EF1">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F037B" w:rsidRDefault="009F037B" w:rsidP="009F037B">
      <w:r>
        <w:separator/>
      </w:r>
    </w:p>
  </w:footnote>
  <w:footnote w:type="continuationSeparator" w:id="0">
    <w:p w:rsidR="009F037B" w:rsidRDefault="009F037B" w:rsidP="009F037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8B2C63"/>
    <w:multiLevelType w:val="multilevel"/>
    <w:tmpl w:val="57945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08102FF"/>
    <w:multiLevelType w:val="hybridMultilevel"/>
    <w:tmpl w:val="43BE41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63993100"/>
    <w:multiLevelType w:val="hybridMultilevel"/>
    <w:tmpl w:val="359271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32883"/>
    <w:rsid w:val="000D7AAF"/>
    <w:rsid w:val="00162AC6"/>
    <w:rsid w:val="00331795"/>
    <w:rsid w:val="004C50CE"/>
    <w:rsid w:val="00532883"/>
    <w:rsid w:val="00693EF1"/>
    <w:rsid w:val="008538A1"/>
    <w:rsid w:val="0095710E"/>
    <w:rsid w:val="009F037B"/>
    <w:rsid w:val="00C92E91"/>
    <w:rsid w:val="00F35E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2883"/>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qFormat/>
    <w:rsid w:val="00532883"/>
    <w:pPr>
      <w:keepNext/>
      <w:outlineLvl w:val="1"/>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32883"/>
    <w:rPr>
      <w:rFonts w:ascii="Arial" w:eastAsia="Times New Roman" w:hAnsi="Arial" w:cs="Arial"/>
      <w:b/>
      <w:bCs/>
      <w:sz w:val="24"/>
      <w:szCs w:val="24"/>
    </w:rPr>
  </w:style>
  <w:style w:type="paragraph" w:styleId="BodyText">
    <w:name w:val="Body Text"/>
    <w:basedOn w:val="Normal"/>
    <w:link w:val="BodyTextChar"/>
    <w:rsid w:val="00532883"/>
    <w:pPr>
      <w:jc w:val="both"/>
    </w:pPr>
    <w:rPr>
      <w:rFonts w:ascii="Arial" w:hAnsi="Arial" w:cs="Arial"/>
    </w:rPr>
  </w:style>
  <w:style w:type="character" w:customStyle="1" w:styleId="BodyTextChar">
    <w:name w:val="Body Text Char"/>
    <w:basedOn w:val="DefaultParagraphFont"/>
    <w:link w:val="BodyText"/>
    <w:rsid w:val="00532883"/>
    <w:rPr>
      <w:rFonts w:ascii="Arial" w:eastAsia="Times New Roman" w:hAnsi="Arial" w:cs="Arial"/>
      <w:sz w:val="24"/>
      <w:szCs w:val="24"/>
    </w:rPr>
  </w:style>
  <w:style w:type="paragraph" w:styleId="NormalWeb">
    <w:name w:val="Normal (Web)"/>
    <w:basedOn w:val="Normal"/>
    <w:rsid w:val="00532883"/>
    <w:pPr>
      <w:spacing w:before="100" w:beforeAutospacing="1" w:after="100" w:afterAutospacing="1"/>
    </w:pPr>
  </w:style>
  <w:style w:type="character" w:styleId="Hyperlink">
    <w:name w:val="Hyperlink"/>
    <w:basedOn w:val="DefaultParagraphFont"/>
    <w:rsid w:val="00532883"/>
    <w:rPr>
      <w:color w:val="0000FF"/>
      <w:u w:val="single"/>
    </w:rPr>
  </w:style>
  <w:style w:type="paragraph" w:styleId="Footer">
    <w:name w:val="footer"/>
    <w:basedOn w:val="Normal"/>
    <w:link w:val="FooterChar"/>
    <w:rsid w:val="00532883"/>
    <w:pPr>
      <w:tabs>
        <w:tab w:val="center" w:pos="4153"/>
        <w:tab w:val="right" w:pos="8306"/>
      </w:tabs>
    </w:pPr>
  </w:style>
  <w:style w:type="character" w:customStyle="1" w:styleId="FooterChar">
    <w:name w:val="Footer Char"/>
    <w:basedOn w:val="DefaultParagraphFont"/>
    <w:link w:val="Footer"/>
    <w:rsid w:val="00532883"/>
    <w:rPr>
      <w:rFonts w:ascii="Times New Roman" w:eastAsia="Times New Roman" w:hAnsi="Times New Roman" w:cs="Times New Roman"/>
      <w:sz w:val="24"/>
      <w:szCs w:val="24"/>
    </w:rPr>
  </w:style>
  <w:style w:type="character" w:styleId="PageNumber">
    <w:name w:val="page number"/>
    <w:basedOn w:val="DefaultParagraphFont"/>
    <w:rsid w:val="00532883"/>
  </w:style>
  <w:style w:type="character" w:customStyle="1" w:styleId="accesshide1">
    <w:name w:val="accesshide1"/>
    <w:basedOn w:val="DefaultParagraphFont"/>
    <w:rsid w:val="008538A1"/>
    <w:rPr>
      <w:b w:val="0"/>
      <w:bCs w:val="0"/>
      <w:sz w:val="24"/>
      <w:szCs w:val="24"/>
    </w:rPr>
  </w:style>
  <w:style w:type="paragraph" w:styleId="BalloonText">
    <w:name w:val="Balloon Text"/>
    <w:basedOn w:val="Normal"/>
    <w:link w:val="BalloonTextChar"/>
    <w:uiPriority w:val="99"/>
    <w:semiHidden/>
    <w:unhideWhenUsed/>
    <w:rsid w:val="008538A1"/>
    <w:rPr>
      <w:rFonts w:ascii="Tahoma" w:hAnsi="Tahoma" w:cs="Tahoma"/>
      <w:sz w:val="16"/>
      <w:szCs w:val="16"/>
    </w:rPr>
  </w:style>
  <w:style w:type="character" w:customStyle="1" w:styleId="BalloonTextChar">
    <w:name w:val="Balloon Text Char"/>
    <w:basedOn w:val="DefaultParagraphFont"/>
    <w:link w:val="BalloonText"/>
    <w:uiPriority w:val="99"/>
    <w:semiHidden/>
    <w:rsid w:val="008538A1"/>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88773036">
      <w:bodyDiv w:val="1"/>
      <w:marLeft w:val="0"/>
      <w:marRight w:val="0"/>
      <w:marTop w:val="0"/>
      <w:marBottom w:val="0"/>
      <w:divBdr>
        <w:top w:val="none" w:sz="0" w:space="0" w:color="auto"/>
        <w:left w:val="none" w:sz="0" w:space="0" w:color="auto"/>
        <w:bottom w:val="none" w:sz="0" w:space="0" w:color="auto"/>
        <w:right w:val="none" w:sz="0" w:space="0" w:color="auto"/>
      </w:divBdr>
      <w:divsChild>
        <w:div w:id="277369549">
          <w:marLeft w:val="0"/>
          <w:marRight w:val="0"/>
          <w:marTop w:val="0"/>
          <w:marBottom w:val="0"/>
          <w:divBdr>
            <w:top w:val="none" w:sz="0" w:space="0" w:color="auto"/>
            <w:left w:val="none" w:sz="0" w:space="0" w:color="auto"/>
            <w:bottom w:val="none" w:sz="0" w:space="0" w:color="auto"/>
            <w:right w:val="none" w:sz="0" w:space="0" w:color="auto"/>
          </w:divBdr>
          <w:divsChild>
            <w:div w:id="2115588963">
              <w:marLeft w:val="0"/>
              <w:marRight w:val="0"/>
              <w:marTop w:val="0"/>
              <w:marBottom w:val="0"/>
              <w:divBdr>
                <w:top w:val="none" w:sz="0" w:space="0" w:color="auto"/>
                <w:left w:val="none" w:sz="0" w:space="0" w:color="auto"/>
                <w:bottom w:val="none" w:sz="0" w:space="0" w:color="auto"/>
                <w:right w:val="none" w:sz="0" w:space="0" w:color="auto"/>
              </w:divBdr>
              <w:divsChild>
                <w:div w:id="564879980">
                  <w:marLeft w:val="0"/>
                  <w:marRight w:val="0"/>
                  <w:marTop w:val="0"/>
                  <w:marBottom w:val="0"/>
                  <w:divBdr>
                    <w:top w:val="none" w:sz="0" w:space="0" w:color="auto"/>
                    <w:left w:val="none" w:sz="0" w:space="0" w:color="auto"/>
                    <w:bottom w:val="none" w:sz="0" w:space="0" w:color="auto"/>
                    <w:right w:val="none" w:sz="0" w:space="0" w:color="auto"/>
                  </w:divBdr>
                  <w:divsChild>
                    <w:div w:id="80793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rtbible.info"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biblical-art.com" TargetMode="External"/><Relationship Id="rId12" Type="http://schemas.openxmlformats.org/officeDocument/2006/relationships/hyperlink" Target="http://dysgu.ydds.ac.uk/mod/resource/view.php?id=5608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ysgu.ydds.ac.uk/mod/resource/view.php?id=5608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imagingthebible.llgc.org.uk" TargetMode="External"/><Relationship Id="rId4" Type="http://schemas.openxmlformats.org/officeDocument/2006/relationships/webSettings" Target="webSettings.xml"/><Relationship Id="rId9" Type="http://schemas.openxmlformats.org/officeDocument/2006/relationships/hyperlink" Target="http://www.artbible.ne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4</Pages>
  <Words>944</Words>
  <Characters>5387</Characters>
  <Application>Microsoft Office Word</Application>
  <DocSecurity>0</DocSecurity>
  <Lines>44</Lines>
  <Paragraphs>12</Paragraphs>
  <ScaleCrop>false</ScaleCrop>
  <Company/>
  <LinksUpToDate>false</LinksUpToDate>
  <CharactersWithSpaces>6319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5</cp:revision>
  <dcterms:created xsi:type="dcterms:W3CDTF">2012-09-10T08:59:00Z</dcterms:created>
  <dcterms:modified xsi:type="dcterms:W3CDTF">2012-09-11T09:42:00Z</dcterms:modified>
</cp:coreProperties>
</file>