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63124" w14:textId="45B41428" w:rsidR="00AE2AE7" w:rsidRPr="00430D83" w:rsidRDefault="00AE2AE7" w:rsidP="006D7763">
      <w:pPr>
        <w:spacing w:line="480" w:lineRule="auto"/>
        <w:jc w:val="both"/>
        <w:rPr>
          <w:rFonts w:ascii="Arial" w:hAnsi="Arial" w:cs="Arial"/>
          <w:sz w:val="24"/>
          <w:szCs w:val="24"/>
          <w:lang w:val="en-US"/>
        </w:rPr>
      </w:pPr>
      <w:r>
        <w:rPr>
          <w:rFonts w:ascii="Arial" w:hAnsi="Arial" w:cs="Arial"/>
          <w:sz w:val="24"/>
          <w:szCs w:val="24"/>
          <w:lang w:val="en-US"/>
        </w:rPr>
        <w:t>Shauna C</w:t>
      </w:r>
      <w:r w:rsidR="006B4E45">
        <w:rPr>
          <w:rFonts w:ascii="Arial" w:hAnsi="Arial" w:cs="Arial"/>
          <w:sz w:val="24"/>
          <w:szCs w:val="24"/>
          <w:lang w:val="en-US"/>
        </w:rPr>
        <w:t>u</w:t>
      </w:r>
      <w:r>
        <w:rPr>
          <w:rFonts w:ascii="Arial" w:hAnsi="Arial" w:cs="Arial"/>
          <w:sz w:val="24"/>
          <w:szCs w:val="24"/>
          <w:lang w:val="en-US"/>
        </w:rPr>
        <w:t xml:space="preserve">rry </w:t>
      </w:r>
      <w:r w:rsidR="006B4E45">
        <w:rPr>
          <w:rFonts w:ascii="Arial" w:hAnsi="Arial" w:cs="Arial"/>
          <w:sz w:val="24"/>
          <w:szCs w:val="24"/>
          <w:lang w:val="en-US"/>
        </w:rPr>
        <w:t>–</w:t>
      </w:r>
      <w:r>
        <w:rPr>
          <w:rFonts w:ascii="Arial" w:hAnsi="Arial" w:cs="Arial"/>
          <w:sz w:val="24"/>
          <w:szCs w:val="24"/>
          <w:lang w:val="en-US"/>
        </w:rPr>
        <w:t xml:space="preserve"> 1900085</w:t>
      </w:r>
      <w:r w:rsidR="006B4E45">
        <w:rPr>
          <w:rFonts w:ascii="Arial" w:hAnsi="Arial" w:cs="Arial"/>
          <w:sz w:val="24"/>
          <w:szCs w:val="24"/>
          <w:lang w:val="en-US"/>
        </w:rPr>
        <w:t xml:space="preserve"> </w:t>
      </w:r>
    </w:p>
    <w:p w14:paraId="1F4801E1" w14:textId="3C98BD1F" w:rsidR="00AE2AE7" w:rsidRPr="00AB628A" w:rsidRDefault="00AE2AE7" w:rsidP="006D7763">
      <w:pPr>
        <w:pStyle w:val="ListParagraph"/>
        <w:numPr>
          <w:ilvl w:val="0"/>
          <w:numId w:val="1"/>
        </w:numPr>
        <w:spacing w:line="480" w:lineRule="auto"/>
        <w:jc w:val="both"/>
        <w:rPr>
          <w:rFonts w:ascii="Arial" w:hAnsi="Arial" w:cs="Arial"/>
          <w:b/>
          <w:bCs/>
          <w:i/>
          <w:iCs/>
          <w:sz w:val="24"/>
          <w:szCs w:val="24"/>
          <w:lang w:val="en-US"/>
        </w:rPr>
      </w:pPr>
      <w:r w:rsidRPr="00AB628A">
        <w:rPr>
          <w:rFonts w:ascii="Arial" w:hAnsi="Arial" w:cs="Arial"/>
          <w:b/>
          <w:bCs/>
          <w:i/>
          <w:iCs/>
          <w:sz w:val="24"/>
          <w:szCs w:val="24"/>
          <w:lang w:val="en-US"/>
        </w:rPr>
        <w:t>Critically examine the significance of the concept of the relevant market in the context of com</w:t>
      </w:r>
      <w:r w:rsidR="002550B1">
        <w:rPr>
          <w:rFonts w:ascii="Arial" w:hAnsi="Arial" w:cs="Arial"/>
          <w:b/>
          <w:bCs/>
          <w:i/>
          <w:iCs/>
          <w:sz w:val="24"/>
          <w:szCs w:val="24"/>
          <w:lang w:val="en-US"/>
        </w:rPr>
        <w:t>p</w:t>
      </w:r>
      <w:r w:rsidRPr="00AB628A">
        <w:rPr>
          <w:rFonts w:ascii="Arial" w:hAnsi="Arial" w:cs="Arial"/>
          <w:b/>
          <w:bCs/>
          <w:i/>
          <w:iCs/>
          <w:sz w:val="24"/>
          <w:szCs w:val="24"/>
          <w:lang w:val="en-US"/>
        </w:rPr>
        <w:t>etition law.</w:t>
      </w:r>
    </w:p>
    <w:p w14:paraId="287CD960" w14:textId="65D8862E" w:rsidR="00AE2AE7" w:rsidRDefault="00AE2AE7" w:rsidP="006D7763">
      <w:pPr>
        <w:spacing w:line="480" w:lineRule="auto"/>
        <w:jc w:val="both"/>
        <w:rPr>
          <w:rFonts w:ascii="Arial" w:hAnsi="Arial" w:cs="Arial"/>
          <w:sz w:val="24"/>
          <w:szCs w:val="24"/>
          <w:lang w:val="en-US"/>
        </w:rPr>
      </w:pPr>
    </w:p>
    <w:p w14:paraId="58ABFA09" w14:textId="77777777"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Competition law plays an important role in EU law in achieving a free and dynamic internal market. Therefore, the concept of a relevant market is of great significance in the context of competition law and the abuse of a dominant position (Europa, 2020). Art 102 of the Treaty on the Functioning of the European Union (TFEU) prohibits the abuse of a dominant position and governs abusive conduct by dominant undertakings. Its aim is the control of market power and trade within Member states (MS) (Lorenz, 2013). This does not suggest that a dominant position is prohibited, only the abuse of the position so that healthy competition can be preserved</w:t>
      </w:r>
      <w:r w:rsidRPr="00E738FE">
        <w:rPr>
          <w:rFonts w:ascii="Arial" w:hAnsi="Arial" w:cs="Arial"/>
          <w:sz w:val="24"/>
          <w:szCs w:val="24"/>
          <w:lang w:val="en-US"/>
        </w:rPr>
        <w:t xml:space="preserve"> </w:t>
      </w:r>
      <w:r>
        <w:rPr>
          <w:rFonts w:ascii="Arial" w:hAnsi="Arial" w:cs="Arial"/>
          <w:sz w:val="24"/>
          <w:szCs w:val="24"/>
          <w:lang w:val="en-US"/>
        </w:rPr>
        <w:t xml:space="preserve">(Office of Fair Trade, 2007). </w:t>
      </w:r>
    </w:p>
    <w:p w14:paraId="58A41405" w14:textId="1471E281"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Art 101 TFEU is also of relevance when considering competition law, Art 101 prohibits agreements between undertakings that have as their object or effect the prevention, restriction or distortion of competition within MSs (Coulter, 2021). However, there are exclusions from competition rules (Davies, 2020). An agreement that may be assumed to be harmless and has no appreciable impact on actual or potential competitors </w:t>
      </w:r>
      <w:r w:rsidRPr="004D06EC">
        <w:rPr>
          <w:rFonts w:ascii="Arial" w:hAnsi="Arial" w:cs="Arial"/>
          <w:color w:val="000000" w:themeColor="text1"/>
          <w:sz w:val="24"/>
          <w:szCs w:val="24"/>
          <w:lang w:val="en-US"/>
        </w:rPr>
        <w:t xml:space="preserve">is </w:t>
      </w:r>
      <w:r>
        <w:rPr>
          <w:rFonts w:ascii="Arial" w:hAnsi="Arial" w:cs="Arial"/>
          <w:sz w:val="24"/>
          <w:szCs w:val="24"/>
          <w:lang w:val="en-US"/>
        </w:rPr>
        <w:t xml:space="preserve">referred to as </w:t>
      </w:r>
      <w:r>
        <w:rPr>
          <w:rFonts w:ascii="Arial" w:hAnsi="Arial" w:cs="Arial"/>
          <w:i/>
          <w:iCs/>
          <w:sz w:val="24"/>
          <w:szCs w:val="24"/>
          <w:lang w:val="en-US"/>
        </w:rPr>
        <w:t xml:space="preserve">de minimis; </w:t>
      </w:r>
      <w:r>
        <w:rPr>
          <w:rFonts w:ascii="Arial" w:hAnsi="Arial" w:cs="Arial"/>
          <w:sz w:val="24"/>
          <w:szCs w:val="24"/>
          <w:lang w:val="en-US"/>
        </w:rPr>
        <w:t xml:space="preserve">Notice on agreements of minor importance [2014] and provides a safe harbour; </w:t>
      </w:r>
      <w:r>
        <w:rPr>
          <w:rFonts w:ascii="Arial" w:hAnsi="Arial" w:cs="Arial"/>
          <w:i/>
          <w:iCs/>
          <w:sz w:val="24"/>
          <w:szCs w:val="24"/>
          <w:lang w:val="en-US"/>
        </w:rPr>
        <w:t>Volk v Vervaecke [1969]</w:t>
      </w:r>
      <w:r>
        <w:rPr>
          <w:rFonts w:ascii="Arial" w:hAnsi="Arial" w:cs="Arial"/>
          <w:sz w:val="24"/>
          <w:szCs w:val="24"/>
          <w:lang w:val="en-US"/>
        </w:rPr>
        <w:t xml:space="preserve"> (Thomson Reuters, 2021), (Eur-Lex, 2020). Along with, agreements under block exemption regulations where the market share of the undertakings party do not exceed a given percentage (LLB, 2020, pp.98-99). </w:t>
      </w:r>
    </w:p>
    <w:p w14:paraId="29A0DB1C" w14:textId="77777777" w:rsidR="00AE2AE7" w:rsidRDefault="00AE2AE7" w:rsidP="006D7763">
      <w:pPr>
        <w:spacing w:line="480" w:lineRule="auto"/>
        <w:jc w:val="both"/>
        <w:rPr>
          <w:rFonts w:ascii="Arial" w:hAnsi="Arial" w:cs="Arial"/>
          <w:sz w:val="24"/>
          <w:szCs w:val="24"/>
          <w:lang w:val="en-US"/>
        </w:rPr>
      </w:pPr>
    </w:p>
    <w:p w14:paraId="36CC6A40" w14:textId="4CF7D573" w:rsidR="00103033" w:rsidRPr="006F53E4" w:rsidRDefault="00AE2AE7" w:rsidP="006D7763">
      <w:pPr>
        <w:spacing w:line="480" w:lineRule="auto"/>
        <w:jc w:val="both"/>
        <w:rPr>
          <w:rFonts w:ascii="Arial" w:hAnsi="Arial" w:cs="Arial"/>
          <w:color w:val="FF0000"/>
          <w:sz w:val="24"/>
          <w:szCs w:val="24"/>
          <w:lang w:val="en-US"/>
        </w:rPr>
      </w:pPr>
      <w:r w:rsidRPr="00455018">
        <w:rPr>
          <w:rFonts w:ascii="Arial" w:hAnsi="Arial" w:cs="Arial"/>
          <w:color w:val="000000" w:themeColor="text1"/>
          <w:sz w:val="24"/>
          <w:szCs w:val="24"/>
          <w:lang w:val="en-US"/>
        </w:rPr>
        <w:lastRenderedPageBreak/>
        <w:t xml:space="preserve">Considering the relevant market is a pre-condition in assessing a dominant position, it is necessary to define (Craig and Burca, 2015, pp.1055). The Commission issued a Notice on the definition in 1997, and although not legally binding, this area of ‘soft’ law draws on existing case law and provides guidance on how to assess market positions (Ridyard, Baker and Bishop, 2021). Its definition acts as </w:t>
      </w:r>
      <w:r>
        <w:rPr>
          <w:rFonts w:ascii="Arial" w:hAnsi="Arial" w:cs="Arial"/>
          <w:color w:val="000000" w:themeColor="text1"/>
          <w:sz w:val="24"/>
          <w:szCs w:val="24"/>
          <w:lang w:val="en-US"/>
        </w:rPr>
        <w:t xml:space="preserve">a </w:t>
      </w:r>
      <w:r w:rsidRPr="00455018">
        <w:rPr>
          <w:rFonts w:ascii="Arial" w:hAnsi="Arial" w:cs="Arial"/>
          <w:color w:val="000000" w:themeColor="text1"/>
          <w:sz w:val="24"/>
          <w:szCs w:val="24"/>
          <w:lang w:val="en-US"/>
        </w:rPr>
        <w:t xml:space="preserve">tool to identify and define boundaries of competition and establish a framework of rules to assess the competition in a given market (Cunha, 2017). Consisting of three components, namely the Relevant Product Market (RPM), Relevant Geographic Market (RGM) and the Relevant Temporal Market; should the product be seasonal (Craig and Burca, 2015, pp.1056). </w:t>
      </w:r>
      <w:r w:rsidR="00103033" w:rsidRPr="005D24CF">
        <w:rPr>
          <w:rFonts w:ascii="Arial" w:hAnsi="Arial" w:cs="Arial"/>
          <w:color w:val="000000" w:themeColor="text1"/>
          <w:sz w:val="24"/>
          <w:szCs w:val="24"/>
          <w:lang w:val="en-US"/>
        </w:rPr>
        <w:t xml:space="preserve">On establishing the relevant market, it can then be determined whether the undertaking is dominant within that market, considering key factors such as market share and economic power (Chneiweiss </w:t>
      </w:r>
      <w:r w:rsidR="00103033" w:rsidRPr="005D24CF">
        <w:rPr>
          <w:rFonts w:ascii="Arial" w:hAnsi="Arial" w:cs="Arial"/>
          <w:i/>
          <w:iCs/>
          <w:color w:val="000000" w:themeColor="text1"/>
          <w:sz w:val="24"/>
          <w:szCs w:val="24"/>
          <w:lang w:val="en-US"/>
        </w:rPr>
        <w:t>et al</w:t>
      </w:r>
      <w:r w:rsidR="00103033" w:rsidRPr="005D24CF">
        <w:rPr>
          <w:rFonts w:ascii="Arial" w:hAnsi="Arial" w:cs="Arial"/>
          <w:color w:val="000000" w:themeColor="text1"/>
          <w:sz w:val="24"/>
          <w:szCs w:val="24"/>
          <w:lang w:val="en-US"/>
        </w:rPr>
        <w:t>, 2020).</w:t>
      </w:r>
      <w:r w:rsidR="006F53E4">
        <w:rPr>
          <w:rFonts w:ascii="Arial" w:hAnsi="Arial" w:cs="Arial"/>
          <w:color w:val="000000" w:themeColor="text1"/>
          <w:sz w:val="24"/>
          <w:szCs w:val="24"/>
          <w:lang w:val="en-US"/>
        </w:rPr>
        <w:t xml:space="preserve"> </w:t>
      </w:r>
    </w:p>
    <w:p w14:paraId="4BC58D7F" w14:textId="77777777" w:rsidR="00AE2AE7" w:rsidRDefault="00AE2AE7" w:rsidP="006D7763">
      <w:pPr>
        <w:spacing w:line="480" w:lineRule="auto"/>
        <w:jc w:val="both"/>
        <w:rPr>
          <w:rFonts w:ascii="Arial" w:hAnsi="Arial" w:cs="Arial"/>
          <w:color w:val="C00000"/>
          <w:sz w:val="24"/>
          <w:szCs w:val="24"/>
          <w:lang w:val="en-US"/>
        </w:rPr>
      </w:pPr>
    </w:p>
    <w:p w14:paraId="74D228FC" w14:textId="44262B51" w:rsidR="00AE2AE7" w:rsidRPr="00C84015" w:rsidRDefault="00AE2AE7" w:rsidP="006D7763">
      <w:pPr>
        <w:spacing w:line="480" w:lineRule="auto"/>
        <w:jc w:val="both"/>
        <w:rPr>
          <w:rFonts w:ascii="Arial" w:hAnsi="Arial" w:cs="Arial"/>
          <w:color w:val="EF00A5"/>
          <w:sz w:val="24"/>
          <w:szCs w:val="24"/>
          <w:lang w:val="en-US"/>
        </w:rPr>
      </w:pPr>
      <w:r w:rsidRPr="00F2557C">
        <w:rPr>
          <w:rFonts w:ascii="Arial" w:hAnsi="Arial" w:cs="Arial"/>
          <w:color w:val="000000" w:themeColor="text1"/>
          <w:sz w:val="24"/>
          <w:szCs w:val="24"/>
          <w:lang w:val="en-US"/>
        </w:rPr>
        <w:t xml:space="preserve">The relevant product market involves all those products or services which are considered interchangeable or substitutable by the consumer due to their characteristics, price and intended use (Eur-Lex, 2011). ‘Interchangeability’ and ‘substitutability’ are determined by reference to two parameters; ‘demand substitution’ and ‘supply substitution’ (Chneiweiss </w:t>
      </w:r>
      <w:r w:rsidRPr="00F2557C">
        <w:rPr>
          <w:rFonts w:ascii="Arial" w:hAnsi="Arial" w:cs="Arial"/>
          <w:i/>
          <w:iCs/>
          <w:color w:val="000000" w:themeColor="text1"/>
          <w:sz w:val="24"/>
          <w:szCs w:val="24"/>
          <w:lang w:val="en-US"/>
        </w:rPr>
        <w:t xml:space="preserve">et al, </w:t>
      </w:r>
      <w:r w:rsidRPr="00F2557C">
        <w:rPr>
          <w:rFonts w:ascii="Arial" w:hAnsi="Arial" w:cs="Arial"/>
          <w:color w:val="000000" w:themeColor="text1"/>
          <w:sz w:val="24"/>
          <w:szCs w:val="24"/>
          <w:lang w:val="en-US"/>
        </w:rPr>
        <w:t xml:space="preserve">2020). </w:t>
      </w:r>
    </w:p>
    <w:p w14:paraId="1ABAA6B2" w14:textId="6CAEF256" w:rsidR="00AE2AE7" w:rsidRPr="00DA6E62" w:rsidRDefault="00AE2AE7" w:rsidP="006D7763">
      <w:pPr>
        <w:spacing w:line="480" w:lineRule="auto"/>
        <w:jc w:val="both"/>
        <w:rPr>
          <w:rFonts w:ascii="Arial" w:hAnsi="Arial" w:cs="Arial"/>
          <w:color w:val="000000" w:themeColor="text1"/>
          <w:sz w:val="24"/>
          <w:szCs w:val="24"/>
          <w:lang w:val="en-US"/>
        </w:rPr>
      </w:pPr>
      <w:r w:rsidRPr="00B004D4">
        <w:rPr>
          <w:rFonts w:ascii="Arial" w:hAnsi="Arial" w:cs="Arial"/>
          <w:color w:val="000000" w:themeColor="text1"/>
          <w:sz w:val="24"/>
          <w:szCs w:val="24"/>
          <w:lang w:val="en-US"/>
        </w:rPr>
        <w:t>The primary means of establishing whether different categories of goods fo</w:t>
      </w:r>
      <w:r w:rsidR="00FB0F8C" w:rsidRPr="00B004D4">
        <w:rPr>
          <w:rFonts w:ascii="Arial" w:hAnsi="Arial" w:cs="Arial"/>
          <w:color w:val="000000" w:themeColor="text1"/>
          <w:sz w:val="24"/>
          <w:szCs w:val="24"/>
          <w:lang w:val="en-US"/>
        </w:rPr>
        <w:t>r</w:t>
      </w:r>
      <w:r w:rsidRPr="00B004D4">
        <w:rPr>
          <w:rFonts w:ascii="Arial" w:hAnsi="Arial" w:cs="Arial"/>
          <w:color w:val="000000" w:themeColor="text1"/>
          <w:sz w:val="24"/>
          <w:szCs w:val="24"/>
          <w:lang w:val="en-US"/>
        </w:rPr>
        <w:t>m part of the same product market is the cross elasticity of demand (Craig and Burca, 2015, pp.1056).</w:t>
      </w:r>
      <w:r w:rsidR="00C029EA" w:rsidRPr="00B004D4">
        <w:rPr>
          <w:rFonts w:ascii="Arial" w:hAnsi="Arial" w:cs="Arial"/>
          <w:color w:val="000000" w:themeColor="text1"/>
          <w:sz w:val="24"/>
          <w:szCs w:val="24"/>
          <w:lang w:val="en-US"/>
        </w:rPr>
        <w:t xml:space="preserve"> Demand substitutability is a test that considers if consumers would switch from the target product to an alternative (Gov.UK, 2004).</w:t>
      </w:r>
      <w:r w:rsidRPr="00B004D4">
        <w:rPr>
          <w:rFonts w:ascii="Arial" w:hAnsi="Arial" w:cs="Arial"/>
          <w:color w:val="000000" w:themeColor="text1"/>
          <w:sz w:val="24"/>
          <w:szCs w:val="24"/>
          <w:lang w:val="en-US"/>
        </w:rPr>
        <w:t xml:space="preserve"> </w:t>
      </w:r>
      <w:r w:rsidR="00BE3F19" w:rsidRPr="00B004D4">
        <w:rPr>
          <w:rFonts w:ascii="Arial" w:hAnsi="Arial" w:cs="Arial"/>
          <w:color w:val="000000" w:themeColor="text1"/>
          <w:sz w:val="24"/>
          <w:szCs w:val="24"/>
          <w:lang w:val="en-US"/>
        </w:rPr>
        <w:t>In effect,</w:t>
      </w:r>
      <w:r w:rsidR="00433246" w:rsidRPr="00B004D4">
        <w:rPr>
          <w:rFonts w:ascii="Arial" w:hAnsi="Arial" w:cs="Arial"/>
          <w:color w:val="000000" w:themeColor="text1"/>
          <w:sz w:val="24"/>
          <w:szCs w:val="24"/>
          <w:lang w:val="en-US"/>
        </w:rPr>
        <w:t xml:space="preserve"> whether the parties’ customers would switch </w:t>
      </w:r>
      <w:r w:rsidR="00433246" w:rsidRPr="00DA6E62">
        <w:rPr>
          <w:rFonts w:ascii="Arial" w:hAnsi="Arial" w:cs="Arial"/>
          <w:color w:val="000000" w:themeColor="text1"/>
          <w:sz w:val="24"/>
          <w:szCs w:val="24"/>
          <w:lang w:val="en-US"/>
        </w:rPr>
        <w:t xml:space="preserve">to readily available substitutes in response to a hypothetical small (5-10%), but </w:t>
      </w:r>
      <w:r w:rsidR="00433246" w:rsidRPr="00DA6E62">
        <w:rPr>
          <w:rFonts w:ascii="Arial" w:hAnsi="Arial" w:cs="Arial"/>
          <w:color w:val="000000" w:themeColor="text1"/>
          <w:sz w:val="24"/>
          <w:szCs w:val="24"/>
          <w:lang w:val="en-US"/>
        </w:rPr>
        <w:lastRenderedPageBreak/>
        <w:t xml:space="preserve">permanent increase (Foster, 2020, pp.512). </w:t>
      </w:r>
      <w:r w:rsidRPr="00DA6E62">
        <w:rPr>
          <w:rFonts w:ascii="Arial" w:hAnsi="Arial" w:cs="Arial"/>
          <w:color w:val="000000" w:themeColor="text1"/>
          <w:sz w:val="24"/>
          <w:szCs w:val="24"/>
          <w:lang w:val="en-US"/>
        </w:rPr>
        <w:t>Th</w:t>
      </w:r>
      <w:r w:rsidR="00F47E86" w:rsidRPr="00DA6E62">
        <w:rPr>
          <w:rFonts w:ascii="Arial" w:hAnsi="Arial" w:cs="Arial"/>
          <w:color w:val="000000" w:themeColor="text1"/>
          <w:sz w:val="24"/>
          <w:szCs w:val="24"/>
          <w:lang w:val="en-US"/>
        </w:rPr>
        <w:t>is is measured by the</w:t>
      </w:r>
      <w:r w:rsidRPr="00DA6E62">
        <w:rPr>
          <w:rFonts w:ascii="Arial" w:hAnsi="Arial" w:cs="Arial"/>
          <w:color w:val="000000" w:themeColor="text1"/>
          <w:sz w:val="24"/>
          <w:szCs w:val="24"/>
          <w:lang w:val="en-US"/>
        </w:rPr>
        <w:t xml:space="preserve"> </w:t>
      </w:r>
      <w:r w:rsidR="007D11C2">
        <w:rPr>
          <w:rFonts w:ascii="Arial" w:hAnsi="Arial" w:cs="Arial"/>
          <w:color w:val="000000" w:themeColor="text1"/>
          <w:sz w:val="24"/>
          <w:szCs w:val="24"/>
          <w:lang w:val="en-US"/>
        </w:rPr>
        <w:t>‘</w:t>
      </w:r>
      <w:r w:rsidRPr="00DA6E62">
        <w:rPr>
          <w:rFonts w:ascii="Arial" w:hAnsi="Arial" w:cs="Arial"/>
          <w:color w:val="000000" w:themeColor="text1"/>
          <w:sz w:val="24"/>
          <w:szCs w:val="24"/>
          <w:lang w:val="en-US"/>
        </w:rPr>
        <w:t>SSNIP</w:t>
      </w:r>
      <w:r w:rsidR="007D11C2">
        <w:rPr>
          <w:rFonts w:ascii="Arial" w:hAnsi="Arial" w:cs="Arial"/>
          <w:color w:val="000000" w:themeColor="text1"/>
          <w:sz w:val="24"/>
          <w:szCs w:val="24"/>
          <w:lang w:val="en-US"/>
        </w:rPr>
        <w:t>’</w:t>
      </w:r>
      <w:r w:rsidRPr="00DA6E62">
        <w:rPr>
          <w:rFonts w:ascii="Arial" w:hAnsi="Arial" w:cs="Arial"/>
          <w:color w:val="000000" w:themeColor="text1"/>
          <w:sz w:val="24"/>
          <w:szCs w:val="24"/>
          <w:lang w:val="en-US"/>
        </w:rPr>
        <w:t xml:space="preserve"> test (‘small but significant non-transitory increase in price’), to analyse the substitutability of similar products or services to the products and services in question</w:t>
      </w:r>
      <w:r w:rsidR="00892A5B">
        <w:rPr>
          <w:rFonts w:ascii="Arial" w:hAnsi="Arial" w:cs="Arial"/>
          <w:color w:val="000000" w:themeColor="text1"/>
          <w:sz w:val="24"/>
          <w:szCs w:val="24"/>
          <w:lang w:val="en-US"/>
        </w:rPr>
        <w:t>,</w:t>
      </w:r>
      <w:r w:rsidR="002F0F24" w:rsidRPr="00DA6E62">
        <w:rPr>
          <w:rFonts w:ascii="Arial" w:hAnsi="Arial" w:cs="Arial"/>
          <w:color w:val="000000" w:themeColor="text1"/>
          <w:sz w:val="24"/>
          <w:szCs w:val="24"/>
          <w:lang w:val="en-US"/>
        </w:rPr>
        <w:t xml:space="preserve"> </w:t>
      </w:r>
      <w:r w:rsidR="003C7CED">
        <w:rPr>
          <w:rFonts w:ascii="Arial" w:hAnsi="Arial" w:cs="Arial"/>
          <w:color w:val="000000" w:themeColor="text1"/>
          <w:sz w:val="24"/>
          <w:szCs w:val="24"/>
          <w:lang w:val="en-US"/>
        </w:rPr>
        <w:t xml:space="preserve">products in </w:t>
      </w:r>
      <w:r w:rsidR="002F0F24" w:rsidRPr="00DA6E62">
        <w:rPr>
          <w:rFonts w:ascii="Arial" w:hAnsi="Arial" w:cs="Arial"/>
          <w:i/>
          <w:iCs/>
          <w:color w:val="000000" w:themeColor="text1"/>
          <w:sz w:val="24"/>
          <w:szCs w:val="24"/>
          <w:lang w:val="en-US"/>
        </w:rPr>
        <w:t>United Brands [</w:t>
      </w:r>
      <w:r w:rsidR="00FB35F5" w:rsidRPr="00DA6E62">
        <w:rPr>
          <w:rFonts w:ascii="Arial" w:hAnsi="Arial" w:cs="Arial"/>
          <w:i/>
          <w:iCs/>
          <w:color w:val="000000" w:themeColor="text1"/>
          <w:sz w:val="24"/>
          <w:szCs w:val="24"/>
          <w:lang w:val="en-US"/>
        </w:rPr>
        <w:t>1976</w:t>
      </w:r>
      <w:r w:rsidR="002F0F24" w:rsidRPr="00DA6E62">
        <w:rPr>
          <w:rFonts w:ascii="Arial" w:hAnsi="Arial" w:cs="Arial"/>
          <w:i/>
          <w:iCs/>
          <w:color w:val="000000" w:themeColor="text1"/>
          <w:sz w:val="24"/>
          <w:szCs w:val="24"/>
          <w:lang w:val="en-US"/>
        </w:rPr>
        <w:t xml:space="preserve">] </w:t>
      </w:r>
      <w:r w:rsidR="002F0F24" w:rsidRPr="00DA6E62">
        <w:rPr>
          <w:rFonts w:ascii="Arial" w:hAnsi="Arial" w:cs="Arial"/>
          <w:color w:val="000000" w:themeColor="text1"/>
          <w:sz w:val="24"/>
          <w:szCs w:val="24"/>
          <w:lang w:val="en-US"/>
        </w:rPr>
        <w:t xml:space="preserve">and </w:t>
      </w:r>
      <w:r w:rsidR="002F0F24" w:rsidRPr="00DA6E62">
        <w:rPr>
          <w:rFonts w:ascii="Arial" w:hAnsi="Arial" w:cs="Arial"/>
          <w:i/>
          <w:iCs/>
          <w:color w:val="000000" w:themeColor="text1"/>
          <w:sz w:val="24"/>
          <w:szCs w:val="24"/>
          <w:lang w:val="en-US"/>
        </w:rPr>
        <w:t>Hilti [</w:t>
      </w:r>
      <w:r w:rsidR="00C616CB" w:rsidRPr="00DA6E62">
        <w:rPr>
          <w:rFonts w:ascii="Arial" w:hAnsi="Arial" w:cs="Arial"/>
          <w:i/>
          <w:iCs/>
          <w:color w:val="000000" w:themeColor="text1"/>
          <w:sz w:val="24"/>
          <w:szCs w:val="24"/>
          <w:lang w:val="en-US"/>
        </w:rPr>
        <w:t>1991</w:t>
      </w:r>
      <w:r w:rsidR="002F0F24" w:rsidRPr="00DA6E62">
        <w:rPr>
          <w:rFonts w:ascii="Arial" w:hAnsi="Arial" w:cs="Arial"/>
          <w:i/>
          <w:iCs/>
          <w:color w:val="000000" w:themeColor="text1"/>
          <w:sz w:val="24"/>
          <w:szCs w:val="24"/>
          <w:lang w:val="en-US"/>
        </w:rPr>
        <w:t>]</w:t>
      </w:r>
      <w:r w:rsidR="00243864" w:rsidRPr="00DA6E62">
        <w:rPr>
          <w:rFonts w:ascii="Arial" w:hAnsi="Arial" w:cs="Arial"/>
          <w:color w:val="000000" w:themeColor="text1"/>
          <w:sz w:val="24"/>
          <w:szCs w:val="24"/>
          <w:lang w:val="en-US"/>
        </w:rPr>
        <w:t xml:space="preserve"> </w:t>
      </w:r>
      <w:r w:rsidR="0018121A" w:rsidRPr="00DA6E62">
        <w:rPr>
          <w:rFonts w:ascii="Arial" w:hAnsi="Arial" w:cs="Arial"/>
          <w:color w:val="000000" w:themeColor="text1"/>
          <w:sz w:val="24"/>
          <w:szCs w:val="24"/>
          <w:lang w:val="en-US"/>
        </w:rPr>
        <w:t>w</w:t>
      </w:r>
      <w:r w:rsidR="00DD2422" w:rsidRPr="00DA6E62">
        <w:rPr>
          <w:rFonts w:ascii="Arial" w:hAnsi="Arial" w:cs="Arial"/>
          <w:color w:val="000000" w:themeColor="text1"/>
          <w:sz w:val="24"/>
          <w:szCs w:val="24"/>
          <w:lang w:val="en-US"/>
        </w:rPr>
        <w:t>ere</w:t>
      </w:r>
      <w:r w:rsidR="00FB35F5" w:rsidRPr="00DA6E62">
        <w:rPr>
          <w:rFonts w:ascii="Arial" w:hAnsi="Arial" w:cs="Arial"/>
          <w:color w:val="000000" w:themeColor="text1"/>
          <w:sz w:val="24"/>
          <w:szCs w:val="24"/>
          <w:lang w:val="en-US"/>
        </w:rPr>
        <w:t xml:space="preserve"> shown to be non-interchang</w:t>
      </w:r>
      <w:r w:rsidR="00BB792C" w:rsidRPr="00DA6E62">
        <w:rPr>
          <w:rFonts w:ascii="Arial" w:hAnsi="Arial" w:cs="Arial"/>
          <w:color w:val="000000" w:themeColor="text1"/>
          <w:sz w:val="24"/>
          <w:szCs w:val="24"/>
          <w:lang w:val="en-US"/>
        </w:rPr>
        <w:t>e</w:t>
      </w:r>
      <w:r w:rsidR="00FB35F5" w:rsidRPr="00DA6E62">
        <w:rPr>
          <w:rFonts w:ascii="Arial" w:hAnsi="Arial" w:cs="Arial"/>
          <w:color w:val="000000" w:themeColor="text1"/>
          <w:sz w:val="24"/>
          <w:szCs w:val="24"/>
          <w:lang w:val="en-US"/>
        </w:rPr>
        <w:t>able (</w:t>
      </w:r>
      <w:r w:rsidR="00DD2422" w:rsidRPr="00DA6E62">
        <w:rPr>
          <w:rFonts w:ascii="Arial" w:hAnsi="Arial" w:cs="Arial"/>
          <w:color w:val="000000" w:themeColor="text1"/>
          <w:sz w:val="24"/>
          <w:szCs w:val="24"/>
          <w:lang w:val="en-US"/>
        </w:rPr>
        <w:t>LLB, 2020, pp.104</w:t>
      </w:r>
      <w:r w:rsidR="00FB35F5" w:rsidRPr="00DA6E62">
        <w:rPr>
          <w:rFonts w:ascii="Arial" w:hAnsi="Arial" w:cs="Arial"/>
          <w:color w:val="000000" w:themeColor="text1"/>
          <w:sz w:val="24"/>
          <w:szCs w:val="24"/>
          <w:lang w:val="en-US"/>
        </w:rPr>
        <w:t>).</w:t>
      </w:r>
    </w:p>
    <w:p w14:paraId="581AA1A7" w14:textId="77777777" w:rsidR="005A1B5C" w:rsidRPr="00DA6E62" w:rsidRDefault="005A1B5C" w:rsidP="006D7763">
      <w:pPr>
        <w:spacing w:line="480" w:lineRule="auto"/>
        <w:jc w:val="both"/>
        <w:rPr>
          <w:rFonts w:ascii="Arial" w:hAnsi="Arial" w:cs="Arial"/>
          <w:color w:val="000000" w:themeColor="text1"/>
          <w:sz w:val="24"/>
          <w:szCs w:val="24"/>
          <w:lang w:val="en-US"/>
        </w:rPr>
      </w:pPr>
    </w:p>
    <w:p w14:paraId="74EDFEE9" w14:textId="28CAEB59" w:rsidR="00AE2AE7" w:rsidRPr="00DA6E62" w:rsidRDefault="00122333" w:rsidP="006D7763">
      <w:pPr>
        <w:spacing w:line="480" w:lineRule="auto"/>
        <w:jc w:val="both"/>
        <w:rPr>
          <w:rFonts w:ascii="Arial" w:hAnsi="Arial" w:cs="Arial"/>
          <w:color w:val="000000" w:themeColor="text1"/>
          <w:sz w:val="24"/>
          <w:szCs w:val="24"/>
          <w:lang w:val="en-US"/>
        </w:rPr>
      </w:pPr>
      <w:r w:rsidRPr="00DA6E62">
        <w:rPr>
          <w:rFonts w:ascii="Arial" w:hAnsi="Arial" w:cs="Arial"/>
          <w:color w:val="000000" w:themeColor="text1"/>
          <w:sz w:val="24"/>
          <w:szCs w:val="24"/>
          <w:lang w:val="en-US"/>
        </w:rPr>
        <w:t>In addition, s</w:t>
      </w:r>
      <w:r w:rsidR="00AE2AE7" w:rsidRPr="00DA6E62">
        <w:rPr>
          <w:rFonts w:ascii="Arial" w:hAnsi="Arial" w:cs="Arial"/>
          <w:color w:val="000000" w:themeColor="text1"/>
          <w:sz w:val="24"/>
          <w:szCs w:val="24"/>
          <w:lang w:val="en-US"/>
        </w:rPr>
        <w:t>upply substitutability</w:t>
      </w:r>
      <w:r w:rsidR="00607704" w:rsidRPr="00DA6E62">
        <w:rPr>
          <w:rFonts w:ascii="Arial" w:hAnsi="Arial" w:cs="Arial"/>
          <w:color w:val="000000" w:themeColor="text1"/>
          <w:sz w:val="24"/>
          <w:szCs w:val="24"/>
          <w:lang w:val="en-US"/>
        </w:rPr>
        <w:t xml:space="preserve"> </w:t>
      </w:r>
      <w:r w:rsidR="00E73918" w:rsidRPr="00DA6E62">
        <w:rPr>
          <w:rFonts w:ascii="Arial" w:hAnsi="Arial" w:cs="Arial"/>
          <w:color w:val="000000" w:themeColor="text1"/>
          <w:sz w:val="24"/>
          <w:szCs w:val="24"/>
          <w:lang w:val="en-US"/>
        </w:rPr>
        <w:t xml:space="preserve">questions </w:t>
      </w:r>
      <w:r w:rsidR="00607704" w:rsidRPr="00DA6E62">
        <w:rPr>
          <w:rFonts w:ascii="Arial" w:hAnsi="Arial" w:cs="Arial"/>
          <w:color w:val="000000" w:themeColor="text1"/>
          <w:sz w:val="24"/>
          <w:szCs w:val="24"/>
          <w:lang w:val="en-US"/>
        </w:rPr>
        <w:t>wh</w:t>
      </w:r>
      <w:r w:rsidR="00E73918" w:rsidRPr="00DA6E62">
        <w:rPr>
          <w:rFonts w:ascii="Arial" w:hAnsi="Arial" w:cs="Arial"/>
          <w:color w:val="000000" w:themeColor="text1"/>
          <w:sz w:val="24"/>
          <w:szCs w:val="24"/>
          <w:lang w:val="en-US"/>
        </w:rPr>
        <w:t xml:space="preserve">ether other </w:t>
      </w:r>
      <w:r w:rsidR="004C59D8" w:rsidRPr="00DA6E62">
        <w:rPr>
          <w:rFonts w:ascii="Arial" w:hAnsi="Arial" w:cs="Arial"/>
          <w:color w:val="000000" w:themeColor="text1"/>
          <w:sz w:val="24"/>
          <w:szCs w:val="24"/>
          <w:lang w:val="en-US"/>
        </w:rPr>
        <w:t>suppl</w:t>
      </w:r>
      <w:r w:rsidR="00607704" w:rsidRPr="00DA6E62">
        <w:rPr>
          <w:rFonts w:ascii="Arial" w:hAnsi="Arial" w:cs="Arial"/>
          <w:color w:val="000000" w:themeColor="text1"/>
          <w:sz w:val="24"/>
          <w:szCs w:val="24"/>
          <w:lang w:val="en-US"/>
        </w:rPr>
        <w:t>i</w:t>
      </w:r>
      <w:r w:rsidR="004C59D8" w:rsidRPr="00DA6E62">
        <w:rPr>
          <w:rFonts w:ascii="Arial" w:hAnsi="Arial" w:cs="Arial"/>
          <w:color w:val="000000" w:themeColor="text1"/>
          <w:sz w:val="24"/>
          <w:szCs w:val="24"/>
          <w:lang w:val="en-US"/>
        </w:rPr>
        <w:t xml:space="preserve">ers </w:t>
      </w:r>
      <w:r w:rsidR="00607704" w:rsidRPr="00DA6E62">
        <w:rPr>
          <w:rFonts w:ascii="Arial" w:hAnsi="Arial" w:cs="Arial"/>
          <w:color w:val="000000" w:themeColor="text1"/>
          <w:sz w:val="24"/>
          <w:szCs w:val="24"/>
          <w:lang w:val="en-US"/>
        </w:rPr>
        <w:t>c</w:t>
      </w:r>
      <w:r w:rsidR="004C59D8" w:rsidRPr="00DA6E62">
        <w:rPr>
          <w:rFonts w:ascii="Arial" w:hAnsi="Arial" w:cs="Arial"/>
          <w:color w:val="000000" w:themeColor="text1"/>
          <w:sz w:val="24"/>
          <w:szCs w:val="24"/>
          <w:lang w:val="en-US"/>
        </w:rPr>
        <w:t xml:space="preserve">an </w:t>
      </w:r>
      <w:r w:rsidR="004D3185" w:rsidRPr="00DA6E62">
        <w:rPr>
          <w:rFonts w:ascii="Arial" w:hAnsi="Arial" w:cs="Arial"/>
          <w:color w:val="000000" w:themeColor="text1"/>
          <w:sz w:val="24"/>
          <w:szCs w:val="24"/>
          <w:lang w:val="en-US"/>
        </w:rPr>
        <w:t xml:space="preserve">readily </w:t>
      </w:r>
      <w:r w:rsidR="006F3BB7" w:rsidRPr="00DA6E62">
        <w:rPr>
          <w:rFonts w:ascii="Arial" w:hAnsi="Arial" w:cs="Arial"/>
          <w:color w:val="000000" w:themeColor="text1"/>
          <w:sz w:val="24"/>
          <w:szCs w:val="24"/>
          <w:lang w:val="en-US"/>
        </w:rPr>
        <w:t xml:space="preserve">switch </w:t>
      </w:r>
      <w:r w:rsidR="00F87159" w:rsidRPr="00DA6E62">
        <w:rPr>
          <w:rFonts w:ascii="Arial" w:hAnsi="Arial" w:cs="Arial"/>
          <w:color w:val="000000" w:themeColor="text1"/>
          <w:sz w:val="24"/>
          <w:szCs w:val="24"/>
          <w:lang w:val="en-US"/>
        </w:rPr>
        <w:t xml:space="preserve">their production </w:t>
      </w:r>
      <w:r w:rsidR="000F70B1" w:rsidRPr="00DA6E62">
        <w:rPr>
          <w:rFonts w:ascii="Arial" w:hAnsi="Arial" w:cs="Arial"/>
          <w:color w:val="000000" w:themeColor="text1"/>
          <w:sz w:val="24"/>
          <w:szCs w:val="24"/>
          <w:lang w:val="en-US"/>
        </w:rPr>
        <w:t xml:space="preserve">to other products </w:t>
      </w:r>
      <w:r w:rsidR="007528E3" w:rsidRPr="00DA6E62">
        <w:rPr>
          <w:rFonts w:ascii="Arial" w:hAnsi="Arial" w:cs="Arial"/>
          <w:color w:val="000000" w:themeColor="text1"/>
          <w:sz w:val="24"/>
          <w:szCs w:val="24"/>
          <w:lang w:val="en-US"/>
        </w:rPr>
        <w:t>to com</w:t>
      </w:r>
      <w:r w:rsidR="007801AA" w:rsidRPr="00DA6E62">
        <w:rPr>
          <w:rFonts w:ascii="Arial" w:hAnsi="Arial" w:cs="Arial"/>
          <w:color w:val="000000" w:themeColor="text1"/>
          <w:sz w:val="24"/>
          <w:szCs w:val="24"/>
          <w:lang w:val="en-US"/>
        </w:rPr>
        <w:t xml:space="preserve">pete and sell </w:t>
      </w:r>
      <w:r w:rsidR="00775D0C">
        <w:rPr>
          <w:rFonts w:ascii="Arial" w:hAnsi="Arial" w:cs="Arial"/>
          <w:color w:val="000000" w:themeColor="text1"/>
          <w:sz w:val="24"/>
          <w:szCs w:val="24"/>
          <w:lang w:val="en-US"/>
        </w:rPr>
        <w:t>i</w:t>
      </w:r>
      <w:r w:rsidR="007801AA" w:rsidRPr="00DA6E62">
        <w:rPr>
          <w:rFonts w:ascii="Arial" w:hAnsi="Arial" w:cs="Arial"/>
          <w:color w:val="000000" w:themeColor="text1"/>
          <w:sz w:val="24"/>
          <w:szCs w:val="24"/>
          <w:lang w:val="en-US"/>
        </w:rPr>
        <w:t>n the relevant market (Eur-Lex, 2011).</w:t>
      </w:r>
      <w:r w:rsidR="00C92EE5" w:rsidRPr="00DA6E62">
        <w:rPr>
          <w:rFonts w:ascii="Arial" w:hAnsi="Arial" w:cs="Arial"/>
          <w:color w:val="000000" w:themeColor="text1"/>
          <w:sz w:val="24"/>
          <w:szCs w:val="24"/>
          <w:lang w:val="en-US"/>
        </w:rPr>
        <w:t xml:space="preserve"> </w:t>
      </w:r>
      <w:r w:rsidR="00887F50" w:rsidRPr="00DA6E62">
        <w:rPr>
          <w:rFonts w:ascii="Arial" w:hAnsi="Arial" w:cs="Arial"/>
          <w:color w:val="000000" w:themeColor="text1"/>
          <w:sz w:val="24"/>
          <w:szCs w:val="24"/>
          <w:lang w:val="en-US"/>
        </w:rPr>
        <w:t xml:space="preserve">The higher the </w:t>
      </w:r>
      <w:r w:rsidR="00BD14D1" w:rsidRPr="00DA6E62">
        <w:rPr>
          <w:rFonts w:ascii="Arial" w:hAnsi="Arial" w:cs="Arial"/>
          <w:color w:val="000000" w:themeColor="text1"/>
          <w:sz w:val="24"/>
          <w:szCs w:val="24"/>
          <w:lang w:val="en-US"/>
        </w:rPr>
        <w:t>degree of supply substitutability, the less likely the undertaking will be considered dominant</w:t>
      </w:r>
      <w:r w:rsidR="00FA48AF" w:rsidRPr="00DA6E62">
        <w:rPr>
          <w:rFonts w:ascii="Arial" w:hAnsi="Arial" w:cs="Arial"/>
          <w:color w:val="000000" w:themeColor="text1"/>
          <w:sz w:val="24"/>
          <w:szCs w:val="24"/>
          <w:lang w:val="en-US"/>
        </w:rPr>
        <w:t>;</w:t>
      </w:r>
      <w:r w:rsidR="0017150B" w:rsidRPr="00DA6E62">
        <w:rPr>
          <w:rFonts w:ascii="Arial" w:hAnsi="Arial" w:cs="Arial"/>
          <w:color w:val="000000" w:themeColor="text1"/>
          <w:sz w:val="24"/>
          <w:szCs w:val="24"/>
          <w:lang w:val="en-US"/>
        </w:rPr>
        <w:t xml:space="preserve"> </w:t>
      </w:r>
      <w:r w:rsidR="00D80152" w:rsidRPr="00DA6E62">
        <w:rPr>
          <w:rFonts w:ascii="Arial" w:hAnsi="Arial" w:cs="Arial"/>
          <w:i/>
          <w:iCs/>
          <w:color w:val="000000" w:themeColor="text1"/>
          <w:sz w:val="24"/>
          <w:szCs w:val="24"/>
          <w:lang w:val="en-US"/>
        </w:rPr>
        <w:t xml:space="preserve">Continental Can [1973]. </w:t>
      </w:r>
      <w:r w:rsidR="00C86EE7" w:rsidRPr="00DA6E62">
        <w:rPr>
          <w:rFonts w:ascii="Arial" w:hAnsi="Arial" w:cs="Arial"/>
          <w:color w:val="000000" w:themeColor="text1"/>
          <w:sz w:val="24"/>
          <w:szCs w:val="24"/>
          <w:lang w:val="en-US"/>
        </w:rPr>
        <w:t>Conversely</w:t>
      </w:r>
      <w:r w:rsidR="00CD1135" w:rsidRPr="00DA6E62">
        <w:rPr>
          <w:rFonts w:ascii="Arial" w:hAnsi="Arial" w:cs="Arial"/>
          <w:color w:val="000000" w:themeColor="text1"/>
          <w:sz w:val="24"/>
          <w:szCs w:val="24"/>
          <w:lang w:val="en-US"/>
        </w:rPr>
        <w:t xml:space="preserve">, </w:t>
      </w:r>
      <w:r w:rsidR="00DC2860" w:rsidRPr="00DA6E62">
        <w:rPr>
          <w:rFonts w:ascii="Arial" w:hAnsi="Arial" w:cs="Arial"/>
          <w:color w:val="000000" w:themeColor="text1"/>
          <w:sz w:val="24"/>
          <w:szCs w:val="24"/>
          <w:lang w:val="en-US"/>
        </w:rPr>
        <w:t xml:space="preserve">the lower the degree </w:t>
      </w:r>
      <w:r w:rsidR="004B2BA5" w:rsidRPr="00DA6E62">
        <w:rPr>
          <w:rFonts w:ascii="Arial" w:hAnsi="Arial" w:cs="Arial"/>
          <w:color w:val="000000" w:themeColor="text1"/>
          <w:sz w:val="24"/>
          <w:szCs w:val="24"/>
          <w:lang w:val="en-US"/>
        </w:rPr>
        <w:t>of supply substitutability, the more likely the undertaking will be considered dominant</w:t>
      </w:r>
      <w:r w:rsidR="0043193D" w:rsidRPr="00DA6E62">
        <w:rPr>
          <w:rFonts w:ascii="Arial" w:hAnsi="Arial" w:cs="Arial"/>
          <w:color w:val="000000" w:themeColor="text1"/>
          <w:sz w:val="24"/>
          <w:szCs w:val="24"/>
          <w:lang w:val="en-US"/>
        </w:rPr>
        <w:t xml:space="preserve">; </w:t>
      </w:r>
      <w:r w:rsidR="001C5FCA" w:rsidRPr="00DA6E62">
        <w:rPr>
          <w:rFonts w:ascii="Arial" w:hAnsi="Arial" w:cs="Arial"/>
          <w:i/>
          <w:iCs/>
          <w:color w:val="000000" w:themeColor="text1"/>
          <w:sz w:val="24"/>
          <w:szCs w:val="24"/>
          <w:lang w:val="en-US"/>
        </w:rPr>
        <w:t xml:space="preserve">Microsoft [2007] </w:t>
      </w:r>
      <w:r w:rsidR="001C5FCA" w:rsidRPr="00DA6E62">
        <w:rPr>
          <w:rFonts w:ascii="Arial" w:hAnsi="Arial" w:cs="Arial"/>
          <w:color w:val="000000" w:themeColor="text1"/>
          <w:sz w:val="24"/>
          <w:szCs w:val="24"/>
          <w:lang w:val="en-US"/>
        </w:rPr>
        <w:t>(LLB, 2020, pp.</w:t>
      </w:r>
      <w:r w:rsidR="00AF2FD5" w:rsidRPr="00DA6E62">
        <w:rPr>
          <w:rFonts w:ascii="Arial" w:hAnsi="Arial" w:cs="Arial"/>
          <w:color w:val="000000" w:themeColor="text1"/>
          <w:sz w:val="24"/>
          <w:szCs w:val="24"/>
          <w:lang w:val="en-US"/>
        </w:rPr>
        <w:t>104</w:t>
      </w:r>
      <w:r w:rsidR="001C5FCA" w:rsidRPr="00DA6E62">
        <w:rPr>
          <w:rFonts w:ascii="Arial" w:hAnsi="Arial" w:cs="Arial"/>
          <w:color w:val="000000" w:themeColor="text1"/>
          <w:sz w:val="24"/>
          <w:szCs w:val="24"/>
          <w:lang w:val="en-US"/>
        </w:rPr>
        <w:t>)</w:t>
      </w:r>
      <w:r w:rsidR="001C5FCA" w:rsidRPr="00DA6E62">
        <w:rPr>
          <w:rFonts w:ascii="Arial" w:hAnsi="Arial" w:cs="Arial"/>
          <w:i/>
          <w:iCs/>
          <w:color w:val="000000" w:themeColor="text1"/>
          <w:sz w:val="24"/>
          <w:szCs w:val="24"/>
          <w:lang w:val="en-US"/>
        </w:rPr>
        <w:t xml:space="preserve">. </w:t>
      </w:r>
    </w:p>
    <w:p w14:paraId="6BE1D5AC" w14:textId="77777777" w:rsidR="00D34CC4" w:rsidRPr="00DA6E62" w:rsidRDefault="00D34CC4" w:rsidP="006D7763">
      <w:pPr>
        <w:spacing w:line="480" w:lineRule="auto"/>
        <w:jc w:val="both"/>
        <w:rPr>
          <w:rFonts w:ascii="Arial" w:hAnsi="Arial" w:cs="Arial"/>
          <w:color w:val="000000" w:themeColor="text1"/>
          <w:sz w:val="24"/>
          <w:szCs w:val="24"/>
          <w:lang w:val="en-US"/>
        </w:rPr>
      </w:pPr>
    </w:p>
    <w:p w14:paraId="7C9E235A" w14:textId="45BE1E22" w:rsidR="001D2940" w:rsidRPr="00DA6E62" w:rsidRDefault="00230AC8" w:rsidP="006D7763">
      <w:pPr>
        <w:spacing w:line="480" w:lineRule="auto"/>
        <w:jc w:val="both"/>
        <w:rPr>
          <w:rFonts w:ascii="Arial" w:hAnsi="Arial" w:cs="Arial"/>
          <w:color w:val="000000" w:themeColor="text1"/>
          <w:sz w:val="24"/>
          <w:szCs w:val="24"/>
          <w:lang w:val="en-US"/>
        </w:rPr>
      </w:pPr>
      <w:r w:rsidRPr="00DA6E62">
        <w:rPr>
          <w:rFonts w:ascii="Arial" w:hAnsi="Arial" w:cs="Arial"/>
          <w:color w:val="000000" w:themeColor="text1"/>
          <w:sz w:val="24"/>
          <w:szCs w:val="24"/>
          <w:lang w:val="en-US"/>
        </w:rPr>
        <w:t>Any assessment based on market share must consider the shape of the market</w:t>
      </w:r>
      <w:r w:rsidR="002508E2" w:rsidRPr="00DA6E62">
        <w:rPr>
          <w:rFonts w:ascii="Arial" w:hAnsi="Arial" w:cs="Arial"/>
          <w:color w:val="000000" w:themeColor="text1"/>
          <w:sz w:val="24"/>
          <w:szCs w:val="24"/>
          <w:lang w:val="en-US"/>
        </w:rPr>
        <w:t xml:space="preserve"> (</w:t>
      </w:r>
      <w:r w:rsidR="00C57A04" w:rsidRPr="00DA6E62">
        <w:rPr>
          <w:rFonts w:ascii="Arial" w:hAnsi="Arial" w:cs="Arial"/>
          <w:color w:val="000000" w:themeColor="text1"/>
          <w:sz w:val="24"/>
          <w:szCs w:val="24"/>
          <w:lang w:val="en-US"/>
        </w:rPr>
        <w:t>Cunha, 2017</w:t>
      </w:r>
      <w:r w:rsidR="002508E2" w:rsidRPr="00DA6E62">
        <w:rPr>
          <w:rFonts w:ascii="Arial" w:hAnsi="Arial" w:cs="Arial"/>
          <w:color w:val="000000" w:themeColor="text1"/>
          <w:sz w:val="24"/>
          <w:szCs w:val="24"/>
          <w:lang w:val="en-US"/>
        </w:rPr>
        <w:t>)</w:t>
      </w:r>
      <w:r w:rsidR="009B69AC" w:rsidRPr="00DA6E62">
        <w:rPr>
          <w:rFonts w:ascii="Arial" w:hAnsi="Arial" w:cs="Arial"/>
          <w:color w:val="000000" w:themeColor="text1"/>
          <w:sz w:val="24"/>
          <w:szCs w:val="24"/>
          <w:lang w:val="en-US"/>
        </w:rPr>
        <w:t xml:space="preserve">. </w:t>
      </w:r>
      <w:r w:rsidR="000E4AD7" w:rsidRPr="00DA6E62">
        <w:rPr>
          <w:rFonts w:ascii="Arial" w:hAnsi="Arial" w:cs="Arial"/>
          <w:color w:val="000000" w:themeColor="text1"/>
          <w:sz w:val="24"/>
          <w:szCs w:val="24"/>
          <w:lang w:val="en-US"/>
        </w:rPr>
        <w:t>As a general rule, a dominant position will be</w:t>
      </w:r>
      <w:r w:rsidR="00BA7F46" w:rsidRPr="00DA6E62">
        <w:rPr>
          <w:rFonts w:ascii="Arial" w:hAnsi="Arial" w:cs="Arial"/>
          <w:color w:val="000000" w:themeColor="text1"/>
          <w:sz w:val="24"/>
          <w:szCs w:val="24"/>
          <w:lang w:val="en-US"/>
        </w:rPr>
        <w:t xml:space="preserve"> automatically</w:t>
      </w:r>
      <w:r w:rsidR="000E4AD7" w:rsidRPr="00DA6E62">
        <w:rPr>
          <w:rFonts w:ascii="Arial" w:hAnsi="Arial" w:cs="Arial"/>
          <w:color w:val="000000" w:themeColor="text1"/>
          <w:sz w:val="24"/>
          <w:szCs w:val="24"/>
          <w:lang w:val="en-US"/>
        </w:rPr>
        <w:t xml:space="preserve"> assumed with a market share over 80%; </w:t>
      </w:r>
      <w:r w:rsidR="00C360FF" w:rsidRPr="00DA6E62">
        <w:rPr>
          <w:rFonts w:ascii="Arial" w:hAnsi="Arial" w:cs="Arial"/>
          <w:i/>
          <w:iCs/>
          <w:color w:val="000000" w:themeColor="text1"/>
          <w:sz w:val="24"/>
          <w:szCs w:val="24"/>
          <w:lang w:val="en-US"/>
        </w:rPr>
        <w:t xml:space="preserve">Tetrapak [1996], </w:t>
      </w:r>
      <w:r w:rsidR="006F7C37" w:rsidRPr="00DA6E62">
        <w:rPr>
          <w:rFonts w:ascii="Arial" w:hAnsi="Arial" w:cs="Arial"/>
          <w:color w:val="000000" w:themeColor="text1"/>
          <w:sz w:val="24"/>
          <w:szCs w:val="24"/>
          <w:lang w:val="en-US"/>
        </w:rPr>
        <w:t xml:space="preserve">and </w:t>
      </w:r>
      <w:r w:rsidR="001D687D" w:rsidRPr="00DA6E62">
        <w:rPr>
          <w:rFonts w:ascii="Arial" w:hAnsi="Arial" w:cs="Arial"/>
          <w:color w:val="000000" w:themeColor="text1"/>
          <w:sz w:val="24"/>
          <w:szCs w:val="24"/>
          <w:lang w:val="en-US"/>
        </w:rPr>
        <w:t xml:space="preserve">assumed with a market share over 50%; </w:t>
      </w:r>
      <w:r w:rsidR="001D687D" w:rsidRPr="00DA6E62">
        <w:rPr>
          <w:rFonts w:ascii="Arial" w:hAnsi="Arial" w:cs="Arial"/>
          <w:i/>
          <w:iCs/>
          <w:color w:val="000000" w:themeColor="text1"/>
          <w:sz w:val="24"/>
          <w:szCs w:val="24"/>
          <w:lang w:val="en-US"/>
        </w:rPr>
        <w:t>AKZO [19</w:t>
      </w:r>
      <w:r w:rsidR="00147966" w:rsidRPr="00DA6E62">
        <w:rPr>
          <w:rFonts w:ascii="Arial" w:hAnsi="Arial" w:cs="Arial"/>
          <w:i/>
          <w:iCs/>
          <w:color w:val="000000" w:themeColor="text1"/>
          <w:sz w:val="24"/>
          <w:szCs w:val="24"/>
          <w:lang w:val="en-US"/>
        </w:rPr>
        <w:t>91</w:t>
      </w:r>
      <w:r w:rsidR="001D687D" w:rsidRPr="00DA6E62">
        <w:rPr>
          <w:rFonts w:ascii="Arial" w:hAnsi="Arial" w:cs="Arial"/>
          <w:i/>
          <w:iCs/>
          <w:color w:val="000000" w:themeColor="text1"/>
          <w:sz w:val="24"/>
          <w:szCs w:val="24"/>
          <w:lang w:val="en-US"/>
        </w:rPr>
        <w:t>].</w:t>
      </w:r>
      <w:r w:rsidR="006F7C37" w:rsidRPr="00DA6E62">
        <w:rPr>
          <w:rFonts w:ascii="Arial" w:hAnsi="Arial" w:cs="Arial"/>
          <w:i/>
          <w:iCs/>
          <w:color w:val="000000" w:themeColor="text1"/>
          <w:sz w:val="24"/>
          <w:szCs w:val="24"/>
          <w:lang w:val="en-US"/>
        </w:rPr>
        <w:t xml:space="preserve"> </w:t>
      </w:r>
      <w:r w:rsidR="006F7C37" w:rsidRPr="00DA6E62">
        <w:rPr>
          <w:rFonts w:ascii="Arial" w:hAnsi="Arial" w:cs="Arial"/>
          <w:color w:val="000000" w:themeColor="text1"/>
          <w:sz w:val="24"/>
          <w:szCs w:val="24"/>
          <w:lang w:val="en-US"/>
        </w:rPr>
        <w:t xml:space="preserve">However, </w:t>
      </w:r>
      <w:r w:rsidR="00BE713B" w:rsidRPr="00DA6E62">
        <w:rPr>
          <w:rFonts w:ascii="Arial" w:hAnsi="Arial" w:cs="Arial"/>
          <w:color w:val="000000" w:themeColor="text1"/>
          <w:sz w:val="24"/>
          <w:szCs w:val="24"/>
          <w:lang w:val="en-US"/>
        </w:rPr>
        <w:t xml:space="preserve">an undertaking can still be </w:t>
      </w:r>
      <w:r w:rsidR="006F3047" w:rsidRPr="00DA6E62">
        <w:rPr>
          <w:rFonts w:ascii="Arial" w:hAnsi="Arial" w:cs="Arial"/>
          <w:color w:val="000000" w:themeColor="text1"/>
          <w:sz w:val="24"/>
          <w:szCs w:val="24"/>
          <w:lang w:val="en-US"/>
        </w:rPr>
        <w:t>in a dominant position with less than a 50% share</w:t>
      </w:r>
      <w:r w:rsidR="00DE7F6B" w:rsidRPr="00DA6E62">
        <w:rPr>
          <w:rFonts w:ascii="Arial" w:hAnsi="Arial" w:cs="Arial"/>
          <w:color w:val="000000" w:themeColor="text1"/>
          <w:sz w:val="24"/>
          <w:szCs w:val="24"/>
          <w:lang w:val="en-US"/>
        </w:rPr>
        <w:t>,</w:t>
      </w:r>
      <w:r w:rsidR="006F3047" w:rsidRPr="00DA6E62">
        <w:rPr>
          <w:rFonts w:ascii="Arial" w:hAnsi="Arial" w:cs="Arial"/>
          <w:color w:val="000000" w:themeColor="text1"/>
          <w:sz w:val="24"/>
          <w:szCs w:val="24"/>
          <w:lang w:val="en-US"/>
        </w:rPr>
        <w:t xml:space="preserve"> </w:t>
      </w:r>
      <w:r w:rsidR="00DE7F6B" w:rsidRPr="00DA6E62">
        <w:rPr>
          <w:rFonts w:ascii="Arial" w:hAnsi="Arial" w:cs="Arial"/>
          <w:color w:val="000000" w:themeColor="text1"/>
          <w:sz w:val="24"/>
          <w:szCs w:val="24"/>
          <w:lang w:val="en-US"/>
        </w:rPr>
        <w:t>i</w:t>
      </w:r>
      <w:r w:rsidR="006F3047" w:rsidRPr="00DA6E62">
        <w:rPr>
          <w:rFonts w:ascii="Arial" w:hAnsi="Arial" w:cs="Arial"/>
          <w:color w:val="000000" w:themeColor="text1"/>
          <w:sz w:val="24"/>
          <w:szCs w:val="24"/>
          <w:lang w:val="en-US"/>
        </w:rPr>
        <w:t>f the market is highly fragment</w:t>
      </w:r>
      <w:r w:rsidR="00D403E5" w:rsidRPr="00DA6E62">
        <w:rPr>
          <w:rFonts w:ascii="Arial" w:hAnsi="Arial" w:cs="Arial"/>
          <w:color w:val="000000" w:themeColor="text1"/>
          <w:sz w:val="24"/>
          <w:szCs w:val="24"/>
          <w:lang w:val="en-US"/>
        </w:rPr>
        <w:t>e</w:t>
      </w:r>
      <w:r w:rsidR="006F3047" w:rsidRPr="00DA6E62">
        <w:rPr>
          <w:rFonts w:ascii="Arial" w:hAnsi="Arial" w:cs="Arial"/>
          <w:color w:val="000000" w:themeColor="text1"/>
          <w:sz w:val="24"/>
          <w:szCs w:val="24"/>
          <w:lang w:val="en-US"/>
        </w:rPr>
        <w:t>d</w:t>
      </w:r>
      <w:r w:rsidR="00E60F54" w:rsidRPr="00DA6E62">
        <w:rPr>
          <w:rFonts w:ascii="Arial" w:hAnsi="Arial" w:cs="Arial"/>
          <w:color w:val="000000" w:themeColor="text1"/>
          <w:sz w:val="24"/>
          <w:szCs w:val="24"/>
          <w:lang w:val="en-US"/>
        </w:rPr>
        <w:t>;</w:t>
      </w:r>
      <w:r w:rsidR="00D403E5" w:rsidRPr="00DA6E62">
        <w:rPr>
          <w:rFonts w:ascii="Arial" w:hAnsi="Arial" w:cs="Arial"/>
          <w:color w:val="000000" w:themeColor="text1"/>
          <w:sz w:val="24"/>
          <w:szCs w:val="24"/>
          <w:lang w:val="en-US"/>
        </w:rPr>
        <w:t xml:space="preserve"> </w:t>
      </w:r>
      <w:r w:rsidR="00D403E5" w:rsidRPr="00DA6E62">
        <w:rPr>
          <w:rFonts w:ascii="Arial" w:hAnsi="Arial" w:cs="Arial"/>
          <w:i/>
          <w:iCs/>
          <w:color w:val="000000" w:themeColor="text1"/>
          <w:sz w:val="24"/>
          <w:szCs w:val="24"/>
          <w:lang w:val="en-US"/>
        </w:rPr>
        <w:t xml:space="preserve">United Brands [1976] </w:t>
      </w:r>
      <w:r w:rsidR="00D403E5" w:rsidRPr="00DA6E62">
        <w:rPr>
          <w:rFonts w:ascii="Arial" w:hAnsi="Arial" w:cs="Arial"/>
          <w:color w:val="000000" w:themeColor="text1"/>
          <w:sz w:val="24"/>
          <w:szCs w:val="24"/>
          <w:lang w:val="en-US"/>
        </w:rPr>
        <w:t>(</w:t>
      </w:r>
      <w:r w:rsidR="000D7FDF" w:rsidRPr="00DA6E62">
        <w:rPr>
          <w:rFonts w:ascii="Arial" w:hAnsi="Arial" w:cs="Arial"/>
          <w:color w:val="000000" w:themeColor="text1"/>
          <w:sz w:val="24"/>
          <w:szCs w:val="24"/>
          <w:lang w:val="en-US"/>
        </w:rPr>
        <w:t>LLB, 2020, pp.56-59</w:t>
      </w:r>
      <w:r w:rsidR="00D403E5" w:rsidRPr="00DA6E62">
        <w:rPr>
          <w:rFonts w:ascii="Arial" w:hAnsi="Arial" w:cs="Arial"/>
          <w:color w:val="000000" w:themeColor="text1"/>
          <w:sz w:val="24"/>
          <w:szCs w:val="24"/>
          <w:lang w:val="en-US"/>
        </w:rPr>
        <w:t>)</w:t>
      </w:r>
      <w:r w:rsidR="00D403E5" w:rsidRPr="00DA6E62">
        <w:rPr>
          <w:rFonts w:ascii="Arial" w:hAnsi="Arial" w:cs="Arial"/>
          <w:i/>
          <w:iCs/>
          <w:color w:val="000000" w:themeColor="text1"/>
          <w:sz w:val="24"/>
          <w:szCs w:val="24"/>
          <w:lang w:val="en-US"/>
        </w:rPr>
        <w:t>.</w:t>
      </w:r>
      <w:r w:rsidR="00127C13" w:rsidRPr="00DA6E62">
        <w:rPr>
          <w:rFonts w:ascii="Arial" w:hAnsi="Arial" w:cs="Arial"/>
          <w:i/>
          <w:iCs/>
          <w:color w:val="000000" w:themeColor="text1"/>
          <w:sz w:val="24"/>
          <w:szCs w:val="24"/>
          <w:lang w:val="en-US"/>
        </w:rPr>
        <w:t xml:space="preserve"> </w:t>
      </w:r>
      <w:r w:rsidR="00D43A28" w:rsidRPr="00DA6E62">
        <w:rPr>
          <w:rFonts w:ascii="Arial" w:hAnsi="Arial" w:cs="Arial"/>
          <w:color w:val="000000" w:themeColor="text1"/>
          <w:sz w:val="24"/>
          <w:szCs w:val="24"/>
          <w:lang w:val="en-US"/>
        </w:rPr>
        <w:t>The Commission and Courts also take into account a range of o</w:t>
      </w:r>
      <w:r w:rsidR="003A3E20" w:rsidRPr="00DA6E62">
        <w:rPr>
          <w:rFonts w:ascii="Arial" w:hAnsi="Arial" w:cs="Arial"/>
          <w:color w:val="000000" w:themeColor="text1"/>
          <w:sz w:val="24"/>
          <w:szCs w:val="24"/>
          <w:lang w:val="en-US"/>
        </w:rPr>
        <w:t xml:space="preserve">ther factors </w:t>
      </w:r>
      <w:r w:rsidR="00D43A28" w:rsidRPr="00DA6E62">
        <w:rPr>
          <w:rFonts w:ascii="Arial" w:hAnsi="Arial" w:cs="Arial"/>
          <w:color w:val="000000" w:themeColor="text1"/>
          <w:sz w:val="24"/>
          <w:szCs w:val="24"/>
          <w:lang w:val="en-US"/>
        </w:rPr>
        <w:t xml:space="preserve">when considering </w:t>
      </w:r>
      <w:r w:rsidR="00826DB4" w:rsidRPr="00DA6E62">
        <w:rPr>
          <w:rFonts w:ascii="Arial" w:hAnsi="Arial" w:cs="Arial"/>
          <w:color w:val="000000" w:themeColor="text1"/>
          <w:sz w:val="24"/>
          <w:szCs w:val="24"/>
          <w:lang w:val="en-US"/>
        </w:rPr>
        <w:t>whether an undertaking is in a position of dominance</w:t>
      </w:r>
      <w:r w:rsidR="00575AEA" w:rsidRPr="00DA6E62">
        <w:rPr>
          <w:rFonts w:ascii="Arial" w:hAnsi="Arial" w:cs="Arial"/>
          <w:color w:val="000000" w:themeColor="text1"/>
          <w:sz w:val="24"/>
          <w:szCs w:val="24"/>
          <w:lang w:val="en-US"/>
        </w:rPr>
        <w:t xml:space="preserve"> such as barriers to entry</w:t>
      </w:r>
      <w:r w:rsidR="004A037E" w:rsidRPr="00DA6E62">
        <w:rPr>
          <w:rFonts w:ascii="Arial" w:hAnsi="Arial" w:cs="Arial"/>
          <w:color w:val="000000" w:themeColor="text1"/>
          <w:sz w:val="24"/>
          <w:szCs w:val="24"/>
          <w:lang w:val="en-US"/>
        </w:rPr>
        <w:t xml:space="preserve"> (</w:t>
      </w:r>
      <w:r w:rsidR="00D03032" w:rsidRPr="00DA6E62">
        <w:rPr>
          <w:rFonts w:ascii="Arial" w:hAnsi="Arial" w:cs="Arial"/>
          <w:i/>
          <w:iCs/>
          <w:color w:val="000000" w:themeColor="text1"/>
          <w:sz w:val="24"/>
          <w:szCs w:val="24"/>
          <w:lang w:val="en-US"/>
        </w:rPr>
        <w:t>Hugin [1979]</w:t>
      </w:r>
      <w:r w:rsidR="004A037E" w:rsidRPr="00DA6E62">
        <w:rPr>
          <w:rFonts w:ascii="Arial" w:hAnsi="Arial" w:cs="Arial"/>
          <w:color w:val="000000" w:themeColor="text1"/>
          <w:sz w:val="24"/>
          <w:szCs w:val="24"/>
          <w:lang w:val="en-US"/>
        </w:rPr>
        <w:t>)</w:t>
      </w:r>
      <w:r w:rsidR="002709A1" w:rsidRPr="00DA6E62">
        <w:rPr>
          <w:rFonts w:ascii="Arial" w:hAnsi="Arial" w:cs="Arial"/>
          <w:color w:val="000000" w:themeColor="text1"/>
          <w:sz w:val="24"/>
          <w:szCs w:val="24"/>
          <w:lang w:val="en-US"/>
        </w:rPr>
        <w:t>, wealth of capital</w:t>
      </w:r>
      <w:r w:rsidR="004A037E" w:rsidRPr="00DA6E62">
        <w:rPr>
          <w:rFonts w:ascii="Arial" w:hAnsi="Arial" w:cs="Arial"/>
          <w:color w:val="000000" w:themeColor="text1"/>
          <w:sz w:val="24"/>
          <w:szCs w:val="24"/>
          <w:lang w:val="en-US"/>
        </w:rPr>
        <w:t xml:space="preserve"> (</w:t>
      </w:r>
      <w:r w:rsidR="00D03032" w:rsidRPr="00DA6E62">
        <w:rPr>
          <w:rFonts w:ascii="Arial" w:hAnsi="Arial" w:cs="Arial"/>
          <w:i/>
          <w:iCs/>
          <w:color w:val="000000" w:themeColor="text1"/>
          <w:sz w:val="24"/>
          <w:szCs w:val="24"/>
          <w:lang w:val="en-US"/>
        </w:rPr>
        <w:t>AKZO [</w:t>
      </w:r>
      <w:r w:rsidR="00A55BA1" w:rsidRPr="00DA6E62">
        <w:rPr>
          <w:rFonts w:ascii="Arial" w:hAnsi="Arial" w:cs="Arial"/>
          <w:i/>
          <w:iCs/>
          <w:color w:val="000000" w:themeColor="text1"/>
          <w:sz w:val="24"/>
          <w:szCs w:val="24"/>
          <w:lang w:val="en-US"/>
        </w:rPr>
        <w:t>1986]</w:t>
      </w:r>
      <w:r w:rsidR="004A037E" w:rsidRPr="00DA6E62">
        <w:rPr>
          <w:rFonts w:ascii="Arial" w:hAnsi="Arial" w:cs="Arial"/>
          <w:color w:val="000000" w:themeColor="text1"/>
          <w:sz w:val="24"/>
          <w:szCs w:val="24"/>
          <w:lang w:val="en-US"/>
        </w:rPr>
        <w:t>)</w:t>
      </w:r>
      <w:r w:rsidR="002709A1" w:rsidRPr="00DA6E62">
        <w:rPr>
          <w:rFonts w:ascii="Arial" w:hAnsi="Arial" w:cs="Arial"/>
          <w:color w:val="000000" w:themeColor="text1"/>
          <w:sz w:val="24"/>
          <w:szCs w:val="24"/>
          <w:lang w:val="en-US"/>
        </w:rPr>
        <w:t xml:space="preserve"> and </w:t>
      </w:r>
      <w:r w:rsidR="004C6116" w:rsidRPr="00DA6E62">
        <w:rPr>
          <w:rFonts w:ascii="Arial" w:hAnsi="Arial" w:cs="Arial"/>
          <w:color w:val="000000" w:themeColor="text1"/>
          <w:sz w:val="24"/>
          <w:szCs w:val="24"/>
          <w:lang w:val="en-US"/>
        </w:rPr>
        <w:t>technology</w:t>
      </w:r>
      <w:r w:rsidR="004A037E" w:rsidRPr="00DA6E62">
        <w:rPr>
          <w:rFonts w:ascii="Arial" w:hAnsi="Arial" w:cs="Arial"/>
          <w:color w:val="000000" w:themeColor="text1"/>
          <w:sz w:val="24"/>
          <w:szCs w:val="24"/>
          <w:lang w:val="en-US"/>
        </w:rPr>
        <w:t xml:space="preserve"> (</w:t>
      </w:r>
      <w:r w:rsidR="007862E4" w:rsidRPr="00DA6E62">
        <w:rPr>
          <w:rFonts w:ascii="Arial" w:hAnsi="Arial" w:cs="Arial"/>
          <w:i/>
          <w:iCs/>
          <w:color w:val="000000" w:themeColor="text1"/>
          <w:sz w:val="24"/>
          <w:szCs w:val="24"/>
          <w:lang w:val="en-US"/>
        </w:rPr>
        <w:t>Hoffman</w:t>
      </w:r>
      <w:r w:rsidR="0056359F" w:rsidRPr="00DA6E62">
        <w:rPr>
          <w:rFonts w:ascii="Arial" w:hAnsi="Arial" w:cs="Arial"/>
          <w:i/>
          <w:iCs/>
          <w:color w:val="000000" w:themeColor="text1"/>
          <w:sz w:val="24"/>
          <w:szCs w:val="24"/>
          <w:lang w:val="en-US"/>
        </w:rPr>
        <w:t xml:space="preserve"> L</w:t>
      </w:r>
      <w:r w:rsidR="007862E4" w:rsidRPr="00DA6E62">
        <w:rPr>
          <w:rFonts w:ascii="Arial" w:hAnsi="Arial" w:cs="Arial"/>
          <w:i/>
          <w:iCs/>
          <w:color w:val="000000" w:themeColor="text1"/>
          <w:sz w:val="24"/>
          <w:szCs w:val="24"/>
          <w:lang w:val="en-US"/>
        </w:rPr>
        <w:t>a-Roche [</w:t>
      </w:r>
      <w:r w:rsidR="00F91818" w:rsidRPr="00DA6E62">
        <w:rPr>
          <w:rFonts w:ascii="Arial" w:hAnsi="Arial" w:cs="Arial"/>
          <w:i/>
          <w:iCs/>
          <w:color w:val="000000" w:themeColor="text1"/>
          <w:sz w:val="24"/>
          <w:szCs w:val="24"/>
          <w:lang w:val="en-US"/>
        </w:rPr>
        <w:t>197</w:t>
      </w:r>
      <w:r w:rsidR="008733F8" w:rsidRPr="00DA6E62">
        <w:rPr>
          <w:rFonts w:ascii="Arial" w:hAnsi="Arial" w:cs="Arial"/>
          <w:i/>
          <w:iCs/>
          <w:color w:val="000000" w:themeColor="text1"/>
          <w:sz w:val="24"/>
          <w:szCs w:val="24"/>
          <w:lang w:val="en-US"/>
        </w:rPr>
        <w:t>9</w:t>
      </w:r>
      <w:r w:rsidR="00F91818" w:rsidRPr="00DA6E62">
        <w:rPr>
          <w:rFonts w:ascii="Arial" w:hAnsi="Arial" w:cs="Arial"/>
          <w:i/>
          <w:iCs/>
          <w:color w:val="000000" w:themeColor="text1"/>
          <w:sz w:val="24"/>
          <w:szCs w:val="24"/>
          <w:lang w:val="en-US"/>
        </w:rPr>
        <w:t>]</w:t>
      </w:r>
      <w:r w:rsidR="004A037E" w:rsidRPr="00DA6E62">
        <w:rPr>
          <w:rFonts w:ascii="Arial" w:hAnsi="Arial" w:cs="Arial"/>
          <w:color w:val="000000" w:themeColor="text1"/>
          <w:sz w:val="24"/>
          <w:szCs w:val="24"/>
          <w:lang w:val="en-US"/>
        </w:rPr>
        <w:t>) (</w:t>
      </w:r>
      <w:r w:rsidR="00130A98" w:rsidRPr="00DA6E62">
        <w:rPr>
          <w:rFonts w:ascii="Arial" w:hAnsi="Arial" w:cs="Arial"/>
          <w:color w:val="000000" w:themeColor="text1"/>
          <w:sz w:val="24"/>
          <w:szCs w:val="24"/>
          <w:lang w:val="en-US"/>
        </w:rPr>
        <w:t>LLB, 2020, pp.106</w:t>
      </w:r>
      <w:r w:rsidR="004A037E" w:rsidRPr="00DA6E62">
        <w:rPr>
          <w:rFonts w:ascii="Arial" w:hAnsi="Arial" w:cs="Arial"/>
          <w:color w:val="000000" w:themeColor="text1"/>
          <w:sz w:val="24"/>
          <w:szCs w:val="24"/>
          <w:lang w:val="en-US"/>
        </w:rPr>
        <w:t>)</w:t>
      </w:r>
      <w:r w:rsidR="004C6116" w:rsidRPr="00DA6E62">
        <w:rPr>
          <w:rFonts w:ascii="Arial" w:hAnsi="Arial" w:cs="Arial"/>
          <w:color w:val="000000" w:themeColor="text1"/>
          <w:sz w:val="24"/>
          <w:szCs w:val="24"/>
          <w:lang w:val="en-US"/>
        </w:rPr>
        <w:t xml:space="preserve">. </w:t>
      </w:r>
    </w:p>
    <w:p w14:paraId="23677EBF" w14:textId="77777777" w:rsidR="00D40F77" w:rsidRPr="00DA6E62" w:rsidRDefault="00D40F77" w:rsidP="006D7763">
      <w:pPr>
        <w:spacing w:line="480" w:lineRule="auto"/>
        <w:jc w:val="both"/>
        <w:rPr>
          <w:rFonts w:ascii="Arial" w:hAnsi="Arial" w:cs="Arial"/>
          <w:i/>
          <w:iCs/>
          <w:color w:val="000000" w:themeColor="text1"/>
          <w:sz w:val="24"/>
          <w:szCs w:val="24"/>
          <w:lang w:val="en-US"/>
        </w:rPr>
      </w:pPr>
    </w:p>
    <w:p w14:paraId="6A80E911" w14:textId="0EC7324C" w:rsidR="001C63B4" w:rsidRPr="001F5EEA" w:rsidRDefault="00712FFB" w:rsidP="006D7763">
      <w:pPr>
        <w:spacing w:line="480" w:lineRule="auto"/>
        <w:jc w:val="both"/>
        <w:rPr>
          <w:rFonts w:ascii="Arial" w:hAnsi="Arial" w:cs="Arial"/>
          <w:color w:val="000000" w:themeColor="text1"/>
          <w:sz w:val="24"/>
          <w:szCs w:val="24"/>
          <w:lang w:val="en-US"/>
        </w:rPr>
      </w:pPr>
      <w:r w:rsidRPr="001F5EEA">
        <w:rPr>
          <w:rFonts w:ascii="Arial" w:hAnsi="Arial" w:cs="Arial"/>
          <w:color w:val="000000" w:themeColor="text1"/>
          <w:sz w:val="24"/>
          <w:szCs w:val="24"/>
          <w:lang w:val="en-US"/>
        </w:rPr>
        <w:lastRenderedPageBreak/>
        <w:t xml:space="preserve">Usually, the undertaking argues that it operates within a wide market, illustrated in </w:t>
      </w:r>
      <w:r w:rsidRPr="001F5EEA">
        <w:rPr>
          <w:rFonts w:ascii="Arial" w:hAnsi="Arial" w:cs="Arial"/>
          <w:i/>
          <w:iCs/>
          <w:color w:val="000000" w:themeColor="text1"/>
          <w:sz w:val="24"/>
          <w:szCs w:val="24"/>
          <w:lang w:val="en-US"/>
        </w:rPr>
        <w:t>United Brands [1978],</w:t>
      </w:r>
      <w:r w:rsidRPr="001F5EEA">
        <w:rPr>
          <w:rFonts w:ascii="Arial" w:hAnsi="Arial" w:cs="Arial"/>
          <w:color w:val="000000" w:themeColor="text1"/>
          <w:sz w:val="24"/>
          <w:szCs w:val="24"/>
          <w:lang w:val="en-US"/>
        </w:rPr>
        <w:t xml:space="preserve"> however, the Commission favours adopting a narrow market which in turn makes it easier to conclude that an undertaking is dominant under Art 102 (Craig and Burca, 2015, pp.1056). </w:t>
      </w:r>
      <w:r w:rsidR="00042A5C" w:rsidRPr="001F5EEA">
        <w:rPr>
          <w:rFonts w:ascii="Arial" w:hAnsi="Arial" w:cs="Arial"/>
          <w:color w:val="000000" w:themeColor="text1"/>
          <w:sz w:val="24"/>
          <w:szCs w:val="24"/>
          <w:lang w:val="en-US"/>
        </w:rPr>
        <w:t>An</w:t>
      </w:r>
      <w:r w:rsidR="00915972" w:rsidRPr="001F5EEA">
        <w:rPr>
          <w:rFonts w:ascii="Arial" w:hAnsi="Arial" w:cs="Arial"/>
          <w:color w:val="000000" w:themeColor="text1"/>
          <w:sz w:val="24"/>
          <w:szCs w:val="24"/>
          <w:lang w:val="en-US"/>
        </w:rPr>
        <w:t xml:space="preserve"> adopted definition </w:t>
      </w:r>
      <w:r w:rsidR="00196523">
        <w:rPr>
          <w:rFonts w:ascii="Arial" w:hAnsi="Arial" w:cs="Arial"/>
          <w:color w:val="000000" w:themeColor="text1"/>
          <w:sz w:val="24"/>
          <w:szCs w:val="24"/>
          <w:lang w:val="en-US"/>
        </w:rPr>
        <w:t xml:space="preserve">that </w:t>
      </w:r>
      <w:r w:rsidR="00915972" w:rsidRPr="001F5EEA">
        <w:rPr>
          <w:rFonts w:ascii="Arial" w:hAnsi="Arial" w:cs="Arial"/>
          <w:color w:val="000000" w:themeColor="text1"/>
          <w:sz w:val="24"/>
          <w:szCs w:val="24"/>
          <w:lang w:val="en-US"/>
        </w:rPr>
        <w:t>the Commission ha</w:t>
      </w:r>
      <w:r w:rsidR="00B66F8E">
        <w:rPr>
          <w:rFonts w:ascii="Arial" w:hAnsi="Arial" w:cs="Arial"/>
          <w:color w:val="000000" w:themeColor="text1"/>
          <w:sz w:val="24"/>
          <w:szCs w:val="24"/>
          <w:lang w:val="en-US"/>
        </w:rPr>
        <w:t>s</w:t>
      </w:r>
      <w:r w:rsidR="00915972" w:rsidRPr="001F5EEA">
        <w:rPr>
          <w:rFonts w:ascii="Arial" w:hAnsi="Arial" w:cs="Arial"/>
          <w:color w:val="000000" w:themeColor="text1"/>
          <w:sz w:val="24"/>
          <w:szCs w:val="24"/>
          <w:lang w:val="en-US"/>
        </w:rPr>
        <w:t xml:space="preserve"> been criticised for as being ‘too narrow’ (</w:t>
      </w:r>
      <w:r w:rsidR="00A1228B" w:rsidRPr="001F5EEA">
        <w:rPr>
          <w:rFonts w:ascii="Arial" w:hAnsi="Arial" w:cs="Arial"/>
          <w:color w:val="000000" w:themeColor="text1"/>
          <w:sz w:val="24"/>
          <w:szCs w:val="24"/>
          <w:lang w:val="en-US"/>
        </w:rPr>
        <w:t>Hedlund, 2007).</w:t>
      </w:r>
      <w:r w:rsidR="00915972" w:rsidRPr="001F5EEA">
        <w:rPr>
          <w:rFonts w:ascii="Arial" w:hAnsi="Arial" w:cs="Arial"/>
          <w:color w:val="000000" w:themeColor="text1"/>
          <w:sz w:val="24"/>
          <w:szCs w:val="24"/>
          <w:lang w:val="en-US"/>
        </w:rPr>
        <w:t xml:space="preserve"> </w:t>
      </w:r>
      <w:r w:rsidRPr="001F5EEA">
        <w:rPr>
          <w:rFonts w:ascii="Arial" w:hAnsi="Arial" w:cs="Arial"/>
          <w:color w:val="000000" w:themeColor="text1"/>
          <w:sz w:val="24"/>
          <w:szCs w:val="24"/>
          <w:lang w:val="en-US"/>
        </w:rPr>
        <w:t xml:space="preserve">If markets are defined too narrowly in either product or geographic terms, meaningful competition may be excluded from evaluation tests. Comparatively, if the markets are too broadly defined the degree of competition may be overstated (Eur-Lex, 2011). </w:t>
      </w:r>
    </w:p>
    <w:p w14:paraId="69591D70" w14:textId="77777777" w:rsidR="00AE2AE7" w:rsidRPr="002D6620" w:rsidRDefault="00AE2AE7" w:rsidP="006D7763">
      <w:pPr>
        <w:spacing w:line="480" w:lineRule="auto"/>
        <w:jc w:val="both"/>
        <w:rPr>
          <w:rFonts w:ascii="Arial" w:hAnsi="Arial" w:cs="Arial"/>
          <w:color w:val="000000" w:themeColor="text1"/>
          <w:sz w:val="24"/>
          <w:szCs w:val="24"/>
          <w:lang w:val="en-US"/>
        </w:rPr>
      </w:pPr>
    </w:p>
    <w:p w14:paraId="3B63701F" w14:textId="1117F8F3" w:rsidR="000E6E2D" w:rsidRPr="00E77733" w:rsidRDefault="00AE2AE7" w:rsidP="006D7763">
      <w:pPr>
        <w:spacing w:line="480" w:lineRule="auto"/>
        <w:jc w:val="both"/>
        <w:rPr>
          <w:rFonts w:ascii="Arial" w:hAnsi="Arial" w:cs="Arial"/>
          <w:color w:val="00B050"/>
          <w:sz w:val="24"/>
          <w:szCs w:val="24"/>
          <w:lang w:val="en-US"/>
        </w:rPr>
      </w:pPr>
      <w:r w:rsidRPr="002D6620">
        <w:rPr>
          <w:rFonts w:ascii="Arial" w:hAnsi="Arial" w:cs="Arial"/>
          <w:color w:val="000000" w:themeColor="text1"/>
          <w:sz w:val="24"/>
          <w:szCs w:val="24"/>
          <w:lang w:val="en-US"/>
        </w:rPr>
        <w:t xml:space="preserve">The relevant geographic market </w:t>
      </w:r>
      <w:r w:rsidR="00C07446" w:rsidRPr="002D6620">
        <w:rPr>
          <w:rFonts w:ascii="Arial" w:hAnsi="Arial" w:cs="Arial"/>
          <w:color w:val="000000" w:themeColor="text1"/>
          <w:sz w:val="24"/>
          <w:szCs w:val="24"/>
          <w:lang w:val="en-US"/>
        </w:rPr>
        <w:t xml:space="preserve">is the geographical territory </w:t>
      </w:r>
      <w:r w:rsidR="009947D4" w:rsidRPr="002D6620">
        <w:rPr>
          <w:rFonts w:ascii="Arial" w:hAnsi="Arial" w:cs="Arial"/>
          <w:color w:val="000000" w:themeColor="text1"/>
          <w:sz w:val="24"/>
          <w:szCs w:val="24"/>
          <w:lang w:val="en-US"/>
        </w:rPr>
        <w:t xml:space="preserve">in which </w:t>
      </w:r>
      <w:r w:rsidR="008D092B" w:rsidRPr="002D6620">
        <w:rPr>
          <w:rFonts w:ascii="Arial" w:hAnsi="Arial" w:cs="Arial"/>
          <w:color w:val="000000" w:themeColor="text1"/>
          <w:sz w:val="24"/>
          <w:szCs w:val="24"/>
          <w:lang w:val="en-US"/>
        </w:rPr>
        <w:t xml:space="preserve">the undertakings </w:t>
      </w:r>
      <w:r w:rsidR="007F5B25" w:rsidRPr="002D6620">
        <w:rPr>
          <w:rFonts w:ascii="Arial" w:hAnsi="Arial" w:cs="Arial"/>
          <w:color w:val="000000" w:themeColor="text1"/>
          <w:sz w:val="24"/>
          <w:szCs w:val="24"/>
          <w:lang w:val="en-US"/>
        </w:rPr>
        <w:t xml:space="preserve">operate </w:t>
      </w:r>
      <w:r w:rsidRPr="002D6620">
        <w:rPr>
          <w:rFonts w:ascii="Arial" w:hAnsi="Arial" w:cs="Arial"/>
          <w:color w:val="000000" w:themeColor="text1"/>
          <w:sz w:val="24"/>
          <w:szCs w:val="24"/>
          <w:lang w:val="en-US"/>
        </w:rPr>
        <w:t>in the supply and demand of products or services, in which the trading conditions are sufficiently homogeneous for all traders, but are appreciably different and distinguish</w:t>
      </w:r>
      <w:r w:rsidR="00DA2BE3" w:rsidRPr="002D6620">
        <w:rPr>
          <w:rFonts w:ascii="Arial" w:hAnsi="Arial" w:cs="Arial"/>
          <w:color w:val="000000" w:themeColor="text1"/>
          <w:sz w:val="24"/>
          <w:szCs w:val="24"/>
          <w:lang w:val="en-US"/>
        </w:rPr>
        <w:t>able</w:t>
      </w:r>
      <w:r w:rsidRPr="002D6620">
        <w:rPr>
          <w:rFonts w:ascii="Arial" w:hAnsi="Arial" w:cs="Arial"/>
          <w:color w:val="000000" w:themeColor="text1"/>
          <w:sz w:val="24"/>
          <w:szCs w:val="24"/>
          <w:lang w:val="en-US"/>
        </w:rPr>
        <w:t xml:space="preserve"> from the conditions in </w:t>
      </w:r>
      <w:proofErr w:type="spellStart"/>
      <w:r w:rsidRPr="002D6620">
        <w:rPr>
          <w:rFonts w:ascii="Arial" w:hAnsi="Arial" w:cs="Arial"/>
          <w:color w:val="000000" w:themeColor="text1"/>
          <w:sz w:val="24"/>
          <w:szCs w:val="24"/>
          <w:lang w:val="en-US"/>
        </w:rPr>
        <w:t>neighbouring</w:t>
      </w:r>
      <w:proofErr w:type="spellEnd"/>
      <w:r w:rsidRPr="002D6620">
        <w:rPr>
          <w:rFonts w:ascii="Arial" w:hAnsi="Arial" w:cs="Arial"/>
          <w:color w:val="000000" w:themeColor="text1"/>
          <w:sz w:val="24"/>
          <w:szCs w:val="24"/>
          <w:lang w:val="en-US"/>
        </w:rPr>
        <w:t xml:space="preserve"> areas; </w:t>
      </w:r>
      <w:r w:rsidRPr="002D6620">
        <w:rPr>
          <w:rFonts w:ascii="Arial" w:hAnsi="Arial" w:cs="Arial"/>
          <w:i/>
          <w:iCs/>
          <w:color w:val="000000" w:themeColor="text1"/>
          <w:sz w:val="24"/>
          <w:szCs w:val="24"/>
          <w:lang w:val="en-US"/>
        </w:rPr>
        <w:t xml:space="preserve">United Brands [1978] </w:t>
      </w:r>
      <w:r w:rsidRPr="002D6620">
        <w:rPr>
          <w:rFonts w:ascii="Arial" w:hAnsi="Arial" w:cs="Arial"/>
          <w:color w:val="000000" w:themeColor="text1"/>
          <w:sz w:val="24"/>
          <w:szCs w:val="24"/>
          <w:lang w:val="en-US"/>
        </w:rPr>
        <w:t>(Galindo, 2007).</w:t>
      </w:r>
      <w:r w:rsidR="003559CA" w:rsidRPr="002D6620">
        <w:rPr>
          <w:rFonts w:ascii="Arial" w:hAnsi="Arial" w:cs="Arial"/>
          <w:color w:val="000000" w:themeColor="text1"/>
          <w:sz w:val="24"/>
          <w:szCs w:val="24"/>
          <w:lang w:val="en-US"/>
        </w:rPr>
        <w:t xml:space="preserve"> </w:t>
      </w:r>
      <w:r w:rsidR="009477E2" w:rsidRPr="002D6620">
        <w:rPr>
          <w:rFonts w:ascii="Arial" w:hAnsi="Arial" w:cs="Arial"/>
          <w:color w:val="000000" w:themeColor="text1"/>
          <w:sz w:val="24"/>
          <w:szCs w:val="24"/>
          <w:lang w:val="en-US"/>
        </w:rPr>
        <w:t>RGM is based on two key factors; the area in which products are being sold and consumer access</w:t>
      </w:r>
      <w:r w:rsidR="0077521B" w:rsidRPr="002D6620">
        <w:rPr>
          <w:rFonts w:ascii="Arial" w:hAnsi="Arial" w:cs="Arial"/>
          <w:color w:val="000000" w:themeColor="text1"/>
          <w:sz w:val="24"/>
          <w:szCs w:val="24"/>
          <w:lang w:val="en-US"/>
        </w:rPr>
        <w:t xml:space="preserve"> (</w:t>
      </w:r>
      <w:r w:rsidR="008B5EC7" w:rsidRPr="002D6620">
        <w:rPr>
          <w:rFonts w:ascii="Arial" w:hAnsi="Arial" w:cs="Arial"/>
          <w:i/>
          <w:iCs/>
          <w:color w:val="000000" w:themeColor="text1"/>
          <w:sz w:val="24"/>
          <w:szCs w:val="24"/>
          <w:lang w:val="en-US"/>
        </w:rPr>
        <w:t>RTE v Commission [1995]</w:t>
      </w:r>
      <w:r w:rsidR="0077521B" w:rsidRPr="002D6620">
        <w:rPr>
          <w:rFonts w:ascii="Arial" w:hAnsi="Arial" w:cs="Arial"/>
          <w:color w:val="000000" w:themeColor="text1"/>
          <w:sz w:val="24"/>
          <w:szCs w:val="24"/>
          <w:lang w:val="en-US"/>
        </w:rPr>
        <w:t>)</w:t>
      </w:r>
      <w:r w:rsidR="009477E2" w:rsidRPr="002D6620">
        <w:rPr>
          <w:rFonts w:ascii="Arial" w:hAnsi="Arial" w:cs="Arial"/>
          <w:color w:val="000000" w:themeColor="text1"/>
          <w:sz w:val="24"/>
          <w:szCs w:val="24"/>
          <w:lang w:val="en-US"/>
        </w:rPr>
        <w:t xml:space="preserve">. Under Art 102 the undertaking must be dominant within the common market or a substantial part of it, for example, one MS in </w:t>
      </w:r>
      <w:r w:rsidR="009477E2" w:rsidRPr="002D6620">
        <w:rPr>
          <w:rFonts w:ascii="Arial" w:hAnsi="Arial" w:cs="Arial"/>
          <w:i/>
          <w:iCs/>
          <w:color w:val="000000" w:themeColor="text1"/>
          <w:sz w:val="24"/>
          <w:szCs w:val="24"/>
          <w:lang w:val="en-US"/>
        </w:rPr>
        <w:t xml:space="preserve">Michelin [1983] </w:t>
      </w:r>
      <w:r w:rsidR="009477E2" w:rsidRPr="002D6620">
        <w:rPr>
          <w:rFonts w:ascii="Arial" w:hAnsi="Arial" w:cs="Arial"/>
          <w:color w:val="000000" w:themeColor="text1"/>
          <w:sz w:val="24"/>
          <w:szCs w:val="24"/>
          <w:lang w:val="en-US"/>
        </w:rPr>
        <w:t xml:space="preserve">and one particular port in </w:t>
      </w:r>
      <w:r w:rsidR="009477E2" w:rsidRPr="002D6620">
        <w:rPr>
          <w:rFonts w:ascii="Arial" w:hAnsi="Arial" w:cs="Arial"/>
          <w:i/>
          <w:iCs/>
          <w:color w:val="000000" w:themeColor="text1"/>
          <w:sz w:val="24"/>
          <w:szCs w:val="24"/>
          <w:lang w:val="en-US"/>
        </w:rPr>
        <w:t xml:space="preserve">Sealink [1992] </w:t>
      </w:r>
      <w:r w:rsidR="009477E2" w:rsidRPr="002D6620">
        <w:rPr>
          <w:rFonts w:ascii="Arial" w:hAnsi="Arial" w:cs="Arial"/>
          <w:color w:val="000000" w:themeColor="text1"/>
          <w:sz w:val="24"/>
          <w:szCs w:val="24"/>
          <w:lang w:val="en-US"/>
        </w:rPr>
        <w:t xml:space="preserve">(LLB, 2020, pp.105). </w:t>
      </w:r>
    </w:p>
    <w:p w14:paraId="1715F2A3" w14:textId="760905E3" w:rsidR="00162E87" w:rsidRPr="002D6620" w:rsidRDefault="00030B57" w:rsidP="006D7763">
      <w:pPr>
        <w:spacing w:line="480" w:lineRule="auto"/>
        <w:jc w:val="both"/>
        <w:rPr>
          <w:rFonts w:ascii="Arial" w:hAnsi="Arial" w:cs="Arial"/>
          <w:color w:val="000000" w:themeColor="text1"/>
          <w:sz w:val="24"/>
          <w:szCs w:val="24"/>
          <w:lang w:val="en-US"/>
        </w:rPr>
      </w:pPr>
      <w:r w:rsidRPr="002D6620">
        <w:rPr>
          <w:rFonts w:ascii="Arial" w:hAnsi="Arial" w:cs="Arial"/>
          <w:color w:val="000000" w:themeColor="text1"/>
          <w:sz w:val="24"/>
          <w:szCs w:val="24"/>
          <w:lang w:val="en-US"/>
        </w:rPr>
        <w:t xml:space="preserve">The particular nature </w:t>
      </w:r>
      <w:r w:rsidR="00956D7E" w:rsidRPr="002D6620">
        <w:rPr>
          <w:rFonts w:ascii="Arial" w:hAnsi="Arial" w:cs="Arial"/>
          <w:color w:val="000000" w:themeColor="text1"/>
          <w:sz w:val="24"/>
          <w:szCs w:val="24"/>
          <w:lang w:val="en-US"/>
        </w:rPr>
        <w:t>of the services or products must also be considered</w:t>
      </w:r>
      <w:r w:rsidR="00066353" w:rsidRPr="002D6620">
        <w:rPr>
          <w:rFonts w:ascii="Arial" w:hAnsi="Arial" w:cs="Arial"/>
          <w:color w:val="000000" w:themeColor="text1"/>
          <w:sz w:val="24"/>
          <w:szCs w:val="24"/>
          <w:lang w:val="en-US"/>
        </w:rPr>
        <w:t xml:space="preserve"> and factors related</w:t>
      </w:r>
      <w:r w:rsidR="00956D7E" w:rsidRPr="002D6620">
        <w:rPr>
          <w:rFonts w:ascii="Arial" w:hAnsi="Arial" w:cs="Arial"/>
          <w:color w:val="000000" w:themeColor="text1"/>
          <w:sz w:val="24"/>
          <w:szCs w:val="24"/>
          <w:lang w:val="en-US"/>
        </w:rPr>
        <w:t xml:space="preserve"> for </w:t>
      </w:r>
      <w:r w:rsidR="00677A8B">
        <w:rPr>
          <w:rFonts w:ascii="Arial" w:hAnsi="Arial" w:cs="Arial"/>
          <w:color w:val="000000" w:themeColor="text1"/>
          <w:sz w:val="24"/>
          <w:szCs w:val="24"/>
          <w:lang w:val="en-US"/>
        </w:rPr>
        <w:t>instance</w:t>
      </w:r>
      <w:r w:rsidR="00956D7E" w:rsidRPr="002D6620">
        <w:rPr>
          <w:rFonts w:ascii="Arial" w:hAnsi="Arial" w:cs="Arial"/>
          <w:color w:val="000000" w:themeColor="text1"/>
          <w:sz w:val="24"/>
          <w:szCs w:val="24"/>
          <w:lang w:val="en-US"/>
        </w:rPr>
        <w:t>, transportation costs</w:t>
      </w:r>
      <w:r w:rsidR="00B85178" w:rsidRPr="002D6620">
        <w:rPr>
          <w:rFonts w:ascii="Arial" w:hAnsi="Arial" w:cs="Arial"/>
          <w:color w:val="000000" w:themeColor="text1"/>
          <w:sz w:val="24"/>
          <w:szCs w:val="24"/>
          <w:lang w:val="en-US"/>
        </w:rPr>
        <w:t>,</w:t>
      </w:r>
      <w:r w:rsidR="00956D7E" w:rsidRPr="002D6620">
        <w:rPr>
          <w:rFonts w:ascii="Arial" w:hAnsi="Arial" w:cs="Arial"/>
          <w:color w:val="000000" w:themeColor="text1"/>
          <w:sz w:val="24"/>
          <w:szCs w:val="24"/>
          <w:lang w:val="en-US"/>
        </w:rPr>
        <w:t xml:space="preserve"> as these determine the geographical reach of the services or products</w:t>
      </w:r>
      <w:r w:rsidR="009D05B0">
        <w:rPr>
          <w:rFonts w:ascii="Arial" w:hAnsi="Arial" w:cs="Arial"/>
          <w:color w:val="000000" w:themeColor="text1"/>
          <w:sz w:val="24"/>
          <w:szCs w:val="24"/>
          <w:lang w:val="en-US"/>
        </w:rPr>
        <w:t xml:space="preserve"> (</w:t>
      </w:r>
      <w:r w:rsidR="00665B13">
        <w:rPr>
          <w:rFonts w:ascii="Arial" w:hAnsi="Arial" w:cs="Arial"/>
          <w:color w:val="000000" w:themeColor="text1"/>
          <w:sz w:val="24"/>
          <w:szCs w:val="24"/>
          <w:lang w:val="en-US"/>
        </w:rPr>
        <w:t>Hedlund, 2007</w:t>
      </w:r>
      <w:r w:rsidR="009D05B0">
        <w:rPr>
          <w:rFonts w:ascii="Arial" w:hAnsi="Arial" w:cs="Arial"/>
          <w:color w:val="000000" w:themeColor="text1"/>
          <w:sz w:val="24"/>
          <w:szCs w:val="24"/>
          <w:lang w:val="en-US"/>
        </w:rPr>
        <w:t>)</w:t>
      </w:r>
      <w:r w:rsidR="00383138" w:rsidRPr="002D6620">
        <w:rPr>
          <w:rFonts w:ascii="Arial" w:hAnsi="Arial" w:cs="Arial"/>
          <w:color w:val="000000" w:themeColor="text1"/>
          <w:sz w:val="24"/>
          <w:szCs w:val="24"/>
          <w:lang w:val="en-US"/>
        </w:rPr>
        <w:t xml:space="preserve">. </w:t>
      </w:r>
      <w:r w:rsidR="00F622C8">
        <w:rPr>
          <w:rFonts w:ascii="Arial" w:hAnsi="Arial" w:cs="Arial"/>
          <w:color w:val="000000" w:themeColor="text1"/>
          <w:sz w:val="24"/>
          <w:szCs w:val="24"/>
          <w:lang w:val="en-US"/>
        </w:rPr>
        <w:t xml:space="preserve">A valuable product </w:t>
      </w:r>
      <w:r w:rsidR="00837B1B">
        <w:rPr>
          <w:rFonts w:ascii="Arial" w:hAnsi="Arial" w:cs="Arial"/>
          <w:color w:val="000000" w:themeColor="text1"/>
          <w:sz w:val="24"/>
          <w:szCs w:val="24"/>
          <w:lang w:val="en-US"/>
        </w:rPr>
        <w:t>in relation to transport cost</w:t>
      </w:r>
      <w:r w:rsidR="00665B13">
        <w:rPr>
          <w:rFonts w:ascii="Arial" w:hAnsi="Arial" w:cs="Arial"/>
          <w:color w:val="000000" w:themeColor="text1"/>
          <w:sz w:val="24"/>
          <w:szCs w:val="24"/>
          <w:lang w:val="en-US"/>
        </w:rPr>
        <w:t>s</w:t>
      </w:r>
      <w:r w:rsidR="00837B1B">
        <w:rPr>
          <w:rFonts w:ascii="Arial" w:hAnsi="Arial" w:cs="Arial"/>
          <w:color w:val="000000" w:themeColor="text1"/>
          <w:sz w:val="24"/>
          <w:szCs w:val="24"/>
          <w:lang w:val="en-US"/>
        </w:rPr>
        <w:t xml:space="preserve"> will tend to have a wide geographic market in comparison to a low costing product </w:t>
      </w:r>
      <w:r w:rsidR="007204F4">
        <w:rPr>
          <w:rFonts w:ascii="Arial" w:hAnsi="Arial" w:cs="Arial"/>
          <w:color w:val="000000" w:themeColor="text1"/>
          <w:sz w:val="24"/>
          <w:szCs w:val="24"/>
          <w:lang w:val="en-US"/>
        </w:rPr>
        <w:t xml:space="preserve">which </w:t>
      </w:r>
      <w:r w:rsidR="009757C2">
        <w:rPr>
          <w:rFonts w:ascii="Arial" w:hAnsi="Arial" w:cs="Arial"/>
          <w:color w:val="000000" w:themeColor="text1"/>
          <w:sz w:val="24"/>
          <w:szCs w:val="24"/>
          <w:lang w:val="en-US"/>
        </w:rPr>
        <w:t>is likely to be</w:t>
      </w:r>
      <w:r w:rsidR="007204F4">
        <w:rPr>
          <w:rFonts w:ascii="Arial" w:hAnsi="Arial" w:cs="Arial"/>
          <w:color w:val="000000" w:themeColor="text1"/>
          <w:sz w:val="24"/>
          <w:szCs w:val="24"/>
          <w:lang w:val="en-US"/>
        </w:rPr>
        <w:t xml:space="preserve"> narrower</w:t>
      </w:r>
      <w:r w:rsidR="004378C6">
        <w:rPr>
          <w:rFonts w:ascii="Arial" w:hAnsi="Arial" w:cs="Arial"/>
          <w:color w:val="000000" w:themeColor="text1"/>
          <w:sz w:val="24"/>
          <w:szCs w:val="24"/>
          <w:lang w:val="en-US"/>
        </w:rPr>
        <w:t xml:space="preserve"> (</w:t>
      </w:r>
      <w:r w:rsidR="00A44E19">
        <w:rPr>
          <w:rFonts w:ascii="Arial" w:hAnsi="Arial" w:cs="Arial"/>
          <w:i/>
          <w:iCs/>
          <w:color w:val="000000" w:themeColor="text1"/>
          <w:sz w:val="24"/>
          <w:szCs w:val="24"/>
          <w:lang w:val="en-US"/>
        </w:rPr>
        <w:t>Napier Brown-British Sugar [1988]</w:t>
      </w:r>
      <w:r w:rsidR="004378C6">
        <w:rPr>
          <w:rFonts w:ascii="Arial" w:hAnsi="Arial" w:cs="Arial"/>
          <w:color w:val="000000" w:themeColor="text1"/>
          <w:sz w:val="24"/>
          <w:szCs w:val="24"/>
          <w:lang w:val="en-US"/>
        </w:rPr>
        <w:t>)</w:t>
      </w:r>
      <w:r w:rsidR="009757C2">
        <w:rPr>
          <w:rFonts w:ascii="Arial" w:hAnsi="Arial" w:cs="Arial"/>
          <w:color w:val="000000" w:themeColor="text1"/>
          <w:sz w:val="24"/>
          <w:szCs w:val="24"/>
          <w:lang w:val="en-US"/>
        </w:rPr>
        <w:t>.</w:t>
      </w:r>
      <w:r w:rsidR="00585E22">
        <w:rPr>
          <w:rFonts w:ascii="Arial" w:hAnsi="Arial" w:cs="Arial"/>
          <w:color w:val="000000" w:themeColor="text1"/>
          <w:sz w:val="24"/>
          <w:szCs w:val="24"/>
          <w:lang w:val="en-US"/>
        </w:rPr>
        <w:t xml:space="preserve"> </w:t>
      </w:r>
      <w:r w:rsidR="0093486A" w:rsidRPr="002D6620">
        <w:rPr>
          <w:rFonts w:ascii="Arial" w:hAnsi="Arial" w:cs="Arial"/>
          <w:color w:val="000000" w:themeColor="text1"/>
          <w:sz w:val="24"/>
          <w:szCs w:val="24"/>
          <w:lang w:val="en-US"/>
        </w:rPr>
        <w:t>However,</w:t>
      </w:r>
      <w:r w:rsidR="009852FD" w:rsidRPr="002D6620">
        <w:rPr>
          <w:rFonts w:ascii="Arial" w:hAnsi="Arial" w:cs="Arial"/>
          <w:color w:val="000000" w:themeColor="text1"/>
          <w:sz w:val="24"/>
          <w:szCs w:val="24"/>
          <w:lang w:val="en-US"/>
        </w:rPr>
        <w:t xml:space="preserve"> t</w:t>
      </w:r>
      <w:r w:rsidR="00383138" w:rsidRPr="002D6620">
        <w:rPr>
          <w:rFonts w:ascii="Arial" w:hAnsi="Arial" w:cs="Arial"/>
          <w:color w:val="000000" w:themeColor="text1"/>
          <w:sz w:val="24"/>
          <w:szCs w:val="24"/>
          <w:lang w:val="en-US"/>
        </w:rPr>
        <w:t>h</w:t>
      </w:r>
      <w:r w:rsidR="00990A95" w:rsidRPr="002D6620">
        <w:rPr>
          <w:rFonts w:ascii="Arial" w:hAnsi="Arial" w:cs="Arial"/>
          <w:color w:val="000000" w:themeColor="text1"/>
          <w:sz w:val="24"/>
          <w:szCs w:val="24"/>
          <w:lang w:val="en-US"/>
        </w:rPr>
        <w:t>e Commission</w:t>
      </w:r>
      <w:r w:rsidR="00383138" w:rsidRPr="002D6620">
        <w:rPr>
          <w:rFonts w:ascii="Arial" w:hAnsi="Arial" w:cs="Arial"/>
          <w:color w:val="000000" w:themeColor="text1"/>
          <w:sz w:val="24"/>
          <w:szCs w:val="24"/>
          <w:lang w:val="en-US"/>
        </w:rPr>
        <w:t xml:space="preserve"> was criticised in </w:t>
      </w:r>
      <w:r w:rsidR="00383138" w:rsidRPr="002D6620">
        <w:rPr>
          <w:rFonts w:ascii="Arial" w:hAnsi="Arial" w:cs="Arial"/>
          <w:i/>
          <w:iCs/>
          <w:color w:val="000000" w:themeColor="text1"/>
          <w:sz w:val="24"/>
          <w:szCs w:val="24"/>
          <w:lang w:val="en-US"/>
        </w:rPr>
        <w:t xml:space="preserve">Michelin [1983] </w:t>
      </w:r>
      <w:r w:rsidR="00765C52" w:rsidRPr="002D6620">
        <w:rPr>
          <w:rFonts w:ascii="Arial" w:hAnsi="Arial" w:cs="Arial"/>
          <w:color w:val="000000" w:themeColor="text1"/>
          <w:sz w:val="24"/>
          <w:szCs w:val="24"/>
          <w:lang w:val="en-US"/>
        </w:rPr>
        <w:t xml:space="preserve">for failing to analyse </w:t>
      </w:r>
      <w:r w:rsidR="00E6489E" w:rsidRPr="002D6620">
        <w:rPr>
          <w:rFonts w:ascii="Arial" w:hAnsi="Arial" w:cs="Arial"/>
          <w:color w:val="000000" w:themeColor="text1"/>
          <w:sz w:val="24"/>
          <w:szCs w:val="24"/>
          <w:lang w:val="en-US"/>
        </w:rPr>
        <w:t>these factors</w:t>
      </w:r>
      <w:r w:rsidR="008E618A" w:rsidRPr="002D6620">
        <w:rPr>
          <w:rFonts w:ascii="Arial" w:hAnsi="Arial" w:cs="Arial"/>
          <w:color w:val="000000" w:themeColor="text1"/>
          <w:sz w:val="24"/>
          <w:szCs w:val="24"/>
          <w:lang w:val="en-US"/>
        </w:rPr>
        <w:t xml:space="preserve">. Additionally, </w:t>
      </w:r>
      <w:r w:rsidR="00274AA9" w:rsidRPr="002D6620">
        <w:rPr>
          <w:rFonts w:ascii="Arial" w:hAnsi="Arial" w:cs="Arial"/>
          <w:color w:val="000000" w:themeColor="text1"/>
          <w:sz w:val="24"/>
          <w:szCs w:val="24"/>
          <w:lang w:val="en-US"/>
        </w:rPr>
        <w:t xml:space="preserve">purchase </w:t>
      </w:r>
      <w:r w:rsidR="00274AA9" w:rsidRPr="002D6620">
        <w:rPr>
          <w:rFonts w:ascii="Arial" w:hAnsi="Arial" w:cs="Arial"/>
          <w:color w:val="000000" w:themeColor="text1"/>
          <w:sz w:val="24"/>
          <w:szCs w:val="24"/>
          <w:lang w:val="en-US"/>
        </w:rPr>
        <w:lastRenderedPageBreak/>
        <w:t>patterns and trade flows</w:t>
      </w:r>
      <w:r w:rsidR="00911036" w:rsidRPr="002D6620">
        <w:rPr>
          <w:rFonts w:ascii="Arial" w:hAnsi="Arial" w:cs="Arial"/>
          <w:color w:val="000000" w:themeColor="text1"/>
          <w:sz w:val="24"/>
          <w:szCs w:val="24"/>
          <w:lang w:val="en-US"/>
        </w:rPr>
        <w:t xml:space="preserve"> </w:t>
      </w:r>
      <w:r w:rsidR="00AE4794">
        <w:rPr>
          <w:rFonts w:ascii="Arial" w:hAnsi="Arial" w:cs="Arial"/>
          <w:color w:val="000000" w:themeColor="text1"/>
          <w:sz w:val="24"/>
          <w:szCs w:val="24"/>
          <w:lang w:val="en-US"/>
        </w:rPr>
        <w:t xml:space="preserve">are </w:t>
      </w:r>
      <w:r w:rsidR="00911036" w:rsidRPr="002D6620">
        <w:rPr>
          <w:rFonts w:ascii="Arial" w:hAnsi="Arial" w:cs="Arial"/>
          <w:color w:val="000000" w:themeColor="text1"/>
          <w:sz w:val="24"/>
          <w:szCs w:val="24"/>
          <w:lang w:val="en-US"/>
        </w:rPr>
        <w:t xml:space="preserve">examined by the Commission </w:t>
      </w:r>
      <w:r w:rsidR="00C431AD" w:rsidRPr="002D6620">
        <w:rPr>
          <w:rFonts w:ascii="Arial" w:hAnsi="Arial" w:cs="Arial"/>
          <w:color w:val="000000" w:themeColor="text1"/>
          <w:sz w:val="24"/>
          <w:szCs w:val="24"/>
          <w:lang w:val="en-US"/>
        </w:rPr>
        <w:t>and prove useful to the probable scope of the geographic market</w:t>
      </w:r>
      <w:r w:rsidR="00765C52" w:rsidRPr="002D6620">
        <w:rPr>
          <w:rFonts w:ascii="Arial" w:hAnsi="Arial" w:cs="Arial"/>
          <w:color w:val="000000" w:themeColor="text1"/>
          <w:sz w:val="24"/>
          <w:szCs w:val="24"/>
          <w:lang w:val="en-US"/>
        </w:rPr>
        <w:t xml:space="preserve"> </w:t>
      </w:r>
      <w:r w:rsidR="00FF4375" w:rsidRPr="002D6620">
        <w:rPr>
          <w:rFonts w:ascii="Arial" w:hAnsi="Arial" w:cs="Arial"/>
          <w:color w:val="000000" w:themeColor="text1"/>
          <w:sz w:val="24"/>
          <w:szCs w:val="24"/>
          <w:lang w:val="en-US"/>
        </w:rPr>
        <w:t>(</w:t>
      </w:r>
      <w:r w:rsidR="00E6489E" w:rsidRPr="002D6620">
        <w:rPr>
          <w:rFonts w:ascii="Arial" w:hAnsi="Arial" w:cs="Arial"/>
          <w:color w:val="000000" w:themeColor="text1"/>
          <w:sz w:val="24"/>
          <w:szCs w:val="24"/>
          <w:lang w:val="en-US"/>
        </w:rPr>
        <w:t>Hedlund, 2007</w:t>
      </w:r>
      <w:r w:rsidR="00FF4375" w:rsidRPr="002D6620">
        <w:rPr>
          <w:rFonts w:ascii="Arial" w:hAnsi="Arial" w:cs="Arial"/>
          <w:color w:val="000000" w:themeColor="text1"/>
          <w:sz w:val="24"/>
          <w:szCs w:val="24"/>
          <w:lang w:val="en-US"/>
        </w:rPr>
        <w:t>).</w:t>
      </w:r>
      <w:r w:rsidR="00EC63CC" w:rsidRPr="002D6620">
        <w:rPr>
          <w:rFonts w:ascii="Arial" w:hAnsi="Arial" w:cs="Arial"/>
          <w:color w:val="000000" w:themeColor="text1"/>
          <w:sz w:val="24"/>
          <w:szCs w:val="24"/>
          <w:lang w:val="en-US"/>
        </w:rPr>
        <w:t xml:space="preserve"> </w:t>
      </w:r>
    </w:p>
    <w:p w14:paraId="001C5417" w14:textId="77777777" w:rsidR="007A715F" w:rsidRDefault="00AE2AE7" w:rsidP="006D7763">
      <w:pPr>
        <w:spacing w:line="480" w:lineRule="auto"/>
        <w:jc w:val="both"/>
        <w:rPr>
          <w:rFonts w:ascii="Arial" w:hAnsi="Arial" w:cs="Arial"/>
          <w:sz w:val="24"/>
          <w:szCs w:val="24"/>
          <w:lang w:val="en-US"/>
        </w:rPr>
      </w:pPr>
      <w:r>
        <w:rPr>
          <w:rFonts w:ascii="Arial" w:hAnsi="Arial" w:cs="Arial"/>
          <w:color w:val="00B050"/>
          <w:sz w:val="24"/>
          <w:szCs w:val="24"/>
          <w:lang w:val="en-US"/>
        </w:rPr>
        <w:t xml:space="preserve"> </w:t>
      </w:r>
    </w:p>
    <w:p w14:paraId="01154957" w14:textId="31082F6D" w:rsidR="006F6ED0" w:rsidRPr="003059C8" w:rsidRDefault="00E743B3"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Markets </w:t>
      </w:r>
      <w:r w:rsidR="00F7646A" w:rsidRPr="003059C8">
        <w:rPr>
          <w:rFonts w:ascii="Arial" w:hAnsi="Arial" w:cs="Arial"/>
          <w:color w:val="000000" w:themeColor="text1"/>
          <w:sz w:val="24"/>
          <w:szCs w:val="24"/>
          <w:lang w:val="en-US"/>
        </w:rPr>
        <w:t>also have a temporal element</w:t>
      </w:r>
      <w:r w:rsidR="006E4991" w:rsidRPr="003059C8">
        <w:rPr>
          <w:rFonts w:ascii="Arial" w:hAnsi="Arial" w:cs="Arial"/>
          <w:color w:val="000000" w:themeColor="text1"/>
          <w:sz w:val="24"/>
          <w:szCs w:val="24"/>
          <w:lang w:val="en-US"/>
        </w:rPr>
        <w:t xml:space="preserve"> whereby an undertaking may possess market power </w:t>
      </w:r>
      <w:r w:rsidR="00840AF9" w:rsidRPr="003059C8">
        <w:rPr>
          <w:rFonts w:ascii="Arial" w:hAnsi="Arial" w:cs="Arial"/>
          <w:color w:val="000000" w:themeColor="text1"/>
          <w:sz w:val="24"/>
          <w:szCs w:val="24"/>
          <w:lang w:val="en-US"/>
        </w:rPr>
        <w:t xml:space="preserve">at a particular time of year. For instance, </w:t>
      </w:r>
      <w:r w:rsidR="000C576D" w:rsidRPr="003059C8">
        <w:rPr>
          <w:rFonts w:ascii="Arial" w:hAnsi="Arial" w:cs="Arial"/>
          <w:color w:val="000000" w:themeColor="text1"/>
          <w:sz w:val="24"/>
          <w:szCs w:val="24"/>
          <w:lang w:val="en-US"/>
        </w:rPr>
        <w:t xml:space="preserve">seasonal products or </w:t>
      </w:r>
      <w:r w:rsidR="00516A62" w:rsidRPr="003059C8">
        <w:rPr>
          <w:rFonts w:ascii="Arial" w:hAnsi="Arial" w:cs="Arial"/>
          <w:color w:val="000000" w:themeColor="text1"/>
          <w:sz w:val="24"/>
          <w:szCs w:val="24"/>
          <w:lang w:val="en-US"/>
        </w:rPr>
        <w:t>peak/off</w:t>
      </w:r>
      <w:r w:rsidR="00B66F8E">
        <w:rPr>
          <w:rFonts w:ascii="Arial" w:hAnsi="Arial" w:cs="Arial"/>
          <w:color w:val="000000" w:themeColor="text1"/>
          <w:sz w:val="24"/>
          <w:szCs w:val="24"/>
          <w:lang w:val="en-US"/>
        </w:rPr>
        <w:t>-</w:t>
      </w:r>
      <w:r w:rsidR="00516A62" w:rsidRPr="003059C8">
        <w:rPr>
          <w:rFonts w:ascii="Arial" w:hAnsi="Arial" w:cs="Arial"/>
          <w:color w:val="000000" w:themeColor="text1"/>
          <w:sz w:val="24"/>
          <w:szCs w:val="24"/>
          <w:lang w:val="en-US"/>
        </w:rPr>
        <w:t>peak services</w:t>
      </w:r>
      <w:r w:rsidR="00237F6D" w:rsidRPr="003059C8">
        <w:rPr>
          <w:rFonts w:ascii="Arial" w:hAnsi="Arial" w:cs="Arial"/>
          <w:color w:val="000000" w:themeColor="text1"/>
          <w:sz w:val="24"/>
          <w:szCs w:val="24"/>
          <w:lang w:val="en-US"/>
        </w:rPr>
        <w:t xml:space="preserve">; </w:t>
      </w:r>
      <w:r w:rsidR="00A52D63" w:rsidRPr="003059C8">
        <w:rPr>
          <w:rFonts w:ascii="Arial" w:hAnsi="Arial" w:cs="Arial"/>
          <w:i/>
          <w:iCs/>
          <w:color w:val="000000" w:themeColor="text1"/>
          <w:sz w:val="24"/>
          <w:szCs w:val="24"/>
          <w:lang w:val="en-US"/>
        </w:rPr>
        <w:t>ABG</w:t>
      </w:r>
      <w:r w:rsidR="009656C3">
        <w:rPr>
          <w:rFonts w:ascii="Arial" w:hAnsi="Arial" w:cs="Arial"/>
          <w:i/>
          <w:iCs/>
          <w:color w:val="000000" w:themeColor="text1"/>
          <w:sz w:val="24"/>
          <w:szCs w:val="24"/>
          <w:lang w:val="en-US"/>
        </w:rPr>
        <w:t xml:space="preserve"> </w:t>
      </w:r>
      <w:r w:rsidR="00A52D63" w:rsidRPr="003059C8">
        <w:rPr>
          <w:rFonts w:ascii="Arial" w:hAnsi="Arial" w:cs="Arial"/>
          <w:i/>
          <w:iCs/>
          <w:color w:val="000000" w:themeColor="text1"/>
          <w:sz w:val="24"/>
          <w:szCs w:val="24"/>
          <w:lang w:val="en-US"/>
        </w:rPr>
        <w:t>Oil [1977]</w:t>
      </w:r>
      <w:r w:rsidR="00516A62" w:rsidRPr="003059C8">
        <w:rPr>
          <w:rFonts w:ascii="Arial" w:hAnsi="Arial" w:cs="Arial"/>
          <w:color w:val="000000" w:themeColor="text1"/>
          <w:sz w:val="24"/>
          <w:szCs w:val="24"/>
          <w:lang w:val="en-US"/>
        </w:rPr>
        <w:t xml:space="preserve"> (</w:t>
      </w:r>
      <w:r w:rsidR="00A52D63" w:rsidRPr="003059C8">
        <w:rPr>
          <w:rFonts w:ascii="Arial" w:hAnsi="Arial" w:cs="Arial"/>
          <w:color w:val="000000" w:themeColor="text1"/>
          <w:sz w:val="24"/>
          <w:szCs w:val="24"/>
          <w:lang w:val="en-US"/>
        </w:rPr>
        <w:t>Cunha, 2017</w:t>
      </w:r>
      <w:r w:rsidR="00516A62" w:rsidRPr="003059C8">
        <w:rPr>
          <w:rFonts w:ascii="Arial" w:hAnsi="Arial" w:cs="Arial"/>
          <w:color w:val="000000" w:themeColor="text1"/>
          <w:sz w:val="24"/>
          <w:szCs w:val="24"/>
          <w:lang w:val="en-US"/>
        </w:rPr>
        <w:t xml:space="preserve">). </w:t>
      </w:r>
      <w:r w:rsidR="00F7646A" w:rsidRPr="003059C8">
        <w:rPr>
          <w:rFonts w:ascii="Arial" w:hAnsi="Arial" w:cs="Arial"/>
          <w:color w:val="000000" w:themeColor="text1"/>
          <w:sz w:val="24"/>
          <w:szCs w:val="24"/>
          <w:lang w:val="en-US"/>
        </w:rPr>
        <w:t xml:space="preserve"> </w:t>
      </w:r>
    </w:p>
    <w:p w14:paraId="33F7B56F" w14:textId="77777777" w:rsidR="00AE2AE7" w:rsidRPr="003059C8" w:rsidRDefault="00AE2AE7" w:rsidP="006D7763">
      <w:pPr>
        <w:spacing w:line="480" w:lineRule="auto"/>
        <w:jc w:val="both"/>
        <w:rPr>
          <w:rFonts w:ascii="Arial" w:hAnsi="Arial" w:cs="Arial"/>
          <w:color w:val="000000" w:themeColor="text1"/>
          <w:sz w:val="24"/>
          <w:szCs w:val="24"/>
          <w:lang w:val="en-US"/>
        </w:rPr>
      </w:pPr>
    </w:p>
    <w:p w14:paraId="512BC1CE" w14:textId="02B35C80" w:rsidR="00CC1F7B" w:rsidRPr="003059C8" w:rsidRDefault="00D30220"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On establishing a relevant market, market </w:t>
      </w:r>
      <w:r w:rsidR="005E3AFE" w:rsidRPr="003059C8">
        <w:rPr>
          <w:rFonts w:ascii="Arial" w:hAnsi="Arial" w:cs="Arial"/>
          <w:color w:val="000000" w:themeColor="text1"/>
          <w:sz w:val="24"/>
          <w:szCs w:val="24"/>
          <w:lang w:val="en-US"/>
        </w:rPr>
        <w:t>operators can be identified</w:t>
      </w:r>
      <w:r w:rsidR="00920452" w:rsidRPr="003059C8">
        <w:rPr>
          <w:rFonts w:ascii="Arial" w:hAnsi="Arial" w:cs="Arial"/>
          <w:color w:val="000000" w:themeColor="text1"/>
          <w:sz w:val="24"/>
          <w:szCs w:val="24"/>
          <w:lang w:val="en-US"/>
        </w:rPr>
        <w:t xml:space="preserve">. On that basis, the market size and share can be calculated </w:t>
      </w:r>
      <w:r w:rsidR="00444654" w:rsidRPr="003059C8">
        <w:rPr>
          <w:rFonts w:ascii="Arial" w:hAnsi="Arial" w:cs="Arial"/>
          <w:color w:val="000000" w:themeColor="text1"/>
          <w:sz w:val="24"/>
          <w:szCs w:val="24"/>
          <w:lang w:val="en-US"/>
        </w:rPr>
        <w:t>on the basis of their sales of relevant products in the relevant area (Fo</w:t>
      </w:r>
      <w:r w:rsidR="004130BA" w:rsidRPr="003059C8">
        <w:rPr>
          <w:rFonts w:ascii="Arial" w:hAnsi="Arial" w:cs="Arial"/>
          <w:color w:val="000000" w:themeColor="text1"/>
          <w:sz w:val="24"/>
          <w:szCs w:val="24"/>
          <w:lang w:val="en-US"/>
        </w:rPr>
        <w:t>ster, 2020, pp.518</w:t>
      </w:r>
      <w:r w:rsidR="00444654" w:rsidRPr="003059C8">
        <w:rPr>
          <w:rFonts w:ascii="Arial" w:hAnsi="Arial" w:cs="Arial"/>
          <w:color w:val="000000" w:themeColor="text1"/>
          <w:sz w:val="24"/>
          <w:szCs w:val="24"/>
          <w:lang w:val="en-US"/>
        </w:rPr>
        <w:t>).</w:t>
      </w:r>
    </w:p>
    <w:p w14:paraId="71DA88EC" w14:textId="1BE3EADC" w:rsidR="00665190" w:rsidRPr="003059C8" w:rsidRDefault="00912495"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With regards to </w:t>
      </w:r>
      <w:r w:rsidR="00FB5364" w:rsidRPr="003059C8">
        <w:rPr>
          <w:rFonts w:ascii="Arial" w:hAnsi="Arial" w:cs="Arial"/>
          <w:color w:val="000000" w:themeColor="text1"/>
          <w:sz w:val="24"/>
          <w:szCs w:val="24"/>
          <w:lang w:val="en-US"/>
        </w:rPr>
        <w:t>Art 101</w:t>
      </w:r>
      <w:r w:rsidRPr="003059C8">
        <w:rPr>
          <w:rFonts w:ascii="Arial" w:hAnsi="Arial" w:cs="Arial"/>
          <w:color w:val="000000" w:themeColor="text1"/>
          <w:sz w:val="24"/>
          <w:szCs w:val="24"/>
          <w:lang w:val="en-US"/>
        </w:rPr>
        <w:t xml:space="preserve">, </w:t>
      </w:r>
      <w:r w:rsidR="007434D7" w:rsidRPr="003059C8">
        <w:rPr>
          <w:rFonts w:ascii="Arial" w:hAnsi="Arial" w:cs="Arial"/>
          <w:color w:val="000000" w:themeColor="text1"/>
          <w:sz w:val="24"/>
          <w:szCs w:val="24"/>
          <w:lang w:val="en-US"/>
        </w:rPr>
        <w:t xml:space="preserve">if a parties’ market share exceeds </w:t>
      </w:r>
      <w:r w:rsidR="00DC3052" w:rsidRPr="003059C8">
        <w:rPr>
          <w:rFonts w:ascii="Arial" w:hAnsi="Arial" w:cs="Arial"/>
          <w:color w:val="000000" w:themeColor="text1"/>
          <w:sz w:val="24"/>
          <w:szCs w:val="24"/>
          <w:lang w:val="en-US"/>
        </w:rPr>
        <w:t xml:space="preserve">a relevant percentage, </w:t>
      </w:r>
      <w:r w:rsidR="00842B47" w:rsidRPr="003059C8">
        <w:rPr>
          <w:rFonts w:ascii="Arial" w:hAnsi="Arial" w:cs="Arial"/>
          <w:color w:val="000000" w:themeColor="text1"/>
          <w:sz w:val="24"/>
          <w:szCs w:val="24"/>
          <w:lang w:val="en-US"/>
        </w:rPr>
        <w:t>this does not necessarily mean that they are in breach of Art 101</w:t>
      </w:r>
      <w:r w:rsidR="00612F22" w:rsidRPr="003059C8">
        <w:rPr>
          <w:rFonts w:ascii="Arial" w:hAnsi="Arial" w:cs="Arial"/>
          <w:color w:val="000000" w:themeColor="text1"/>
          <w:sz w:val="24"/>
          <w:szCs w:val="24"/>
          <w:lang w:val="en-US"/>
        </w:rPr>
        <w:t>, only that the block exemptions defence would not apply</w:t>
      </w:r>
      <w:r w:rsidR="009E22BF" w:rsidRPr="003059C8">
        <w:rPr>
          <w:rFonts w:ascii="Arial" w:hAnsi="Arial" w:cs="Arial"/>
          <w:color w:val="000000" w:themeColor="text1"/>
          <w:sz w:val="24"/>
          <w:szCs w:val="24"/>
          <w:lang w:val="en-US"/>
        </w:rPr>
        <w:t xml:space="preserve"> </w:t>
      </w:r>
      <w:r w:rsidR="007E4570" w:rsidRPr="003059C8">
        <w:rPr>
          <w:rFonts w:ascii="Arial" w:hAnsi="Arial" w:cs="Arial"/>
          <w:color w:val="000000" w:themeColor="text1"/>
          <w:sz w:val="24"/>
          <w:szCs w:val="24"/>
          <w:lang w:val="en-US"/>
        </w:rPr>
        <w:t>(LLB, 2020, pp.99).</w:t>
      </w:r>
      <w:r w:rsidR="006E7B9F" w:rsidRPr="003059C8">
        <w:rPr>
          <w:rFonts w:ascii="Arial" w:hAnsi="Arial" w:cs="Arial"/>
          <w:color w:val="000000" w:themeColor="text1"/>
          <w:sz w:val="24"/>
          <w:szCs w:val="24"/>
          <w:lang w:val="en-US"/>
        </w:rPr>
        <w:t xml:space="preserve"> </w:t>
      </w:r>
      <w:r w:rsidR="0087068D">
        <w:rPr>
          <w:rFonts w:ascii="Arial" w:hAnsi="Arial" w:cs="Arial"/>
          <w:color w:val="000000" w:themeColor="text1"/>
          <w:sz w:val="24"/>
          <w:szCs w:val="24"/>
          <w:lang w:val="en-US"/>
        </w:rPr>
        <w:t>W</w:t>
      </w:r>
      <w:r w:rsidR="0039190F" w:rsidRPr="003059C8">
        <w:rPr>
          <w:rFonts w:ascii="Arial" w:hAnsi="Arial" w:cs="Arial"/>
          <w:color w:val="000000" w:themeColor="text1"/>
          <w:sz w:val="24"/>
          <w:szCs w:val="24"/>
          <w:lang w:val="en-US"/>
        </w:rPr>
        <w:t xml:space="preserve">hilst </w:t>
      </w:r>
      <w:r w:rsidR="00FB5364" w:rsidRPr="003059C8">
        <w:rPr>
          <w:rFonts w:ascii="Arial" w:hAnsi="Arial" w:cs="Arial"/>
          <w:color w:val="000000" w:themeColor="text1"/>
          <w:sz w:val="24"/>
          <w:szCs w:val="24"/>
          <w:lang w:val="en-US"/>
        </w:rPr>
        <w:t>Art 102</w:t>
      </w:r>
      <w:r w:rsidR="00956DF1" w:rsidRPr="003059C8">
        <w:rPr>
          <w:rFonts w:ascii="Arial" w:hAnsi="Arial" w:cs="Arial"/>
          <w:color w:val="000000" w:themeColor="text1"/>
          <w:sz w:val="24"/>
          <w:szCs w:val="24"/>
          <w:lang w:val="en-US"/>
        </w:rPr>
        <w:t xml:space="preserve"> </w:t>
      </w:r>
      <w:r w:rsidR="00CC0CFB" w:rsidRPr="003059C8">
        <w:rPr>
          <w:rFonts w:ascii="Arial" w:hAnsi="Arial" w:cs="Arial"/>
          <w:color w:val="000000" w:themeColor="text1"/>
          <w:sz w:val="24"/>
          <w:szCs w:val="24"/>
          <w:lang w:val="en-US"/>
        </w:rPr>
        <w:t xml:space="preserve">legislation </w:t>
      </w:r>
      <w:r w:rsidR="00FD339F" w:rsidRPr="003059C8">
        <w:rPr>
          <w:rFonts w:ascii="Arial" w:hAnsi="Arial" w:cs="Arial"/>
          <w:color w:val="000000" w:themeColor="text1"/>
          <w:sz w:val="24"/>
          <w:szCs w:val="24"/>
          <w:lang w:val="en-US"/>
        </w:rPr>
        <w:t xml:space="preserve">does not prohibit market </w:t>
      </w:r>
      <w:r w:rsidR="00273962" w:rsidRPr="003059C8">
        <w:rPr>
          <w:rFonts w:ascii="Arial" w:hAnsi="Arial" w:cs="Arial"/>
          <w:color w:val="000000" w:themeColor="text1"/>
          <w:sz w:val="24"/>
          <w:szCs w:val="24"/>
          <w:lang w:val="en-US"/>
        </w:rPr>
        <w:t>power</w:t>
      </w:r>
      <w:r w:rsidR="00E7220C" w:rsidRPr="003059C8">
        <w:rPr>
          <w:rFonts w:ascii="Arial" w:hAnsi="Arial" w:cs="Arial"/>
          <w:color w:val="000000" w:themeColor="text1"/>
          <w:sz w:val="24"/>
          <w:szCs w:val="24"/>
          <w:lang w:val="en-US"/>
        </w:rPr>
        <w:t>, it</w:t>
      </w:r>
      <w:r w:rsidR="00243F66" w:rsidRPr="003059C8">
        <w:rPr>
          <w:rFonts w:ascii="Arial" w:hAnsi="Arial" w:cs="Arial"/>
          <w:color w:val="000000" w:themeColor="text1"/>
          <w:sz w:val="24"/>
          <w:szCs w:val="24"/>
          <w:lang w:val="en-US"/>
        </w:rPr>
        <w:t xml:space="preserve"> relates market share with a dominant position </w:t>
      </w:r>
      <w:r w:rsidR="00F27AAB" w:rsidRPr="003059C8">
        <w:rPr>
          <w:rFonts w:ascii="Arial" w:hAnsi="Arial" w:cs="Arial"/>
          <w:color w:val="000000" w:themeColor="text1"/>
          <w:sz w:val="24"/>
          <w:szCs w:val="24"/>
          <w:lang w:val="en-US"/>
        </w:rPr>
        <w:t xml:space="preserve">and </w:t>
      </w:r>
      <w:r w:rsidR="00E7220C" w:rsidRPr="003059C8">
        <w:rPr>
          <w:rFonts w:ascii="Arial" w:hAnsi="Arial" w:cs="Arial"/>
          <w:color w:val="000000" w:themeColor="text1"/>
          <w:sz w:val="24"/>
          <w:szCs w:val="24"/>
          <w:lang w:val="en-US"/>
        </w:rPr>
        <w:t>proscribes the abuse of market power</w:t>
      </w:r>
      <w:r w:rsidR="009C71AB" w:rsidRPr="003059C8">
        <w:rPr>
          <w:rFonts w:ascii="Arial" w:hAnsi="Arial" w:cs="Arial"/>
          <w:color w:val="000000" w:themeColor="text1"/>
          <w:sz w:val="24"/>
          <w:szCs w:val="24"/>
          <w:lang w:val="en-US"/>
        </w:rPr>
        <w:t xml:space="preserve"> (Craig and Burca, 2015, pp.</w:t>
      </w:r>
      <w:r w:rsidR="00B26ED1" w:rsidRPr="003059C8">
        <w:rPr>
          <w:rFonts w:ascii="Arial" w:hAnsi="Arial" w:cs="Arial"/>
          <w:color w:val="000000" w:themeColor="text1"/>
          <w:sz w:val="24"/>
          <w:szCs w:val="24"/>
          <w:lang w:val="en-US"/>
        </w:rPr>
        <w:t>1001</w:t>
      </w:r>
      <w:r w:rsidR="00A91823" w:rsidRPr="003059C8">
        <w:rPr>
          <w:rFonts w:ascii="Arial" w:hAnsi="Arial" w:cs="Arial"/>
          <w:color w:val="000000" w:themeColor="text1"/>
          <w:sz w:val="24"/>
          <w:szCs w:val="24"/>
          <w:lang w:val="en-US"/>
        </w:rPr>
        <w:t>-1003</w:t>
      </w:r>
      <w:r w:rsidR="00B26ED1" w:rsidRPr="003059C8">
        <w:rPr>
          <w:rFonts w:ascii="Arial" w:hAnsi="Arial" w:cs="Arial"/>
          <w:color w:val="000000" w:themeColor="text1"/>
          <w:sz w:val="24"/>
          <w:szCs w:val="24"/>
          <w:lang w:val="en-US"/>
        </w:rPr>
        <w:t>,1055</w:t>
      </w:r>
      <w:r w:rsidR="009C71AB" w:rsidRPr="003059C8">
        <w:rPr>
          <w:rFonts w:ascii="Arial" w:hAnsi="Arial" w:cs="Arial"/>
          <w:color w:val="000000" w:themeColor="text1"/>
          <w:sz w:val="24"/>
          <w:szCs w:val="24"/>
          <w:lang w:val="en-US"/>
        </w:rPr>
        <w:t>).</w:t>
      </w:r>
    </w:p>
    <w:p w14:paraId="012BB7DD" w14:textId="01543069" w:rsidR="005D68CE" w:rsidRPr="00DB68BA" w:rsidRDefault="00A54527" w:rsidP="006D7763">
      <w:pPr>
        <w:spacing w:line="480" w:lineRule="auto"/>
        <w:jc w:val="both"/>
        <w:rPr>
          <w:rFonts w:ascii="Arial" w:hAnsi="Arial" w:cs="Arial"/>
          <w:color w:val="000000" w:themeColor="text1"/>
          <w:sz w:val="24"/>
          <w:szCs w:val="24"/>
          <w:lang w:val="en-US"/>
        </w:rPr>
      </w:pPr>
      <w:r w:rsidRPr="00DB68BA">
        <w:rPr>
          <w:rFonts w:ascii="Arial" w:hAnsi="Arial" w:cs="Arial"/>
          <w:color w:val="000000" w:themeColor="text1"/>
          <w:sz w:val="24"/>
          <w:szCs w:val="24"/>
          <w:lang w:val="en-US"/>
        </w:rPr>
        <w:t>The Commission</w:t>
      </w:r>
      <w:r w:rsidR="001D358A" w:rsidRPr="00DB68BA">
        <w:rPr>
          <w:rFonts w:ascii="Arial" w:hAnsi="Arial" w:cs="Arial"/>
          <w:color w:val="000000" w:themeColor="text1"/>
          <w:sz w:val="24"/>
          <w:szCs w:val="24"/>
          <w:lang w:val="en-US"/>
        </w:rPr>
        <w:t>’s Art 102 enforcement policy has been accused of targeting large multinational companies with dominant shares in excess of 70%</w:t>
      </w:r>
      <w:r w:rsidR="007B1E1E" w:rsidRPr="00DB68BA">
        <w:rPr>
          <w:rFonts w:ascii="Arial" w:hAnsi="Arial" w:cs="Arial"/>
          <w:color w:val="000000" w:themeColor="text1"/>
          <w:sz w:val="24"/>
          <w:szCs w:val="24"/>
          <w:lang w:val="en-US"/>
        </w:rPr>
        <w:t xml:space="preserve">, holding them to higher standards. However, </w:t>
      </w:r>
      <w:r w:rsidR="00575F59" w:rsidRPr="00DB68BA">
        <w:rPr>
          <w:rFonts w:ascii="Arial" w:hAnsi="Arial" w:cs="Arial"/>
          <w:color w:val="000000" w:themeColor="text1"/>
          <w:sz w:val="24"/>
          <w:szCs w:val="24"/>
          <w:lang w:val="en-US"/>
        </w:rPr>
        <w:t>no decision has been overturned by the CJ</w:t>
      </w:r>
      <w:r w:rsidR="0020213F" w:rsidRPr="00DB68BA">
        <w:rPr>
          <w:rFonts w:ascii="Arial" w:hAnsi="Arial" w:cs="Arial"/>
          <w:color w:val="000000" w:themeColor="text1"/>
          <w:sz w:val="24"/>
          <w:szCs w:val="24"/>
          <w:lang w:val="en-US"/>
        </w:rPr>
        <w:t xml:space="preserve"> (</w:t>
      </w:r>
      <w:r w:rsidR="00004994" w:rsidRPr="00DB68BA">
        <w:rPr>
          <w:rFonts w:ascii="Arial" w:hAnsi="Arial" w:cs="Arial"/>
          <w:color w:val="000000" w:themeColor="text1"/>
          <w:sz w:val="24"/>
          <w:szCs w:val="24"/>
          <w:lang w:val="en-US"/>
        </w:rPr>
        <w:t>Dethmers and Blondeel, 2017</w:t>
      </w:r>
      <w:r w:rsidR="0020213F" w:rsidRPr="00DB68BA">
        <w:rPr>
          <w:rFonts w:ascii="Arial" w:hAnsi="Arial" w:cs="Arial"/>
          <w:color w:val="000000" w:themeColor="text1"/>
          <w:sz w:val="24"/>
          <w:szCs w:val="24"/>
          <w:lang w:val="en-US"/>
        </w:rPr>
        <w:t>).</w:t>
      </w:r>
      <w:r w:rsidR="00DB68BA" w:rsidRPr="00DB68BA">
        <w:rPr>
          <w:rFonts w:ascii="Arial" w:hAnsi="Arial" w:cs="Arial"/>
          <w:color w:val="000000" w:themeColor="text1"/>
          <w:sz w:val="24"/>
          <w:szCs w:val="24"/>
          <w:lang w:val="en-US"/>
        </w:rPr>
        <w:t xml:space="preserve"> </w:t>
      </w:r>
      <w:r w:rsidR="00972902" w:rsidRPr="00DB68BA">
        <w:rPr>
          <w:rFonts w:ascii="Arial" w:hAnsi="Arial" w:cs="Arial"/>
          <w:color w:val="000000" w:themeColor="text1"/>
          <w:sz w:val="24"/>
          <w:szCs w:val="24"/>
          <w:lang w:val="en-US"/>
        </w:rPr>
        <w:t>E</w:t>
      </w:r>
      <w:r w:rsidR="003A3A7F" w:rsidRPr="00DB68BA">
        <w:rPr>
          <w:rFonts w:ascii="Arial" w:hAnsi="Arial" w:cs="Arial"/>
          <w:color w:val="000000" w:themeColor="text1"/>
          <w:sz w:val="24"/>
          <w:szCs w:val="24"/>
          <w:lang w:val="en-US"/>
        </w:rPr>
        <w:t>xemplif</w:t>
      </w:r>
      <w:r w:rsidR="00972902" w:rsidRPr="00DB68BA">
        <w:rPr>
          <w:rFonts w:ascii="Arial" w:hAnsi="Arial" w:cs="Arial"/>
          <w:color w:val="000000" w:themeColor="text1"/>
          <w:sz w:val="24"/>
          <w:szCs w:val="24"/>
          <w:lang w:val="en-US"/>
        </w:rPr>
        <w:t xml:space="preserve">ying the </w:t>
      </w:r>
      <w:r w:rsidR="00CC4CDF" w:rsidRPr="00DB68BA">
        <w:rPr>
          <w:rFonts w:ascii="Arial" w:hAnsi="Arial" w:cs="Arial"/>
          <w:color w:val="000000" w:themeColor="text1"/>
          <w:sz w:val="24"/>
          <w:szCs w:val="24"/>
          <w:lang w:val="en-US"/>
        </w:rPr>
        <w:t xml:space="preserve">significant role </w:t>
      </w:r>
      <w:r w:rsidR="00972902" w:rsidRPr="00DB68BA">
        <w:rPr>
          <w:rFonts w:ascii="Arial" w:hAnsi="Arial" w:cs="Arial"/>
          <w:color w:val="000000" w:themeColor="text1"/>
          <w:sz w:val="24"/>
          <w:szCs w:val="24"/>
          <w:lang w:val="en-US"/>
        </w:rPr>
        <w:t xml:space="preserve">that the definition of relevant market has in </w:t>
      </w:r>
      <w:r w:rsidR="00CC4CDF" w:rsidRPr="00DB68BA">
        <w:rPr>
          <w:rFonts w:ascii="Arial" w:hAnsi="Arial" w:cs="Arial"/>
          <w:color w:val="000000" w:themeColor="text1"/>
          <w:sz w:val="24"/>
          <w:szCs w:val="24"/>
          <w:lang w:val="en-US"/>
        </w:rPr>
        <w:t xml:space="preserve">the context </w:t>
      </w:r>
      <w:r w:rsidR="00972902" w:rsidRPr="00DB68BA">
        <w:rPr>
          <w:rFonts w:ascii="Arial" w:hAnsi="Arial" w:cs="Arial"/>
          <w:color w:val="000000" w:themeColor="text1"/>
          <w:sz w:val="24"/>
          <w:szCs w:val="24"/>
          <w:lang w:val="en-US"/>
        </w:rPr>
        <w:t>o</w:t>
      </w:r>
      <w:r w:rsidR="00CC4CDF" w:rsidRPr="00DB68BA">
        <w:rPr>
          <w:rFonts w:ascii="Arial" w:hAnsi="Arial" w:cs="Arial"/>
          <w:color w:val="000000" w:themeColor="text1"/>
          <w:sz w:val="24"/>
          <w:szCs w:val="24"/>
          <w:lang w:val="en-US"/>
        </w:rPr>
        <w:t>f</w:t>
      </w:r>
      <w:r w:rsidR="00972902" w:rsidRPr="00DB68BA">
        <w:rPr>
          <w:rFonts w:ascii="Arial" w:hAnsi="Arial" w:cs="Arial"/>
          <w:color w:val="000000" w:themeColor="text1"/>
          <w:sz w:val="24"/>
          <w:szCs w:val="24"/>
          <w:lang w:val="en-US"/>
        </w:rPr>
        <w:t xml:space="preserve"> competition law</w:t>
      </w:r>
      <w:r w:rsidR="00CC4CDF" w:rsidRPr="00DB68BA">
        <w:rPr>
          <w:rFonts w:ascii="Arial" w:hAnsi="Arial" w:cs="Arial"/>
          <w:color w:val="000000" w:themeColor="text1"/>
          <w:sz w:val="24"/>
          <w:szCs w:val="24"/>
          <w:lang w:val="en-US"/>
        </w:rPr>
        <w:t>.</w:t>
      </w:r>
    </w:p>
    <w:p w14:paraId="62773D8B" w14:textId="77777777" w:rsidR="006F163E" w:rsidRDefault="006F163E" w:rsidP="006D7763">
      <w:pPr>
        <w:spacing w:line="480" w:lineRule="auto"/>
        <w:jc w:val="both"/>
        <w:rPr>
          <w:rFonts w:ascii="Arial" w:hAnsi="Arial" w:cs="Arial"/>
          <w:color w:val="EF00A5"/>
          <w:sz w:val="24"/>
          <w:szCs w:val="24"/>
          <w:lang w:val="en-US"/>
        </w:rPr>
      </w:pPr>
    </w:p>
    <w:p w14:paraId="037A2A41" w14:textId="77777777" w:rsidR="0009347C" w:rsidRDefault="0009347C" w:rsidP="006D7763">
      <w:pPr>
        <w:spacing w:line="480" w:lineRule="auto"/>
        <w:jc w:val="both"/>
        <w:rPr>
          <w:rFonts w:ascii="Arial" w:hAnsi="Arial" w:cs="Arial"/>
          <w:sz w:val="24"/>
          <w:szCs w:val="24"/>
          <w:lang w:val="en-US"/>
        </w:rPr>
      </w:pPr>
    </w:p>
    <w:p w14:paraId="56452F67" w14:textId="77777777" w:rsidR="00AE2AE7" w:rsidRPr="00C05A19"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 Reference List:</w:t>
      </w:r>
    </w:p>
    <w:p w14:paraId="3738628D" w14:textId="77777777" w:rsidR="00AE2AE7" w:rsidRPr="002118F0"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Chneiweiss, L. </w:t>
      </w:r>
      <w:r>
        <w:rPr>
          <w:rFonts w:ascii="Arial" w:hAnsi="Arial" w:cs="Arial"/>
          <w:i/>
          <w:iCs/>
          <w:sz w:val="24"/>
          <w:szCs w:val="24"/>
          <w:lang w:val="en-US"/>
        </w:rPr>
        <w:t xml:space="preserve">et al. </w:t>
      </w:r>
      <w:r>
        <w:rPr>
          <w:rFonts w:ascii="Arial" w:hAnsi="Arial" w:cs="Arial"/>
          <w:sz w:val="24"/>
          <w:szCs w:val="24"/>
          <w:lang w:val="en-US"/>
        </w:rPr>
        <w:t xml:space="preserve">(2020) </w:t>
      </w:r>
      <w:r>
        <w:rPr>
          <w:rFonts w:ascii="Arial" w:hAnsi="Arial" w:cs="Arial"/>
          <w:i/>
          <w:iCs/>
          <w:sz w:val="24"/>
          <w:szCs w:val="24"/>
          <w:lang w:val="en-US"/>
        </w:rPr>
        <w:t xml:space="preserve">Towards a new definition of ‘relevant market’ in competition law? </w:t>
      </w:r>
      <w:r>
        <w:rPr>
          <w:rFonts w:ascii="Arial" w:hAnsi="Arial" w:cs="Arial"/>
          <w:sz w:val="24"/>
          <w:szCs w:val="24"/>
          <w:lang w:val="en-US"/>
        </w:rPr>
        <w:t xml:space="preserve">Available at: </w:t>
      </w:r>
      <w:hyperlink r:id="rId5" w:history="1">
        <w:r w:rsidRPr="00EB0207">
          <w:rPr>
            <w:rStyle w:val="Hyperlink"/>
            <w:rFonts w:ascii="Arial" w:hAnsi="Arial" w:cs="Arial"/>
            <w:sz w:val="24"/>
            <w:szCs w:val="24"/>
            <w:lang w:val="en-US"/>
          </w:rPr>
          <w:t>https://www.antitrustandcompetitionreport.com/2020/07/other-antitrust-and-competition/towards-a-new-definition-of-relevant-market-in-competition-law/</w:t>
        </w:r>
      </w:hyperlink>
      <w:r>
        <w:rPr>
          <w:rFonts w:ascii="Arial" w:hAnsi="Arial" w:cs="Arial"/>
          <w:sz w:val="24"/>
          <w:szCs w:val="24"/>
          <w:lang w:val="en-US"/>
        </w:rPr>
        <w:t xml:space="preserve"> (Accessed on: 3</w:t>
      </w:r>
      <w:r w:rsidRPr="000B7DA7">
        <w:rPr>
          <w:rFonts w:ascii="Arial" w:hAnsi="Arial" w:cs="Arial"/>
          <w:sz w:val="24"/>
          <w:szCs w:val="24"/>
          <w:vertAlign w:val="superscript"/>
          <w:lang w:val="en-US"/>
        </w:rPr>
        <w:t>rd</w:t>
      </w:r>
      <w:r>
        <w:rPr>
          <w:rFonts w:ascii="Arial" w:hAnsi="Arial" w:cs="Arial"/>
          <w:sz w:val="24"/>
          <w:szCs w:val="24"/>
          <w:lang w:val="en-US"/>
        </w:rPr>
        <w:t xml:space="preserve"> May 2021)</w:t>
      </w:r>
    </w:p>
    <w:p w14:paraId="092996C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Craig, P., and Burca, D. G. (2015) </w:t>
      </w:r>
      <w:r>
        <w:rPr>
          <w:rFonts w:ascii="Arial" w:hAnsi="Arial" w:cs="Arial"/>
          <w:i/>
          <w:iCs/>
          <w:sz w:val="24"/>
          <w:szCs w:val="24"/>
          <w:lang w:val="en-US"/>
        </w:rPr>
        <w:t xml:space="preserve">EU Law. </w:t>
      </w:r>
      <w:r>
        <w:rPr>
          <w:rFonts w:ascii="Arial" w:hAnsi="Arial" w:cs="Arial"/>
          <w:sz w:val="24"/>
          <w:szCs w:val="24"/>
          <w:lang w:val="en-US"/>
        </w:rPr>
        <w:t>6</w:t>
      </w:r>
      <w:r w:rsidRPr="00CB1CC1">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1B8A7583"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Coulter, A. (2021) </w:t>
      </w:r>
      <w:r>
        <w:rPr>
          <w:rFonts w:ascii="Arial" w:hAnsi="Arial" w:cs="Arial"/>
          <w:i/>
          <w:iCs/>
          <w:sz w:val="24"/>
          <w:szCs w:val="24"/>
          <w:lang w:val="en-US"/>
        </w:rPr>
        <w:t xml:space="preserve">Competition regime: Article 101. </w:t>
      </w:r>
      <w:r>
        <w:rPr>
          <w:rFonts w:ascii="Arial" w:hAnsi="Arial" w:cs="Arial"/>
          <w:sz w:val="24"/>
          <w:szCs w:val="24"/>
          <w:lang w:val="en-US"/>
        </w:rPr>
        <w:t xml:space="preserve">Available at: </w:t>
      </w:r>
      <w:hyperlink r:id="rId6" w:history="1">
        <w:r w:rsidRPr="00C81289">
          <w:rPr>
            <w:rStyle w:val="Hyperlink"/>
            <w:rFonts w:ascii="Arial" w:hAnsi="Arial" w:cs="Arial"/>
            <w:sz w:val="24"/>
            <w:szCs w:val="24"/>
            <w:lang w:val="en-US"/>
          </w:rPr>
          <w:t>https://uk.practicallaw.thomsonreuters.com/0-107-3707?transitionType=Default&amp;contextData=(sc.Default)&amp;firstPage=true</w:t>
        </w:r>
      </w:hyperlink>
      <w:r>
        <w:rPr>
          <w:rFonts w:ascii="Arial" w:hAnsi="Arial" w:cs="Arial"/>
          <w:sz w:val="24"/>
          <w:szCs w:val="24"/>
          <w:lang w:val="en-US"/>
        </w:rPr>
        <w:t xml:space="preserve"> (Accessed on: 4</w:t>
      </w:r>
      <w:r w:rsidRPr="0022792E">
        <w:rPr>
          <w:rFonts w:ascii="Arial" w:hAnsi="Arial" w:cs="Arial"/>
          <w:sz w:val="24"/>
          <w:szCs w:val="24"/>
          <w:vertAlign w:val="superscript"/>
          <w:lang w:val="en-US"/>
        </w:rPr>
        <w:t>th</w:t>
      </w:r>
      <w:r>
        <w:rPr>
          <w:rFonts w:ascii="Arial" w:hAnsi="Arial" w:cs="Arial"/>
          <w:sz w:val="24"/>
          <w:szCs w:val="24"/>
          <w:lang w:val="en-US"/>
        </w:rPr>
        <w:t xml:space="preserve"> May 2021)</w:t>
      </w:r>
    </w:p>
    <w:p w14:paraId="29CAE9EC" w14:textId="77777777" w:rsidR="00AE2AE7" w:rsidRPr="00181EE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Cunha, E. (2017) </w:t>
      </w:r>
      <w:r>
        <w:rPr>
          <w:rFonts w:ascii="Arial" w:hAnsi="Arial" w:cs="Arial"/>
          <w:i/>
          <w:iCs/>
          <w:sz w:val="24"/>
          <w:szCs w:val="24"/>
          <w:lang w:val="en-US"/>
        </w:rPr>
        <w:t xml:space="preserve">Art. 102 TFEU – market definition – relevant temporal market. </w:t>
      </w:r>
      <w:r>
        <w:rPr>
          <w:rFonts w:ascii="Arial" w:hAnsi="Arial" w:cs="Arial"/>
          <w:sz w:val="24"/>
          <w:szCs w:val="24"/>
          <w:lang w:val="en-US"/>
        </w:rPr>
        <w:t xml:space="preserve">Available at: </w:t>
      </w:r>
      <w:hyperlink r:id="rId7" w:anchor=":~:text=This%20is%20the%20case%20when,Publication%20Note" w:history="1">
        <w:r w:rsidRPr="00EB0207">
          <w:rPr>
            <w:rStyle w:val="Hyperlink"/>
            <w:rFonts w:ascii="Arial" w:hAnsi="Arial" w:cs="Arial"/>
            <w:sz w:val="24"/>
            <w:szCs w:val="24"/>
            <w:lang w:val="en-US"/>
          </w:rPr>
          <w:t>https://wikis.fu-berlin.de/display/oncomment/Art.+102+TFEU+-+market+definition+-+relevant+temporal+market#:~:text=This%20is%20the%20case%20when,Publication%20Note</w:t>
        </w:r>
      </w:hyperlink>
      <w:r>
        <w:rPr>
          <w:rFonts w:ascii="Arial" w:hAnsi="Arial" w:cs="Arial"/>
          <w:sz w:val="24"/>
          <w:szCs w:val="24"/>
          <w:lang w:val="en-US"/>
        </w:rPr>
        <w:t xml:space="preserve"> (Accessed on: 2</w:t>
      </w:r>
      <w:r w:rsidRPr="001E09AD">
        <w:rPr>
          <w:rFonts w:ascii="Arial" w:hAnsi="Arial" w:cs="Arial"/>
          <w:sz w:val="24"/>
          <w:szCs w:val="24"/>
          <w:vertAlign w:val="superscript"/>
          <w:lang w:val="en-US"/>
        </w:rPr>
        <w:t>nd</w:t>
      </w:r>
      <w:r>
        <w:rPr>
          <w:rFonts w:ascii="Arial" w:hAnsi="Arial" w:cs="Arial"/>
          <w:sz w:val="24"/>
          <w:szCs w:val="24"/>
          <w:lang w:val="en-US"/>
        </w:rPr>
        <w:t xml:space="preserve"> May 2021)</w:t>
      </w:r>
    </w:p>
    <w:p w14:paraId="687CD993" w14:textId="348FADE4"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Davies, A. (2020) </w:t>
      </w:r>
      <w:r>
        <w:rPr>
          <w:rFonts w:ascii="Arial" w:hAnsi="Arial" w:cs="Arial"/>
          <w:i/>
          <w:iCs/>
          <w:sz w:val="24"/>
          <w:szCs w:val="24"/>
          <w:lang w:val="en-US"/>
        </w:rPr>
        <w:t xml:space="preserve">Competition law – the basics. </w:t>
      </w:r>
      <w:r>
        <w:rPr>
          <w:rFonts w:ascii="Arial" w:hAnsi="Arial" w:cs="Arial"/>
          <w:sz w:val="24"/>
          <w:szCs w:val="24"/>
          <w:lang w:val="en-US"/>
        </w:rPr>
        <w:t xml:space="preserve">Available at: </w:t>
      </w:r>
      <w:hyperlink r:id="rId8" w:history="1">
        <w:r w:rsidRPr="00C81289">
          <w:rPr>
            <w:rStyle w:val="Hyperlink"/>
            <w:rFonts w:ascii="Arial" w:hAnsi="Arial" w:cs="Arial"/>
            <w:sz w:val="24"/>
            <w:szCs w:val="24"/>
            <w:lang w:val="en-US"/>
          </w:rPr>
          <w:t>https://www.pinsentmasons.com/out-law/guides/competition-law---the-basics</w:t>
        </w:r>
      </w:hyperlink>
      <w:r>
        <w:rPr>
          <w:rFonts w:ascii="Arial" w:hAnsi="Arial" w:cs="Arial"/>
          <w:sz w:val="24"/>
          <w:szCs w:val="24"/>
          <w:lang w:val="en-US"/>
        </w:rPr>
        <w:t xml:space="preserve"> (Accessed on: 3</w:t>
      </w:r>
      <w:r w:rsidRPr="00FB1876">
        <w:rPr>
          <w:rFonts w:ascii="Arial" w:hAnsi="Arial" w:cs="Arial"/>
          <w:sz w:val="24"/>
          <w:szCs w:val="24"/>
          <w:vertAlign w:val="superscript"/>
          <w:lang w:val="en-US"/>
        </w:rPr>
        <w:t>rd</w:t>
      </w:r>
      <w:r>
        <w:rPr>
          <w:rFonts w:ascii="Arial" w:hAnsi="Arial" w:cs="Arial"/>
          <w:sz w:val="24"/>
          <w:szCs w:val="24"/>
          <w:lang w:val="en-US"/>
        </w:rPr>
        <w:t xml:space="preserve"> May 2021)</w:t>
      </w:r>
    </w:p>
    <w:p w14:paraId="070EC399" w14:textId="6856ABCB" w:rsidR="003B1D88" w:rsidRPr="00373508" w:rsidRDefault="003B1D88" w:rsidP="006D7763">
      <w:pPr>
        <w:spacing w:line="480" w:lineRule="auto"/>
        <w:rPr>
          <w:rFonts w:ascii="Arial" w:hAnsi="Arial" w:cs="Arial"/>
          <w:sz w:val="24"/>
          <w:szCs w:val="24"/>
          <w:lang w:val="en-US"/>
        </w:rPr>
      </w:pPr>
      <w:r>
        <w:rPr>
          <w:rFonts w:ascii="Arial" w:hAnsi="Arial" w:cs="Arial"/>
          <w:sz w:val="24"/>
          <w:szCs w:val="24"/>
          <w:lang w:val="en-US"/>
        </w:rPr>
        <w:t>Dethmers, F., and Blondeel, J. (2017)</w:t>
      </w:r>
      <w:r w:rsidR="00622F24">
        <w:rPr>
          <w:rFonts w:ascii="Arial" w:hAnsi="Arial" w:cs="Arial"/>
          <w:sz w:val="24"/>
          <w:szCs w:val="24"/>
          <w:lang w:val="en-US"/>
        </w:rPr>
        <w:t xml:space="preserve"> </w:t>
      </w:r>
      <w:r w:rsidR="00622F24">
        <w:rPr>
          <w:rFonts w:ascii="Arial" w:hAnsi="Arial" w:cs="Arial"/>
          <w:i/>
          <w:iCs/>
          <w:sz w:val="24"/>
          <w:szCs w:val="24"/>
          <w:lang w:val="en-US"/>
        </w:rPr>
        <w:t xml:space="preserve">EU enforcement policy on abuse of dominance: Some statistics and facts. </w:t>
      </w:r>
      <w:r w:rsidR="00373508">
        <w:rPr>
          <w:rFonts w:ascii="Arial" w:hAnsi="Arial" w:cs="Arial"/>
          <w:sz w:val="24"/>
          <w:szCs w:val="24"/>
          <w:lang w:val="en-US"/>
        </w:rPr>
        <w:t xml:space="preserve">Available at: </w:t>
      </w:r>
      <w:hyperlink r:id="rId9" w:history="1">
        <w:r w:rsidR="00322A07" w:rsidRPr="003138D9">
          <w:rPr>
            <w:rStyle w:val="Hyperlink"/>
            <w:rFonts w:ascii="Arial" w:hAnsi="Arial" w:cs="Arial"/>
            <w:sz w:val="24"/>
            <w:szCs w:val="24"/>
            <w:lang w:val="en-US"/>
          </w:rPr>
          <w:t>https://www.cliffordchance.com/content/dam/cliffordchance/PDFDocuments/EU_enforcement_policy_on_abuse_of_dominance_some_statistics_and_facts_F_Dethmers_and_J_Blondeel.pdf</w:t>
        </w:r>
      </w:hyperlink>
      <w:r w:rsidR="00322A07">
        <w:rPr>
          <w:rFonts w:ascii="Arial" w:hAnsi="Arial" w:cs="Arial"/>
          <w:sz w:val="24"/>
          <w:szCs w:val="24"/>
          <w:lang w:val="en-US"/>
        </w:rPr>
        <w:t xml:space="preserve"> (Accessed on: 4</w:t>
      </w:r>
      <w:r w:rsidR="00322A07" w:rsidRPr="00322A07">
        <w:rPr>
          <w:rFonts w:ascii="Arial" w:hAnsi="Arial" w:cs="Arial"/>
          <w:sz w:val="24"/>
          <w:szCs w:val="24"/>
          <w:vertAlign w:val="superscript"/>
          <w:lang w:val="en-US"/>
        </w:rPr>
        <w:t>th</w:t>
      </w:r>
      <w:r w:rsidR="00322A07">
        <w:rPr>
          <w:rFonts w:ascii="Arial" w:hAnsi="Arial" w:cs="Arial"/>
          <w:sz w:val="24"/>
          <w:szCs w:val="24"/>
          <w:lang w:val="en-US"/>
        </w:rPr>
        <w:t xml:space="preserve"> May 2021)</w:t>
      </w:r>
    </w:p>
    <w:p w14:paraId="18B3CA40" w14:textId="77777777" w:rsidR="00AE2AE7" w:rsidRPr="00564D7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(2011) </w:t>
      </w:r>
      <w:r>
        <w:rPr>
          <w:rFonts w:ascii="Arial" w:hAnsi="Arial" w:cs="Arial"/>
          <w:i/>
          <w:iCs/>
          <w:sz w:val="24"/>
          <w:szCs w:val="24"/>
          <w:lang w:val="en-US"/>
        </w:rPr>
        <w:t xml:space="preserve">Definition of relevant market. </w:t>
      </w:r>
      <w:r>
        <w:rPr>
          <w:rFonts w:ascii="Arial" w:hAnsi="Arial" w:cs="Arial"/>
          <w:sz w:val="24"/>
          <w:szCs w:val="24"/>
          <w:lang w:val="en-US"/>
        </w:rPr>
        <w:t xml:space="preserve">Available at: </w:t>
      </w:r>
      <w:hyperlink r:id="rId10" w:history="1">
        <w:r w:rsidRPr="00EB0207">
          <w:rPr>
            <w:rStyle w:val="Hyperlink"/>
            <w:rFonts w:ascii="Arial" w:hAnsi="Arial" w:cs="Arial"/>
            <w:sz w:val="24"/>
            <w:szCs w:val="24"/>
            <w:lang w:val="en-US"/>
          </w:rPr>
          <w:t>https://eur-lex.europa.eu/legal-content/EN/TXT/?uri=LEGISSUM%3AI26073</w:t>
        </w:r>
      </w:hyperlink>
      <w:r>
        <w:rPr>
          <w:rFonts w:ascii="Arial" w:hAnsi="Arial" w:cs="Arial"/>
          <w:sz w:val="24"/>
          <w:szCs w:val="24"/>
          <w:lang w:val="en-US"/>
        </w:rPr>
        <w:t xml:space="preserve"> (Accessed on: 1</w:t>
      </w:r>
      <w:r w:rsidRPr="00484385">
        <w:rPr>
          <w:rFonts w:ascii="Arial" w:hAnsi="Arial" w:cs="Arial"/>
          <w:sz w:val="24"/>
          <w:szCs w:val="24"/>
          <w:vertAlign w:val="superscript"/>
          <w:lang w:val="en-US"/>
        </w:rPr>
        <w:t>st</w:t>
      </w:r>
      <w:r>
        <w:rPr>
          <w:rFonts w:ascii="Arial" w:hAnsi="Arial" w:cs="Arial"/>
          <w:sz w:val="24"/>
          <w:szCs w:val="24"/>
          <w:lang w:val="en-US"/>
        </w:rPr>
        <w:t xml:space="preserve"> May 2021)</w:t>
      </w:r>
    </w:p>
    <w:p w14:paraId="4462B7AA" w14:textId="77777777" w:rsidR="00AE2AE7" w:rsidRPr="009B7143"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(2020) </w:t>
      </w:r>
      <w:r>
        <w:rPr>
          <w:rFonts w:ascii="Arial" w:hAnsi="Arial" w:cs="Arial"/>
          <w:i/>
          <w:iCs/>
          <w:sz w:val="24"/>
          <w:szCs w:val="24"/>
          <w:lang w:val="en-US"/>
        </w:rPr>
        <w:t xml:space="preserve">De minimis notice: Exemption for agreements of minor importance. </w:t>
      </w:r>
      <w:r>
        <w:rPr>
          <w:rFonts w:ascii="Arial" w:hAnsi="Arial" w:cs="Arial"/>
          <w:sz w:val="24"/>
          <w:szCs w:val="24"/>
          <w:lang w:val="en-US"/>
        </w:rPr>
        <w:t xml:space="preserve">Available at: </w:t>
      </w:r>
      <w:hyperlink r:id="rId11" w:history="1">
        <w:r w:rsidRPr="00C81289">
          <w:rPr>
            <w:rStyle w:val="Hyperlink"/>
            <w:rFonts w:ascii="Arial" w:hAnsi="Arial" w:cs="Arial"/>
            <w:sz w:val="24"/>
            <w:szCs w:val="24"/>
            <w:lang w:val="en-US"/>
          </w:rPr>
          <w:t>https://eur-lex.europa.eu/legal-content/EN/TXT/?uri=LEGISSUM%3AI26072</w:t>
        </w:r>
      </w:hyperlink>
      <w:r>
        <w:rPr>
          <w:rFonts w:ascii="Arial" w:hAnsi="Arial" w:cs="Arial"/>
          <w:sz w:val="24"/>
          <w:szCs w:val="24"/>
          <w:lang w:val="en-US"/>
        </w:rPr>
        <w:t xml:space="preserve"> (Accessed on: 4</w:t>
      </w:r>
      <w:r w:rsidRPr="008D4C53">
        <w:rPr>
          <w:rFonts w:ascii="Arial" w:hAnsi="Arial" w:cs="Arial"/>
          <w:sz w:val="24"/>
          <w:szCs w:val="24"/>
          <w:vertAlign w:val="superscript"/>
          <w:lang w:val="en-US"/>
        </w:rPr>
        <w:t>th</w:t>
      </w:r>
      <w:r>
        <w:rPr>
          <w:rFonts w:ascii="Arial" w:hAnsi="Arial" w:cs="Arial"/>
          <w:sz w:val="24"/>
          <w:szCs w:val="24"/>
          <w:lang w:val="en-US"/>
        </w:rPr>
        <w:t xml:space="preserve"> May 2021)</w:t>
      </w:r>
    </w:p>
    <w:p w14:paraId="1A2CDA5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Europa (2020) </w:t>
      </w:r>
      <w:r>
        <w:rPr>
          <w:rFonts w:ascii="Arial" w:hAnsi="Arial" w:cs="Arial"/>
          <w:i/>
          <w:iCs/>
          <w:sz w:val="24"/>
          <w:szCs w:val="24"/>
          <w:lang w:val="en-US"/>
        </w:rPr>
        <w:t xml:space="preserve">Competition Policy. </w:t>
      </w:r>
      <w:r>
        <w:rPr>
          <w:rFonts w:ascii="Arial" w:hAnsi="Arial" w:cs="Arial"/>
          <w:sz w:val="24"/>
          <w:szCs w:val="24"/>
          <w:lang w:val="en-US"/>
        </w:rPr>
        <w:t xml:space="preserve">Available at: </w:t>
      </w:r>
      <w:hyperlink r:id="rId12" w:history="1">
        <w:r w:rsidRPr="00C81289">
          <w:rPr>
            <w:rStyle w:val="Hyperlink"/>
            <w:rFonts w:ascii="Arial" w:hAnsi="Arial" w:cs="Arial"/>
            <w:sz w:val="24"/>
            <w:szCs w:val="24"/>
            <w:lang w:val="en-US"/>
          </w:rPr>
          <w:t>https://www.europarl.europa.eu/factsheets/en/sheet/82/competition-policy</w:t>
        </w:r>
      </w:hyperlink>
      <w:r>
        <w:rPr>
          <w:rFonts w:ascii="Arial" w:hAnsi="Arial" w:cs="Arial"/>
          <w:sz w:val="24"/>
          <w:szCs w:val="24"/>
          <w:lang w:val="en-US"/>
        </w:rPr>
        <w:t xml:space="preserve"> (Accessed on: 4</w:t>
      </w:r>
      <w:r w:rsidRPr="00295A40">
        <w:rPr>
          <w:rFonts w:ascii="Arial" w:hAnsi="Arial" w:cs="Arial"/>
          <w:sz w:val="24"/>
          <w:szCs w:val="24"/>
          <w:vertAlign w:val="superscript"/>
          <w:lang w:val="en-US"/>
        </w:rPr>
        <w:t>th</w:t>
      </w:r>
      <w:r>
        <w:rPr>
          <w:rFonts w:ascii="Arial" w:hAnsi="Arial" w:cs="Arial"/>
          <w:sz w:val="24"/>
          <w:szCs w:val="24"/>
          <w:lang w:val="en-US"/>
        </w:rPr>
        <w:t xml:space="preserve"> May 2021)</w:t>
      </w:r>
    </w:p>
    <w:p w14:paraId="45C1E0F3" w14:textId="77777777" w:rsidR="00AE2AE7" w:rsidRPr="001A45A4"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Foster, N. (2020) </w:t>
      </w:r>
      <w:r>
        <w:rPr>
          <w:rFonts w:ascii="Arial" w:hAnsi="Arial" w:cs="Arial"/>
          <w:i/>
          <w:iCs/>
          <w:sz w:val="24"/>
          <w:szCs w:val="24"/>
          <w:lang w:val="en-US"/>
        </w:rPr>
        <w:t xml:space="preserve">EU Treaties &amp; Legislation 2020-2021. </w:t>
      </w:r>
      <w:r>
        <w:rPr>
          <w:rFonts w:ascii="Arial" w:hAnsi="Arial" w:cs="Arial"/>
          <w:sz w:val="24"/>
          <w:szCs w:val="24"/>
          <w:lang w:val="en-US"/>
        </w:rPr>
        <w:t>31</w:t>
      </w:r>
      <w:r w:rsidRPr="001A45A4">
        <w:rPr>
          <w:rFonts w:ascii="Arial" w:hAnsi="Arial" w:cs="Arial"/>
          <w:sz w:val="24"/>
          <w:szCs w:val="24"/>
          <w:vertAlign w:val="superscript"/>
          <w:lang w:val="en-US"/>
        </w:rPr>
        <w:t>st</w:t>
      </w:r>
      <w:r>
        <w:rPr>
          <w:rFonts w:ascii="Arial" w:hAnsi="Arial" w:cs="Arial"/>
          <w:sz w:val="24"/>
          <w:szCs w:val="24"/>
          <w:lang w:val="en-US"/>
        </w:rPr>
        <w:t xml:space="preserve"> Ed. New York: Oxford University Press</w:t>
      </w:r>
    </w:p>
    <w:p w14:paraId="39DFA8D6"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Galindo, B. R. (2007) </w:t>
      </w:r>
      <w:r>
        <w:rPr>
          <w:rFonts w:ascii="Arial" w:hAnsi="Arial" w:cs="Arial"/>
          <w:i/>
          <w:iCs/>
          <w:sz w:val="24"/>
          <w:szCs w:val="24"/>
          <w:lang w:val="en-US"/>
        </w:rPr>
        <w:t xml:space="preserve">Prohibition of the abuse of a dominant position. </w:t>
      </w:r>
      <w:r>
        <w:rPr>
          <w:rFonts w:ascii="Arial" w:hAnsi="Arial" w:cs="Arial"/>
          <w:sz w:val="24"/>
          <w:szCs w:val="24"/>
          <w:lang w:val="en-US"/>
        </w:rPr>
        <w:t xml:space="preserve">Available at: </w:t>
      </w:r>
      <w:hyperlink r:id="rId13" w:history="1">
        <w:r w:rsidRPr="00EB0207">
          <w:rPr>
            <w:rStyle w:val="Hyperlink"/>
            <w:rFonts w:ascii="Arial" w:hAnsi="Arial" w:cs="Arial"/>
            <w:sz w:val="24"/>
            <w:szCs w:val="24"/>
            <w:lang w:val="en-US"/>
          </w:rPr>
          <w:t>https://ec.europa.eu/competition/speeches/text/sp2007_18_en.pdf</w:t>
        </w:r>
      </w:hyperlink>
      <w:r>
        <w:rPr>
          <w:rFonts w:ascii="Arial" w:hAnsi="Arial" w:cs="Arial"/>
          <w:sz w:val="24"/>
          <w:szCs w:val="24"/>
          <w:lang w:val="en-US"/>
        </w:rPr>
        <w:t xml:space="preserve"> (Accessed on: 3</w:t>
      </w:r>
      <w:r w:rsidRPr="0007071E">
        <w:rPr>
          <w:rFonts w:ascii="Arial" w:hAnsi="Arial" w:cs="Arial"/>
          <w:sz w:val="24"/>
          <w:szCs w:val="24"/>
          <w:vertAlign w:val="superscript"/>
          <w:lang w:val="en-US"/>
        </w:rPr>
        <w:t>rd</w:t>
      </w:r>
      <w:r>
        <w:rPr>
          <w:rFonts w:ascii="Arial" w:hAnsi="Arial" w:cs="Arial"/>
          <w:sz w:val="24"/>
          <w:szCs w:val="24"/>
          <w:lang w:val="en-US"/>
        </w:rPr>
        <w:t xml:space="preserve"> May 2021)</w:t>
      </w:r>
    </w:p>
    <w:p w14:paraId="545CFC6C" w14:textId="6E21D15E"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Gov.UK (2004) </w:t>
      </w:r>
      <w:r>
        <w:rPr>
          <w:rFonts w:ascii="Arial" w:hAnsi="Arial" w:cs="Arial"/>
          <w:i/>
          <w:iCs/>
          <w:sz w:val="24"/>
          <w:szCs w:val="24"/>
          <w:lang w:val="en-US"/>
        </w:rPr>
        <w:t xml:space="preserve">Abuse of a dominant position. </w:t>
      </w:r>
      <w:r>
        <w:rPr>
          <w:rFonts w:ascii="Arial" w:hAnsi="Arial" w:cs="Arial"/>
          <w:sz w:val="24"/>
          <w:szCs w:val="24"/>
          <w:lang w:val="en-US"/>
        </w:rPr>
        <w:t xml:space="preserve">Available at: </w:t>
      </w:r>
      <w:hyperlink r:id="rId14" w:history="1">
        <w:r w:rsidRPr="00EB0207">
          <w:rPr>
            <w:rStyle w:val="Hyperlink"/>
            <w:rFonts w:ascii="Arial" w:hAnsi="Arial" w:cs="Arial"/>
            <w:sz w:val="24"/>
            <w:szCs w:val="24"/>
            <w:lang w:val="en-US"/>
          </w:rPr>
          <w:t>https://assets.publishing.service.gov.uk/government/uploads/system/uploads/attachment_data/file/284422/oft402.pdf</w:t>
        </w:r>
      </w:hyperlink>
      <w:r>
        <w:rPr>
          <w:rFonts w:ascii="Arial" w:hAnsi="Arial" w:cs="Arial"/>
          <w:sz w:val="24"/>
          <w:szCs w:val="24"/>
          <w:lang w:val="en-US"/>
        </w:rPr>
        <w:t xml:space="preserve"> (Accessed on: 2</w:t>
      </w:r>
      <w:r w:rsidRPr="005F2EF2">
        <w:rPr>
          <w:rFonts w:ascii="Arial" w:hAnsi="Arial" w:cs="Arial"/>
          <w:sz w:val="24"/>
          <w:szCs w:val="24"/>
          <w:vertAlign w:val="superscript"/>
          <w:lang w:val="en-US"/>
        </w:rPr>
        <w:t>nd</w:t>
      </w:r>
      <w:r>
        <w:rPr>
          <w:rFonts w:ascii="Arial" w:hAnsi="Arial" w:cs="Arial"/>
          <w:sz w:val="24"/>
          <w:szCs w:val="24"/>
          <w:lang w:val="en-US"/>
        </w:rPr>
        <w:t xml:space="preserve"> May 2021)</w:t>
      </w:r>
    </w:p>
    <w:p w14:paraId="2269E635" w14:textId="02668D86" w:rsidR="00042A5C" w:rsidRPr="00CD6341" w:rsidRDefault="00A25CAA" w:rsidP="006D7763">
      <w:pPr>
        <w:spacing w:line="480" w:lineRule="auto"/>
        <w:rPr>
          <w:rFonts w:ascii="Arial" w:hAnsi="Arial" w:cs="Arial"/>
          <w:color w:val="000000" w:themeColor="text1"/>
          <w:sz w:val="24"/>
          <w:szCs w:val="24"/>
          <w:lang w:val="en-US"/>
        </w:rPr>
      </w:pPr>
      <w:r w:rsidRPr="0077770C">
        <w:rPr>
          <w:rFonts w:ascii="Arial" w:hAnsi="Arial" w:cs="Arial"/>
          <w:color w:val="000000" w:themeColor="text1"/>
          <w:sz w:val="24"/>
          <w:szCs w:val="24"/>
          <w:lang w:val="en-US"/>
        </w:rPr>
        <w:lastRenderedPageBreak/>
        <w:t>Hedlund</w:t>
      </w:r>
      <w:r>
        <w:rPr>
          <w:rFonts w:ascii="Arial" w:hAnsi="Arial" w:cs="Arial"/>
          <w:color w:val="000000" w:themeColor="text1"/>
          <w:sz w:val="24"/>
          <w:szCs w:val="24"/>
          <w:lang w:val="en-US"/>
        </w:rPr>
        <w:t xml:space="preserve">, E. (2007) </w:t>
      </w:r>
      <w:r w:rsidR="00CD6341">
        <w:rPr>
          <w:rFonts w:ascii="Arial" w:hAnsi="Arial" w:cs="Arial"/>
          <w:i/>
          <w:iCs/>
          <w:color w:val="000000" w:themeColor="text1"/>
          <w:sz w:val="24"/>
          <w:szCs w:val="24"/>
          <w:lang w:val="en-US"/>
        </w:rPr>
        <w:t xml:space="preserve">Definition of the geographic market for the purposes of EC competition law. </w:t>
      </w:r>
      <w:r w:rsidR="00CD6341">
        <w:rPr>
          <w:rFonts w:ascii="Arial" w:hAnsi="Arial" w:cs="Arial"/>
          <w:color w:val="000000" w:themeColor="text1"/>
          <w:sz w:val="24"/>
          <w:szCs w:val="24"/>
          <w:lang w:val="en-US"/>
        </w:rPr>
        <w:t xml:space="preserve">Available at: </w:t>
      </w:r>
      <w:hyperlink r:id="rId15" w:history="1">
        <w:r w:rsidR="00683DE4" w:rsidRPr="003138D9">
          <w:rPr>
            <w:rStyle w:val="Hyperlink"/>
            <w:rFonts w:ascii="Arial" w:hAnsi="Arial" w:cs="Arial"/>
            <w:sz w:val="24"/>
            <w:szCs w:val="24"/>
            <w:lang w:val="en-US"/>
          </w:rPr>
          <w:t>https://www.diva-portal.org/smash/get/diva2:134897/fulltext01.pdf</w:t>
        </w:r>
      </w:hyperlink>
      <w:r w:rsidR="00683DE4">
        <w:rPr>
          <w:rFonts w:ascii="Arial" w:hAnsi="Arial" w:cs="Arial"/>
          <w:color w:val="000000" w:themeColor="text1"/>
          <w:sz w:val="24"/>
          <w:szCs w:val="24"/>
          <w:lang w:val="en-US"/>
        </w:rPr>
        <w:t xml:space="preserve"> (Accessed on: 5</w:t>
      </w:r>
      <w:r w:rsidR="00683DE4" w:rsidRPr="00683DE4">
        <w:rPr>
          <w:rFonts w:ascii="Arial" w:hAnsi="Arial" w:cs="Arial"/>
          <w:color w:val="000000" w:themeColor="text1"/>
          <w:sz w:val="24"/>
          <w:szCs w:val="24"/>
          <w:vertAlign w:val="superscript"/>
          <w:lang w:val="en-US"/>
        </w:rPr>
        <w:t>th</w:t>
      </w:r>
      <w:r w:rsidR="00683DE4">
        <w:rPr>
          <w:rFonts w:ascii="Arial" w:hAnsi="Arial" w:cs="Arial"/>
          <w:color w:val="000000" w:themeColor="text1"/>
          <w:sz w:val="24"/>
          <w:szCs w:val="24"/>
          <w:lang w:val="en-US"/>
        </w:rPr>
        <w:t xml:space="preserve"> May 2021)</w:t>
      </w:r>
    </w:p>
    <w:p w14:paraId="0E4C9D8B"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LLB (2020) </w:t>
      </w:r>
      <w:r>
        <w:rPr>
          <w:rFonts w:ascii="Arial" w:hAnsi="Arial" w:cs="Arial"/>
          <w:i/>
          <w:iCs/>
          <w:sz w:val="24"/>
          <w:szCs w:val="24"/>
          <w:lang w:val="en-US"/>
        </w:rPr>
        <w:t xml:space="preserve">EU Law. </w:t>
      </w:r>
      <w:r>
        <w:rPr>
          <w:rFonts w:ascii="Arial" w:hAnsi="Arial" w:cs="Arial"/>
          <w:sz w:val="24"/>
          <w:szCs w:val="24"/>
          <w:lang w:val="en-US"/>
        </w:rPr>
        <w:t>4</w:t>
      </w:r>
      <w:r w:rsidRPr="004C7401">
        <w:rPr>
          <w:rFonts w:ascii="Arial" w:hAnsi="Arial" w:cs="Arial"/>
          <w:sz w:val="24"/>
          <w:szCs w:val="24"/>
          <w:vertAlign w:val="superscript"/>
          <w:lang w:val="en-US"/>
        </w:rPr>
        <w:t>th</w:t>
      </w:r>
      <w:r>
        <w:rPr>
          <w:rFonts w:ascii="Arial" w:hAnsi="Arial" w:cs="Arial"/>
          <w:sz w:val="24"/>
          <w:szCs w:val="24"/>
          <w:lang w:val="en-US"/>
        </w:rPr>
        <w:t xml:space="preserve"> Ed. United Kingdom: Answered Publishing</w:t>
      </w:r>
    </w:p>
    <w:p w14:paraId="2C449CF6" w14:textId="77777777" w:rsidR="00AE2AE7" w:rsidRPr="00982F2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Lorenz, M. (2013) </w:t>
      </w:r>
      <w:r w:rsidRPr="00982F28">
        <w:rPr>
          <w:rFonts w:ascii="Arial" w:hAnsi="Arial" w:cs="Arial"/>
          <w:i/>
          <w:iCs/>
          <w:sz w:val="24"/>
          <w:szCs w:val="24"/>
          <w:lang w:val="en-US"/>
        </w:rPr>
        <w:t>An introduction to EU Competition Law</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6" w:history="1">
        <w:r w:rsidRPr="00C81289">
          <w:rPr>
            <w:rStyle w:val="Hyperlink"/>
            <w:rFonts w:ascii="Arial" w:hAnsi="Arial" w:cs="Arial"/>
            <w:sz w:val="24"/>
            <w:szCs w:val="24"/>
            <w:lang w:val="en-US"/>
          </w:rPr>
          <w:t>https://doi.org/10.1017/CBO9781139087452.005</w:t>
        </w:r>
      </w:hyperlink>
      <w:r>
        <w:rPr>
          <w:rFonts w:ascii="Arial" w:hAnsi="Arial" w:cs="Arial"/>
          <w:sz w:val="24"/>
          <w:szCs w:val="24"/>
          <w:lang w:val="en-US"/>
        </w:rPr>
        <w:t xml:space="preserve"> (Accessed on: 2</w:t>
      </w:r>
      <w:r w:rsidRPr="00E5544B">
        <w:rPr>
          <w:rFonts w:ascii="Arial" w:hAnsi="Arial" w:cs="Arial"/>
          <w:sz w:val="24"/>
          <w:szCs w:val="24"/>
          <w:vertAlign w:val="superscript"/>
          <w:lang w:val="en-US"/>
        </w:rPr>
        <w:t>nd</w:t>
      </w:r>
      <w:r>
        <w:rPr>
          <w:rFonts w:ascii="Arial" w:hAnsi="Arial" w:cs="Arial"/>
          <w:sz w:val="24"/>
          <w:szCs w:val="24"/>
          <w:lang w:val="en-US"/>
        </w:rPr>
        <w:t xml:space="preserve"> May 2021)</w:t>
      </w:r>
    </w:p>
    <w:p w14:paraId="5F465D6F"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Office of Fair Trading (2007) </w:t>
      </w:r>
      <w:r>
        <w:rPr>
          <w:rFonts w:ascii="Arial" w:hAnsi="Arial" w:cs="Arial"/>
          <w:i/>
          <w:iCs/>
          <w:sz w:val="24"/>
          <w:szCs w:val="24"/>
          <w:lang w:val="en-US"/>
        </w:rPr>
        <w:t>A quick guide to competition and consumer protection laws that affect your business.</w:t>
      </w:r>
      <w:r>
        <w:rPr>
          <w:rFonts w:ascii="Arial" w:hAnsi="Arial" w:cs="Arial"/>
          <w:sz w:val="24"/>
          <w:szCs w:val="24"/>
          <w:lang w:val="en-US"/>
        </w:rPr>
        <w:t xml:space="preserve"> United Kingdom: Office of Fair Trading</w:t>
      </w:r>
    </w:p>
    <w:p w14:paraId="297B63E3"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Ridyard, D., Baker, S., and Bishop, S. (2021) </w:t>
      </w:r>
      <w:r>
        <w:rPr>
          <w:rFonts w:ascii="Arial" w:hAnsi="Arial" w:cs="Arial"/>
          <w:i/>
          <w:iCs/>
          <w:sz w:val="24"/>
          <w:szCs w:val="24"/>
          <w:lang w:val="en-US"/>
        </w:rPr>
        <w:t xml:space="preserve">Competition regime: EU Market definition. </w:t>
      </w:r>
      <w:r>
        <w:rPr>
          <w:rFonts w:ascii="Arial" w:hAnsi="Arial" w:cs="Arial"/>
          <w:sz w:val="24"/>
          <w:szCs w:val="24"/>
          <w:lang w:val="en-US"/>
        </w:rPr>
        <w:t xml:space="preserve">Available at: </w:t>
      </w:r>
      <w:hyperlink r:id="rId17" w:history="1">
        <w:r w:rsidRPr="00EB0207">
          <w:rPr>
            <w:rStyle w:val="Hyperlink"/>
            <w:rFonts w:ascii="Arial" w:hAnsi="Arial" w:cs="Arial"/>
            <w:sz w:val="24"/>
            <w:szCs w:val="24"/>
            <w:lang w:val="en-US"/>
          </w:rPr>
          <w:t>https://uk.practicallaw.thomsonreuters.com/4-107-3710?contextData=(sc.Default)&amp;transitionType=Default&amp;firstPage=true</w:t>
        </w:r>
      </w:hyperlink>
      <w:r>
        <w:rPr>
          <w:rFonts w:ascii="Arial" w:hAnsi="Arial" w:cs="Arial"/>
          <w:sz w:val="24"/>
          <w:szCs w:val="24"/>
          <w:lang w:val="en-US"/>
        </w:rPr>
        <w:t xml:space="preserve"> (Accessed on: 2</w:t>
      </w:r>
      <w:r w:rsidRPr="006E675E">
        <w:rPr>
          <w:rFonts w:ascii="Arial" w:hAnsi="Arial" w:cs="Arial"/>
          <w:sz w:val="24"/>
          <w:szCs w:val="24"/>
          <w:vertAlign w:val="superscript"/>
          <w:lang w:val="en-US"/>
        </w:rPr>
        <w:t>nd</w:t>
      </w:r>
      <w:r>
        <w:rPr>
          <w:rFonts w:ascii="Arial" w:hAnsi="Arial" w:cs="Arial"/>
          <w:sz w:val="24"/>
          <w:szCs w:val="24"/>
          <w:lang w:val="en-US"/>
        </w:rPr>
        <w:t xml:space="preserve"> May 2021)</w:t>
      </w:r>
    </w:p>
    <w:p w14:paraId="7DB3B8E7" w14:textId="77777777" w:rsidR="00AE2AE7" w:rsidRPr="0092110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Robertson, V. (2019) ‘The relevant market in competition law: a legal concept’, </w:t>
      </w:r>
      <w:r>
        <w:rPr>
          <w:rFonts w:ascii="Arial" w:hAnsi="Arial" w:cs="Arial"/>
          <w:i/>
          <w:iCs/>
          <w:sz w:val="24"/>
          <w:szCs w:val="24"/>
          <w:lang w:val="en-US"/>
        </w:rPr>
        <w:t xml:space="preserve">Journal of Antitrust Enforcement, </w:t>
      </w:r>
      <w:r>
        <w:rPr>
          <w:rFonts w:ascii="Arial" w:hAnsi="Arial" w:cs="Arial"/>
          <w:sz w:val="24"/>
          <w:szCs w:val="24"/>
          <w:lang w:val="en-US"/>
        </w:rPr>
        <w:t xml:space="preserve">7(2), pp. 158-176. DOI: </w:t>
      </w:r>
      <w:hyperlink r:id="rId18" w:history="1">
        <w:r w:rsidRPr="00EB0207">
          <w:rPr>
            <w:rStyle w:val="Hyperlink"/>
            <w:rFonts w:ascii="Arial" w:hAnsi="Arial" w:cs="Arial"/>
            <w:sz w:val="24"/>
            <w:szCs w:val="24"/>
            <w:lang w:val="en-US"/>
          </w:rPr>
          <w:t>https://doi.org/10.1093/jaenfo/jnz005</w:t>
        </w:r>
      </w:hyperlink>
      <w:r>
        <w:rPr>
          <w:rFonts w:ascii="Arial" w:hAnsi="Arial" w:cs="Arial"/>
          <w:sz w:val="24"/>
          <w:szCs w:val="24"/>
          <w:lang w:val="en-US"/>
        </w:rPr>
        <w:t xml:space="preserve"> (Accessed on: 3</w:t>
      </w:r>
      <w:r w:rsidRPr="00FD6E7D">
        <w:rPr>
          <w:rFonts w:ascii="Arial" w:hAnsi="Arial" w:cs="Arial"/>
          <w:sz w:val="24"/>
          <w:szCs w:val="24"/>
          <w:vertAlign w:val="superscript"/>
          <w:lang w:val="en-US"/>
        </w:rPr>
        <w:t>rd</w:t>
      </w:r>
      <w:r>
        <w:rPr>
          <w:rFonts w:ascii="Arial" w:hAnsi="Arial" w:cs="Arial"/>
          <w:sz w:val="24"/>
          <w:szCs w:val="24"/>
          <w:lang w:val="en-US"/>
        </w:rPr>
        <w:t xml:space="preserve"> May 2021)</w:t>
      </w:r>
    </w:p>
    <w:p w14:paraId="3574D8A1" w14:textId="2F9DBCD0"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Thomson Reuters (2021) </w:t>
      </w:r>
      <w:r>
        <w:rPr>
          <w:rFonts w:ascii="Arial" w:hAnsi="Arial" w:cs="Arial"/>
          <w:i/>
          <w:iCs/>
          <w:sz w:val="24"/>
          <w:szCs w:val="24"/>
          <w:lang w:val="en-US"/>
        </w:rPr>
        <w:t xml:space="preserve">Notice on agreements of minor importance. </w:t>
      </w:r>
      <w:r>
        <w:rPr>
          <w:rFonts w:ascii="Arial" w:hAnsi="Arial" w:cs="Arial"/>
          <w:sz w:val="24"/>
          <w:szCs w:val="24"/>
          <w:lang w:val="en-US"/>
        </w:rPr>
        <w:t xml:space="preserve">Available at: </w:t>
      </w:r>
      <w:hyperlink r:id="rId19" w:history="1">
        <w:r w:rsidRPr="00C81289">
          <w:rPr>
            <w:rStyle w:val="Hyperlink"/>
            <w:rFonts w:ascii="Arial" w:hAnsi="Arial" w:cs="Arial"/>
            <w:sz w:val="24"/>
            <w:szCs w:val="24"/>
            <w:lang w:val="en-US"/>
          </w:rPr>
          <w:t>https://uk.practicallaw.thomsonreuters.com/2-107-6347?transitionType=Default&amp;contextData=(sc.Default)&amp;firstPage=true</w:t>
        </w:r>
      </w:hyperlink>
      <w:r>
        <w:rPr>
          <w:rFonts w:ascii="Arial" w:hAnsi="Arial" w:cs="Arial"/>
          <w:sz w:val="24"/>
          <w:szCs w:val="24"/>
          <w:lang w:val="en-US"/>
        </w:rPr>
        <w:t xml:space="preserve"> (Accessed on: 4</w:t>
      </w:r>
      <w:r w:rsidRPr="001E3318">
        <w:rPr>
          <w:rFonts w:ascii="Arial" w:hAnsi="Arial" w:cs="Arial"/>
          <w:sz w:val="24"/>
          <w:szCs w:val="24"/>
          <w:vertAlign w:val="superscript"/>
          <w:lang w:val="en-US"/>
        </w:rPr>
        <w:t>th</w:t>
      </w:r>
      <w:r>
        <w:rPr>
          <w:rFonts w:ascii="Arial" w:hAnsi="Arial" w:cs="Arial"/>
          <w:sz w:val="24"/>
          <w:szCs w:val="24"/>
          <w:lang w:val="en-US"/>
        </w:rPr>
        <w:t xml:space="preserve"> May 2021)</w:t>
      </w:r>
    </w:p>
    <w:p w14:paraId="516148C9" w14:textId="77777777" w:rsidR="00A12636" w:rsidRDefault="00A12636" w:rsidP="006D7763">
      <w:pPr>
        <w:spacing w:line="480" w:lineRule="auto"/>
        <w:rPr>
          <w:rFonts w:ascii="Arial" w:hAnsi="Arial" w:cs="Arial"/>
          <w:sz w:val="24"/>
          <w:szCs w:val="24"/>
          <w:lang w:val="en-US"/>
        </w:rPr>
      </w:pPr>
    </w:p>
    <w:p w14:paraId="5EA77938" w14:textId="77777777" w:rsidR="00AE2AE7"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 Case List:</w:t>
      </w:r>
    </w:p>
    <w:p w14:paraId="021A5C9B" w14:textId="7B16136F" w:rsidR="00566561" w:rsidRDefault="00566561" w:rsidP="006D7763">
      <w:pPr>
        <w:spacing w:line="480" w:lineRule="auto"/>
        <w:rPr>
          <w:rFonts w:ascii="Arial" w:hAnsi="Arial" w:cs="Arial"/>
          <w:sz w:val="24"/>
          <w:szCs w:val="24"/>
          <w:lang w:val="en-US"/>
        </w:rPr>
      </w:pPr>
      <w:r>
        <w:rPr>
          <w:rFonts w:ascii="Arial" w:hAnsi="Arial" w:cs="Arial"/>
          <w:sz w:val="24"/>
          <w:szCs w:val="24"/>
          <w:lang w:val="en-US"/>
        </w:rPr>
        <w:lastRenderedPageBreak/>
        <w:t>ABG/Oil companies operating in the Netherlands (Case</w:t>
      </w:r>
      <w:r w:rsidR="00496054">
        <w:rPr>
          <w:rFonts w:ascii="Arial" w:hAnsi="Arial" w:cs="Arial"/>
          <w:sz w:val="24"/>
          <w:szCs w:val="24"/>
          <w:lang w:val="en-US"/>
        </w:rPr>
        <w:t xml:space="preserve"> IV/28.841</w:t>
      </w:r>
      <w:r>
        <w:rPr>
          <w:rFonts w:ascii="Arial" w:hAnsi="Arial" w:cs="Arial"/>
          <w:sz w:val="24"/>
          <w:szCs w:val="24"/>
          <w:lang w:val="en-US"/>
        </w:rPr>
        <w:t>)</w:t>
      </w:r>
      <w:r w:rsidR="00496054">
        <w:rPr>
          <w:rFonts w:ascii="Arial" w:hAnsi="Arial" w:cs="Arial"/>
          <w:sz w:val="24"/>
          <w:szCs w:val="24"/>
          <w:lang w:val="en-US"/>
        </w:rPr>
        <w:t xml:space="preserve"> [1977] </w:t>
      </w:r>
      <w:r w:rsidR="00136353">
        <w:rPr>
          <w:rFonts w:ascii="Arial" w:hAnsi="Arial" w:cs="Arial"/>
          <w:sz w:val="24"/>
          <w:szCs w:val="24"/>
          <w:lang w:val="en-US"/>
        </w:rPr>
        <w:t>OJ L117</w:t>
      </w:r>
    </w:p>
    <w:p w14:paraId="7C2874E4" w14:textId="1090124A" w:rsidR="00A3348E" w:rsidRDefault="00A3348E" w:rsidP="006D7763">
      <w:pPr>
        <w:spacing w:line="480" w:lineRule="auto"/>
        <w:rPr>
          <w:rFonts w:ascii="Arial" w:hAnsi="Arial" w:cs="Arial"/>
          <w:sz w:val="24"/>
          <w:szCs w:val="24"/>
          <w:lang w:val="en-US"/>
        </w:rPr>
      </w:pPr>
      <w:r>
        <w:rPr>
          <w:rFonts w:ascii="Arial" w:hAnsi="Arial" w:cs="Arial"/>
          <w:sz w:val="24"/>
          <w:szCs w:val="24"/>
          <w:lang w:val="en-US"/>
        </w:rPr>
        <w:t>A</w:t>
      </w:r>
      <w:r w:rsidR="0016273B">
        <w:rPr>
          <w:rFonts w:ascii="Arial" w:hAnsi="Arial" w:cs="Arial"/>
          <w:sz w:val="24"/>
          <w:szCs w:val="24"/>
          <w:lang w:val="en-US"/>
        </w:rPr>
        <w:t>KZO Chemie BV v Commission (Case C-62/86) [199</w:t>
      </w:r>
      <w:r w:rsidR="00A74F31">
        <w:rPr>
          <w:rFonts w:ascii="Arial" w:hAnsi="Arial" w:cs="Arial"/>
          <w:sz w:val="24"/>
          <w:szCs w:val="24"/>
          <w:lang w:val="en-US"/>
        </w:rPr>
        <w:t>1]</w:t>
      </w:r>
      <w:r w:rsidR="00147966">
        <w:rPr>
          <w:rFonts w:ascii="Arial" w:hAnsi="Arial" w:cs="Arial"/>
          <w:sz w:val="24"/>
          <w:szCs w:val="24"/>
          <w:lang w:val="en-US"/>
        </w:rPr>
        <w:t xml:space="preserve"> ECR I-3359</w:t>
      </w:r>
    </w:p>
    <w:p w14:paraId="59E2464A" w14:textId="726A8976"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Commission Notice on the definition of relevant market for the purposes of Community competition law (Case C- 372/5) [1997] OJ </w:t>
      </w:r>
    </w:p>
    <w:p w14:paraId="1DCDBE47" w14:textId="5BE6466B" w:rsidR="00683DE4" w:rsidRDefault="00AE2AE7" w:rsidP="006D7763">
      <w:pPr>
        <w:spacing w:line="480" w:lineRule="auto"/>
        <w:rPr>
          <w:rFonts w:ascii="Arial" w:hAnsi="Arial" w:cs="Arial"/>
          <w:sz w:val="24"/>
          <w:szCs w:val="24"/>
          <w:lang w:val="en-US"/>
        </w:rPr>
      </w:pPr>
      <w:r>
        <w:rPr>
          <w:rFonts w:ascii="Arial" w:hAnsi="Arial" w:cs="Arial"/>
          <w:sz w:val="24"/>
          <w:szCs w:val="24"/>
          <w:lang w:val="en-US"/>
        </w:rPr>
        <w:t>Europemballage Corporation and Continental Can Co Inc v Commission (Case 6/72) [1973] ECR 21</w:t>
      </w:r>
      <w:r w:rsidR="00420F41">
        <w:rPr>
          <w:rFonts w:ascii="Arial" w:hAnsi="Arial" w:cs="Arial"/>
          <w:sz w:val="24"/>
          <w:szCs w:val="24"/>
          <w:lang w:val="en-US"/>
        </w:rPr>
        <w:t>5</w:t>
      </w:r>
    </w:p>
    <w:p w14:paraId="2C287115" w14:textId="66809D5B" w:rsidR="00420F41" w:rsidRPr="00420F41" w:rsidRDefault="00420F41" w:rsidP="006D7763">
      <w:pPr>
        <w:spacing w:line="480" w:lineRule="auto"/>
        <w:rPr>
          <w:rFonts w:ascii="Arial" w:hAnsi="Arial" w:cs="Arial"/>
          <w:sz w:val="24"/>
          <w:szCs w:val="24"/>
          <w:lang w:val="en-US"/>
        </w:rPr>
      </w:pPr>
      <w:r>
        <w:rPr>
          <w:rFonts w:ascii="Arial" w:hAnsi="Arial" w:cs="Arial"/>
          <w:sz w:val="24"/>
          <w:szCs w:val="24"/>
          <w:lang w:val="en-US"/>
        </w:rPr>
        <w:t xml:space="preserve">Hilti v Commission </w:t>
      </w:r>
      <w:r w:rsidR="001872E5">
        <w:rPr>
          <w:rFonts w:ascii="Arial" w:hAnsi="Arial" w:cs="Arial"/>
          <w:sz w:val="24"/>
          <w:szCs w:val="24"/>
          <w:lang w:val="en-US"/>
        </w:rPr>
        <w:t>(Case T-30/89) [1991]</w:t>
      </w:r>
      <w:r w:rsidR="000F3194">
        <w:rPr>
          <w:rFonts w:ascii="Arial" w:hAnsi="Arial" w:cs="Arial"/>
          <w:sz w:val="24"/>
          <w:szCs w:val="24"/>
          <w:lang w:val="en-US"/>
        </w:rPr>
        <w:t xml:space="preserve"> ECR II-1439</w:t>
      </w:r>
    </w:p>
    <w:p w14:paraId="6F1E62B9" w14:textId="644CEA17" w:rsidR="000C3259" w:rsidRDefault="000C3259" w:rsidP="006D7763">
      <w:pPr>
        <w:spacing w:line="480" w:lineRule="auto"/>
        <w:rPr>
          <w:rFonts w:ascii="Arial" w:hAnsi="Arial" w:cs="Arial"/>
          <w:sz w:val="24"/>
          <w:szCs w:val="24"/>
          <w:lang w:val="en-US"/>
        </w:rPr>
      </w:pPr>
      <w:r>
        <w:rPr>
          <w:rFonts w:ascii="Arial" w:hAnsi="Arial" w:cs="Arial"/>
          <w:sz w:val="24"/>
          <w:szCs w:val="24"/>
          <w:lang w:val="en-US"/>
        </w:rPr>
        <w:t>Hoffm</w:t>
      </w:r>
      <w:r w:rsidR="00591569">
        <w:rPr>
          <w:rFonts w:ascii="Arial" w:hAnsi="Arial" w:cs="Arial"/>
          <w:sz w:val="24"/>
          <w:szCs w:val="24"/>
          <w:lang w:val="en-US"/>
        </w:rPr>
        <w:t>an</w:t>
      </w:r>
      <w:r w:rsidR="00874C0A">
        <w:rPr>
          <w:rFonts w:ascii="Arial" w:hAnsi="Arial" w:cs="Arial"/>
          <w:sz w:val="24"/>
          <w:szCs w:val="24"/>
          <w:lang w:val="en-US"/>
        </w:rPr>
        <w:t xml:space="preserve"> La-Roche (</w:t>
      </w:r>
      <w:r w:rsidR="0038092F">
        <w:rPr>
          <w:rFonts w:ascii="Arial" w:hAnsi="Arial" w:cs="Arial"/>
          <w:sz w:val="24"/>
          <w:szCs w:val="24"/>
          <w:lang w:val="en-US"/>
        </w:rPr>
        <w:t>Case 85/76) [</w:t>
      </w:r>
      <w:r w:rsidR="00880DA3">
        <w:rPr>
          <w:rFonts w:ascii="Arial" w:hAnsi="Arial" w:cs="Arial"/>
          <w:sz w:val="24"/>
          <w:szCs w:val="24"/>
          <w:lang w:val="en-US"/>
        </w:rPr>
        <w:t xml:space="preserve">1979] </w:t>
      </w:r>
      <w:r w:rsidR="008733F8">
        <w:rPr>
          <w:rFonts w:ascii="Arial" w:hAnsi="Arial" w:cs="Arial"/>
          <w:sz w:val="24"/>
          <w:szCs w:val="24"/>
          <w:lang w:val="en-US"/>
        </w:rPr>
        <w:t>ECR 461</w:t>
      </w:r>
    </w:p>
    <w:p w14:paraId="1CBB0E7E" w14:textId="161AA9E7" w:rsidR="00DB4099" w:rsidRDefault="00DB4099" w:rsidP="006D7763">
      <w:pPr>
        <w:spacing w:line="480" w:lineRule="auto"/>
        <w:rPr>
          <w:rFonts w:ascii="Arial" w:hAnsi="Arial" w:cs="Arial"/>
          <w:sz w:val="24"/>
          <w:szCs w:val="24"/>
          <w:lang w:val="en-US"/>
        </w:rPr>
      </w:pPr>
      <w:r>
        <w:rPr>
          <w:rFonts w:ascii="Arial" w:hAnsi="Arial" w:cs="Arial"/>
          <w:sz w:val="24"/>
          <w:szCs w:val="24"/>
          <w:lang w:val="en-US"/>
        </w:rPr>
        <w:t>Hugin</w:t>
      </w:r>
      <w:r w:rsidR="00AF24BC">
        <w:rPr>
          <w:rFonts w:ascii="Arial" w:hAnsi="Arial" w:cs="Arial"/>
          <w:sz w:val="24"/>
          <w:szCs w:val="24"/>
          <w:lang w:val="en-US"/>
        </w:rPr>
        <w:t xml:space="preserve"> Kassaregister AB v Commission (Case 22/78) [</w:t>
      </w:r>
      <w:r w:rsidR="00914390">
        <w:rPr>
          <w:rFonts w:ascii="Arial" w:hAnsi="Arial" w:cs="Arial"/>
          <w:sz w:val="24"/>
          <w:szCs w:val="24"/>
          <w:lang w:val="en-US"/>
        </w:rPr>
        <w:t xml:space="preserve">1979] </w:t>
      </w:r>
      <w:r w:rsidR="002471CC">
        <w:rPr>
          <w:rFonts w:ascii="Arial" w:hAnsi="Arial" w:cs="Arial"/>
          <w:sz w:val="24"/>
          <w:szCs w:val="24"/>
          <w:lang w:val="en-US"/>
        </w:rPr>
        <w:t xml:space="preserve">ECR </w:t>
      </w:r>
      <w:r w:rsidR="00336EA6">
        <w:rPr>
          <w:rFonts w:ascii="Arial" w:hAnsi="Arial" w:cs="Arial"/>
          <w:sz w:val="24"/>
          <w:szCs w:val="24"/>
          <w:lang w:val="en-US"/>
        </w:rPr>
        <w:t>1869</w:t>
      </w:r>
    </w:p>
    <w:p w14:paraId="17F4B0DA" w14:textId="37FB5FDD" w:rsidR="000039BF" w:rsidRDefault="000039BF" w:rsidP="006D7763">
      <w:pPr>
        <w:spacing w:line="480" w:lineRule="auto"/>
        <w:rPr>
          <w:rFonts w:ascii="Arial" w:hAnsi="Arial" w:cs="Arial"/>
          <w:sz w:val="24"/>
          <w:szCs w:val="24"/>
          <w:lang w:val="en-US"/>
        </w:rPr>
      </w:pPr>
      <w:r>
        <w:rPr>
          <w:rFonts w:ascii="Arial" w:hAnsi="Arial" w:cs="Arial"/>
          <w:sz w:val="24"/>
          <w:szCs w:val="24"/>
          <w:lang w:val="en-US"/>
        </w:rPr>
        <w:t xml:space="preserve">Michelin v Commission (Case </w:t>
      </w:r>
      <w:r w:rsidR="00D03DE2">
        <w:rPr>
          <w:rFonts w:ascii="Arial" w:hAnsi="Arial" w:cs="Arial"/>
          <w:sz w:val="24"/>
          <w:szCs w:val="24"/>
          <w:lang w:val="en-US"/>
        </w:rPr>
        <w:t>322/81) [1983] ECR 3461</w:t>
      </w:r>
    </w:p>
    <w:p w14:paraId="31EBC7F5" w14:textId="431CFE5E" w:rsidR="00D15204" w:rsidRDefault="00D15204" w:rsidP="006D7763">
      <w:pPr>
        <w:spacing w:line="480" w:lineRule="auto"/>
        <w:rPr>
          <w:rFonts w:ascii="Arial" w:hAnsi="Arial" w:cs="Arial"/>
          <w:sz w:val="24"/>
          <w:szCs w:val="24"/>
          <w:lang w:val="en-US"/>
        </w:rPr>
      </w:pPr>
      <w:r>
        <w:rPr>
          <w:rFonts w:ascii="Arial" w:hAnsi="Arial" w:cs="Arial"/>
          <w:sz w:val="24"/>
          <w:szCs w:val="24"/>
          <w:lang w:val="en-US"/>
        </w:rPr>
        <w:t>Microsoft Corporation v Commission</w:t>
      </w:r>
      <w:r w:rsidR="00EB066B">
        <w:rPr>
          <w:rFonts w:ascii="Arial" w:hAnsi="Arial" w:cs="Arial"/>
          <w:sz w:val="24"/>
          <w:szCs w:val="24"/>
          <w:lang w:val="en-US"/>
        </w:rPr>
        <w:t xml:space="preserve"> (Case T-201/04) [2007] ECR </w:t>
      </w:r>
      <w:r w:rsidR="008B55B2">
        <w:rPr>
          <w:rFonts w:ascii="Arial" w:hAnsi="Arial" w:cs="Arial"/>
          <w:sz w:val="24"/>
          <w:szCs w:val="24"/>
          <w:lang w:val="en-US"/>
        </w:rPr>
        <w:t>II-3601</w:t>
      </w:r>
    </w:p>
    <w:p w14:paraId="4A573B75" w14:textId="6BCC62C0" w:rsidR="00532673" w:rsidRDefault="00532673" w:rsidP="006D7763">
      <w:pPr>
        <w:spacing w:line="480" w:lineRule="auto"/>
        <w:rPr>
          <w:rFonts w:ascii="Arial" w:hAnsi="Arial" w:cs="Arial"/>
          <w:sz w:val="24"/>
          <w:szCs w:val="24"/>
          <w:lang w:val="en-US"/>
        </w:rPr>
      </w:pPr>
      <w:r>
        <w:rPr>
          <w:rFonts w:ascii="Arial" w:hAnsi="Arial" w:cs="Arial"/>
          <w:sz w:val="24"/>
          <w:szCs w:val="24"/>
          <w:lang w:val="en-US"/>
        </w:rPr>
        <w:t>Napier Brown</w:t>
      </w:r>
      <w:r w:rsidR="00D21EE3">
        <w:rPr>
          <w:rFonts w:ascii="Arial" w:hAnsi="Arial" w:cs="Arial"/>
          <w:sz w:val="24"/>
          <w:szCs w:val="24"/>
          <w:lang w:val="en-US"/>
        </w:rPr>
        <w:t xml:space="preserve"> </w:t>
      </w:r>
      <w:r w:rsidR="001E10D5">
        <w:rPr>
          <w:rFonts w:ascii="Arial" w:hAnsi="Arial" w:cs="Arial"/>
          <w:sz w:val="24"/>
          <w:szCs w:val="24"/>
          <w:lang w:val="en-US"/>
        </w:rPr>
        <w:t>British Sugar (Case No IV/30.178)</w:t>
      </w:r>
      <w:r w:rsidR="00D029D8">
        <w:rPr>
          <w:rFonts w:ascii="Arial" w:hAnsi="Arial" w:cs="Arial"/>
          <w:sz w:val="24"/>
          <w:szCs w:val="24"/>
          <w:lang w:val="en-US"/>
        </w:rPr>
        <w:t xml:space="preserve"> [1988] OJ L</w:t>
      </w:r>
      <w:r w:rsidR="009707FE">
        <w:rPr>
          <w:rFonts w:ascii="Arial" w:hAnsi="Arial" w:cs="Arial"/>
          <w:sz w:val="24"/>
          <w:szCs w:val="24"/>
          <w:lang w:val="en-US"/>
        </w:rPr>
        <w:t>284/41</w:t>
      </w:r>
    </w:p>
    <w:p w14:paraId="59C51351" w14:textId="50A3EB30" w:rsidR="007820A6" w:rsidRDefault="00CD53B8" w:rsidP="006D7763">
      <w:pPr>
        <w:spacing w:line="480" w:lineRule="auto"/>
        <w:rPr>
          <w:rFonts w:ascii="Arial" w:hAnsi="Arial" w:cs="Arial"/>
          <w:sz w:val="24"/>
          <w:szCs w:val="24"/>
          <w:lang w:val="en-US"/>
        </w:rPr>
      </w:pPr>
      <w:r>
        <w:rPr>
          <w:rFonts w:ascii="Arial" w:hAnsi="Arial" w:cs="Arial"/>
          <w:sz w:val="24"/>
          <w:szCs w:val="24"/>
          <w:lang w:val="en-US"/>
        </w:rPr>
        <w:t>Radio Telefis Eireann (</w:t>
      </w:r>
      <w:r w:rsidR="007820A6">
        <w:rPr>
          <w:rFonts w:ascii="Arial" w:hAnsi="Arial" w:cs="Arial"/>
          <w:sz w:val="24"/>
          <w:szCs w:val="24"/>
          <w:lang w:val="en-US"/>
        </w:rPr>
        <w:t>RTE</w:t>
      </w:r>
      <w:r>
        <w:rPr>
          <w:rFonts w:ascii="Arial" w:hAnsi="Arial" w:cs="Arial"/>
          <w:sz w:val="24"/>
          <w:szCs w:val="24"/>
          <w:lang w:val="en-US"/>
        </w:rPr>
        <w:t>) and Independent Television Publications Ltd (ITP) v Commission (Case</w:t>
      </w:r>
      <w:r w:rsidR="006665D3">
        <w:rPr>
          <w:rFonts w:ascii="Arial" w:hAnsi="Arial" w:cs="Arial"/>
          <w:sz w:val="24"/>
          <w:szCs w:val="24"/>
          <w:lang w:val="en-US"/>
        </w:rPr>
        <w:t>s C-</w:t>
      </w:r>
      <w:r w:rsidR="000E4045">
        <w:rPr>
          <w:rFonts w:ascii="Arial" w:hAnsi="Arial" w:cs="Arial"/>
          <w:sz w:val="24"/>
          <w:szCs w:val="24"/>
          <w:lang w:val="en-US"/>
        </w:rPr>
        <w:t>241 &amp; 242/91P) [1995] ECR I-</w:t>
      </w:r>
      <w:r w:rsidR="00AE0989">
        <w:rPr>
          <w:rFonts w:ascii="Arial" w:hAnsi="Arial" w:cs="Arial"/>
          <w:sz w:val="24"/>
          <w:szCs w:val="24"/>
          <w:lang w:val="en-US"/>
        </w:rPr>
        <w:t>743</w:t>
      </w:r>
    </w:p>
    <w:p w14:paraId="5B6CE9E5" w14:textId="4CF2E0B2"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Sealink/B&amp;I – Holyhead (Case IV/34) [1992] CMLR 255</w:t>
      </w:r>
    </w:p>
    <w:p w14:paraId="1CA2F9E9" w14:textId="4C246513" w:rsidR="00ED68D4" w:rsidRDefault="00ED68D4" w:rsidP="006D7763">
      <w:pPr>
        <w:spacing w:line="480" w:lineRule="auto"/>
        <w:rPr>
          <w:rFonts w:ascii="Arial" w:hAnsi="Arial" w:cs="Arial"/>
          <w:sz w:val="24"/>
          <w:szCs w:val="24"/>
          <w:lang w:val="en-US"/>
        </w:rPr>
      </w:pPr>
      <w:r>
        <w:rPr>
          <w:rFonts w:ascii="Arial" w:hAnsi="Arial" w:cs="Arial"/>
          <w:sz w:val="24"/>
          <w:szCs w:val="24"/>
          <w:lang w:val="en-US"/>
        </w:rPr>
        <w:t>Tetra</w:t>
      </w:r>
      <w:r w:rsidR="003078CA">
        <w:rPr>
          <w:rFonts w:ascii="Arial" w:hAnsi="Arial" w:cs="Arial"/>
          <w:sz w:val="24"/>
          <w:szCs w:val="24"/>
          <w:lang w:val="en-US"/>
        </w:rPr>
        <w:t xml:space="preserve"> Pak International</w:t>
      </w:r>
      <w:r w:rsidR="00C27D15">
        <w:rPr>
          <w:rFonts w:ascii="Arial" w:hAnsi="Arial" w:cs="Arial"/>
          <w:sz w:val="24"/>
          <w:szCs w:val="24"/>
          <w:lang w:val="en-US"/>
        </w:rPr>
        <w:t xml:space="preserve"> SA v Commission (Case C-333</w:t>
      </w:r>
      <w:r w:rsidR="00CE0389">
        <w:rPr>
          <w:rFonts w:ascii="Arial" w:hAnsi="Arial" w:cs="Arial"/>
          <w:sz w:val="24"/>
          <w:szCs w:val="24"/>
          <w:lang w:val="en-US"/>
        </w:rPr>
        <w:t xml:space="preserve">/94) [1996] </w:t>
      </w:r>
      <w:r w:rsidR="00906A8B">
        <w:rPr>
          <w:rFonts w:ascii="Arial" w:hAnsi="Arial" w:cs="Arial"/>
          <w:sz w:val="24"/>
          <w:szCs w:val="24"/>
          <w:lang w:val="en-US"/>
        </w:rPr>
        <w:t>ECR</w:t>
      </w:r>
      <w:r w:rsidR="00C05AF9">
        <w:rPr>
          <w:rFonts w:ascii="Arial" w:hAnsi="Arial" w:cs="Arial"/>
          <w:sz w:val="24"/>
          <w:szCs w:val="24"/>
          <w:lang w:val="en-US"/>
        </w:rPr>
        <w:t xml:space="preserve"> I-5951</w:t>
      </w:r>
    </w:p>
    <w:p w14:paraId="7C55D73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United Brands Company and United Brands Continentaal BV v Commission (Case 27/76) [1978] ECR 207</w:t>
      </w:r>
    </w:p>
    <w:p w14:paraId="082A80D0" w14:textId="75835866" w:rsidR="00AE2AE7" w:rsidRDefault="00AE2AE7" w:rsidP="00796E77">
      <w:pPr>
        <w:spacing w:line="480" w:lineRule="auto"/>
        <w:rPr>
          <w:rFonts w:ascii="Arial" w:hAnsi="Arial" w:cs="Arial"/>
          <w:sz w:val="24"/>
          <w:szCs w:val="24"/>
          <w:lang w:val="en-US"/>
        </w:rPr>
      </w:pPr>
      <w:r>
        <w:rPr>
          <w:rFonts w:ascii="Arial" w:hAnsi="Arial" w:cs="Arial"/>
          <w:sz w:val="24"/>
          <w:szCs w:val="24"/>
          <w:lang w:val="en-US"/>
        </w:rPr>
        <w:t>Volk v Vervaecke (Case 5/69) [1969] CMLR 273</w:t>
      </w:r>
    </w:p>
    <w:p w14:paraId="1CB28C33" w14:textId="77777777" w:rsidR="003A2383" w:rsidRPr="009C3A16" w:rsidRDefault="003A2383" w:rsidP="006D7763">
      <w:pPr>
        <w:spacing w:line="480" w:lineRule="auto"/>
        <w:jc w:val="both"/>
        <w:rPr>
          <w:rFonts w:ascii="Arial" w:hAnsi="Arial" w:cs="Arial"/>
          <w:sz w:val="24"/>
          <w:szCs w:val="24"/>
          <w:lang w:val="en-US"/>
        </w:rPr>
      </w:pPr>
    </w:p>
    <w:p w14:paraId="619C5EF6" w14:textId="77777777" w:rsidR="00AE2AE7" w:rsidRPr="00EB5BA1" w:rsidRDefault="00AE2AE7" w:rsidP="006D7763">
      <w:pPr>
        <w:pStyle w:val="ListParagraph"/>
        <w:numPr>
          <w:ilvl w:val="0"/>
          <w:numId w:val="1"/>
        </w:numPr>
        <w:spacing w:line="480" w:lineRule="auto"/>
        <w:jc w:val="both"/>
        <w:rPr>
          <w:rFonts w:ascii="Arial" w:hAnsi="Arial" w:cs="Arial"/>
          <w:b/>
          <w:bCs/>
          <w:i/>
          <w:iCs/>
          <w:sz w:val="24"/>
          <w:szCs w:val="24"/>
          <w:lang w:val="en-US"/>
        </w:rPr>
      </w:pPr>
      <w:r w:rsidRPr="00EB5BA1">
        <w:rPr>
          <w:rFonts w:ascii="Arial" w:hAnsi="Arial" w:cs="Arial"/>
          <w:b/>
          <w:bCs/>
          <w:i/>
          <w:iCs/>
          <w:sz w:val="24"/>
          <w:szCs w:val="24"/>
          <w:lang w:val="en-US"/>
        </w:rPr>
        <w:t xml:space="preserve">Advise Mary, Nadine and Oscar as to their rights under EU law. </w:t>
      </w:r>
    </w:p>
    <w:p w14:paraId="46F3F46F" w14:textId="77777777" w:rsidR="00AE2AE7" w:rsidRDefault="00AE2AE7" w:rsidP="006D7763">
      <w:pPr>
        <w:spacing w:line="480" w:lineRule="auto"/>
        <w:jc w:val="both"/>
        <w:rPr>
          <w:rFonts w:ascii="Arial" w:hAnsi="Arial" w:cs="Arial"/>
          <w:sz w:val="24"/>
          <w:szCs w:val="24"/>
          <w:lang w:val="en-US"/>
        </w:rPr>
      </w:pPr>
    </w:p>
    <w:p w14:paraId="17F523D6" w14:textId="4BAB2034"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This question concerns the free movement of persons, one of the four fundamental freedoms of EU law, and initially established at the inception of the European Economic Community as free movement for workers to establish a common European market (Gov.UK, 2013). Art 45 of the Treaty on the Functioning of the European Union (TFEU) intended to abolish discrimination based on nationality between workers (O’Brien and Pech, 2016). Free movement of persons has since developed significantly due to citizens challenging decisions in the European Court of Justice (CJ), widening the scope of free movement (Koikkalainen, 2011). This shift in policy was finalised by the signing of the Maastricht Treaty in 1992 extending free movement rights to EU citizens generally (Cuyvers, 2017). Art 20 TFEU provides that EU citizenship compliments national citizenship, therefore persons have the right to move and reside freely within the territory of Member States (MS) (Eur-Lex, 2016). Free movement has benefitted economic and social progress</w:t>
      </w:r>
      <w:r w:rsidR="002D499F">
        <w:rPr>
          <w:rFonts w:ascii="Arial" w:hAnsi="Arial" w:cs="Arial"/>
          <w:color w:val="7030A0"/>
          <w:sz w:val="24"/>
          <w:szCs w:val="24"/>
          <w:lang w:val="en-US"/>
        </w:rPr>
        <w:t>,</w:t>
      </w:r>
      <w:r w:rsidRPr="000B45D6">
        <w:rPr>
          <w:rFonts w:ascii="Arial" w:hAnsi="Arial" w:cs="Arial"/>
          <w:color w:val="7030A0"/>
          <w:sz w:val="24"/>
          <w:szCs w:val="24"/>
          <w:lang w:val="en-US"/>
        </w:rPr>
        <w:t xml:space="preserve"> </w:t>
      </w:r>
      <w:r>
        <w:rPr>
          <w:rFonts w:ascii="Arial" w:hAnsi="Arial" w:cs="Arial"/>
          <w:sz w:val="24"/>
          <w:szCs w:val="24"/>
          <w:lang w:val="en-US"/>
        </w:rPr>
        <w:t xml:space="preserve">having a positive impact on taxes and social contributions (Muller, 2019). As an extension, Art 21 TFEU which is subject to conditions and limitations also supports the social and economic integrative model (Eurofound, 2011). These common values associated with free movement encourage diversity, equality, inclusivity and respect for human rights amongst all MS, whilst sustaining development on the continent (Muller, 2019). </w:t>
      </w:r>
    </w:p>
    <w:p w14:paraId="326C9698" w14:textId="77777777" w:rsidR="00AE2AE7" w:rsidRDefault="00AE2AE7" w:rsidP="006D7763">
      <w:pPr>
        <w:spacing w:line="480" w:lineRule="auto"/>
        <w:jc w:val="both"/>
        <w:rPr>
          <w:rFonts w:ascii="Arial" w:hAnsi="Arial" w:cs="Arial"/>
          <w:sz w:val="24"/>
          <w:szCs w:val="24"/>
          <w:lang w:val="en-US"/>
        </w:rPr>
      </w:pPr>
    </w:p>
    <w:p w14:paraId="0ADA147F" w14:textId="78EF911C" w:rsidR="00AE2AE7" w:rsidRDefault="00AE2AE7" w:rsidP="006D7763">
      <w:pPr>
        <w:spacing w:line="480" w:lineRule="auto"/>
        <w:jc w:val="both"/>
        <w:rPr>
          <w:rFonts w:ascii="Arial" w:hAnsi="Arial" w:cs="Arial"/>
          <w:color w:val="000000" w:themeColor="text1"/>
          <w:sz w:val="24"/>
          <w:szCs w:val="24"/>
          <w:lang w:val="en-US"/>
        </w:rPr>
      </w:pPr>
      <w:r w:rsidRPr="00B74364">
        <w:rPr>
          <w:rFonts w:ascii="Arial" w:hAnsi="Arial" w:cs="Arial"/>
          <w:color w:val="000000" w:themeColor="text1"/>
          <w:sz w:val="24"/>
          <w:szCs w:val="24"/>
          <w:lang w:val="en-US"/>
        </w:rPr>
        <w:lastRenderedPageBreak/>
        <w:t xml:space="preserve">The 2004/38 Citizens’ Rights Directive (CRD) replaced most of the secondary legislation and now provides the conditions set out in Art 20 and 21 for rights of freedom of movement (Craig and Burca, 2015, pp.744). The CJ in </w:t>
      </w:r>
      <w:r w:rsidRPr="00B74364">
        <w:rPr>
          <w:rFonts w:ascii="Arial" w:hAnsi="Arial" w:cs="Arial"/>
          <w:i/>
          <w:iCs/>
          <w:color w:val="000000" w:themeColor="text1"/>
          <w:sz w:val="24"/>
          <w:szCs w:val="24"/>
          <w:lang w:val="en-US"/>
        </w:rPr>
        <w:t xml:space="preserve">Metock [2008] </w:t>
      </w:r>
      <w:r w:rsidRPr="00B74364">
        <w:rPr>
          <w:rFonts w:ascii="Arial" w:hAnsi="Arial" w:cs="Arial"/>
          <w:color w:val="000000" w:themeColor="text1"/>
          <w:sz w:val="24"/>
          <w:szCs w:val="24"/>
          <w:lang w:val="en-US"/>
        </w:rPr>
        <w:t>acknowledged the aim of the CRD emphasis</w:t>
      </w:r>
      <w:r w:rsidR="004D40DE" w:rsidRPr="00B74364">
        <w:rPr>
          <w:rFonts w:ascii="Arial" w:hAnsi="Arial" w:cs="Arial"/>
          <w:color w:val="000000" w:themeColor="text1"/>
          <w:sz w:val="24"/>
          <w:szCs w:val="24"/>
          <w:lang w:val="en-US"/>
        </w:rPr>
        <w:t>ing</w:t>
      </w:r>
      <w:r w:rsidRPr="00B74364">
        <w:rPr>
          <w:rFonts w:ascii="Arial" w:hAnsi="Arial" w:cs="Arial"/>
          <w:color w:val="000000" w:themeColor="text1"/>
          <w:sz w:val="24"/>
          <w:szCs w:val="24"/>
          <w:lang w:val="en-US"/>
        </w:rPr>
        <w:t xml:space="preserve"> that the Directive should not be interpreted restrictively, as the central theme was to provide greater rights </w:t>
      </w:r>
      <w:r w:rsidR="00C116C7" w:rsidRPr="00B74364">
        <w:rPr>
          <w:rFonts w:ascii="Arial" w:hAnsi="Arial" w:cs="Arial"/>
          <w:color w:val="000000" w:themeColor="text1"/>
          <w:sz w:val="24"/>
          <w:szCs w:val="24"/>
          <w:lang w:val="en-US"/>
        </w:rPr>
        <w:t>dependent on the length of residence</w:t>
      </w:r>
      <w:r w:rsidR="00E23264" w:rsidRPr="00B74364">
        <w:rPr>
          <w:rFonts w:ascii="Arial" w:hAnsi="Arial" w:cs="Arial"/>
          <w:color w:val="000000" w:themeColor="text1"/>
          <w:sz w:val="24"/>
          <w:szCs w:val="24"/>
          <w:lang w:val="en-US"/>
        </w:rPr>
        <w:t xml:space="preserve"> </w:t>
      </w:r>
      <w:r w:rsidRPr="00B74364">
        <w:rPr>
          <w:rFonts w:ascii="Arial" w:hAnsi="Arial" w:cs="Arial"/>
          <w:color w:val="000000" w:themeColor="text1"/>
          <w:sz w:val="24"/>
          <w:szCs w:val="24"/>
          <w:lang w:val="en-US"/>
        </w:rPr>
        <w:t xml:space="preserve">(Gov.UK, 2013). </w:t>
      </w:r>
    </w:p>
    <w:p w14:paraId="199EE1B3" w14:textId="77777777" w:rsidR="003313A6" w:rsidRPr="00B74364" w:rsidRDefault="003313A6" w:rsidP="006D7763">
      <w:pPr>
        <w:spacing w:line="480" w:lineRule="auto"/>
        <w:jc w:val="both"/>
        <w:rPr>
          <w:rFonts w:ascii="Arial" w:hAnsi="Arial" w:cs="Arial"/>
          <w:color w:val="000000" w:themeColor="text1"/>
          <w:sz w:val="24"/>
          <w:szCs w:val="24"/>
          <w:lang w:val="en-US"/>
        </w:rPr>
      </w:pPr>
    </w:p>
    <w:p w14:paraId="6B51065B" w14:textId="643B0F66" w:rsidR="00AE2AE7" w:rsidRDefault="00AE2AE7" w:rsidP="006D7763">
      <w:pPr>
        <w:spacing w:line="480" w:lineRule="auto"/>
        <w:jc w:val="both"/>
        <w:rPr>
          <w:rFonts w:ascii="Arial" w:hAnsi="Arial" w:cs="Arial"/>
          <w:color w:val="000000" w:themeColor="text1"/>
          <w:sz w:val="24"/>
          <w:szCs w:val="24"/>
          <w:lang w:val="en-US"/>
        </w:rPr>
      </w:pPr>
      <w:r w:rsidRPr="00E12097">
        <w:rPr>
          <w:rFonts w:ascii="Arial" w:hAnsi="Arial" w:cs="Arial"/>
          <w:color w:val="000000" w:themeColor="text1"/>
          <w:sz w:val="24"/>
          <w:szCs w:val="24"/>
          <w:lang w:val="en-US"/>
        </w:rPr>
        <w:t>Citizens that hold nationality in a MS, become an EU citizen; Art 2(1) CRD (James, 2015) and therefore have an initial right to enter and reside freely for up to three months along with their family members; Art 2(2)</w:t>
      </w:r>
      <w:r w:rsidR="005D538A">
        <w:rPr>
          <w:rFonts w:ascii="Arial" w:hAnsi="Arial" w:cs="Arial"/>
          <w:color w:val="000000" w:themeColor="text1"/>
          <w:sz w:val="24"/>
          <w:szCs w:val="24"/>
          <w:lang w:val="en-US"/>
        </w:rPr>
        <w:t xml:space="preserve"> CRD</w:t>
      </w:r>
      <w:r w:rsidRPr="00E12097">
        <w:rPr>
          <w:rFonts w:ascii="Arial" w:hAnsi="Arial" w:cs="Arial"/>
          <w:color w:val="000000" w:themeColor="text1"/>
          <w:sz w:val="24"/>
          <w:szCs w:val="24"/>
          <w:lang w:val="en-US"/>
        </w:rPr>
        <w:t xml:space="preserve"> (LLB, 2020</w:t>
      </w:r>
      <w:r>
        <w:rPr>
          <w:rFonts w:ascii="Arial" w:hAnsi="Arial" w:cs="Arial"/>
          <w:color w:val="000000" w:themeColor="text1"/>
          <w:sz w:val="24"/>
          <w:szCs w:val="24"/>
          <w:lang w:val="en-US"/>
        </w:rPr>
        <w:t>, pp.78</w:t>
      </w:r>
      <w:r w:rsidRPr="00E12097">
        <w:rPr>
          <w:rFonts w:ascii="Arial" w:hAnsi="Arial" w:cs="Arial"/>
          <w:color w:val="000000" w:themeColor="text1"/>
          <w:sz w:val="24"/>
          <w:szCs w:val="24"/>
          <w:lang w:val="en-US"/>
        </w:rPr>
        <w:t xml:space="preserve">). This is on the proviso that they hold a valid identity card or passport; Art 6 CRD, confirmed in </w:t>
      </w:r>
      <w:r w:rsidRPr="00E12097">
        <w:rPr>
          <w:rFonts w:ascii="Arial" w:hAnsi="Arial" w:cs="Arial"/>
          <w:i/>
          <w:iCs/>
          <w:color w:val="000000" w:themeColor="text1"/>
          <w:sz w:val="24"/>
          <w:szCs w:val="24"/>
          <w:lang w:val="en-US"/>
        </w:rPr>
        <w:t>Wijsenbeek [1989]</w:t>
      </w:r>
      <w:r w:rsidRPr="00E12097">
        <w:rPr>
          <w:rFonts w:ascii="Arial" w:hAnsi="Arial" w:cs="Arial"/>
          <w:color w:val="000000" w:themeColor="text1"/>
          <w:sz w:val="24"/>
          <w:szCs w:val="24"/>
          <w:lang w:val="en-US"/>
        </w:rPr>
        <w:t xml:space="preserve">, and provided that they do not become an unreasonable burden on the social assistance system of the host MS; Art 14(1) (Eur-Lex, 2004). </w:t>
      </w:r>
    </w:p>
    <w:p w14:paraId="7108624D" w14:textId="27730647" w:rsidR="00AE2AE7" w:rsidRPr="00A744DF" w:rsidRDefault="00AE2AE7" w:rsidP="006D7763">
      <w:pPr>
        <w:spacing w:line="480" w:lineRule="auto"/>
        <w:jc w:val="both"/>
        <w:rPr>
          <w:rFonts w:ascii="Arial" w:hAnsi="Arial" w:cs="Arial"/>
          <w:color w:val="000000" w:themeColor="text1"/>
          <w:sz w:val="24"/>
          <w:szCs w:val="24"/>
          <w:lang w:val="en-US"/>
        </w:rPr>
      </w:pPr>
      <w:r w:rsidRPr="00A744DF">
        <w:rPr>
          <w:rFonts w:ascii="Arial" w:hAnsi="Arial" w:cs="Arial"/>
          <w:color w:val="000000" w:themeColor="text1"/>
          <w:sz w:val="24"/>
          <w:szCs w:val="24"/>
          <w:lang w:val="en-US"/>
        </w:rPr>
        <w:t xml:space="preserve">Under CRD 2004/38 Art 2(2), ‘family members’ include spouse, a registered partner based on the legislation of the host MS, direct descendants under 21 or dependent direct descendants </w:t>
      </w:r>
      <w:r w:rsidR="00FD1480" w:rsidRPr="00A744DF">
        <w:rPr>
          <w:rFonts w:ascii="Arial" w:hAnsi="Arial" w:cs="Arial"/>
          <w:i/>
          <w:iCs/>
          <w:color w:val="000000" w:themeColor="text1"/>
          <w:sz w:val="24"/>
          <w:szCs w:val="24"/>
          <w:lang w:val="en-US"/>
        </w:rPr>
        <w:t>(</w:t>
      </w:r>
      <w:r w:rsidRPr="00A744DF">
        <w:rPr>
          <w:rFonts w:ascii="Arial" w:hAnsi="Arial" w:cs="Arial"/>
          <w:i/>
          <w:iCs/>
          <w:color w:val="000000" w:themeColor="text1"/>
          <w:sz w:val="24"/>
          <w:szCs w:val="24"/>
          <w:lang w:val="en-US"/>
        </w:rPr>
        <w:t>Jia [2007]</w:t>
      </w:r>
      <w:r w:rsidR="00FD1480" w:rsidRPr="00A744DF">
        <w:rPr>
          <w:rFonts w:ascii="Arial" w:hAnsi="Arial" w:cs="Arial"/>
          <w:i/>
          <w:iCs/>
          <w:color w:val="000000" w:themeColor="text1"/>
          <w:sz w:val="24"/>
          <w:szCs w:val="24"/>
          <w:lang w:val="en-US"/>
        </w:rPr>
        <w:t>)</w:t>
      </w:r>
      <w:r w:rsidRPr="00A744DF">
        <w:rPr>
          <w:rFonts w:ascii="Arial" w:hAnsi="Arial" w:cs="Arial"/>
          <w:i/>
          <w:iCs/>
          <w:color w:val="000000" w:themeColor="text1"/>
          <w:sz w:val="24"/>
          <w:szCs w:val="24"/>
          <w:lang w:val="en-US"/>
        </w:rPr>
        <w:t xml:space="preserve">, </w:t>
      </w:r>
      <w:r w:rsidRPr="00A744DF">
        <w:rPr>
          <w:rFonts w:ascii="Arial" w:hAnsi="Arial" w:cs="Arial"/>
          <w:color w:val="000000" w:themeColor="text1"/>
          <w:sz w:val="24"/>
          <w:szCs w:val="24"/>
          <w:lang w:val="en-US"/>
        </w:rPr>
        <w:t>and dependent direct relatives in the ascending line (LLB, 2020, pp.78)</w:t>
      </w:r>
      <w:r w:rsidR="008A4A1E" w:rsidRPr="00A744DF">
        <w:rPr>
          <w:rFonts w:ascii="Arial" w:hAnsi="Arial" w:cs="Arial"/>
          <w:color w:val="000000" w:themeColor="text1"/>
          <w:sz w:val="24"/>
          <w:szCs w:val="24"/>
          <w:lang w:val="en-US"/>
        </w:rPr>
        <w:t xml:space="preserve"> I</w:t>
      </w:r>
      <w:r w:rsidRPr="00A744DF">
        <w:rPr>
          <w:rFonts w:ascii="Arial" w:hAnsi="Arial" w:cs="Arial"/>
          <w:color w:val="000000" w:themeColor="text1"/>
          <w:sz w:val="24"/>
          <w:szCs w:val="24"/>
          <w:lang w:val="en-US"/>
        </w:rPr>
        <w:t xml:space="preserve">f a family member does not fall within Art 2(2), Art 3(2)(a) requires a MS to facilitate entry and residence, irrespective of nationality, should the person require the care of the EU citizen or be a dependent member of the household (Directive 2004/38/EC, 2004). As well as any partner </w:t>
      </w:r>
      <w:r w:rsidR="00F052D7">
        <w:rPr>
          <w:rFonts w:ascii="Arial" w:hAnsi="Arial" w:cs="Arial"/>
          <w:color w:val="000000" w:themeColor="text1"/>
          <w:sz w:val="24"/>
          <w:szCs w:val="24"/>
          <w:lang w:val="en-US"/>
        </w:rPr>
        <w:t xml:space="preserve">with </w:t>
      </w:r>
      <w:r w:rsidRPr="00A744DF">
        <w:rPr>
          <w:rFonts w:ascii="Arial" w:hAnsi="Arial" w:cs="Arial"/>
          <w:color w:val="000000" w:themeColor="text1"/>
          <w:sz w:val="24"/>
          <w:szCs w:val="24"/>
          <w:lang w:val="en-US"/>
        </w:rPr>
        <w:t xml:space="preserve">whom the Union citizen has a ‘durable relationship’; Art 3(2)(b) (Brown, 2019). </w:t>
      </w:r>
    </w:p>
    <w:p w14:paraId="69B013EA" w14:textId="77777777" w:rsidR="00AE2AE7" w:rsidRDefault="00AE2AE7" w:rsidP="006D7763">
      <w:pPr>
        <w:spacing w:line="480" w:lineRule="auto"/>
        <w:jc w:val="both"/>
        <w:rPr>
          <w:rFonts w:ascii="Arial" w:hAnsi="Arial" w:cs="Arial"/>
          <w:sz w:val="24"/>
          <w:szCs w:val="24"/>
          <w:lang w:val="en-US"/>
        </w:rPr>
      </w:pPr>
    </w:p>
    <w:p w14:paraId="22F8E03C" w14:textId="0BBF95EF" w:rsidR="00AE2AE7" w:rsidRPr="00720238" w:rsidRDefault="00AE2AE7" w:rsidP="006D7763">
      <w:pPr>
        <w:spacing w:line="480" w:lineRule="auto"/>
        <w:jc w:val="both"/>
        <w:rPr>
          <w:rFonts w:ascii="Arial" w:hAnsi="Arial" w:cs="Arial"/>
          <w:color w:val="000000" w:themeColor="text1"/>
          <w:sz w:val="24"/>
          <w:szCs w:val="24"/>
          <w:lang w:val="en-US"/>
        </w:rPr>
      </w:pPr>
      <w:r w:rsidRPr="00720238">
        <w:rPr>
          <w:rFonts w:ascii="Arial" w:hAnsi="Arial" w:cs="Arial"/>
          <w:color w:val="000000" w:themeColor="text1"/>
          <w:sz w:val="24"/>
          <w:szCs w:val="24"/>
          <w:lang w:val="en-US"/>
        </w:rPr>
        <w:lastRenderedPageBreak/>
        <w:t>For periods of residence longer than three months, Art 7(1) CRD grants rights of residence dependent on satisfying further criterion (Cuyvers, 2017). This criterion suggests EU citizens must either be employed or self-employed (7(1)(a)), economically inactive citizens must be able to show that they have sufficient resources for themselves and family members and also have comprehensive sickness insurance (Art 7(1)(b)) (Mantu and Minderhoud, 2019). Likewise, students must satisfy conditions within Art 7(1)(b) with the addition of accredited educational enrollment (Art 7(1)(c)) (LLB, 2020, pp.79).</w:t>
      </w:r>
    </w:p>
    <w:p w14:paraId="40BF2AAC" w14:textId="53BE20AE" w:rsidR="00AE2AE7" w:rsidRDefault="00AE2AE7" w:rsidP="006D7763">
      <w:pPr>
        <w:spacing w:line="480" w:lineRule="auto"/>
        <w:jc w:val="both"/>
        <w:rPr>
          <w:rFonts w:ascii="Arial" w:hAnsi="Arial" w:cs="Arial"/>
          <w:color w:val="000000" w:themeColor="text1"/>
          <w:sz w:val="24"/>
          <w:szCs w:val="24"/>
          <w:lang w:val="en-US"/>
        </w:rPr>
      </w:pPr>
      <w:r w:rsidRPr="00312385">
        <w:rPr>
          <w:rFonts w:ascii="Arial" w:hAnsi="Arial" w:cs="Arial"/>
          <w:color w:val="000000" w:themeColor="text1"/>
          <w:sz w:val="24"/>
          <w:szCs w:val="24"/>
          <w:lang w:val="en-US"/>
        </w:rPr>
        <w:t xml:space="preserve">Furthermore, Art 16 CRD provides that EU citizens and family members including non-nationals are entitled to permanent residence </w:t>
      </w:r>
      <w:r w:rsidR="00293087">
        <w:rPr>
          <w:rFonts w:ascii="Arial" w:hAnsi="Arial" w:cs="Arial"/>
          <w:color w:val="000000" w:themeColor="text1"/>
          <w:sz w:val="24"/>
          <w:szCs w:val="24"/>
          <w:lang w:val="en-US"/>
        </w:rPr>
        <w:t xml:space="preserve">having been </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legally</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 xml:space="preserve"> resident in the host MS for five years</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Ziolkowski and Szeja [2011]</w:t>
      </w:r>
      <w:r>
        <w:rPr>
          <w:rFonts w:ascii="Arial" w:hAnsi="Arial" w:cs="Arial"/>
          <w:color w:val="000000" w:themeColor="text1"/>
          <w:sz w:val="24"/>
          <w:szCs w:val="24"/>
          <w:lang w:val="en-US"/>
        </w:rPr>
        <w:t xml:space="preserve"> </w:t>
      </w:r>
      <w:r w:rsidRPr="00312385">
        <w:rPr>
          <w:rFonts w:ascii="Arial" w:hAnsi="Arial" w:cs="Arial"/>
          <w:color w:val="000000" w:themeColor="text1"/>
          <w:sz w:val="24"/>
          <w:szCs w:val="24"/>
          <w:lang w:val="en-US"/>
        </w:rPr>
        <w:t>(Craig and Burca, 2015, pp.775)</w:t>
      </w:r>
      <w:r>
        <w:rPr>
          <w:rFonts w:ascii="Arial" w:hAnsi="Arial" w:cs="Arial"/>
          <w:color w:val="000000" w:themeColor="text1"/>
          <w:sz w:val="24"/>
          <w:szCs w:val="24"/>
          <w:lang w:val="en-US"/>
        </w:rPr>
        <w:t>, (Eur-Lex, 2011).</w:t>
      </w:r>
    </w:p>
    <w:p w14:paraId="00D4F044" w14:textId="77777777" w:rsidR="00AE2AE7" w:rsidRPr="00312385" w:rsidRDefault="00AE2AE7" w:rsidP="006D7763">
      <w:pPr>
        <w:spacing w:line="480" w:lineRule="auto"/>
        <w:jc w:val="both"/>
        <w:rPr>
          <w:rFonts w:ascii="Arial" w:hAnsi="Arial" w:cs="Arial"/>
          <w:color w:val="000000" w:themeColor="text1"/>
          <w:sz w:val="24"/>
          <w:szCs w:val="24"/>
          <w:lang w:val="en-US"/>
        </w:rPr>
      </w:pPr>
    </w:p>
    <w:p w14:paraId="422776B5" w14:textId="4C9D55FF" w:rsidR="00AE2AE7" w:rsidRPr="00B74364" w:rsidRDefault="00AE2AE7" w:rsidP="006D7763">
      <w:pPr>
        <w:spacing w:line="480" w:lineRule="auto"/>
        <w:jc w:val="both"/>
        <w:rPr>
          <w:rFonts w:ascii="Arial" w:hAnsi="Arial" w:cs="Arial"/>
          <w:i/>
          <w:iCs/>
          <w:color w:val="000000" w:themeColor="text1"/>
          <w:sz w:val="24"/>
          <w:szCs w:val="24"/>
          <w:lang w:val="en-US"/>
        </w:rPr>
      </w:pPr>
      <w:r w:rsidRPr="00B74364">
        <w:rPr>
          <w:rFonts w:ascii="Arial" w:hAnsi="Arial" w:cs="Arial"/>
          <w:color w:val="000000" w:themeColor="text1"/>
          <w:sz w:val="24"/>
          <w:szCs w:val="24"/>
          <w:lang w:val="en-US"/>
        </w:rPr>
        <w:t>Guidance has been provided within Art 8(4) CRD on the concept of ‘sufficient’ resources (European Commission, 2018). The MS cannot declare a fixed amount on what is regarded as ‘sufficient’ and must consider personal situation</w:t>
      </w:r>
      <w:r w:rsidR="007429F5" w:rsidRPr="00B74364">
        <w:rPr>
          <w:rFonts w:ascii="Arial" w:hAnsi="Arial" w:cs="Arial"/>
          <w:color w:val="000000" w:themeColor="text1"/>
          <w:sz w:val="24"/>
          <w:szCs w:val="24"/>
          <w:lang w:val="en-US"/>
        </w:rPr>
        <w:t>s</w:t>
      </w:r>
      <w:r w:rsidRPr="00B74364">
        <w:rPr>
          <w:rFonts w:ascii="Arial" w:hAnsi="Arial" w:cs="Arial"/>
          <w:color w:val="000000" w:themeColor="text1"/>
          <w:sz w:val="24"/>
          <w:szCs w:val="24"/>
          <w:lang w:val="en-US"/>
        </w:rPr>
        <w:t xml:space="preserve">. Although, in all cases, the amount required must not be above the threshold in the MS that qualifies for social assistance (Mantu and Minderhoud, 2017). Where not applicable the amount required cannot be higher than the minimum social security pension </w:t>
      </w:r>
      <w:r w:rsidR="006E25D3" w:rsidRPr="00B74364">
        <w:rPr>
          <w:rFonts w:ascii="Arial" w:hAnsi="Arial" w:cs="Arial"/>
          <w:color w:val="000000" w:themeColor="text1"/>
          <w:sz w:val="24"/>
          <w:szCs w:val="24"/>
          <w:lang w:val="en-US"/>
        </w:rPr>
        <w:t>(</w:t>
      </w:r>
      <w:r w:rsidRPr="00B74364">
        <w:rPr>
          <w:rFonts w:ascii="Arial" w:hAnsi="Arial" w:cs="Arial"/>
          <w:color w:val="000000" w:themeColor="text1"/>
          <w:sz w:val="24"/>
          <w:szCs w:val="24"/>
          <w:lang w:val="en-US"/>
        </w:rPr>
        <w:t>Mantu and Minderhoud</w:t>
      </w:r>
      <w:r w:rsidR="006E25D3" w:rsidRPr="00B74364">
        <w:rPr>
          <w:rFonts w:ascii="Arial" w:hAnsi="Arial" w:cs="Arial"/>
          <w:color w:val="000000" w:themeColor="text1"/>
          <w:sz w:val="24"/>
          <w:szCs w:val="24"/>
          <w:lang w:val="en-US"/>
        </w:rPr>
        <w:t>,</w:t>
      </w:r>
      <w:r w:rsidRPr="00B74364">
        <w:rPr>
          <w:rFonts w:ascii="Arial" w:hAnsi="Arial" w:cs="Arial"/>
          <w:color w:val="000000" w:themeColor="text1"/>
          <w:sz w:val="24"/>
          <w:szCs w:val="24"/>
          <w:lang w:val="en-US"/>
        </w:rPr>
        <w:t xml:space="preserve"> 2019</w:t>
      </w:r>
      <w:r w:rsidR="006E25D3" w:rsidRPr="00B74364">
        <w:rPr>
          <w:rFonts w:ascii="Arial" w:hAnsi="Arial" w:cs="Arial"/>
          <w:color w:val="000000" w:themeColor="text1"/>
          <w:sz w:val="24"/>
          <w:szCs w:val="24"/>
          <w:lang w:val="en-US"/>
        </w:rPr>
        <w:t>).</w:t>
      </w:r>
      <w:r w:rsidRPr="00B74364">
        <w:rPr>
          <w:rFonts w:ascii="Arial" w:hAnsi="Arial" w:cs="Arial"/>
          <w:color w:val="000000" w:themeColor="text1"/>
          <w:sz w:val="24"/>
          <w:szCs w:val="24"/>
          <w:lang w:val="en-US"/>
        </w:rPr>
        <w:t xml:space="preserve"> </w:t>
      </w:r>
    </w:p>
    <w:p w14:paraId="7F01D06E" w14:textId="26562F70" w:rsidR="00AE2AE7" w:rsidRPr="00E70184" w:rsidRDefault="00AE2AE7" w:rsidP="006D7763">
      <w:pPr>
        <w:spacing w:line="480" w:lineRule="auto"/>
        <w:jc w:val="both"/>
        <w:rPr>
          <w:rFonts w:ascii="Arial" w:hAnsi="Arial" w:cs="Arial"/>
          <w:color w:val="000000" w:themeColor="text1"/>
          <w:sz w:val="24"/>
          <w:szCs w:val="24"/>
          <w:lang w:val="en-US"/>
        </w:rPr>
      </w:pPr>
      <w:r w:rsidRPr="00E70184">
        <w:rPr>
          <w:rFonts w:ascii="Arial" w:hAnsi="Arial" w:cs="Arial"/>
          <w:color w:val="000000" w:themeColor="text1"/>
          <w:sz w:val="24"/>
          <w:szCs w:val="24"/>
          <w:lang w:val="en-US"/>
        </w:rPr>
        <w:t xml:space="preserve">A MS can refuse to admit or expel an EU citizen and their family on grounds of public policy, public security or public health; Art 27 (Craig and Burca, 2015, pp.786). Actions </w:t>
      </w:r>
      <w:r w:rsidRPr="00E70184">
        <w:rPr>
          <w:rFonts w:ascii="Arial" w:hAnsi="Arial" w:cs="Arial"/>
          <w:color w:val="000000" w:themeColor="text1"/>
          <w:sz w:val="24"/>
          <w:szCs w:val="24"/>
          <w:lang w:val="en-US"/>
        </w:rPr>
        <w:lastRenderedPageBreak/>
        <w:t>must be proportionate and based exclusively on the personal conduct of the individual (</w:t>
      </w:r>
      <w:r w:rsidRPr="00E70184">
        <w:rPr>
          <w:rFonts w:ascii="Arial" w:hAnsi="Arial" w:cs="Arial"/>
          <w:i/>
          <w:iCs/>
          <w:color w:val="000000" w:themeColor="text1"/>
          <w:sz w:val="24"/>
          <w:szCs w:val="24"/>
          <w:lang w:val="en-US"/>
        </w:rPr>
        <w:t>Van Duyn [1974]</w:t>
      </w:r>
      <w:r w:rsidRPr="00E70184">
        <w:rPr>
          <w:rFonts w:ascii="Arial" w:hAnsi="Arial" w:cs="Arial"/>
          <w:color w:val="000000" w:themeColor="text1"/>
          <w:sz w:val="24"/>
          <w:szCs w:val="24"/>
          <w:lang w:val="en-US"/>
        </w:rPr>
        <w:t xml:space="preserve">) </w:t>
      </w:r>
      <w:r w:rsidR="00B3665D">
        <w:rPr>
          <w:rFonts w:ascii="Arial" w:hAnsi="Arial" w:cs="Arial"/>
          <w:color w:val="000000" w:themeColor="text1"/>
          <w:sz w:val="24"/>
          <w:szCs w:val="24"/>
          <w:lang w:val="en-US"/>
        </w:rPr>
        <w:t xml:space="preserve">and </w:t>
      </w:r>
      <w:r w:rsidRPr="00E70184">
        <w:rPr>
          <w:rFonts w:ascii="Arial" w:hAnsi="Arial" w:cs="Arial"/>
          <w:color w:val="000000" w:themeColor="text1"/>
          <w:sz w:val="24"/>
          <w:szCs w:val="24"/>
          <w:lang w:val="en-US"/>
        </w:rPr>
        <w:t>must represent a genuine, present and sufficiently serious threat affecting one of the fundamental interests of society (</w:t>
      </w:r>
      <w:r w:rsidRPr="00E70184">
        <w:rPr>
          <w:rFonts w:ascii="Arial" w:hAnsi="Arial" w:cs="Arial"/>
          <w:i/>
          <w:iCs/>
          <w:color w:val="000000" w:themeColor="text1"/>
          <w:sz w:val="24"/>
          <w:szCs w:val="24"/>
          <w:lang w:val="en-US"/>
        </w:rPr>
        <w:t>Commission v Germany [2006]</w:t>
      </w:r>
      <w:r w:rsidRPr="00E70184">
        <w:rPr>
          <w:rFonts w:ascii="Arial" w:hAnsi="Arial" w:cs="Arial"/>
          <w:color w:val="000000" w:themeColor="text1"/>
          <w:sz w:val="24"/>
          <w:szCs w:val="24"/>
          <w:lang w:val="en-US"/>
        </w:rPr>
        <w:t>). With regards to previous criminal convictions, these do not alone constitute grounds for expulsion (Maslowski, 2015).</w:t>
      </w:r>
    </w:p>
    <w:p w14:paraId="03A60247" w14:textId="77777777" w:rsidR="00AE2AE7" w:rsidRDefault="00AE2AE7" w:rsidP="006D7763">
      <w:pPr>
        <w:spacing w:line="480" w:lineRule="auto"/>
        <w:jc w:val="both"/>
        <w:rPr>
          <w:rFonts w:ascii="Arial" w:hAnsi="Arial" w:cs="Arial"/>
          <w:color w:val="FF0000"/>
          <w:sz w:val="24"/>
          <w:szCs w:val="24"/>
          <w:lang w:val="en-US"/>
        </w:rPr>
      </w:pPr>
    </w:p>
    <w:p w14:paraId="12B20A14" w14:textId="0C51E5B8" w:rsidR="00AE2AE7" w:rsidRPr="00A772F2" w:rsidRDefault="00AE2AE7" w:rsidP="006D7763">
      <w:pPr>
        <w:spacing w:line="480" w:lineRule="auto"/>
        <w:jc w:val="both"/>
        <w:rPr>
          <w:rFonts w:ascii="Arial" w:hAnsi="Arial" w:cs="Arial"/>
          <w:color w:val="000000" w:themeColor="text1"/>
          <w:sz w:val="24"/>
          <w:szCs w:val="24"/>
          <w:lang w:val="en-US"/>
        </w:rPr>
      </w:pPr>
      <w:r w:rsidRPr="00A772F2">
        <w:rPr>
          <w:rFonts w:ascii="Arial" w:hAnsi="Arial" w:cs="Arial"/>
          <w:color w:val="000000" w:themeColor="text1"/>
          <w:sz w:val="24"/>
          <w:szCs w:val="24"/>
          <w:lang w:val="en-US"/>
        </w:rPr>
        <w:t xml:space="preserve">When ascertaining the legal grounds for expulsion on public health Art 29 incorporates only the diseases with epidemic potential defined by the World Health Organisation (Carrera and Atger, 2009). However, Art 28 does offer safeguarding measures against expulsion on grounds of public policy and security (Maslowski, 2015). </w:t>
      </w:r>
    </w:p>
    <w:p w14:paraId="53396227" w14:textId="77777777" w:rsidR="00AE2AE7" w:rsidRDefault="00AE2AE7" w:rsidP="006D7763">
      <w:pPr>
        <w:spacing w:line="480" w:lineRule="auto"/>
        <w:jc w:val="both"/>
        <w:rPr>
          <w:rFonts w:ascii="Arial" w:hAnsi="Arial" w:cs="Arial"/>
          <w:sz w:val="24"/>
          <w:szCs w:val="24"/>
          <w:lang w:val="en-US"/>
        </w:rPr>
      </w:pPr>
    </w:p>
    <w:p w14:paraId="5B77578B" w14:textId="5760C518" w:rsidR="00AE2AE7" w:rsidRPr="00234B19"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In relation to the question, to advise Mary she is an EU citizen and therefore under Art 21 has the right to reside in the Netherlands for an initial period of three months </w:t>
      </w:r>
      <w:r w:rsidR="00DF1A24">
        <w:rPr>
          <w:rFonts w:ascii="Arial" w:hAnsi="Arial" w:cs="Arial"/>
          <w:sz w:val="24"/>
          <w:szCs w:val="24"/>
          <w:lang w:val="en-US"/>
        </w:rPr>
        <w:t>(</w:t>
      </w:r>
      <w:r>
        <w:rPr>
          <w:rFonts w:ascii="Arial" w:hAnsi="Arial" w:cs="Arial"/>
          <w:sz w:val="24"/>
          <w:szCs w:val="24"/>
          <w:lang w:val="en-US"/>
        </w:rPr>
        <w:t>Art 6 CRD</w:t>
      </w:r>
      <w:r w:rsidR="00DF1A24">
        <w:rPr>
          <w:rFonts w:ascii="Arial" w:hAnsi="Arial" w:cs="Arial"/>
          <w:sz w:val="24"/>
          <w:szCs w:val="24"/>
          <w:lang w:val="en-US"/>
        </w:rPr>
        <w:t>)</w:t>
      </w:r>
      <w:r>
        <w:rPr>
          <w:rFonts w:ascii="Arial" w:hAnsi="Arial" w:cs="Arial"/>
          <w:sz w:val="24"/>
          <w:szCs w:val="24"/>
          <w:lang w:val="en-US"/>
        </w:rPr>
        <w:t xml:space="preserve"> (Kennedy, Boudalaoui-Buresi and Konle-Seidl, 2020). To continue to reside, the status of Adrianus could be considered. Dutch law offers registered partners the same rights as spouses, seen in </w:t>
      </w:r>
      <w:r>
        <w:rPr>
          <w:rFonts w:ascii="Arial" w:hAnsi="Arial" w:cs="Arial"/>
          <w:i/>
          <w:iCs/>
          <w:sz w:val="24"/>
          <w:szCs w:val="24"/>
          <w:lang w:val="en-US"/>
        </w:rPr>
        <w:t xml:space="preserve">Reed [1986]. </w:t>
      </w:r>
      <w:r>
        <w:rPr>
          <w:rFonts w:ascii="Arial" w:hAnsi="Arial" w:cs="Arial"/>
          <w:sz w:val="24"/>
          <w:szCs w:val="24"/>
          <w:lang w:val="en-US"/>
        </w:rPr>
        <w:t>Additionally, Adrianus’ part-time employment classified as ‘genuine and effective’ categorises him as a worker (</w:t>
      </w:r>
      <w:r>
        <w:rPr>
          <w:rFonts w:ascii="Arial" w:hAnsi="Arial" w:cs="Arial"/>
          <w:i/>
          <w:iCs/>
          <w:sz w:val="24"/>
          <w:szCs w:val="24"/>
          <w:lang w:val="en-US"/>
        </w:rPr>
        <w:t>Lawrie-Blum [1986]</w:t>
      </w:r>
      <w:r>
        <w:rPr>
          <w:rFonts w:ascii="Arial" w:hAnsi="Arial" w:cs="Arial"/>
          <w:sz w:val="24"/>
          <w:szCs w:val="24"/>
          <w:lang w:val="en-US"/>
        </w:rPr>
        <w:t xml:space="preserve">) seen in </w:t>
      </w:r>
      <w:r>
        <w:rPr>
          <w:rFonts w:ascii="Arial" w:hAnsi="Arial" w:cs="Arial"/>
          <w:i/>
          <w:iCs/>
          <w:sz w:val="24"/>
          <w:szCs w:val="24"/>
          <w:lang w:val="en-US"/>
        </w:rPr>
        <w:t xml:space="preserve">Kempf [1986], </w:t>
      </w:r>
      <w:r>
        <w:rPr>
          <w:rFonts w:ascii="Arial" w:hAnsi="Arial" w:cs="Arial"/>
          <w:sz w:val="24"/>
          <w:szCs w:val="24"/>
          <w:lang w:val="en-US"/>
        </w:rPr>
        <w:t>therefore extending these rights to Mary under Art 7 (LLB, 2020, pp.77-78). However, should Mary secure a student place, she qualifies alone, provided she satisfies the conditions under Art 7(1)(c).</w:t>
      </w:r>
      <w:r w:rsidRPr="007F41EE">
        <w:rPr>
          <w:rFonts w:ascii="Arial" w:hAnsi="Arial" w:cs="Arial"/>
          <w:sz w:val="24"/>
          <w:szCs w:val="24"/>
          <w:lang w:val="en-US"/>
        </w:rPr>
        <w:t xml:space="preserve"> </w:t>
      </w:r>
      <w:r>
        <w:rPr>
          <w:rFonts w:ascii="Arial" w:hAnsi="Arial" w:cs="Arial"/>
          <w:sz w:val="24"/>
          <w:szCs w:val="24"/>
          <w:lang w:val="en-US"/>
        </w:rPr>
        <w:t xml:space="preserve">If Mary exhausts her finances during her studies, then there is no preclusion to her receiving social security as Art 18 TFEU prohibits </w:t>
      </w:r>
      <w:r>
        <w:rPr>
          <w:rFonts w:ascii="Arial" w:hAnsi="Arial" w:cs="Arial"/>
          <w:sz w:val="24"/>
          <w:szCs w:val="24"/>
          <w:lang w:val="en-US"/>
        </w:rPr>
        <w:lastRenderedPageBreak/>
        <w:t xml:space="preserve">discrimination on the grounds of nationality, supported in </w:t>
      </w:r>
      <w:r>
        <w:rPr>
          <w:rFonts w:ascii="Arial" w:hAnsi="Arial" w:cs="Arial"/>
          <w:i/>
          <w:iCs/>
          <w:sz w:val="24"/>
          <w:szCs w:val="24"/>
          <w:lang w:val="en-US"/>
        </w:rPr>
        <w:t xml:space="preserve">Grzelczyk [2001] </w:t>
      </w:r>
      <w:r>
        <w:rPr>
          <w:rFonts w:ascii="Arial" w:hAnsi="Arial" w:cs="Arial"/>
          <w:sz w:val="24"/>
          <w:szCs w:val="24"/>
          <w:lang w:val="en-US"/>
        </w:rPr>
        <w:t xml:space="preserve">(Mantu and Minderhoud, 2017). In any event, Mary has the right to relocate to the Netherlands. </w:t>
      </w:r>
    </w:p>
    <w:p w14:paraId="0C66667C" w14:textId="77777777" w:rsidR="00AE2AE7" w:rsidRPr="00B73BE5" w:rsidRDefault="00AE2AE7" w:rsidP="006D7763">
      <w:pPr>
        <w:spacing w:line="480" w:lineRule="auto"/>
        <w:jc w:val="both"/>
        <w:rPr>
          <w:rFonts w:ascii="Arial" w:hAnsi="Arial" w:cs="Arial"/>
          <w:color w:val="000000" w:themeColor="text1"/>
          <w:sz w:val="24"/>
          <w:szCs w:val="24"/>
          <w:lang w:val="en-US"/>
        </w:rPr>
      </w:pPr>
    </w:p>
    <w:p w14:paraId="4F76679B" w14:textId="70D752C9" w:rsidR="00AE2AE7" w:rsidRPr="00720238" w:rsidRDefault="00AE2AE7" w:rsidP="006D7763">
      <w:pPr>
        <w:spacing w:line="480" w:lineRule="auto"/>
        <w:jc w:val="both"/>
        <w:rPr>
          <w:rFonts w:ascii="Arial" w:hAnsi="Arial" w:cs="Arial"/>
          <w:color w:val="000000" w:themeColor="text1"/>
          <w:sz w:val="24"/>
          <w:szCs w:val="24"/>
          <w:lang w:val="en-US"/>
        </w:rPr>
      </w:pPr>
      <w:r w:rsidRPr="00720238">
        <w:rPr>
          <w:rFonts w:ascii="Arial" w:hAnsi="Arial" w:cs="Arial"/>
          <w:color w:val="000000" w:themeColor="text1"/>
          <w:sz w:val="24"/>
          <w:szCs w:val="24"/>
          <w:lang w:val="en-US"/>
        </w:rPr>
        <w:t>Nadine also has freedom of movement rights as an EU citizen; Art 2(1) CRD. As a non-economically active citizen (Art 7(1)(b)), Nadine, due to having ‘sufficient’ resources under Art 8(4) and health issues that do not constitute refusal of entry under Art 29(1) satisfies the criterion for-longer term residence, on condition that she acquires comprehensive health insurance (Directive 2004/38/EC, 2004). However, Nadine is living with and dependent upon Mary. Nadine is not a direct ascendant to Mary as her aunt, however, under Art 3(2)(a) Nadine is categorised as a ‘family member’ dependent on Mary due to her health issues (Gov.UK, 2013). In principle, this establishes that Nadine can relocate to the Netherlands and join Mary</w:t>
      </w:r>
      <w:r w:rsidR="00CF02C4">
        <w:rPr>
          <w:rFonts w:ascii="Arial" w:hAnsi="Arial" w:cs="Arial"/>
          <w:color w:val="000000" w:themeColor="text1"/>
          <w:sz w:val="24"/>
          <w:szCs w:val="24"/>
          <w:lang w:val="en-US"/>
        </w:rPr>
        <w:t>.</w:t>
      </w:r>
    </w:p>
    <w:p w14:paraId="0C7186DE" w14:textId="77777777" w:rsidR="00AE2AE7" w:rsidRDefault="00AE2AE7" w:rsidP="006D7763">
      <w:pPr>
        <w:spacing w:line="480" w:lineRule="auto"/>
        <w:jc w:val="both"/>
        <w:rPr>
          <w:rFonts w:ascii="Arial" w:hAnsi="Arial" w:cs="Arial"/>
          <w:sz w:val="24"/>
          <w:szCs w:val="24"/>
          <w:lang w:val="en-US"/>
        </w:rPr>
      </w:pPr>
    </w:p>
    <w:p w14:paraId="55397D4F" w14:textId="22EBDD80" w:rsidR="00E72ABD" w:rsidRDefault="00AE2AE7" w:rsidP="006D7763">
      <w:pPr>
        <w:spacing w:line="480" w:lineRule="auto"/>
        <w:jc w:val="both"/>
        <w:rPr>
          <w:rFonts w:ascii="Arial" w:hAnsi="Arial" w:cs="Arial"/>
          <w:color w:val="000000" w:themeColor="text1"/>
          <w:sz w:val="24"/>
          <w:szCs w:val="24"/>
          <w:lang w:val="en-US"/>
        </w:rPr>
      </w:pPr>
      <w:r w:rsidRPr="00CA3419">
        <w:rPr>
          <w:rFonts w:ascii="Arial" w:hAnsi="Arial" w:cs="Arial"/>
          <w:color w:val="000000" w:themeColor="text1"/>
          <w:sz w:val="24"/>
          <w:szCs w:val="24"/>
          <w:lang w:val="en-US"/>
        </w:rPr>
        <w:t xml:space="preserve">Oscar aged 17 is a direct descendant of Mary; Art 2(2)(c) therefore </w:t>
      </w:r>
      <w:r w:rsidR="00F60B3C">
        <w:rPr>
          <w:rFonts w:ascii="Arial" w:hAnsi="Arial" w:cs="Arial"/>
          <w:color w:val="000000" w:themeColor="text1"/>
          <w:sz w:val="24"/>
          <w:szCs w:val="24"/>
          <w:lang w:val="en-US"/>
        </w:rPr>
        <w:t xml:space="preserve">can </w:t>
      </w:r>
      <w:r w:rsidRPr="00CA3419">
        <w:rPr>
          <w:rFonts w:ascii="Arial" w:hAnsi="Arial" w:cs="Arial"/>
          <w:color w:val="000000" w:themeColor="text1"/>
          <w:sz w:val="24"/>
          <w:szCs w:val="24"/>
          <w:lang w:val="en-US"/>
        </w:rPr>
        <w:t xml:space="preserve">reside with Mary for longer than three months in the Netherlands on condition that Mary satisfies the requirements laid down in Art 7(1) or joins Adrianus seen in </w:t>
      </w:r>
      <w:r w:rsidRPr="00CA3419">
        <w:rPr>
          <w:rFonts w:ascii="Arial" w:hAnsi="Arial" w:cs="Arial"/>
          <w:i/>
          <w:iCs/>
          <w:color w:val="000000" w:themeColor="text1"/>
          <w:sz w:val="24"/>
          <w:szCs w:val="24"/>
          <w:lang w:val="en-US"/>
        </w:rPr>
        <w:t xml:space="preserve">Reed [1986] </w:t>
      </w:r>
      <w:r w:rsidRPr="00CA3419">
        <w:rPr>
          <w:rFonts w:ascii="Arial" w:hAnsi="Arial" w:cs="Arial"/>
          <w:color w:val="000000" w:themeColor="text1"/>
          <w:sz w:val="24"/>
          <w:szCs w:val="24"/>
          <w:lang w:val="en-US"/>
        </w:rPr>
        <w:t>(Spaventa, 2015). Oscar’s mental health issues do not prevent him from entering and residing in the Netherlands as per Art 29 (Maslowski, 2015). Additionally, regard</w:t>
      </w:r>
      <w:r w:rsidR="002B5710">
        <w:rPr>
          <w:rFonts w:ascii="Arial" w:hAnsi="Arial" w:cs="Arial"/>
          <w:color w:val="000000" w:themeColor="text1"/>
          <w:sz w:val="24"/>
          <w:szCs w:val="24"/>
          <w:lang w:val="en-US"/>
        </w:rPr>
        <w:t>ing</w:t>
      </w:r>
      <w:r w:rsidRPr="00CA3419">
        <w:rPr>
          <w:rFonts w:ascii="Arial" w:hAnsi="Arial" w:cs="Arial"/>
          <w:color w:val="000000" w:themeColor="text1"/>
          <w:sz w:val="24"/>
          <w:szCs w:val="24"/>
          <w:lang w:val="en-US"/>
        </w:rPr>
        <w:t xml:space="preserve"> his hospital order following a previous conviction, as an ‘outpatient’ it can be inferred that Oscar does not present a genuine, present and sufficiently serious societal threat (Art 27(2)), confirmed in </w:t>
      </w:r>
      <w:r w:rsidRPr="00CA3419">
        <w:rPr>
          <w:rFonts w:ascii="Arial" w:hAnsi="Arial" w:cs="Arial"/>
          <w:i/>
          <w:iCs/>
          <w:color w:val="000000" w:themeColor="text1"/>
          <w:sz w:val="24"/>
          <w:szCs w:val="24"/>
          <w:lang w:val="en-US"/>
        </w:rPr>
        <w:t xml:space="preserve">Bouchereau [1977] </w:t>
      </w:r>
      <w:r w:rsidRPr="00CA3419">
        <w:rPr>
          <w:rFonts w:ascii="Arial" w:hAnsi="Arial" w:cs="Arial"/>
          <w:color w:val="000000" w:themeColor="text1"/>
          <w:sz w:val="24"/>
          <w:szCs w:val="24"/>
          <w:lang w:val="en-US"/>
        </w:rPr>
        <w:t xml:space="preserve">(Craig and Burca, 2015, pp.786-787). Furthermore, previous convictions alone will not satisfy a refusal of entry or expulsion, evidenced in </w:t>
      </w:r>
      <w:r w:rsidRPr="00CA3419">
        <w:rPr>
          <w:rFonts w:ascii="Arial" w:hAnsi="Arial" w:cs="Arial"/>
          <w:i/>
          <w:iCs/>
          <w:color w:val="000000" w:themeColor="text1"/>
          <w:sz w:val="24"/>
          <w:szCs w:val="24"/>
          <w:lang w:val="en-US"/>
        </w:rPr>
        <w:lastRenderedPageBreak/>
        <w:t xml:space="preserve">Orfanopoulos and Oliveri [2004] </w:t>
      </w:r>
      <w:r w:rsidRPr="00CA3419">
        <w:rPr>
          <w:rFonts w:ascii="Arial" w:hAnsi="Arial" w:cs="Arial"/>
          <w:color w:val="000000" w:themeColor="text1"/>
          <w:sz w:val="24"/>
          <w:szCs w:val="24"/>
          <w:lang w:val="en-US"/>
        </w:rPr>
        <w:t xml:space="preserve">(Maslowski, 2015). As a result, Oscar has the right to join Mary in the Netherlands. </w:t>
      </w:r>
    </w:p>
    <w:p w14:paraId="506AB096" w14:textId="77777777" w:rsidR="00E72ABD" w:rsidRPr="00D00192" w:rsidRDefault="00E72ABD" w:rsidP="006D7763">
      <w:pPr>
        <w:spacing w:line="480" w:lineRule="auto"/>
        <w:jc w:val="both"/>
        <w:rPr>
          <w:rFonts w:ascii="Arial" w:hAnsi="Arial" w:cs="Arial"/>
          <w:color w:val="000000" w:themeColor="text1"/>
          <w:sz w:val="24"/>
          <w:szCs w:val="24"/>
          <w:lang w:val="en-US"/>
        </w:rPr>
      </w:pPr>
    </w:p>
    <w:p w14:paraId="27C0AC3B" w14:textId="77777777" w:rsidR="00AE2AE7" w:rsidRDefault="00AE2AE7" w:rsidP="006D7763">
      <w:pPr>
        <w:spacing w:line="480" w:lineRule="auto"/>
        <w:rPr>
          <w:rFonts w:ascii="Arial" w:hAnsi="Arial" w:cs="Arial"/>
          <w:sz w:val="24"/>
          <w:szCs w:val="24"/>
          <w:lang w:val="en-US"/>
        </w:rPr>
      </w:pPr>
    </w:p>
    <w:p w14:paraId="259C0DBB" w14:textId="77777777" w:rsidR="00AE2AE7"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2 Reference List:</w:t>
      </w:r>
    </w:p>
    <w:p w14:paraId="6EC77E8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Brown, G. (2019) </w:t>
      </w:r>
      <w:r>
        <w:rPr>
          <w:rFonts w:ascii="Arial" w:hAnsi="Arial" w:cs="Arial"/>
          <w:i/>
          <w:iCs/>
          <w:sz w:val="24"/>
          <w:szCs w:val="24"/>
          <w:lang w:val="en-US"/>
        </w:rPr>
        <w:t xml:space="preserve">Government to introduce appeal rights for extended family members. </w:t>
      </w:r>
      <w:r>
        <w:rPr>
          <w:rFonts w:ascii="Arial" w:hAnsi="Arial" w:cs="Arial"/>
          <w:sz w:val="24"/>
          <w:szCs w:val="24"/>
          <w:lang w:val="en-US"/>
        </w:rPr>
        <w:t xml:space="preserve">Available at: </w:t>
      </w:r>
      <w:hyperlink r:id="rId20" w:history="1">
        <w:r w:rsidRPr="00FE471F">
          <w:rPr>
            <w:rStyle w:val="Hyperlink"/>
            <w:rFonts w:ascii="Arial" w:hAnsi="Arial" w:cs="Arial"/>
            <w:sz w:val="24"/>
            <w:szCs w:val="24"/>
            <w:lang w:val="en-US"/>
          </w:rPr>
          <w:t>https://www.freemovement.org.uk/government-to-introduce-appeal-rights-for-extended-family-members</w:t>
        </w:r>
      </w:hyperlink>
      <w:r>
        <w:rPr>
          <w:rFonts w:ascii="Arial" w:hAnsi="Arial" w:cs="Arial"/>
          <w:sz w:val="24"/>
          <w:szCs w:val="24"/>
          <w:lang w:val="en-US"/>
        </w:rPr>
        <w:t xml:space="preserve"> (Accessed on: 3</w:t>
      </w:r>
      <w:r w:rsidRPr="00960448">
        <w:rPr>
          <w:rFonts w:ascii="Arial" w:hAnsi="Arial" w:cs="Arial"/>
          <w:sz w:val="24"/>
          <w:szCs w:val="24"/>
          <w:vertAlign w:val="superscript"/>
          <w:lang w:val="en-US"/>
        </w:rPr>
        <w:t>rd</w:t>
      </w:r>
      <w:r>
        <w:rPr>
          <w:rFonts w:ascii="Arial" w:hAnsi="Arial" w:cs="Arial"/>
          <w:sz w:val="24"/>
          <w:szCs w:val="24"/>
          <w:lang w:val="en-US"/>
        </w:rPr>
        <w:t xml:space="preserve"> May 2021)</w:t>
      </w:r>
    </w:p>
    <w:p w14:paraId="764EA2DD" w14:textId="77777777" w:rsidR="00AE2AE7" w:rsidRPr="005E1C7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Carrera, S., and Atger, A. F. (2009) </w:t>
      </w:r>
      <w:r>
        <w:rPr>
          <w:rFonts w:ascii="Arial" w:hAnsi="Arial" w:cs="Arial"/>
          <w:i/>
          <w:iCs/>
          <w:sz w:val="24"/>
          <w:szCs w:val="24"/>
          <w:lang w:val="en-US"/>
        </w:rPr>
        <w:t xml:space="preserve">Implementation of Directive 2004/38 in the context of EU Enlargement. </w:t>
      </w:r>
      <w:r>
        <w:rPr>
          <w:rFonts w:ascii="Arial" w:hAnsi="Arial" w:cs="Arial"/>
          <w:sz w:val="24"/>
          <w:szCs w:val="24"/>
          <w:lang w:val="en-US"/>
        </w:rPr>
        <w:t xml:space="preserve">Available at: </w:t>
      </w:r>
      <w:hyperlink r:id="rId21" w:history="1">
        <w:r w:rsidRPr="00EB0207">
          <w:rPr>
            <w:rStyle w:val="Hyperlink"/>
            <w:rFonts w:ascii="Arial" w:hAnsi="Arial" w:cs="Arial"/>
            <w:sz w:val="24"/>
            <w:szCs w:val="24"/>
            <w:lang w:val="en-US"/>
          </w:rPr>
          <w:t>http://aei.pitt.edu/10758/1/1827.pdf</w:t>
        </w:r>
      </w:hyperlink>
      <w:r>
        <w:rPr>
          <w:rFonts w:ascii="Arial" w:hAnsi="Arial" w:cs="Arial"/>
          <w:sz w:val="24"/>
          <w:szCs w:val="24"/>
          <w:lang w:val="en-US"/>
        </w:rPr>
        <w:t xml:space="preserve"> (Accessed on: 4</w:t>
      </w:r>
      <w:r w:rsidRPr="00DA03A7">
        <w:rPr>
          <w:rFonts w:ascii="Arial" w:hAnsi="Arial" w:cs="Arial"/>
          <w:sz w:val="24"/>
          <w:szCs w:val="24"/>
          <w:vertAlign w:val="superscript"/>
          <w:lang w:val="en-US"/>
        </w:rPr>
        <w:t>th</w:t>
      </w:r>
      <w:r>
        <w:rPr>
          <w:rFonts w:ascii="Arial" w:hAnsi="Arial" w:cs="Arial"/>
          <w:sz w:val="24"/>
          <w:szCs w:val="24"/>
          <w:lang w:val="en-US"/>
        </w:rPr>
        <w:t xml:space="preserve"> May 2021)</w:t>
      </w:r>
    </w:p>
    <w:p w14:paraId="41CAE89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Craig, P., and Burca, D. G. (2015) </w:t>
      </w:r>
      <w:r>
        <w:rPr>
          <w:rFonts w:ascii="Arial" w:hAnsi="Arial" w:cs="Arial"/>
          <w:i/>
          <w:iCs/>
          <w:sz w:val="24"/>
          <w:szCs w:val="24"/>
          <w:lang w:val="en-US"/>
        </w:rPr>
        <w:t xml:space="preserve">EU Law. </w:t>
      </w:r>
      <w:r>
        <w:rPr>
          <w:rFonts w:ascii="Arial" w:hAnsi="Arial" w:cs="Arial"/>
          <w:sz w:val="24"/>
          <w:szCs w:val="24"/>
          <w:lang w:val="en-US"/>
        </w:rPr>
        <w:t>6</w:t>
      </w:r>
      <w:r w:rsidRPr="00CB1CC1">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204A4094" w14:textId="77777777" w:rsidR="00AE2AE7" w:rsidRPr="00E6451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‘Directive 2004/38/EC of the European Parliament and of the Council’ (2004) </w:t>
      </w:r>
      <w:r>
        <w:rPr>
          <w:rFonts w:ascii="Arial" w:hAnsi="Arial" w:cs="Arial"/>
          <w:i/>
          <w:iCs/>
          <w:sz w:val="24"/>
          <w:szCs w:val="24"/>
          <w:lang w:val="en-US"/>
        </w:rPr>
        <w:t xml:space="preserve">Official Journal of the European Union, </w:t>
      </w:r>
      <w:r>
        <w:rPr>
          <w:rFonts w:ascii="Arial" w:hAnsi="Arial" w:cs="Arial"/>
          <w:sz w:val="24"/>
          <w:szCs w:val="24"/>
          <w:lang w:val="en-US"/>
        </w:rPr>
        <w:t xml:space="preserve">L 158/ 77, pp.77-123. </w:t>
      </w:r>
    </w:p>
    <w:p w14:paraId="5B9C1F11"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(2004) </w:t>
      </w:r>
      <w:r>
        <w:rPr>
          <w:rFonts w:ascii="Arial" w:hAnsi="Arial" w:cs="Arial"/>
          <w:i/>
          <w:iCs/>
          <w:sz w:val="24"/>
          <w:szCs w:val="24"/>
          <w:lang w:val="en-US"/>
        </w:rPr>
        <w:t xml:space="preserve">Directive 2004/38/EC of the European Parliament and of the Council. </w:t>
      </w:r>
      <w:r>
        <w:rPr>
          <w:rFonts w:ascii="Arial" w:hAnsi="Arial" w:cs="Arial"/>
          <w:sz w:val="24"/>
          <w:szCs w:val="24"/>
          <w:lang w:val="en-US"/>
        </w:rPr>
        <w:t xml:space="preserve">Available at: </w:t>
      </w:r>
      <w:hyperlink r:id="rId22" w:history="1">
        <w:r w:rsidRPr="00E61E12">
          <w:rPr>
            <w:rStyle w:val="Hyperlink"/>
            <w:rFonts w:ascii="Arial" w:hAnsi="Arial" w:cs="Arial"/>
            <w:sz w:val="24"/>
            <w:szCs w:val="24"/>
            <w:lang w:val="en-US"/>
          </w:rPr>
          <w:t>https://eur-lex.europa.eu/LexUriServ/LexUriServ.do?uri=OJ:L:2004:158:0077:0123:en:pdf</w:t>
        </w:r>
      </w:hyperlink>
      <w:r>
        <w:rPr>
          <w:rFonts w:ascii="Arial" w:hAnsi="Arial" w:cs="Arial"/>
          <w:sz w:val="24"/>
          <w:szCs w:val="24"/>
          <w:lang w:val="en-US"/>
        </w:rPr>
        <w:t xml:space="preserve"> (Accessed on: 3</w:t>
      </w:r>
      <w:r w:rsidRPr="005854FF">
        <w:rPr>
          <w:rFonts w:ascii="Arial" w:hAnsi="Arial" w:cs="Arial"/>
          <w:sz w:val="24"/>
          <w:szCs w:val="24"/>
          <w:vertAlign w:val="superscript"/>
          <w:lang w:val="en-US"/>
        </w:rPr>
        <w:t>rd</w:t>
      </w:r>
      <w:r>
        <w:rPr>
          <w:rFonts w:ascii="Arial" w:hAnsi="Arial" w:cs="Arial"/>
          <w:sz w:val="24"/>
          <w:szCs w:val="24"/>
          <w:lang w:val="en-US"/>
        </w:rPr>
        <w:t xml:space="preserve"> May 2021)</w:t>
      </w:r>
    </w:p>
    <w:p w14:paraId="0F60BCF3" w14:textId="77777777" w:rsidR="00AE2AE7" w:rsidRPr="004B674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(2011) </w:t>
      </w:r>
      <w:r>
        <w:rPr>
          <w:rFonts w:ascii="Arial" w:hAnsi="Arial" w:cs="Arial"/>
          <w:i/>
          <w:iCs/>
          <w:sz w:val="24"/>
          <w:szCs w:val="24"/>
          <w:lang w:val="en-US"/>
        </w:rPr>
        <w:t xml:space="preserve">Joined Cases C-424/10 and C-425/10. </w:t>
      </w:r>
      <w:r>
        <w:rPr>
          <w:rFonts w:ascii="Arial" w:hAnsi="Arial" w:cs="Arial"/>
          <w:sz w:val="24"/>
          <w:szCs w:val="24"/>
          <w:lang w:val="en-US"/>
        </w:rPr>
        <w:t xml:space="preserve">Available at: </w:t>
      </w:r>
      <w:hyperlink r:id="rId23" w:history="1">
        <w:r w:rsidRPr="00FE471F">
          <w:rPr>
            <w:rStyle w:val="Hyperlink"/>
            <w:rFonts w:ascii="Arial" w:hAnsi="Arial" w:cs="Arial"/>
            <w:sz w:val="24"/>
            <w:szCs w:val="24"/>
            <w:lang w:val="en-US"/>
          </w:rPr>
          <w:t>https://eur-lex.europa.eu/legal-content/EN/TXT/?uri=CELEX%3A62010CJ0424</w:t>
        </w:r>
      </w:hyperlink>
      <w:r>
        <w:rPr>
          <w:rFonts w:ascii="Arial" w:hAnsi="Arial" w:cs="Arial"/>
          <w:sz w:val="24"/>
          <w:szCs w:val="24"/>
          <w:lang w:val="en-US"/>
        </w:rPr>
        <w:t xml:space="preserve"> (Accessed on: 3</w:t>
      </w:r>
      <w:r w:rsidRPr="004B6745">
        <w:rPr>
          <w:rFonts w:ascii="Arial" w:hAnsi="Arial" w:cs="Arial"/>
          <w:sz w:val="24"/>
          <w:szCs w:val="24"/>
          <w:vertAlign w:val="superscript"/>
          <w:lang w:val="en-US"/>
        </w:rPr>
        <w:t>rd</w:t>
      </w:r>
      <w:r>
        <w:rPr>
          <w:rFonts w:ascii="Arial" w:hAnsi="Arial" w:cs="Arial"/>
          <w:sz w:val="24"/>
          <w:szCs w:val="24"/>
          <w:lang w:val="en-US"/>
        </w:rPr>
        <w:t xml:space="preserve"> May 2021)</w:t>
      </w:r>
    </w:p>
    <w:p w14:paraId="0D3D6DB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Eur-Lex (2016) </w:t>
      </w:r>
      <w:r>
        <w:rPr>
          <w:rFonts w:ascii="Arial" w:hAnsi="Arial" w:cs="Arial"/>
          <w:i/>
          <w:iCs/>
          <w:sz w:val="24"/>
          <w:szCs w:val="24"/>
          <w:lang w:val="en-US"/>
        </w:rPr>
        <w:t xml:space="preserve">Article 20. </w:t>
      </w:r>
      <w:r>
        <w:rPr>
          <w:rFonts w:ascii="Arial" w:hAnsi="Arial" w:cs="Arial"/>
          <w:sz w:val="24"/>
          <w:szCs w:val="24"/>
          <w:lang w:val="en-US"/>
        </w:rPr>
        <w:t xml:space="preserve">Available at: </w:t>
      </w:r>
      <w:hyperlink r:id="rId24" w:history="1">
        <w:r w:rsidRPr="00E61E12">
          <w:rPr>
            <w:rStyle w:val="Hyperlink"/>
            <w:rFonts w:ascii="Arial" w:hAnsi="Arial" w:cs="Arial"/>
            <w:sz w:val="24"/>
            <w:szCs w:val="24"/>
            <w:lang w:val="en-US"/>
          </w:rPr>
          <w:t>https://eur-lex.europa.eu/legal-content/EN/TXT/?uri=CELEX%3A12016E020</w:t>
        </w:r>
      </w:hyperlink>
      <w:r>
        <w:rPr>
          <w:rFonts w:ascii="Arial" w:hAnsi="Arial" w:cs="Arial"/>
          <w:sz w:val="24"/>
          <w:szCs w:val="24"/>
          <w:lang w:val="en-US"/>
        </w:rPr>
        <w:t xml:space="preserve"> (Accessed on: 3</w:t>
      </w:r>
      <w:r w:rsidRPr="00AE6527">
        <w:rPr>
          <w:rFonts w:ascii="Arial" w:hAnsi="Arial" w:cs="Arial"/>
          <w:sz w:val="24"/>
          <w:szCs w:val="24"/>
          <w:vertAlign w:val="superscript"/>
          <w:lang w:val="en-US"/>
        </w:rPr>
        <w:t>rd</w:t>
      </w:r>
      <w:r>
        <w:rPr>
          <w:rFonts w:ascii="Arial" w:hAnsi="Arial" w:cs="Arial"/>
          <w:sz w:val="24"/>
          <w:szCs w:val="24"/>
          <w:lang w:val="en-US"/>
        </w:rPr>
        <w:t xml:space="preserve"> May 2021)</w:t>
      </w:r>
      <w:r w:rsidRPr="009870AD">
        <w:rPr>
          <w:rFonts w:ascii="Arial" w:hAnsi="Arial" w:cs="Arial"/>
          <w:sz w:val="24"/>
          <w:szCs w:val="24"/>
          <w:lang w:val="en-US"/>
        </w:rPr>
        <w:t xml:space="preserve"> </w:t>
      </w:r>
    </w:p>
    <w:p w14:paraId="08A73BEF"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Eurofound (2011) </w:t>
      </w:r>
      <w:r>
        <w:rPr>
          <w:rFonts w:ascii="Arial" w:hAnsi="Arial" w:cs="Arial"/>
          <w:i/>
          <w:iCs/>
          <w:sz w:val="24"/>
          <w:szCs w:val="24"/>
          <w:lang w:val="en-US"/>
        </w:rPr>
        <w:t xml:space="preserve">Free movement of citizens. </w:t>
      </w:r>
      <w:r>
        <w:rPr>
          <w:rFonts w:ascii="Arial" w:hAnsi="Arial" w:cs="Arial"/>
          <w:sz w:val="24"/>
          <w:szCs w:val="24"/>
          <w:lang w:val="en-US"/>
        </w:rPr>
        <w:t xml:space="preserve">Available at: </w:t>
      </w:r>
      <w:hyperlink r:id="rId25" w:anchor=":~:text=Article%2020(1)%20TFEU%20establishes,the%20territory%20of%20the%20Member" w:history="1">
        <w:r w:rsidRPr="00E61E12">
          <w:rPr>
            <w:rStyle w:val="Hyperlink"/>
            <w:rFonts w:ascii="Arial" w:hAnsi="Arial" w:cs="Arial"/>
            <w:sz w:val="24"/>
            <w:szCs w:val="24"/>
            <w:lang w:val="en-US"/>
          </w:rPr>
          <w:t>https://www.eurofound.europa.eu/observatories/eurwork/industrial-relations-dictionary/free-movement-of-citizens#:~:text=Article%2020(1)%20TFEU%20establishes,the%20territory%20of%20the%20Member</w:t>
        </w:r>
      </w:hyperlink>
      <w:r>
        <w:rPr>
          <w:rFonts w:ascii="Arial" w:hAnsi="Arial" w:cs="Arial"/>
          <w:sz w:val="24"/>
          <w:szCs w:val="24"/>
          <w:lang w:val="en-US"/>
        </w:rPr>
        <w:t xml:space="preserve"> (Accessed on: 3</w:t>
      </w:r>
      <w:r w:rsidRPr="00D14AD4">
        <w:rPr>
          <w:rFonts w:ascii="Arial" w:hAnsi="Arial" w:cs="Arial"/>
          <w:sz w:val="24"/>
          <w:szCs w:val="24"/>
          <w:vertAlign w:val="superscript"/>
          <w:lang w:val="en-US"/>
        </w:rPr>
        <w:t>rd</w:t>
      </w:r>
      <w:r>
        <w:rPr>
          <w:rFonts w:ascii="Arial" w:hAnsi="Arial" w:cs="Arial"/>
          <w:sz w:val="24"/>
          <w:szCs w:val="24"/>
          <w:lang w:val="en-US"/>
        </w:rPr>
        <w:t xml:space="preserve"> May 2021)</w:t>
      </w:r>
    </w:p>
    <w:p w14:paraId="12B2FE9E" w14:textId="77777777" w:rsidR="00AE2AE7" w:rsidRPr="00BD1DF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European Commission (2018) </w:t>
      </w:r>
      <w:r>
        <w:rPr>
          <w:rFonts w:ascii="Arial" w:hAnsi="Arial" w:cs="Arial"/>
          <w:i/>
          <w:iCs/>
          <w:sz w:val="24"/>
          <w:szCs w:val="24"/>
          <w:lang w:val="en-US"/>
        </w:rPr>
        <w:t xml:space="preserve">Report from the Commission to the European Parliament, The Council and the European Economic and Social Committee. </w:t>
      </w:r>
      <w:r>
        <w:rPr>
          <w:rFonts w:ascii="Arial" w:hAnsi="Arial" w:cs="Arial"/>
          <w:sz w:val="24"/>
          <w:szCs w:val="24"/>
          <w:lang w:val="en-US"/>
        </w:rPr>
        <w:t xml:space="preserve">Available at: </w:t>
      </w:r>
      <w:hyperlink r:id="rId26" w:history="1">
        <w:r w:rsidRPr="00EB0207">
          <w:rPr>
            <w:rStyle w:val="Hyperlink"/>
            <w:rFonts w:ascii="Arial" w:hAnsi="Arial" w:cs="Arial"/>
            <w:sz w:val="24"/>
            <w:szCs w:val="24"/>
            <w:lang w:val="en-US"/>
          </w:rPr>
          <w:t>https://eur-lex.europa.eu/legal-content/EN/TXT/?uri=CELEX:52018DC0789</w:t>
        </w:r>
      </w:hyperlink>
      <w:r>
        <w:rPr>
          <w:rFonts w:ascii="Arial" w:hAnsi="Arial" w:cs="Arial"/>
          <w:sz w:val="24"/>
          <w:szCs w:val="24"/>
          <w:lang w:val="en-US"/>
        </w:rPr>
        <w:t xml:space="preserve"> (Accessed on: 2</w:t>
      </w:r>
      <w:r w:rsidRPr="00111440">
        <w:rPr>
          <w:rFonts w:ascii="Arial" w:hAnsi="Arial" w:cs="Arial"/>
          <w:sz w:val="24"/>
          <w:szCs w:val="24"/>
          <w:vertAlign w:val="superscript"/>
          <w:lang w:val="en-US"/>
        </w:rPr>
        <w:t>nd</w:t>
      </w:r>
      <w:r>
        <w:rPr>
          <w:rFonts w:ascii="Arial" w:hAnsi="Arial" w:cs="Arial"/>
          <w:sz w:val="24"/>
          <w:szCs w:val="24"/>
          <w:lang w:val="en-US"/>
        </w:rPr>
        <w:t xml:space="preserve"> May 2021)</w:t>
      </w:r>
    </w:p>
    <w:p w14:paraId="77DEAF1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Gov.UK (2013) </w:t>
      </w:r>
      <w:r>
        <w:rPr>
          <w:rFonts w:ascii="Arial" w:hAnsi="Arial" w:cs="Arial"/>
          <w:i/>
          <w:iCs/>
          <w:sz w:val="24"/>
          <w:szCs w:val="24"/>
          <w:lang w:val="en-US"/>
        </w:rPr>
        <w:t xml:space="preserve">Legal Annex. </w:t>
      </w:r>
      <w:r>
        <w:rPr>
          <w:rFonts w:ascii="Arial" w:hAnsi="Arial" w:cs="Arial"/>
          <w:sz w:val="24"/>
          <w:szCs w:val="24"/>
          <w:lang w:val="en-US"/>
        </w:rPr>
        <w:t xml:space="preserve">Available at: </w:t>
      </w:r>
      <w:hyperlink r:id="rId27" w:history="1">
        <w:r w:rsidRPr="00E61E12">
          <w:rPr>
            <w:rStyle w:val="Hyperlink"/>
            <w:rFonts w:ascii="Arial" w:hAnsi="Arial" w:cs="Arial"/>
            <w:sz w:val="24"/>
            <w:szCs w:val="24"/>
            <w:lang w:val="en-US"/>
          </w:rPr>
          <w:t>https://assets.publishing.service.gov.uk/government/uploads/system/uploads/attachment_data/file/328811/FreeMovementLegalAnnex.pdf</w:t>
        </w:r>
      </w:hyperlink>
      <w:r>
        <w:rPr>
          <w:rFonts w:ascii="Arial" w:hAnsi="Arial" w:cs="Arial"/>
          <w:sz w:val="24"/>
          <w:szCs w:val="24"/>
          <w:lang w:val="en-US"/>
        </w:rPr>
        <w:t xml:space="preserve"> (Accessed on: 3</w:t>
      </w:r>
      <w:r w:rsidRPr="009B2EB5">
        <w:rPr>
          <w:rFonts w:ascii="Arial" w:hAnsi="Arial" w:cs="Arial"/>
          <w:sz w:val="24"/>
          <w:szCs w:val="24"/>
          <w:vertAlign w:val="superscript"/>
          <w:lang w:val="en-US"/>
        </w:rPr>
        <w:t>rd</w:t>
      </w:r>
      <w:r>
        <w:rPr>
          <w:rFonts w:ascii="Arial" w:hAnsi="Arial" w:cs="Arial"/>
          <w:sz w:val="24"/>
          <w:szCs w:val="24"/>
          <w:lang w:val="en-US"/>
        </w:rPr>
        <w:t xml:space="preserve"> May 2021)</w:t>
      </w:r>
    </w:p>
    <w:p w14:paraId="34F0E2D2"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James, W. (2015) </w:t>
      </w:r>
      <w:r>
        <w:rPr>
          <w:rFonts w:ascii="Arial" w:hAnsi="Arial" w:cs="Arial"/>
          <w:i/>
          <w:iCs/>
          <w:sz w:val="24"/>
          <w:szCs w:val="24"/>
          <w:lang w:val="en-US"/>
        </w:rPr>
        <w:t xml:space="preserve">European Union Citizenship. </w:t>
      </w:r>
      <w:r>
        <w:rPr>
          <w:rFonts w:ascii="Arial" w:hAnsi="Arial" w:cs="Arial"/>
          <w:sz w:val="24"/>
          <w:szCs w:val="24"/>
          <w:lang w:val="en-US"/>
        </w:rPr>
        <w:t xml:space="preserve">Available at: </w:t>
      </w:r>
      <w:hyperlink r:id="rId28" w:history="1">
        <w:r w:rsidRPr="00E61E12">
          <w:rPr>
            <w:rStyle w:val="Hyperlink"/>
            <w:rFonts w:ascii="Arial" w:hAnsi="Arial" w:cs="Arial"/>
            <w:sz w:val="24"/>
            <w:szCs w:val="24"/>
            <w:lang w:val="en-US"/>
          </w:rPr>
          <w:t>https://www.civitas.org.uk/content/files/CIT.1.Citizenship.pdf</w:t>
        </w:r>
      </w:hyperlink>
      <w:r>
        <w:rPr>
          <w:rFonts w:ascii="Arial" w:hAnsi="Arial" w:cs="Arial"/>
          <w:sz w:val="24"/>
          <w:szCs w:val="24"/>
          <w:lang w:val="en-US"/>
        </w:rPr>
        <w:t xml:space="preserve"> (Accessed on: 2</w:t>
      </w:r>
      <w:r w:rsidRPr="009E6216">
        <w:rPr>
          <w:rFonts w:ascii="Arial" w:hAnsi="Arial" w:cs="Arial"/>
          <w:sz w:val="24"/>
          <w:szCs w:val="24"/>
          <w:vertAlign w:val="superscript"/>
          <w:lang w:val="en-US"/>
        </w:rPr>
        <w:t>nd</w:t>
      </w:r>
      <w:r>
        <w:rPr>
          <w:rFonts w:ascii="Arial" w:hAnsi="Arial" w:cs="Arial"/>
          <w:sz w:val="24"/>
          <w:szCs w:val="24"/>
          <w:lang w:val="en-US"/>
        </w:rPr>
        <w:t xml:space="preserve"> May 2021)</w:t>
      </w:r>
      <w:r w:rsidRPr="004E178B">
        <w:rPr>
          <w:rFonts w:ascii="Arial" w:hAnsi="Arial" w:cs="Arial"/>
          <w:sz w:val="24"/>
          <w:szCs w:val="24"/>
          <w:lang w:val="en-US"/>
        </w:rPr>
        <w:t xml:space="preserve"> </w:t>
      </w:r>
    </w:p>
    <w:p w14:paraId="183A72B9" w14:textId="77777777" w:rsidR="00AE2AE7" w:rsidRPr="00A90DE3"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Kennedy, A., Boudalaoui-Buresi, Z., and Konle-Seidl, R. (2020) </w:t>
      </w:r>
      <w:r>
        <w:rPr>
          <w:rFonts w:ascii="Arial" w:hAnsi="Arial" w:cs="Arial"/>
          <w:i/>
          <w:iCs/>
          <w:sz w:val="24"/>
          <w:szCs w:val="24"/>
          <w:lang w:val="en-US"/>
        </w:rPr>
        <w:t xml:space="preserve">Free movement of workers. </w:t>
      </w:r>
      <w:r>
        <w:rPr>
          <w:rFonts w:ascii="Arial" w:hAnsi="Arial" w:cs="Arial"/>
          <w:sz w:val="24"/>
          <w:szCs w:val="24"/>
          <w:lang w:val="en-US"/>
        </w:rPr>
        <w:t xml:space="preserve">Available at: </w:t>
      </w:r>
      <w:hyperlink r:id="rId29" w:history="1">
        <w:r w:rsidRPr="00C81289">
          <w:rPr>
            <w:rStyle w:val="Hyperlink"/>
            <w:rFonts w:ascii="Arial" w:hAnsi="Arial" w:cs="Arial"/>
            <w:sz w:val="24"/>
            <w:szCs w:val="24"/>
            <w:lang w:val="en-US"/>
          </w:rPr>
          <w:t>https://www.europarl.europa.eu/factsheets/en/sheet/41/free-movement-of-workers</w:t>
        </w:r>
      </w:hyperlink>
      <w:r>
        <w:rPr>
          <w:rFonts w:ascii="Arial" w:hAnsi="Arial" w:cs="Arial"/>
          <w:sz w:val="24"/>
          <w:szCs w:val="24"/>
          <w:lang w:val="en-US"/>
        </w:rPr>
        <w:t xml:space="preserve"> (Accessed on: 3</w:t>
      </w:r>
      <w:r w:rsidRPr="00DD2901">
        <w:rPr>
          <w:rFonts w:ascii="Arial" w:hAnsi="Arial" w:cs="Arial"/>
          <w:sz w:val="24"/>
          <w:szCs w:val="24"/>
          <w:vertAlign w:val="superscript"/>
          <w:lang w:val="en-US"/>
        </w:rPr>
        <w:t>rd</w:t>
      </w:r>
      <w:r>
        <w:rPr>
          <w:rFonts w:ascii="Arial" w:hAnsi="Arial" w:cs="Arial"/>
          <w:sz w:val="24"/>
          <w:szCs w:val="24"/>
          <w:lang w:val="en-US"/>
        </w:rPr>
        <w:t xml:space="preserve"> May 2021)</w:t>
      </w:r>
    </w:p>
    <w:p w14:paraId="154FF44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Koikkalainen, S. (2011) </w:t>
      </w:r>
      <w:r>
        <w:rPr>
          <w:rFonts w:ascii="Arial" w:hAnsi="Arial" w:cs="Arial"/>
          <w:i/>
          <w:iCs/>
          <w:sz w:val="24"/>
          <w:szCs w:val="24"/>
          <w:lang w:val="en-US"/>
        </w:rPr>
        <w:t xml:space="preserve">Free Movement in Europe: Past and Present. </w:t>
      </w:r>
      <w:r>
        <w:rPr>
          <w:rFonts w:ascii="Arial" w:hAnsi="Arial" w:cs="Arial"/>
          <w:sz w:val="24"/>
          <w:szCs w:val="24"/>
          <w:lang w:val="en-US"/>
        </w:rPr>
        <w:t xml:space="preserve">Available at: </w:t>
      </w:r>
      <w:hyperlink r:id="rId30" w:history="1">
        <w:r w:rsidRPr="00E61E12">
          <w:rPr>
            <w:rStyle w:val="Hyperlink"/>
            <w:rFonts w:ascii="Arial" w:hAnsi="Arial" w:cs="Arial"/>
            <w:sz w:val="24"/>
            <w:szCs w:val="24"/>
            <w:lang w:val="en-US"/>
          </w:rPr>
          <w:t>https://www.migrationpolicy.org/article/free-movement-europe-past-and-present/</w:t>
        </w:r>
      </w:hyperlink>
      <w:r>
        <w:rPr>
          <w:rFonts w:ascii="Arial" w:hAnsi="Arial" w:cs="Arial"/>
          <w:sz w:val="24"/>
          <w:szCs w:val="24"/>
          <w:lang w:val="en-US"/>
        </w:rPr>
        <w:t xml:space="preserve"> (Accessed on: 3</w:t>
      </w:r>
      <w:r w:rsidRPr="0091659E">
        <w:rPr>
          <w:rFonts w:ascii="Arial" w:hAnsi="Arial" w:cs="Arial"/>
          <w:sz w:val="24"/>
          <w:szCs w:val="24"/>
          <w:vertAlign w:val="superscript"/>
          <w:lang w:val="en-US"/>
        </w:rPr>
        <w:t>rd</w:t>
      </w:r>
      <w:r>
        <w:rPr>
          <w:rFonts w:ascii="Arial" w:hAnsi="Arial" w:cs="Arial"/>
          <w:sz w:val="24"/>
          <w:szCs w:val="24"/>
          <w:lang w:val="en-US"/>
        </w:rPr>
        <w:t xml:space="preserve"> May 2021)</w:t>
      </w:r>
    </w:p>
    <w:p w14:paraId="375B362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LLB (2020) </w:t>
      </w:r>
      <w:r>
        <w:rPr>
          <w:rFonts w:ascii="Arial" w:hAnsi="Arial" w:cs="Arial"/>
          <w:i/>
          <w:iCs/>
          <w:sz w:val="24"/>
          <w:szCs w:val="24"/>
          <w:lang w:val="en-US"/>
        </w:rPr>
        <w:t xml:space="preserve">EU Law. </w:t>
      </w:r>
      <w:r>
        <w:rPr>
          <w:rFonts w:ascii="Arial" w:hAnsi="Arial" w:cs="Arial"/>
          <w:sz w:val="24"/>
          <w:szCs w:val="24"/>
          <w:lang w:val="en-US"/>
        </w:rPr>
        <w:t>4</w:t>
      </w:r>
      <w:r w:rsidRPr="004C7401">
        <w:rPr>
          <w:rFonts w:ascii="Arial" w:hAnsi="Arial" w:cs="Arial"/>
          <w:sz w:val="24"/>
          <w:szCs w:val="24"/>
          <w:vertAlign w:val="superscript"/>
          <w:lang w:val="en-US"/>
        </w:rPr>
        <w:t>th</w:t>
      </w:r>
      <w:r>
        <w:rPr>
          <w:rFonts w:ascii="Arial" w:hAnsi="Arial" w:cs="Arial"/>
          <w:sz w:val="24"/>
          <w:szCs w:val="24"/>
          <w:lang w:val="en-US"/>
        </w:rPr>
        <w:t xml:space="preserve"> Ed. United Kingdom: Answered Publishing</w:t>
      </w:r>
    </w:p>
    <w:p w14:paraId="4139B217" w14:textId="77777777" w:rsidR="00AE2AE7" w:rsidRPr="00B01E64"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Mantu, S., and Minderhoud, P. (2017) ‘EU citizenship and social solidarity’, </w:t>
      </w:r>
      <w:r>
        <w:rPr>
          <w:rFonts w:ascii="Arial" w:hAnsi="Arial" w:cs="Arial"/>
          <w:i/>
          <w:iCs/>
          <w:sz w:val="24"/>
          <w:szCs w:val="24"/>
          <w:lang w:val="en-US"/>
        </w:rPr>
        <w:t xml:space="preserve">Maastricht Journal of European and Comparative Law, </w:t>
      </w:r>
      <w:r>
        <w:rPr>
          <w:rFonts w:ascii="Arial" w:hAnsi="Arial" w:cs="Arial"/>
          <w:sz w:val="24"/>
          <w:szCs w:val="24"/>
          <w:lang w:val="en-US"/>
        </w:rPr>
        <w:t xml:space="preserve">24(5), pp.703-720. DOI: </w:t>
      </w:r>
      <w:hyperlink r:id="rId31" w:history="1">
        <w:r w:rsidRPr="00FE471F">
          <w:rPr>
            <w:rStyle w:val="Hyperlink"/>
            <w:rFonts w:ascii="Arial" w:hAnsi="Arial" w:cs="Arial"/>
            <w:sz w:val="24"/>
            <w:szCs w:val="24"/>
            <w:lang w:val="en-US"/>
          </w:rPr>
          <w:t>https://doi.org/10.1177/1023263X17741271</w:t>
        </w:r>
      </w:hyperlink>
      <w:r>
        <w:rPr>
          <w:rFonts w:ascii="Arial" w:hAnsi="Arial" w:cs="Arial"/>
          <w:sz w:val="24"/>
          <w:szCs w:val="24"/>
          <w:lang w:val="en-US"/>
        </w:rPr>
        <w:t xml:space="preserve"> (Accessed on: 4</w:t>
      </w:r>
      <w:r w:rsidRPr="00632E3A">
        <w:rPr>
          <w:rFonts w:ascii="Arial" w:hAnsi="Arial" w:cs="Arial"/>
          <w:sz w:val="24"/>
          <w:szCs w:val="24"/>
          <w:vertAlign w:val="superscript"/>
          <w:lang w:val="en-US"/>
        </w:rPr>
        <w:t>th</w:t>
      </w:r>
      <w:r>
        <w:rPr>
          <w:rFonts w:ascii="Arial" w:hAnsi="Arial" w:cs="Arial"/>
          <w:sz w:val="24"/>
          <w:szCs w:val="24"/>
          <w:lang w:val="en-US"/>
        </w:rPr>
        <w:t xml:space="preserve"> May 2021)</w:t>
      </w:r>
    </w:p>
    <w:p w14:paraId="5D71E51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Mantu, S., and Minderhoud, P. (2019) ‘Exploring the links between residence and social rights for economically inactive EU citizens’, </w:t>
      </w:r>
      <w:r>
        <w:rPr>
          <w:rFonts w:ascii="Arial" w:hAnsi="Arial" w:cs="Arial"/>
          <w:i/>
          <w:iCs/>
          <w:sz w:val="24"/>
          <w:szCs w:val="24"/>
          <w:lang w:val="en-US"/>
        </w:rPr>
        <w:t xml:space="preserve">European Journal of Migration and Law, </w:t>
      </w:r>
      <w:r>
        <w:rPr>
          <w:rFonts w:ascii="Arial" w:hAnsi="Arial" w:cs="Arial"/>
          <w:sz w:val="24"/>
          <w:szCs w:val="24"/>
          <w:lang w:val="en-US"/>
        </w:rPr>
        <w:t xml:space="preserve">21(3), pp. 313-337. DOI: </w:t>
      </w:r>
      <w:hyperlink r:id="rId32" w:history="1">
        <w:r w:rsidRPr="00FE471F">
          <w:rPr>
            <w:rStyle w:val="Hyperlink"/>
            <w:rFonts w:ascii="Arial" w:hAnsi="Arial" w:cs="Arial"/>
            <w:sz w:val="24"/>
            <w:szCs w:val="24"/>
            <w:lang w:val="en-US"/>
          </w:rPr>
          <w:t>https://doi.org/10.1163/15718166-12340053</w:t>
        </w:r>
      </w:hyperlink>
      <w:r>
        <w:rPr>
          <w:rFonts w:ascii="Arial" w:hAnsi="Arial" w:cs="Arial"/>
          <w:sz w:val="24"/>
          <w:szCs w:val="24"/>
          <w:lang w:val="en-US"/>
        </w:rPr>
        <w:t xml:space="preserve"> (Accessed on: 4</w:t>
      </w:r>
      <w:r w:rsidRPr="000B04D2">
        <w:rPr>
          <w:rFonts w:ascii="Arial" w:hAnsi="Arial" w:cs="Arial"/>
          <w:sz w:val="24"/>
          <w:szCs w:val="24"/>
          <w:vertAlign w:val="superscript"/>
          <w:lang w:val="en-US"/>
        </w:rPr>
        <w:t>th</w:t>
      </w:r>
      <w:r>
        <w:rPr>
          <w:rFonts w:ascii="Arial" w:hAnsi="Arial" w:cs="Arial"/>
          <w:sz w:val="24"/>
          <w:szCs w:val="24"/>
          <w:lang w:val="en-US"/>
        </w:rPr>
        <w:t xml:space="preserve"> May 2021)</w:t>
      </w:r>
    </w:p>
    <w:p w14:paraId="756F4B52" w14:textId="77777777" w:rsidR="00AE2AE7" w:rsidRPr="00BD20C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Maslowski, S. (2015) ‘The Expulsion of European Union Citizens from the Host Member State: Legal Grounds and Practice’, </w:t>
      </w:r>
      <w:r>
        <w:rPr>
          <w:rFonts w:ascii="Arial" w:hAnsi="Arial" w:cs="Arial"/>
          <w:i/>
          <w:iCs/>
          <w:sz w:val="24"/>
          <w:szCs w:val="24"/>
          <w:lang w:val="en-US"/>
        </w:rPr>
        <w:t xml:space="preserve">Central and Eastern European Migration Review, </w:t>
      </w:r>
      <w:r>
        <w:rPr>
          <w:rFonts w:ascii="Arial" w:hAnsi="Arial" w:cs="Arial"/>
          <w:sz w:val="24"/>
          <w:szCs w:val="24"/>
          <w:lang w:val="en-US"/>
        </w:rPr>
        <w:t xml:space="preserve">4(2), pp. 61-85. Available at: </w:t>
      </w:r>
      <w:hyperlink r:id="rId33" w:history="1">
        <w:r w:rsidRPr="00EB0207">
          <w:rPr>
            <w:rStyle w:val="Hyperlink"/>
            <w:rFonts w:ascii="Arial" w:hAnsi="Arial" w:cs="Arial"/>
            <w:sz w:val="24"/>
            <w:szCs w:val="24"/>
            <w:lang w:val="en-US"/>
          </w:rPr>
          <w:t>http://www.ceemr.uw.edu.pl/vol-4-no-2-december-2015/articles/expulsion-european-union-citizens-host-member-state-legal-grounds</w:t>
        </w:r>
      </w:hyperlink>
      <w:r>
        <w:rPr>
          <w:rFonts w:ascii="Arial" w:hAnsi="Arial" w:cs="Arial"/>
          <w:sz w:val="24"/>
          <w:szCs w:val="24"/>
          <w:lang w:val="en-US"/>
        </w:rPr>
        <w:t xml:space="preserve"> (Accessed on: 3</w:t>
      </w:r>
      <w:r w:rsidRPr="006308C5">
        <w:rPr>
          <w:rFonts w:ascii="Arial" w:hAnsi="Arial" w:cs="Arial"/>
          <w:sz w:val="24"/>
          <w:szCs w:val="24"/>
          <w:vertAlign w:val="superscript"/>
          <w:lang w:val="en-US"/>
        </w:rPr>
        <w:t>rd</w:t>
      </w:r>
      <w:r>
        <w:rPr>
          <w:rFonts w:ascii="Arial" w:hAnsi="Arial" w:cs="Arial"/>
          <w:sz w:val="24"/>
          <w:szCs w:val="24"/>
          <w:lang w:val="en-US"/>
        </w:rPr>
        <w:t xml:space="preserve"> May 2021)</w:t>
      </w:r>
    </w:p>
    <w:p w14:paraId="49A9750F" w14:textId="77777777" w:rsidR="00AE2AE7" w:rsidRPr="007D454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Muller, K. (2019) </w:t>
      </w:r>
      <w:r>
        <w:rPr>
          <w:rFonts w:ascii="Arial" w:hAnsi="Arial" w:cs="Arial"/>
          <w:i/>
          <w:iCs/>
          <w:sz w:val="24"/>
          <w:szCs w:val="24"/>
          <w:lang w:val="en-US"/>
        </w:rPr>
        <w:t xml:space="preserve">The impact of the free movement of economically active citizens within the EU. </w:t>
      </w:r>
      <w:r>
        <w:rPr>
          <w:rFonts w:ascii="Arial" w:hAnsi="Arial" w:cs="Arial"/>
          <w:sz w:val="24"/>
          <w:szCs w:val="24"/>
          <w:lang w:val="en-US"/>
        </w:rPr>
        <w:t xml:space="preserve">Available at: </w:t>
      </w:r>
      <w:hyperlink r:id="rId34" w:history="1">
        <w:r w:rsidRPr="00E61E12">
          <w:rPr>
            <w:rStyle w:val="Hyperlink"/>
            <w:rFonts w:ascii="Arial" w:hAnsi="Arial" w:cs="Arial"/>
            <w:sz w:val="24"/>
            <w:szCs w:val="24"/>
            <w:lang w:val="en-US"/>
          </w:rPr>
          <w:t>https://www.europarl.europa.eu/RegData/etudes/BRIE/2019/631742/EPRS_BRI(2019)6317442_EN.pdf</w:t>
        </w:r>
      </w:hyperlink>
      <w:r>
        <w:rPr>
          <w:rFonts w:ascii="Arial" w:hAnsi="Arial" w:cs="Arial"/>
          <w:sz w:val="24"/>
          <w:szCs w:val="24"/>
          <w:lang w:val="en-US"/>
        </w:rPr>
        <w:t xml:space="preserve"> (Accessed on: 3</w:t>
      </w:r>
      <w:r w:rsidRPr="009232B4">
        <w:rPr>
          <w:rFonts w:ascii="Arial" w:hAnsi="Arial" w:cs="Arial"/>
          <w:sz w:val="24"/>
          <w:szCs w:val="24"/>
          <w:vertAlign w:val="superscript"/>
          <w:lang w:val="en-US"/>
        </w:rPr>
        <w:t>rd</w:t>
      </w:r>
      <w:r>
        <w:rPr>
          <w:rFonts w:ascii="Arial" w:hAnsi="Arial" w:cs="Arial"/>
          <w:sz w:val="24"/>
          <w:szCs w:val="24"/>
          <w:lang w:val="en-US"/>
        </w:rPr>
        <w:t xml:space="preserve"> May 2021)</w:t>
      </w:r>
    </w:p>
    <w:p w14:paraId="04FCAC6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O’Brien, C., and Pech, L.P. (2016) </w:t>
      </w:r>
      <w:r>
        <w:rPr>
          <w:rFonts w:ascii="Arial" w:hAnsi="Arial" w:cs="Arial"/>
          <w:i/>
          <w:iCs/>
          <w:sz w:val="24"/>
          <w:szCs w:val="24"/>
          <w:lang w:val="en-US"/>
        </w:rPr>
        <w:t xml:space="preserve">EU Free Movement Law. </w:t>
      </w:r>
      <w:r>
        <w:rPr>
          <w:rFonts w:ascii="Arial" w:hAnsi="Arial" w:cs="Arial"/>
          <w:sz w:val="24"/>
          <w:szCs w:val="24"/>
          <w:lang w:val="en-US"/>
        </w:rPr>
        <w:t xml:space="preserve">Available at: </w:t>
      </w:r>
      <w:hyperlink r:id="rId35" w:history="1">
        <w:r w:rsidRPr="00E61E12">
          <w:rPr>
            <w:rStyle w:val="Hyperlink"/>
            <w:rFonts w:ascii="Arial" w:hAnsi="Arial" w:cs="Arial"/>
            <w:sz w:val="24"/>
            <w:szCs w:val="24"/>
            <w:lang w:val="en-US"/>
          </w:rPr>
          <w:t>https://eulawanalysis.blogspot.com/2016/11/eu-free-movement-in-law-in-10-questions.html</w:t>
        </w:r>
      </w:hyperlink>
      <w:r>
        <w:rPr>
          <w:rFonts w:ascii="Arial" w:hAnsi="Arial" w:cs="Arial"/>
          <w:sz w:val="24"/>
          <w:szCs w:val="24"/>
          <w:lang w:val="en-US"/>
        </w:rPr>
        <w:t xml:space="preserve"> (Accessed on: 2</w:t>
      </w:r>
      <w:r w:rsidRPr="00960F4C">
        <w:rPr>
          <w:rFonts w:ascii="Arial" w:hAnsi="Arial" w:cs="Arial"/>
          <w:sz w:val="24"/>
          <w:szCs w:val="24"/>
          <w:vertAlign w:val="superscript"/>
          <w:lang w:val="en-US"/>
        </w:rPr>
        <w:t>nd</w:t>
      </w:r>
      <w:r>
        <w:rPr>
          <w:rFonts w:ascii="Arial" w:hAnsi="Arial" w:cs="Arial"/>
          <w:sz w:val="24"/>
          <w:szCs w:val="24"/>
          <w:lang w:val="en-US"/>
        </w:rPr>
        <w:t xml:space="preserve"> May 2021)</w:t>
      </w:r>
    </w:p>
    <w:p w14:paraId="6C6F7B41" w14:textId="77777777" w:rsidR="00AE2AE7" w:rsidRPr="0052629C"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Spaventa, E. (2015) ‘Family rights for circular migrants and frontier workers’, </w:t>
      </w:r>
      <w:r>
        <w:rPr>
          <w:rFonts w:ascii="Arial" w:hAnsi="Arial" w:cs="Arial"/>
          <w:i/>
          <w:iCs/>
          <w:sz w:val="24"/>
          <w:szCs w:val="24"/>
          <w:lang w:val="en-US"/>
        </w:rPr>
        <w:t xml:space="preserve">Common market law review, </w:t>
      </w:r>
      <w:r>
        <w:rPr>
          <w:rFonts w:ascii="Arial" w:hAnsi="Arial" w:cs="Arial"/>
          <w:sz w:val="24"/>
          <w:szCs w:val="24"/>
          <w:lang w:val="en-US"/>
        </w:rPr>
        <w:t xml:space="preserve">52(3), pp. 753-777. Available at: </w:t>
      </w:r>
      <w:hyperlink r:id="rId36" w:history="1">
        <w:r w:rsidRPr="00EB0207">
          <w:rPr>
            <w:rStyle w:val="Hyperlink"/>
            <w:rFonts w:ascii="Arial" w:hAnsi="Arial" w:cs="Arial"/>
            <w:sz w:val="24"/>
            <w:szCs w:val="24"/>
            <w:lang w:val="en-US"/>
          </w:rPr>
          <w:t>https://dro.dur.ac.uk/14874/2/14874.pdf</w:t>
        </w:r>
      </w:hyperlink>
      <w:r>
        <w:rPr>
          <w:rFonts w:ascii="Arial" w:hAnsi="Arial" w:cs="Arial"/>
          <w:sz w:val="24"/>
          <w:szCs w:val="24"/>
          <w:lang w:val="en-US"/>
        </w:rPr>
        <w:t xml:space="preserve"> (Accessed on: 2</w:t>
      </w:r>
      <w:r w:rsidRPr="00D00192">
        <w:rPr>
          <w:rFonts w:ascii="Arial" w:hAnsi="Arial" w:cs="Arial"/>
          <w:sz w:val="24"/>
          <w:szCs w:val="24"/>
          <w:vertAlign w:val="superscript"/>
          <w:lang w:val="en-US"/>
        </w:rPr>
        <w:t>nd</w:t>
      </w:r>
      <w:r>
        <w:rPr>
          <w:rFonts w:ascii="Arial" w:hAnsi="Arial" w:cs="Arial"/>
          <w:sz w:val="24"/>
          <w:szCs w:val="24"/>
          <w:lang w:val="en-US"/>
        </w:rPr>
        <w:t xml:space="preserve"> May 2021)</w:t>
      </w:r>
    </w:p>
    <w:p w14:paraId="0BD86C85" w14:textId="77777777" w:rsidR="00AE2AE7" w:rsidRDefault="00AE2AE7" w:rsidP="006D7763">
      <w:pPr>
        <w:spacing w:line="480" w:lineRule="auto"/>
        <w:rPr>
          <w:rFonts w:ascii="Arial" w:hAnsi="Arial" w:cs="Arial"/>
          <w:sz w:val="24"/>
          <w:szCs w:val="24"/>
          <w:lang w:val="en-US"/>
        </w:rPr>
      </w:pPr>
    </w:p>
    <w:p w14:paraId="08C7E032" w14:textId="77777777" w:rsidR="00AE2AE7" w:rsidRPr="00D00192"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2 Case List:</w:t>
      </w:r>
    </w:p>
    <w:p w14:paraId="76F0824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Commission v Germany (Case C-441/02) [2006] ECR I-3449</w:t>
      </w:r>
    </w:p>
    <w:p w14:paraId="03C2CCC4"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Grzelczyk v Centre Public d’Aide Sociale d’Ottignies-Louvain-la-Neuveand (Case C-184/99) [2001] ECR I-06193</w:t>
      </w:r>
    </w:p>
    <w:p w14:paraId="63362F20"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Kempf v Staatsecretaris van Justitie (Case 139/85) [1986] ECR 1741</w:t>
      </w:r>
    </w:p>
    <w:p w14:paraId="30BADA1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Lawrie-Blum v Land Baden-Wutenburg (Case 66/85) [1986] ECR 2121</w:t>
      </w:r>
    </w:p>
    <w:p w14:paraId="0B4E24D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Metock and Others v Minister for Justice, Equality and Law Reform (Case C-127/08) [2008] ECR I-6241</w:t>
      </w:r>
    </w:p>
    <w:p w14:paraId="4FE7F63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Netherlands v Reed (Case 59/85) [1986] ECR 1283</w:t>
      </w:r>
    </w:p>
    <w:p w14:paraId="10DD78F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Orfanopoulos and others v Land Baden-Wurttemberg (Cases C-482 and C-493/01) [2004] ECR I-5257</w:t>
      </w:r>
    </w:p>
    <w:p w14:paraId="1B76858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Regina v Bouchereau (Case 30/77) [1977] ECR 1999</w:t>
      </w:r>
    </w:p>
    <w:p w14:paraId="2CED782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Tomasz Ziolkowski and Others and Marlon Szeja v Land Berlin (Cases C-424/10 and C-425/10) [2011] ECR I-14035 </w:t>
      </w:r>
    </w:p>
    <w:p w14:paraId="2D27C13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Van Duyn v Nome Office (Case 41/74) [1974] ECR 1337</w:t>
      </w:r>
    </w:p>
    <w:p w14:paraId="692C52A4"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Wijsenbeek (Case C-378/97) [1989] ECR 4209</w:t>
      </w:r>
    </w:p>
    <w:p w14:paraId="00AFB03F" w14:textId="3CCB5169" w:rsidR="00AE2AE7" w:rsidRPr="004256EB" w:rsidRDefault="00AE2AE7" w:rsidP="004256EB">
      <w:pPr>
        <w:spacing w:line="480" w:lineRule="auto"/>
        <w:rPr>
          <w:rFonts w:ascii="Arial" w:hAnsi="Arial" w:cs="Arial"/>
          <w:sz w:val="24"/>
          <w:szCs w:val="24"/>
          <w:lang w:val="en-US"/>
        </w:rPr>
      </w:pPr>
      <w:r>
        <w:rPr>
          <w:rFonts w:ascii="Arial" w:hAnsi="Arial" w:cs="Arial"/>
          <w:sz w:val="24"/>
          <w:szCs w:val="24"/>
          <w:lang w:val="en-US"/>
        </w:rPr>
        <w:t xml:space="preserve">Yunying Jia v. Migrationsverket (Case C-1/05) [2007] ECR I-1 </w:t>
      </w:r>
    </w:p>
    <w:sectPr w:rsidR="00AE2AE7" w:rsidRPr="004256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6513B"/>
    <w:multiLevelType w:val="hybridMultilevel"/>
    <w:tmpl w:val="3662D9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AE7"/>
    <w:rsid w:val="000039BF"/>
    <w:rsid w:val="00004994"/>
    <w:rsid w:val="00006845"/>
    <w:rsid w:val="000112E8"/>
    <w:rsid w:val="00013932"/>
    <w:rsid w:val="00013CD4"/>
    <w:rsid w:val="00016A10"/>
    <w:rsid w:val="00030B57"/>
    <w:rsid w:val="00042A5C"/>
    <w:rsid w:val="000471AC"/>
    <w:rsid w:val="00066353"/>
    <w:rsid w:val="00071AEA"/>
    <w:rsid w:val="00072070"/>
    <w:rsid w:val="0009347C"/>
    <w:rsid w:val="00097603"/>
    <w:rsid w:val="000B45D6"/>
    <w:rsid w:val="000C3259"/>
    <w:rsid w:val="000C4977"/>
    <w:rsid w:val="000C576D"/>
    <w:rsid w:val="000D2B74"/>
    <w:rsid w:val="000D4C29"/>
    <w:rsid w:val="000D7FDF"/>
    <w:rsid w:val="000E4045"/>
    <w:rsid w:val="000E4AD7"/>
    <w:rsid w:val="000E6E2D"/>
    <w:rsid w:val="000E6EE2"/>
    <w:rsid w:val="000F25C8"/>
    <w:rsid w:val="000F3194"/>
    <w:rsid w:val="000F70B1"/>
    <w:rsid w:val="00103033"/>
    <w:rsid w:val="00122333"/>
    <w:rsid w:val="00127C13"/>
    <w:rsid w:val="00130A98"/>
    <w:rsid w:val="00130E44"/>
    <w:rsid w:val="00136353"/>
    <w:rsid w:val="00142338"/>
    <w:rsid w:val="00143AA9"/>
    <w:rsid w:val="00147966"/>
    <w:rsid w:val="0015383C"/>
    <w:rsid w:val="0016273B"/>
    <w:rsid w:val="00162E87"/>
    <w:rsid w:val="0017150B"/>
    <w:rsid w:val="001740E0"/>
    <w:rsid w:val="0018121A"/>
    <w:rsid w:val="00182E37"/>
    <w:rsid w:val="001836C5"/>
    <w:rsid w:val="001872E5"/>
    <w:rsid w:val="00196523"/>
    <w:rsid w:val="001A360B"/>
    <w:rsid w:val="001B2190"/>
    <w:rsid w:val="001C5FCA"/>
    <w:rsid w:val="001C63B4"/>
    <w:rsid w:val="001C7995"/>
    <w:rsid w:val="001D2940"/>
    <w:rsid w:val="001D358A"/>
    <w:rsid w:val="001D39CE"/>
    <w:rsid w:val="001D687D"/>
    <w:rsid w:val="001E10D5"/>
    <w:rsid w:val="001F2C36"/>
    <w:rsid w:val="001F5EEA"/>
    <w:rsid w:val="001F6561"/>
    <w:rsid w:val="0020213F"/>
    <w:rsid w:val="00205825"/>
    <w:rsid w:val="00210A80"/>
    <w:rsid w:val="00214D50"/>
    <w:rsid w:val="00230AC8"/>
    <w:rsid w:val="00237F6D"/>
    <w:rsid w:val="00243864"/>
    <w:rsid w:val="00243F66"/>
    <w:rsid w:val="0024545E"/>
    <w:rsid w:val="002462F9"/>
    <w:rsid w:val="002471CC"/>
    <w:rsid w:val="002508E2"/>
    <w:rsid w:val="002550B1"/>
    <w:rsid w:val="0025724D"/>
    <w:rsid w:val="002574D1"/>
    <w:rsid w:val="00260A85"/>
    <w:rsid w:val="002709A1"/>
    <w:rsid w:val="00270EB4"/>
    <w:rsid w:val="00272EA8"/>
    <w:rsid w:val="00273962"/>
    <w:rsid w:val="00273B1F"/>
    <w:rsid w:val="00274AA9"/>
    <w:rsid w:val="002818DA"/>
    <w:rsid w:val="00282473"/>
    <w:rsid w:val="00290F42"/>
    <w:rsid w:val="00293087"/>
    <w:rsid w:val="002A4602"/>
    <w:rsid w:val="002B5710"/>
    <w:rsid w:val="002B72F2"/>
    <w:rsid w:val="002D1EB3"/>
    <w:rsid w:val="002D499F"/>
    <w:rsid w:val="002D6620"/>
    <w:rsid w:val="002E30CE"/>
    <w:rsid w:val="002E6F01"/>
    <w:rsid w:val="002F0F24"/>
    <w:rsid w:val="003059C8"/>
    <w:rsid w:val="003078CA"/>
    <w:rsid w:val="00322A07"/>
    <w:rsid w:val="00326069"/>
    <w:rsid w:val="003313A6"/>
    <w:rsid w:val="00336EA6"/>
    <w:rsid w:val="00352214"/>
    <w:rsid w:val="00353356"/>
    <w:rsid w:val="003543C8"/>
    <w:rsid w:val="003559CA"/>
    <w:rsid w:val="0037081B"/>
    <w:rsid w:val="00373508"/>
    <w:rsid w:val="00380877"/>
    <w:rsid w:val="0038092F"/>
    <w:rsid w:val="00383138"/>
    <w:rsid w:val="00384371"/>
    <w:rsid w:val="00387009"/>
    <w:rsid w:val="0039190F"/>
    <w:rsid w:val="003A0966"/>
    <w:rsid w:val="003A2383"/>
    <w:rsid w:val="003A3A7F"/>
    <w:rsid w:val="003A3E20"/>
    <w:rsid w:val="003B1D88"/>
    <w:rsid w:val="003C34F6"/>
    <w:rsid w:val="003C6B27"/>
    <w:rsid w:val="003C7CED"/>
    <w:rsid w:val="003D4A94"/>
    <w:rsid w:val="003F2F66"/>
    <w:rsid w:val="003F607D"/>
    <w:rsid w:val="00401780"/>
    <w:rsid w:val="004124D6"/>
    <w:rsid w:val="004130BA"/>
    <w:rsid w:val="0041488D"/>
    <w:rsid w:val="00420F41"/>
    <w:rsid w:val="004213D3"/>
    <w:rsid w:val="00421EBA"/>
    <w:rsid w:val="00424BF4"/>
    <w:rsid w:val="004256EB"/>
    <w:rsid w:val="00425AEB"/>
    <w:rsid w:val="004272A3"/>
    <w:rsid w:val="0043193D"/>
    <w:rsid w:val="00433246"/>
    <w:rsid w:val="00436007"/>
    <w:rsid w:val="004378C6"/>
    <w:rsid w:val="004414C1"/>
    <w:rsid w:val="00443174"/>
    <w:rsid w:val="00444654"/>
    <w:rsid w:val="00474DB5"/>
    <w:rsid w:val="00482851"/>
    <w:rsid w:val="004846A6"/>
    <w:rsid w:val="00496054"/>
    <w:rsid w:val="004A037E"/>
    <w:rsid w:val="004A5A0E"/>
    <w:rsid w:val="004B2BA5"/>
    <w:rsid w:val="004C4AD5"/>
    <w:rsid w:val="004C59D8"/>
    <w:rsid w:val="004C5F51"/>
    <w:rsid w:val="004C6116"/>
    <w:rsid w:val="004D3185"/>
    <w:rsid w:val="004D40DE"/>
    <w:rsid w:val="004F0C15"/>
    <w:rsid w:val="004F382C"/>
    <w:rsid w:val="00516A62"/>
    <w:rsid w:val="0052041C"/>
    <w:rsid w:val="0052122A"/>
    <w:rsid w:val="00527371"/>
    <w:rsid w:val="00532673"/>
    <w:rsid w:val="005440FA"/>
    <w:rsid w:val="00562406"/>
    <w:rsid w:val="0056359F"/>
    <w:rsid w:val="00566561"/>
    <w:rsid w:val="00567A22"/>
    <w:rsid w:val="00575567"/>
    <w:rsid w:val="00575AEA"/>
    <w:rsid w:val="00575F59"/>
    <w:rsid w:val="00585E22"/>
    <w:rsid w:val="005901BE"/>
    <w:rsid w:val="00591569"/>
    <w:rsid w:val="005A1B5C"/>
    <w:rsid w:val="005A3C17"/>
    <w:rsid w:val="005A6E60"/>
    <w:rsid w:val="005B386E"/>
    <w:rsid w:val="005C0D20"/>
    <w:rsid w:val="005C3F39"/>
    <w:rsid w:val="005C7CF0"/>
    <w:rsid w:val="005D0D23"/>
    <w:rsid w:val="005D24CF"/>
    <w:rsid w:val="005D3B6B"/>
    <w:rsid w:val="005D538A"/>
    <w:rsid w:val="005D561E"/>
    <w:rsid w:val="005D68CE"/>
    <w:rsid w:val="005E3AFE"/>
    <w:rsid w:val="00603ADF"/>
    <w:rsid w:val="00607704"/>
    <w:rsid w:val="00612F22"/>
    <w:rsid w:val="00614EB4"/>
    <w:rsid w:val="00622F24"/>
    <w:rsid w:val="00623377"/>
    <w:rsid w:val="00630DAE"/>
    <w:rsid w:val="00631D20"/>
    <w:rsid w:val="00662182"/>
    <w:rsid w:val="00665190"/>
    <w:rsid w:val="00665B13"/>
    <w:rsid w:val="006665D3"/>
    <w:rsid w:val="00670173"/>
    <w:rsid w:val="00677A8B"/>
    <w:rsid w:val="00683DE4"/>
    <w:rsid w:val="006A76AA"/>
    <w:rsid w:val="006B4E45"/>
    <w:rsid w:val="006C3B05"/>
    <w:rsid w:val="006E25D3"/>
    <w:rsid w:val="006E4991"/>
    <w:rsid w:val="006E7B9F"/>
    <w:rsid w:val="006F025A"/>
    <w:rsid w:val="006F163E"/>
    <w:rsid w:val="006F3047"/>
    <w:rsid w:val="006F3BB7"/>
    <w:rsid w:val="006F53E4"/>
    <w:rsid w:val="006F6ED0"/>
    <w:rsid w:val="006F7C37"/>
    <w:rsid w:val="00712A70"/>
    <w:rsid w:val="00712FFB"/>
    <w:rsid w:val="007204F4"/>
    <w:rsid w:val="00723427"/>
    <w:rsid w:val="00733F1D"/>
    <w:rsid w:val="007429F5"/>
    <w:rsid w:val="007434D7"/>
    <w:rsid w:val="00751ED3"/>
    <w:rsid w:val="007528E3"/>
    <w:rsid w:val="00757606"/>
    <w:rsid w:val="007576EC"/>
    <w:rsid w:val="00765C52"/>
    <w:rsid w:val="0077521B"/>
    <w:rsid w:val="00775D0C"/>
    <w:rsid w:val="0077770C"/>
    <w:rsid w:val="007801AA"/>
    <w:rsid w:val="007820A6"/>
    <w:rsid w:val="007862E4"/>
    <w:rsid w:val="00796E77"/>
    <w:rsid w:val="007A715F"/>
    <w:rsid w:val="007B1E1E"/>
    <w:rsid w:val="007B55C8"/>
    <w:rsid w:val="007C262F"/>
    <w:rsid w:val="007C7451"/>
    <w:rsid w:val="007D11C2"/>
    <w:rsid w:val="007E0053"/>
    <w:rsid w:val="007E4570"/>
    <w:rsid w:val="007F5B25"/>
    <w:rsid w:val="008102D6"/>
    <w:rsid w:val="0082339A"/>
    <w:rsid w:val="00826DB4"/>
    <w:rsid w:val="008272BB"/>
    <w:rsid w:val="00837B1B"/>
    <w:rsid w:val="00840AF9"/>
    <w:rsid w:val="0084272A"/>
    <w:rsid w:val="00842B47"/>
    <w:rsid w:val="00855E47"/>
    <w:rsid w:val="0085753A"/>
    <w:rsid w:val="00866AB6"/>
    <w:rsid w:val="0087068D"/>
    <w:rsid w:val="008733F8"/>
    <w:rsid w:val="00874C0A"/>
    <w:rsid w:val="00880DA3"/>
    <w:rsid w:val="00883931"/>
    <w:rsid w:val="00886FAA"/>
    <w:rsid w:val="00887F50"/>
    <w:rsid w:val="008918F3"/>
    <w:rsid w:val="00892A5B"/>
    <w:rsid w:val="008A4A1E"/>
    <w:rsid w:val="008B55B2"/>
    <w:rsid w:val="008B5EC7"/>
    <w:rsid w:val="008D092B"/>
    <w:rsid w:val="008E618A"/>
    <w:rsid w:val="008E6A57"/>
    <w:rsid w:val="008F076D"/>
    <w:rsid w:val="008F4A46"/>
    <w:rsid w:val="00906A8B"/>
    <w:rsid w:val="00911036"/>
    <w:rsid w:val="00912495"/>
    <w:rsid w:val="00914390"/>
    <w:rsid w:val="00915972"/>
    <w:rsid w:val="00920452"/>
    <w:rsid w:val="00932A19"/>
    <w:rsid w:val="0093486A"/>
    <w:rsid w:val="0093573E"/>
    <w:rsid w:val="00935E09"/>
    <w:rsid w:val="00947692"/>
    <w:rsid w:val="009477E2"/>
    <w:rsid w:val="0095059E"/>
    <w:rsid w:val="00950E1D"/>
    <w:rsid w:val="00950EE2"/>
    <w:rsid w:val="00951B59"/>
    <w:rsid w:val="00956D7E"/>
    <w:rsid w:val="00956DF1"/>
    <w:rsid w:val="00963660"/>
    <w:rsid w:val="009656C3"/>
    <w:rsid w:val="009707FE"/>
    <w:rsid w:val="00972902"/>
    <w:rsid w:val="0097397A"/>
    <w:rsid w:val="009757C2"/>
    <w:rsid w:val="009852FD"/>
    <w:rsid w:val="00990A95"/>
    <w:rsid w:val="009924E6"/>
    <w:rsid w:val="009947D4"/>
    <w:rsid w:val="009A7418"/>
    <w:rsid w:val="009A77AE"/>
    <w:rsid w:val="009A7CE2"/>
    <w:rsid w:val="009B09F8"/>
    <w:rsid w:val="009B69AC"/>
    <w:rsid w:val="009C1FFD"/>
    <w:rsid w:val="009C4A05"/>
    <w:rsid w:val="009C71AB"/>
    <w:rsid w:val="009C72E0"/>
    <w:rsid w:val="009D05B0"/>
    <w:rsid w:val="009D410C"/>
    <w:rsid w:val="009E22BF"/>
    <w:rsid w:val="009F022D"/>
    <w:rsid w:val="009F0FC9"/>
    <w:rsid w:val="009F77C5"/>
    <w:rsid w:val="00A0452A"/>
    <w:rsid w:val="00A1228B"/>
    <w:rsid w:val="00A12636"/>
    <w:rsid w:val="00A12737"/>
    <w:rsid w:val="00A25CAA"/>
    <w:rsid w:val="00A3348E"/>
    <w:rsid w:val="00A3793B"/>
    <w:rsid w:val="00A42DCE"/>
    <w:rsid w:val="00A44E19"/>
    <w:rsid w:val="00A52D63"/>
    <w:rsid w:val="00A53666"/>
    <w:rsid w:val="00A54527"/>
    <w:rsid w:val="00A55BA1"/>
    <w:rsid w:val="00A744DF"/>
    <w:rsid w:val="00A74F31"/>
    <w:rsid w:val="00A779BF"/>
    <w:rsid w:val="00A83267"/>
    <w:rsid w:val="00A84D57"/>
    <w:rsid w:val="00A864D2"/>
    <w:rsid w:val="00A86790"/>
    <w:rsid w:val="00A91823"/>
    <w:rsid w:val="00A9439C"/>
    <w:rsid w:val="00A957CF"/>
    <w:rsid w:val="00A968A3"/>
    <w:rsid w:val="00AA6EED"/>
    <w:rsid w:val="00AA7177"/>
    <w:rsid w:val="00AC3C64"/>
    <w:rsid w:val="00AE0989"/>
    <w:rsid w:val="00AE1A0F"/>
    <w:rsid w:val="00AE2AE7"/>
    <w:rsid w:val="00AE4794"/>
    <w:rsid w:val="00AF24BC"/>
    <w:rsid w:val="00AF2FD5"/>
    <w:rsid w:val="00B004D4"/>
    <w:rsid w:val="00B240BF"/>
    <w:rsid w:val="00B24A50"/>
    <w:rsid w:val="00B25B51"/>
    <w:rsid w:val="00B26ED1"/>
    <w:rsid w:val="00B27181"/>
    <w:rsid w:val="00B275D2"/>
    <w:rsid w:val="00B3665D"/>
    <w:rsid w:val="00B466FF"/>
    <w:rsid w:val="00B60C04"/>
    <w:rsid w:val="00B66F8E"/>
    <w:rsid w:val="00B670A8"/>
    <w:rsid w:val="00B714A1"/>
    <w:rsid w:val="00B71ABA"/>
    <w:rsid w:val="00B74364"/>
    <w:rsid w:val="00B75BC3"/>
    <w:rsid w:val="00B80500"/>
    <w:rsid w:val="00B85178"/>
    <w:rsid w:val="00BA7F46"/>
    <w:rsid w:val="00BB792C"/>
    <w:rsid w:val="00BC008A"/>
    <w:rsid w:val="00BD14D1"/>
    <w:rsid w:val="00BD7772"/>
    <w:rsid w:val="00BE3F19"/>
    <w:rsid w:val="00BE713B"/>
    <w:rsid w:val="00BF128E"/>
    <w:rsid w:val="00BF19E4"/>
    <w:rsid w:val="00BF4B49"/>
    <w:rsid w:val="00BF4F5F"/>
    <w:rsid w:val="00BF5690"/>
    <w:rsid w:val="00C001A0"/>
    <w:rsid w:val="00C029EA"/>
    <w:rsid w:val="00C05AF9"/>
    <w:rsid w:val="00C0666E"/>
    <w:rsid w:val="00C07028"/>
    <w:rsid w:val="00C07446"/>
    <w:rsid w:val="00C116C7"/>
    <w:rsid w:val="00C13A3A"/>
    <w:rsid w:val="00C27D15"/>
    <w:rsid w:val="00C360FF"/>
    <w:rsid w:val="00C431AD"/>
    <w:rsid w:val="00C55182"/>
    <w:rsid w:val="00C55AB7"/>
    <w:rsid w:val="00C57A04"/>
    <w:rsid w:val="00C57FA6"/>
    <w:rsid w:val="00C616CB"/>
    <w:rsid w:val="00C630A8"/>
    <w:rsid w:val="00C65574"/>
    <w:rsid w:val="00C74574"/>
    <w:rsid w:val="00C77807"/>
    <w:rsid w:val="00C84015"/>
    <w:rsid w:val="00C86EE7"/>
    <w:rsid w:val="00C870FF"/>
    <w:rsid w:val="00C92EE5"/>
    <w:rsid w:val="00C95BF3"/>
    <w:rsid w:val="00CA59E0"/>
    <w:rsid w:val="00CC0356"/>
    <w:rsid w:val="00CC0CFB"/>
    <w:rsid w:val="00CC1F7B"/>
    <w:rsid w:val="00CC4CDF"/>
    <w:rsid w:val="00CD1135"/>
    <w:rsid w:val="00CD53B8"/>
    <w:rsid w:val="00CD6341"/>
    <w:rsid w:val="00CE0389"/>
    <w:rsid w:val="00CF02C4"/>
    <w:rsid w:val="00CF748C"/>
    <w:rsid w:val="00D029D8"/>
    <w:rsid w:val="00D03032"/>
    <w:rsid w:val="00D03DE2"/>
    <w:rsid w:val="00D15204"/>
    <w:rsid w:val="00D21EE3"/>
    <w:rsid w:val="00D301DF"/>
    <w:rsid w:val="00D30220"/>
    <w:rsid w:val="00D34CC4"/>
    <w:rsid w:val="00D403E5"/>
    <w:rsid w:val="00D40F77"/>
    <w:rsid w:val="00D43A28"/>
    <w:rsid w:val="00D50D1E"/>
    <w:rsid w:val="00D80152"/>
    <w:rsid w:val="00D871DF"/>
    <w:rsid w:val="00DA2BE3"/>
    <w:rsid w:val="00DA6E62"/>
    <w:rsid w:val="00DB4099"/>
    <w:rsid w:val="00DB68BA"/>
    <w:rsid w:val="00DC09AE"/>
    <w:rsid w:val="00DC2860"/>
    <w:rsid w:val="00DC3052"/>
    <w:rsid w:val="00DC410B"/>
    <w:rsid w:val="00DD15A4"/>
    <w:rsid w:val="00DD2422"/>
    <w:rsid w:val="00DE083A"/>
    <w:rsid w:val="00DE7F6B"/>
    <w:rsid w:val="00DF09AE"/>
    <w:rsid w:val="00DF1A24"/>
    <w:rsid w:val="00DF5101"/>
    <w:rsid w:val="00E02A46"/>
    <w:rsid w:val="00E02BA0"/>
    <w:rsid w:val="00E072E3"/>
    <w:rsid w:val="00E21445"/>
    <w:rsid w:val="00E23264"/>
    <w:rsid w:val="00E432D6"/>
    <w:rsid w:val="00E448CB"/>
    <w:rsid w:val="00E55666"/>
    <w:rsid w:val="00E60F54"/>
    <w:rsid w:val="00E61D93"/>
    <w:rsid w:val="00E629FA"/>
    <w:rsid w:val="00E6489E"/>
    <w:rsid w:val="00E71663"/>
    <w:rsid w:val="00E7220C"/>
    <w:rsid w:val="00E72ABD"/>
    <w:rsid w:val="00E73918"/>
    <w:rsid w:val="00E743B3"/>
    <w:rsid w:val="00E77733"/>
    <w:rsid w:val="00E926FB"/>
    <w:rsid w:val="00EA28C9"/>
    <w:rsid w:val="00EA2F3B"/>
    <w:rsid w:val="00EA3ED7"/>
    <w:rsid w:val="00EA5F32"/>
    <w:rsid w:val="00EA73F4"/>
    <w:rsid w:val="00EB066B"/>
    <w:rsid w:val="00EC07D2"/>
    <w:rsid w:val="00EC0DAF"/>
    <w:rsid w:val="00EC63CC"/>
    <w:rsid w:val="00ED68D4"/>
    <w:rsid w:val="00F052D7"/>
    <w:rsid w:val="00F1064A"/>
    <w:rsid w:val="00F13C2F"/>
    <w:rsid w:val="00F238FF"/>
    <w:rsid w:val="00F27AAB"/>
    <w:rsid w:val="00F327B1"/>
    <w:rsid w:val="00F45357"/>
    <w:rsid w:val="00F47166"/>
    <w:rsid w:val="00F47E86"/>
    <w:rsid w:val="00F54A0B"/>
    <w:rsid w:val="00F60B3C"/>
    <w:rsid w:val="00F622C8"/>
    <w:rsid w:val="00F70B17"/>
    <w:rsid w:val="00F73080"/>
    <w:rsid w:val="00F7646A"/>
    <w:rsid w:val="00F76E80"/>
    <w:rsid w:val="00F804F3"/>
    <w:rsid w:val="00F87159"/>
    <w:rsid w:val="00F91818"/>
    <w:rsid w:val="00FA4391"/>
    <w:rsid w:val="00FA48AF"/>
    <w:rsid w:val="00FB0F8C"/>
    <w:rsid w:val="00FB35F5"/>
    <w:rsid w:val="00FB5364"/>
    <w:rsid w:val="00FC0172"/>
    <w:rsid w:val="00FC666A"/>
    <w:rsid w:val="00FD1480"/>
    <w:rsid w:val="00FD339F"/>
    <w:rsid w:val="00FD64BF"/>
    <w:rsid w:val="00FD7F11"/>
    <w:rsid w:val="00FF375B"/>
    <w:rsid w:val="00FF4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12BF35"/>
  <w15:chartTrackingRefBased/>
  <w15:docId w15:val="{2C43F6CA-A075-7648-BF2D-3F1351C1E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2AE7"/>
    <w:rPr>
      <w:color w:val="0563C1" w:themeColor="hyperlink"/>
      <w:u w:val="single"/>
    </w:rPr>
  </w:style>
  <w:style w:type="paragraph" w:styleId="ListParagraph">
    <w:name w:val="List Paragraph"/>
    <w:basedOn w:val="Normal"/>
    <w:uiPriority w:val="34"/>
    <w:qFormat/>
    <w:rsid w:val="00AE2AE7"/>
    <w:pPr>
      <w:ind w:left="720"/>
      <w:contextualSpacing/>
    </w:pPr>
    <w:rPr>
      <w:lang w:eastAsia="en-US"/>
    </w:rPr>
  </w:style>
  <w:style w:type="character" w:styleId="UnresolvedMention">
    <w:name w:val="Unresolved Mention"/>
    <w:basedOn w:val="DefaultParagraphFont"/>
    <w:uiPriority w:val="99"/>
    <w:semiHidden/>
    <w:unhideWhenUsed/>
    <w:rsid w:val="00683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nsentmasons.com/out-law/guides/competition-law---the-basics" TargetMode="External" /><Relationship Id="rId13" Type="http://schemas.openxmlformats.org/officeDocument/2006/relationships/hyperlink" Target="https://ec.europa.eu/competition/speeches/text/sp2007_18_en.pdf" TargetMode="External" /><Relationship Id="rId18" Type="http://schemas.openxmlformats.org/officeDocument/2006/relationships/hyperlink" Target="https://doi.org/10.1093/jaenfo/jnz005" TargetMode="External" /><Relationship Id="rId26" Type="http://schemas.openxmlformats.org/officeDocument/2006/relationships/hyperlink" Target="https://eur-lex.europa.eu/legal-content/EN/TXT/?uri=CELEX:52018DC0789" TargetMode="External" /><Relationship Id="rId3" Type="http://schemas.openxmlformats.org/officeDocument/2006/relationships/settings" Target="settings.xml" /><Relationship Id="rId21" Type="http://schemas.openxmlformats.org/officeDocument/2006/relationships/hyperlink" Target="http://aei.pitt.edu/10758/1/1827.pdf" TargetMode="External" /><Relationship Id="rId34" Type="http://schemas.openxmlformats.org/officeDocument/2006/relationships/hyperlink" Target="https://www.europarl.europa.eu/RegData/etudes/BRIE/2019/631742/EPRS_BRI(2019)6317442_EN.pdf" TargetMode="External" /><Relationship Id="rId7" Type="http://schemas.openxmlformats.org/officeDocument/2006/relationships/hyperlink" Target="https://wikis.fu-berlin.de/display/oncomment/Art.+102+TFEU+-+market+definition+-+relevant+temporal+market" TargetMode="External" /><Relationship Id="rId12" Type="http://schemas.openxmlformats.org/officeDocument/2006/relationships/hyperlink" Target="https://www.europarl.europa.eu/factsheets/en/sheet/82/competition-policy" TargetMode="External" /><Relationship Id="rId17" Type="http://schemas.openxmlformats.org/officeDocument/2006/relationships/hyperlink" Target="https://uk.practicallaw.thomsonreuters.com/4-107-3710?contextData=(sc.Default)&amp;transitionType=Default&amp;firstPage=true" TargetMode="External" /><Relationship Id="rId25" Type="http://schemas.openxmlformats.org/officeDocument/2006/relationships/hyperlink" Target="https://www.eurofound.europa.eu/observatories/eurwork/industrial-relations-dictionary/free-movement-of-citizens" TargetMode="External" /><Relationship Id="rId33" Type="http://schemas.openxmlformats.org/officeDocument/2006/relationships/hyperlink" Target="http://www.ceemr.uw.edu.pl/vol-4-no-2-december-2015/articles/expulsion-european-union-citizens-host-member-state-legal-grounds" TargetMode="Externa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1017/CBO9781139087452.005" TargetMode="External" /><Relationship Id="rId20" Type="http://schemas.openxmlformats.org/officeDocument/2006/relationships/hyperlink" Target="https://www.freemovement.org.uk/government-to-introduce-appeal-rights-for-extended-family-members" TargetMode="External" /><Relationship Id="rId29" Type="http://schemas.openxmlformats.org/officeDocument/2006/relationships/hyperlink" Target="https://www.europarl.europa.eu/factsheets/en/sheet/41/free-movement-of-workers" TargetMode="External" /><Relationship Id="rId1" Type="http://schemas.openxmlformats.org/officeDocument/2006/relationships/numbering" Target="numbering.xml" /><Relationship Id="rId6" Type="http://schemas.openxmlformats.org/officeDocument/2006/relationships/hyperlink" Target="https://uk.practicallaw.thomsonreuters.com/0-107-3707?transitionType=Default&amp;contextData=(sc.Default)&amp;firstPage=true" TargetMode="External" /><Relationship Id="rId11" Type="http://schemas.openxmlformats.org/officeDocument/2006/relationships/hyperlink" Target="https://eur-lex.europa.eu/legal-content/EN/TXT/?uri=LEGISSUM%3AI26072" TargetMode="External" /><Relationship Id="rId24" Type="http://schemas.openxmlformats.org/officeDocument/2006/relationships/hyperlink" Target="https://eur-lex.europa.eu/legal-content/EN/TXT/?uri=CELEX%3A12016E020" TargetMode="External" /><Relationship Id="rId32" Type="http://schemas.openxmlformats.org/officeDocument/2006/relationships/hyperlink" Target="https://doi.org/10.1163/15718166-12340053" TargetMode="External" /><Relationship Id="rId37" Type="http://schemas.openxmlformats.org/officeDocument/2006/relationships/fontTable" Target="fontTable.xml" /><Relationship Id="rId5" Type="http://schemas.openxmlformats.org/officeDocument/2006/relationships/hyperlink" Target="https://www.antitrustandcompetitionreport.com/2020/07/other-antitrust-and-competition/towards-a-new-definition-of-relevant-market-in-competition-law/" TargetMode="External" /><Relationship Id="rId15" Type="http://schemas.openxmlformats.org/officeDocument/2006/relationships/hyperlink" Target="https://www.diva-portal.org/smash/get/diva2:134897/fulltext01.pdf" TargetMode="External" /><Relationship Id="rId23" Type="http://schemas.openxmlformats.org/officeDocument/2006/relationships/hyperlink" Target="https://eur-lex.europa.eu/legal-content/EN/TXT/?uri=CELEX%3A62010CJ0424" TargetMode="External" /><Relationship Id="rId28" Type="http://schemas.openxmlformats.org/officeDocument/2006/relationships/hyperlink" Target="https://www.civitas.org.uk/content/files/CIT.1.Citizenship.pdf" TargetMode="External" /><Relationship Id="rId36" Type="http://schemas.openxmlformats.org/officeDocument/2006/relationships/hyperlink" Target="https://dro.dur.ac.uk/14874/2/14874.pdf" TargetMode="External" /><Relationship Id="rId10" Type="http://schemas.openxmlformats.org/officeDocument/2006/relationships/hyperlink" Target="https://eur-lex.europa.eu/legal-content/EN/TXT/?uri=LEGISSUM%3AI26073" TargetMode="External" /><Relationship Id="rId19" Type="http://schemas.openxmlformats.org/officeDocument/2006/relationships/hyperlink" Target="https://uk.practicallaw.thomsonreuters.com/2-107-6347?transitionType=Default&amp;contextData=(sc.Default)&amp;firstPage=true" TargetMode="External" /><Relationship Id="rId31" Type="http://schemas.openxmlformats.org/officeDocument/2006/relationships/hyperlink" Target="https://doi.org/10.1177/1023263X17741271" TargetMode="External" /><Relationship Id="rId4" Type="http://schemas.openxmlformats.org/officeDocument/2006/relationships/webSettings" Target="webSettings.xml" /><Relationship Id="rId9" Type="http://schemas.openxmlformats.org/officeDocument/2006/relationships/hyperlink" Target="https://www.cliffordchance.com/content/dam/cliffordchance/PDFDocuments/EU_enforcement_policy_on_abuse_of_dominance_some_statistics_and_facts_F_Dethmers_and_J_Blondeel.pdf" TargetMode="External" /><Relationship Id="rId14" Type="http://schemas.openxmlformats.org/officeDocument/2006/relationships/hyperlink" Target="https://assets.publishing.service.gov.uk/government/uploads/system/uploads/attachment_data/file/284422/oft402.pdf" TargetMode="External" /><Relationship Id="rId22" Type="http://schemas.openxmlformats.org/officeDocument/2006/relationships/hyperlink" Target="https://eur-lex.europa.eu/LexUriServ/LexUriServ.do?uri=OJ:L:2004:158:0077:0123:en:pdf" TargetMode="External" /><Relationship Id="rId27" Type="http://schemas.openxmlformats.org/officeDocument/2006/relationships/hyperlink" Target="https://assets.publishing.service.gov.uk/government/uploads/system/uploads/attachment_data/file/328811/FreeMovementLegalAnnex.pdf" TargetMode="External" /><Relationship Id="rId30" Type="http://schemas.openxmlformats.org/officeDocument/2006/relationships/hyperlink" Target="https://www.migrationpolicy.org/article/free-movement-europe-past-and-present/" TargetMode="External" /><Relationship Id="rId35" Type="http://schemas.openxmlformats.org/officeDocument/2006/relationships/hyperlink" Target="https://eulawanalysis.blogspot.com/2016/11/eu-free-movement-in-law-in-10-question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4353</Words>
  <Characters>24813</Characters>
  <Application>Microsoft Office Word</Application>
  <DocSecurity>0</DocSecurity>
  <Lines>206</Lines>
  <Paragraphs>58</Paragraphs>
  <ScaleCrop>false</ScaleCrop>
  <Company/>
  <LinksUpToDate>false</LinksUpToDate>
  <CharactersWithSpaces>29108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dc:creator>
  <cp:keywords/>
  <dc:description/>
  <cp:lastModifiedBy>Shauna Curry</cp:lastModifiedBy>
  <cp:revision>2</cp:revision>
  <dcterms:created xsi:type="dcterms:W3CDTF">2021-05-13T18:38:00Z</dcterms:created>
  <dcterms:modified xsi:type="dcterms:W3CDTF">2021-05-13T18:38:00Z</dcterms:modified>
</cp:coreProperties>
</file>