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eg" ContentType="image/jpeg"/>
  <Override PartName="/word/settings.xml" ContentType="application/vnd.openxmlformats-officedocument.wordprocessingml.settings+xml"/>
  <Override PartName="/word/header1.xml" ContentType="application/vnd.openxmlformats-officedocument.wordprocessingml.header+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package/2006/relationships/metadata/thumbnail" Target="docProps/thumbnail.jpeg"/></Relationships>
</file>

<file path=word/document.xml><?xml version="1.0" encoding="utf-8"?>
<w:document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body>
    <w:p>
      <w:pPr>
        <w:jc w:val="center"/>
        <w:rPr>
          <w:b/>
          <w:bCs/>
          <w:sz w:val="36"/>
          <w:szCs w:val="36"/>
        </w:rPr>
      </w:pPr>
    </w:p>
    <w:p>
      <w:pPr>
        <w:jc w:val="center"/>
        <w:rPr>
          <w:b/>
          <w:bCs/>
          <w:sz w:val="36"/>
          <w:szCs w:val="36"/>
        </w:rPr>
      </w:pPr>
    </w:p>
    <w:p>
      <w:pPr>
        <w:jc w:val="center"/>
        <w:rPr>
          <w:b/>
          <w:bCs/>
          <w:sz w:val="36"/>
          <w:szCs w:val="36"/>
        </w:rPr>
      </w:pPr>
    </w:p>
    <w:p>
      <w:pPr>
        <w:jc w:val="center"/>
        <w:rPr>
          <w:b/>
          <w:bCs/>
          <w:sz w:val="36"/>
          <w:szCs w:val="36"/>
        </w:rPr>
      </w:pPr>
    </w:p>
    <w:p>
      <w:pPr>
        <w:jc w:val="center"/>
        <w:rPr>
          <w:b/>
          <w:bCs/>
          <w:sz w:val="36"/>
          <w:szCs w:val="36"/>
        </w:rPr>
      </w:pPr>
    </w:p>
    <w:p>
      <w:pPr>
        <w:jc w:val="center"/>
        <w:rPr>
          <w:b/>
          <w:bCs/>
          <w:sz w:val="36"/>
          <w:szCs w:val="36"/>
        </w:rPr>
      </w:pPr>
      <w:r>
        <w:rPr>
          <w:b/>
          <w:bCs/>
          <w:sz w:val="36"/>
          <w:szCs w:val="36"/>
        </w:rPr>
        <w:drawing>
          <wp:inline distT="0" distB="0" distL="0" distR="0">
            <wp:extent cx="5943600" cy="570865"/>
            <wp:effectExtent l="0" t="0" r="0" b="0"/>
            <wp:docPr id="1" name="Images 1"/>
            <wp:cNvGraphicFramePr>
              <a:graphicFrameLocks noChangeAspect="1"/>
            </wp:cNvGraphicFramePr>
            <a:graphic>
              <a:graphicData uri="http://schemas.openxmlformats.org/drawingml/2006/picture">
                <pic:pic>
                  <pic:nvPicPr>
                    <pic:cNvPr id="3" name="Images 3"/>
                    <pic:cNvPicPr/>
                  </pic:nvPicPr>
                  <pic:blipFill>
                    <a:blip r:embed="rId4"/>
                    <a:stretch>
                      <a:fillRect/>
                    </a:stretch>
                  </pic:blipFill>
                  <pic:spPr>
                    <a:xfrm rot="0">
                      <a:off x="0" y="0"/>
                      <a:ext cx="5943600" cy="570865"/>
                    </a:xfrm>
                    <a:prstGeom prst="rect"/>
                    <a:noFill/>
                    <a:ln w="12700" cmpd="sng" cap="flat">
                      <a:noFill/>
                      <a:prstDash val="solid"/>
                      <a:miter/>
                    </a:ln>
                  </pic:spPr>
                </pic:pic>
              </a:graphicData>
            </a:graphic>
          </wp:inline>
        </w:drawing>
      </w:r>
    </w:p>
    <w:p>
      <w:pPr>
        <w:jc w:val="center"/>
        <w:rPr>
          <w:b/>
          <w:bCs/>
          <w:sz w:val="36"/>
          <w:szCs w:val="36"/>
        </w:rPr>
      </w:pPr>
    </w:p>
    <w:p>
      <w:pPr>
        <w:jc w:val="center"/>
        <w:rPr>
          <w:b/>
          <w:bCs/>
          <w:sz w:val="36"/>
          <w:szCs w:val="36"/>
        </w:rPr>
      </w:pPr>
      <w:r>
        <w:rPr>
          <w:b/>
          <w:bCs/>
          <w:sz w:val="36"/>
          <w:szCs w:val="36"/>
        </w:rPr>
        <w:t>Module Name: Strategic Management for Business</w:t>
      </w:r>
    </w:p>
    <w:p>
      <w:pPr>
        <w:jc w:val="center"/>
        <w:rPr>
          <w:b/>
          <w:bCs/>
          <w:sz w:val="36"/>
          <w:szCs w:val="36"/>
        </w:rPr>
      </w:pPr>
      <w:r>
        <w:rPr>
          <w:b/>
          <w:bCs/>
          <w:sz w:val="36"/>
          <w:szCs w:val="36"/>
        </w:rPr>
        <w:t>Module Code: LCLM 6001</w:t>
      </w:r>
    </w:p>
    <w:p>
      <w:pPr>
        <w:jc w:val="center"/>
        <w:rPr>
          <w:b/>
          <w:bCs/>
          <w:sz w:val="36"/>
          <w:szCs w:val="36"/>
        </w:rPr>
      </w:pPr>
      <w:r>
        <w:rPr>
          <w:b/>
          <w:bCs/>
          <w:sz w:val="36"/>
          <w:szCs w:val="36"/>
        </w:rPr>
        <w:t>Module Type: Individual Report</w:t>
      </w:r>
    </w:p>
    <w:p>
      <w:pPr>
        <w:jc w:val="center"/>
        <w:rPr>
          <w:sz w:val="36"/>
          <w:szCs w:val="36"/>
        </w:rPr>
      </w:pPr>
      <w:r>
        <w:rPr>
          <w:sz w:val="36"/>
          <w:szCs w:val="36"/>
        </w:rPr>
        <w:t>Student Name: Beniamin Avram</w:t>
      </w:r>
    </w:p>
    <w:p>
      <w:pPr>
        <w:jc w:val="center"/>
        <w:rPr>
          <w:sz w:val="36"/>
          <w:szCs w:val="36"/>
        </w:rPr>
      </w:pPr>
      <w:r>
        <w:rPr>
          <w:sz w:val="36"/>
          <w:szCs w:val="36"/>
        </w:rPr>
        <w:t>Student ID: 2131588</w:t>
      </w:r>
    </w:p>
    <w:p>
      <w:pPr>
        <w:jc w:val="center"/>
        <w:rPr>
          <w:sz w:val="36"/>
          <w:szCs w:val="36"/>
        </w:rPr>
      </w:pPr>
      <w:r>
        <w:rPr>
          <w:sz w:val="36"/>
          <w:szCs w:val="36"/>
        </w:rPr>
        <w:t>Lecture's Name: Ibrahim Rufai</w:t>
      </w:r>
      <w:bookmarkStart w:id="0" w:name="_GoBack"/>
    </w:p>
    <w:p>
      <w:pPr>
        <w:rPr>
          <w:b/>
        </w:rPr>
      </w:pPr>
      <w:r>
        <w:rPr>
          <w:b/>
        </w:rPr>
        <w:br w:type="page"/>
      </w:r>
    </w:p>
    <w:p>
      <w:pPr>
        <w:jc w:val="center"/>
        <w:rPr>
          <w:b/>
        </w:rPr>
      </w:pPr>
      <w:r>
        <w:rPr>
          <w:b/>
        </w:rPr>
        <w:t xml:space="preserve">Executive Summary </w:t>
      </w:r>
    </w:p>
    <w:p>
      <w:pPr>
        <w:rPr>
          <w:lang w:val="en-US"/>
        </w:rPr>
      </w:pPr>
      <w:r>
        <w:t xml:space="preserve">A comprehensive understanding regarding the strategic management process of Bramble Foods has been discussed in this particular report. This particular report has discussed the strategic vision, mission, and objectives of Bramble Foods in terms of accomplishing sustainable growth. There has also been an analysis of the competitive position of the company by assessing the internal and external environment of the business. Furthermore, existing strategic growth options for the SMEs have been discussed in the report. Accordingly, Porter’s Generic Strategies model has been applied to determine the effective and sustainable development strategies for Bramble Foods. </w:t>
      </w:r>
      <w:r>
        <w:rPr>
          <w:lang w:val="en-US"/>
        </w:rPr>
        <w:t>The report has also analysed the different stakeholders related to Bramble Foods and tested their feasibility following the Mendelow’s Matrix. A set of recommendations has also been included for fostering growth in the process of decision-making. </w:t>
      </w:r>
    </w:p>
    <w:p>
      <w:pPr>
        <w:rPr>
          <w:lang w:val="en-US"/>
        </w:rPr>
      </w:pPr>
      <w:r>
        <w:rPr>
          <w:lang w:val="en-US"/>
        </w:rPr>
        <w:br w:type="page"/>
      </w:r>
    </w:p>
    <w:p>
      <w:pPr>
        <w:pStyle w:val="23"/>
        <w:spacing w:before="0"/>
      </w:pPr>
      <w:r>
        <w:t>Table of Contents</w:t>
      </w:r>
    </w:p>
    <w:p>
      <w:pPr>
        <w:pStyle w:val="24"/>
        <w:tabs>
          <w:tab w:val="right" w:leader="dot" w:pos="9350"/>
        </w:tabs>
        <w:spacing w:after="0"/>
        <w:rPr>
          <w:rFonts w:ascii="Cambria" w:eastAsia="宋体" w:cs="Arial" w:hAnsi="Cambria"/>
          <w:kern w:val="2"/>
          <w:lang w:val="en-US"/>
        </w:rPr>
      </w:pPr>
      <w:r>
        <w:fldChar w:fldCharType="begin"/>
      </w:r>
      <w:r>
        <w:instrText xml:space="preserve"> TOC \o "1-3" \h \z \u </w:instrText>
      </w:r>
      <w:r>
        <w:fldChar w:fldCharType="separate"/>
      </w:r>
      <w:r>
        <w:fldChar w:fldCharType="begin"/>
      </w:r>
      <w:r>
        <w:instrText>Hyperlink \l "_Toc212575103"</w:instrText>
      </w:r>
      <w:r>
        <w:fldChar w:fldCharType="separate"/>
      </w:r>
      <w:r>
        <w:t>Introduction</w:t>
        <w:tab/>
      </w:r>
      <w:r>
        <w:fldChar w:fldCharType="begin"/>
      </w:r>
      <w:r>
        <w:instrText xml:space="preserve"> PAGEREF _Toc212575103 \h </w:instrText>
      </w:r>
      <w:r>
        <w:fldChar w:fldCharType="separate"/>
      </w:r>
      <w:r>
        <w:t>4</w:t>
      </w:r>
      <w:r>
        <w:fldChar w:fldCharType="end"/>
      </w:r>
      <w:r>
        <w:fldChar w:fldCharType="end"/>
      </w:r>
    </w:p>
    <w:p>
      <w:pPr>
        <w:pStyle w:val="24"/>
        <w:tabs>
          <w:tab w:val="right" w:leader="dot" w:pos="9350"/>
        </w:tabs>
        <w:spacing w:after="0"/>
        <w:rPr>
          <w:rFonts w:ascii="Cambria" w:eastAsia="宋体" w:cs="Arial" w:hAnsi="Cambria"/>
          <w:kern w:val="2"/>
          <w:lang w:val="en-US"/>
        </w:rPr>
      </w:pPr>
      <w:r>
        <w:fldChar w:fldCharType="begin"/>
      </w:r>
      <w:r>
        <w:instrText>Hyperlink \l "_Toc212575104"</w:instrText>
      </w:r>
      <w:r>
        <w:fldChar w:fldCharType="separate"/>
      </w:r>
      <w:r>
        <w:t>Overview of Bramble foods and their products, along with their business model and value proposition</w:t>
        <w:tab/>
      </w:r>
      <w:r>
        <w:fldChar w:fldCharType="begin"/>
      </w:r>
      <w:r>
        <w:instrText xml:space="preserve"> PAGEREF _Toc212575104 \h </w:instrText>
      </w:r>
      <w:r>
        <w:fldChar w:fldCharType="separate"/>
      </w:r>
      <w:r>
        <w:t>5</w:t>
      </w:r>
      <w:r>
        <w:fldChar w:fldCharType="end"/>
      </w:r>
      <w:r>
        <w:fldChar w:fldCharType="end"/>
      </w:r>
    </w:p>
    <w:p>
      <w:pPr>
        <w:pStyle w:val="24"/>
        <w:tabs>
          <w:tab w:val="right" w:leader="dot" w:pos="9350"/>
        </w:tabs>
        <w:spacing w:after="0"/>
        <w:rPr>
          <w:rFonts w:ascii="Cambria" w:eastAsia="宋体" w:cs="Arial" w:hAnsi="Cambria"/>
          <w:kern w:val="2"/>
          <w:lang w:val="en-US"/>
        </w:rPr>
      </w:pPr>
      <w:r>
        <w:fldChar w:fldCharType="begin"/>
      </w:r>
      <w:r>
        <w:instrText>Hyperlink \l "_Toc212575105"</w:instrText>
      </w:r>
      <w:r>
        <w:fldChar w:fldCharType="separate"/>
      </w:r>
      <w:r>
        <w:t>Introducing current strategic goals and directions of Bramble Foods UK</w:t>
        <w:tab/>
      </w:r>
      <w:r>
        <w:fldChar w:fldCharType="begin"/>
      </w:r>
      <w:r>
        <w:instrText xml:space="preserve"> PAGEREF _Toc212575105 \h </w:instrText>
      </w:r>
      <w:r>
        <w:fldChar w:fldCharType="separate"/>
      </w:r>
      <w:r>
        <w:t>6</w:t>
      </w:r>
      <w:r>
        <w:fldChar w:fldCharType="end"/>
      </w:r>
      <w:r>
        <w:fldChar w:fldCharType="end"/>
      </w:r>
    </w:p>
    <w:p>
      <w:pPr>
        <w:pStyle w:val="24"/>
        <w:tabs>
          <w:tab w:val="right" w:leader="dot" w:pos="9350"/>
        </w:tabs>
        <w:spacing w:after="0"/>
        <w:rPr>
          <w:rFonts w:ascii="Cambria" w:eastAsia="宋体" w:cs="Arial" w:hAnsi="Cambria"/>
          <w:kern w:val="2"/>
          <w:lang w:val="en-US"/>
        </w:rPr>
      </w:pPr>
      <w:r>
        <w:fldChar w:fldCharType="begin"/>
      </w:r>
      <w:r>
        <w:instrText>Hyperlink \l "_Toc212575106"</w:instrText>
      </w:r>
      <w:r>
        <w:fldChar w:fldCharType="separate"/>
      </w:r>
      <w:r>
        <w:t>Overview of Bramble foods and their products, along with their business model and value proposition</w:t>
        <w:tab/>
      </w:r>
      <w:r>
        <w:fldChar w:fldCharType="begin"/>
      </w:r>
      <w:r>
        <w:instrText xml:space="preserve"> PAGEREF _Toc212575106 \h </w:instrText>
      </w:r>
      <w:r>
        <w:fldChar w:fldCharType="separate"/>
      </w:r>
      <w:r>
        <w:t>7</w:t>
      </w:r>
      <w:r>
        <w:fldChar w:fldCharType="end"/>
      </w:r>
      <w:r>
        <w:fldChar w:fldCharType="end"/>
      </w:r>
    </w:p>
    <w:p>
      <w:pPr>
        <w:pStyle w:val="25"/>
        <w:tabs>
          <w:tab w:val="right" w:leader="dot" w:pos="9350"/>
        </w:tabs>
        <w:spacing w:after="0"/>
        <w:rPr>
          <w:rFonts w:ascii="Cambria" w:eastAsia="宋体" w:cs="Arial" w:hAnsi="Cambria"/>
          <w:kern w:val="2"/>
          <w:lang w:val="en-US"/>
        </w:rPr>
      </w:pPr>
      <w:r>
        <w:fldChar w:fldCharType="begin"/>
      </w:r>
      <w:r>
        <w:instrText>Hyperlink \l "_Toc212575107"</w:instrText>
      </w:r>
      <w:r>
        <w:fldChar w:fldCharType="separate"/>
      </w:r>
      <w:r>
        <w:t>Investigate the business environment of Bramble Foods to analyse its competitive positioning.</w:t>
        <w:tab/>
      </w:r>
      <w:r>
        <w:fldChar w:fldCharType="begin"/>
      </w:r>
      <w:r>
        <w:instrText xml:space="preserve"> PAGEREF _Toc212575107 \h </w:instrText>
      </w:r>
      <w:r>
        <w:fldChar w:fldCharType="separate"/>
      </w:r>
      <w:r>
        <w:t>7</w:t>
      </w:r>
      <w:r>
        <w:fldChar w:fldCharType="end"/>
      </w:r>
      <w:r>
        <w:fldChar w:fldCharType="end"/>
      </w:r>
    </w:p>
    <w:p>
      <w:pPr>
        <w:pStyle w:val="25"/>
        <w:tabs>
          <w:tab w:val="right" w:leader="dot" w:pos="9350"/>
        </w:tabs>
        <w:spacing w:after="0"/>
        <w:rPr>
          <w:rFonts w:ascii="Cambria" w:eastAsia="宋体" w:cs="Arial" w:hAnsi="Cambria"/>
          <w:kern w:val="2"/>
          <w:lang w:val="en-US"/>
        </w:rPr>
      </w:pPr>
      <w:r>
        <w:fldChar w:fldCharType="begin"/>
      </w:r>
      <w:r>
        <w:instrText>Hyperlink \l "_Toc212575108"</w:instrText>
      </w:r>
      <w:r>
        <w:fldChar w:fldCharType="separate"/>
      </w:r>
      <w:r>
        <w:t>Assessing the internal environment by SWOT</w:t>
        <w:tab/>
      </w:r>
      <w:r>
        <w:fldChar w:fldCharType="begin"/>
      </w:r>
      <w:r>
        <w:instrText xml:space="preserve"> PAGEREF _Toc212575108 \h </w:instrText>
      </w:r>
      <w:r>
        <w:fldChar w:fldCharType="separate"/>
      </w:r>
      <w:r>
        <w:t>7</w:t>
      </w:r>
      <w:r>
        <w:fldChar w:fldCharType="end"/>
      </w:r>
      <w:r>
        <w:fldChar w:fldCharType="end"/>
      </w:r>
    </w:p>
    <w:p>
      <w:pPr>
        <w:pStyle w:val="25"/>
        <w:tabs>
          <w:tab w:val="right" w:leader="dot" w:pos="9350"/>
        </w:tabs>
        <w:spacing w:after="0"/>
        <w:rPr>
          <w:rFonts w:ascii="Cambria" w:eastAsia="宋体" w:cs="Arial" w:hAnsi="Cambria"/>
          <w:kern w:val="2"/>
          <w:lang w:val="en-US"/>
        </w:rPr>
      </w:pPr>
      <w:r>
        <w:fldChar w:fldCharType="begin"/>
      </w:r>
      <w:r>
        <w:instrText>Hyperlink \l "_Toc212575109"</w:instrText>
      </w:r>
      <w:r>
        <w:fldChar w:fldCharType="separate"/>
      </w:r>
      <w:r>
        <w:t>Assessing the external environment by Porter’s five forces</w:t>
        <w:tab/>
      </w:r>
      <w:r>
        <w:fldChar w:fldCharType="begin"/>
      </w:r>
      <w:r>
        <w:instrText xml:space="preserve"> PAGEREF _Toc212575109 \h </w:instrText>
      </w:r>
      <w:r>
        <w:fldChar w:fldCharType="separate"/>
      </w:r>
      <w:r>
        <w:t>8</w:t>
      </w:r>
      <w:r>
        <w:fldChar w:fldCharType="end"/>
      </w:r>
      <w:r>
        <w:fldChar w:fldCharType="end"/>
      </w:r>
    </w:p>
    <w:p>
      <w:pPr>
        <w:pStyle w:val="24"/>
        <w:tabs>
          <w:tab w:val="right" w:leader="dot" w:pos="9350"/>
        </w:tabs>
        <w:spacing w:after="0"/>
        <w:rPr>
          <w:rFonts w:ascii="Cambria" w:eastAsia="宋体" w:cs="Arial" w:hAnsi="Cambria"/>
          <w:kern w:val="2"/>
          <w:lang w:val="en-US"/>
        </w:rPr>
      </w:pPr>
      <w:r>
        <w:fldChar w:fldCharType="begin"/>
      </w:r>
      <w:r>
        <w:instrText>Hyperlink \l "_Toc212575110"</w:instrText>
      </w:r>
      <w:r>
        <w:fldChar w:fldCharType="separate"/>
      </w:r>
      <w:r>
        <w:t>Understanding strategic growth choices for SMEs and applying Porter’s Generic Strategies to suggest a new sustainable strategy to Bramble Foods</w:t>
        <w:tab/>
      </w:r>
      <w:r>
        <w:fldChar w:fldCharType="begin"/>
      </w:r>
      <w:r>
        <w:instrText xml:space="preserve"> PAGEREF _Toc212575110 \h </w:instrText>
      </w:r>
      <w:r>
        <w:fldChar w:fldCharType="separate"/>
      </w:r>
      <w:r>
        <w:t>10</w:t>
      </w:r>
      <w:r>
        <w:fldChar w:fldCharType="end"/>
      </w:r>
      <w:r>
        <w:fldChar w:fldCharType="end"/>
      </w:r>
    </w:p>
    <w:p>
      <w:pPr>
        <w:pStyle w:val="25"/>
        <w:tabs>
          <w:tab w:val="right" w:leader="dot" w:pos="9350"/>
        </w:tabs>
        <w:spacing w:after="0"/>
        <w:rPr>
          <w:rFonts w:ascii="Cambria" w:eastAsia="宋体" w:cs="Arial" w:hAnsi="Cambria"/>
          <w:kern w:val="2"/>
          <w:lang w:val="en-US"/>
        </w:rPr>
      </w:pPr>
      <w:r>
        <w:fldChar w:fldCharType="begin"/>
      </w:r>
      <w:r>
        <w:instrText>Hyperlink \l "_Toc212575111"</w:instrText>
      </w:r>
      <w:r>
        <w:fldChar w:fldCharType="separate"/>
      </w:r>
      <w:r>
        <w:t>Potential strategic growth choices for SMEs</w:t>
        <w:tab/>
      </w:r>
      <w:r>
        <w:fldChar w:fldCharType="begin"/>
      </w:r>
      <w:r>
        <w:instrText xml:space="preserve"> PAGEREF _Toc212575111 \h </w:instrText>
      </w:r>
      <w:r>
        <w:fldChar w:fldCharType="separate"/>
      </w:r>
      <w:r>
        <w:t>10</w:t>
      </w:r>
      <w:r>
        <w:fldChar w:fldCharType="end"/>
      </w:r>
      <w:r>
        <w:fldChar w:fldCharType="end"/>
      </w:r>
    </w:p>
    <w:p>
      <w:pPr>
        <w:pStyle w:val="25"/>
        <w:tabs>
          <w:tab w:val="right" w:leader="dot" w:pos="9350"/>
        </w:tabs>
        <w:spacing w:after="0"/>
        <w:rPr>
          <w:rFonts w:ascii="Cambria" w:eastAsia="宋体" w:cs="Arial" w:hAnsi="Cambria"/>
          <w:kern w:val="2"/>
          <w:lang w:val="en-US"/>
        </w:rPr>
      </w:pPr>
      <w:r>
        <w:fldChar w:fldCharType="begin"/>
      </w:r>
      <w:r>
        <w:instrText>Hyperlink \l "_Toc212575112"</w:instrText>
      </w:r>
      <w:r>
        <w:fldChar w:fldCharType="separate"/>
      </w:r>
      <w:r>
        <w:t>Proposing a new strategy by using Porter’s Generic Strategies framework</w:t>
        <w:tab/>
      </w:r>
      <w:r>
        <w:fldChar w:fldCharType="begin"/>
      </w:r>
      <w:r>
        <w:instrText xml:space="preserve"> PAGEREF _Toc212575112 \h </w:instrText>
      </w:r>
      <w:r>
        <w:fldChar w:fldCharType="separate"/>
      </w:r>
      <w:r>
        <w:t>10</w:t>
      </w:r>
      <w:r>
        <w:fldChar w:fldCharType="end"/>
      </w:r>
      <w:r>
        <w:fldChar w:fldCharType="end"/>
      </w:r>
    </w:p>
    <w:p>
      <w:pPr>
        <w:pStyle w:val="25"/>
        <w:tabs>
          <w:tab w:val="right" w:leader="dot" w:pos="9350"/>
        </w:tabs>
        <w:spacing w:after="0"/>
        <w:rPr>
          <w:rFonts w:ascii="Cambria" w:eastAsia="宋体" w:cs="Arial" w:hAnsi="Cambria"/>
          <w:kern w:val="2"/>
          <w:lang w:val="en-US"/>
        </w:rPr>
      </w:pPr>
      <w:r>
        <w:fldChar w:fldCharType="begin"/>
      </w:r>
      <w:r>
        <w:instrText>Hyperlink \l "_Toc212575113"</w:instrText>
      </w:r>
      <w:r>
        <w:fldChar w:fldCharType="separate"/>
      </w:r>
      <w:r>
        <w:t>Recommended new strategy</w:t>
        <w:tab/>
      </w:r>
      <w:r>
        <w:fldChar w:fldCharType="begin"/>
      </w:r>
      <w:r>
        <w:instrText xml:space="preserve"> PAGEREF _Toc212575113 \h </w:instrText>
      </w:r>
      <w:r>
        <w:fldChar w:fldCharType="separate"/>
      </w:r>
      <w:r>
        <w:t>11</w:t>
      </w:r>
      <w:r>
        <w:fldChar w:fldCharType="end"/>
      </w:r>
      <w:r>
        <w:fldChar w:fldCharType="end"/>
      </w:r>
    </w:p>
    <w:p>
      <w:pPr>
        <w:pStyle w:val="25"/>
        <w:tabs>
          <w:tab w:val="right" w:leader="dot" w:pos="9350"/>
        </w:tabs>
        <w:spacing w:after="0"/>
        <w:rPr>
          <w:rFonts w:ascii="Cambria" w:eastAsia="宋体" w:cs="Arial" w:hAnsi="Cambria"/>
          <w:kern w:val="2"/>
          <w:lang w:val="en-US"/>
        </w:rPr>
      </w:pPr>
      <w:r>
        <w:fldChar w:fldCharType="begin"/>
      </w:r>
      <w:r>
        <w:instrText>Hyperlink \l "_Toc212575114"</w:instrText>
      </w:r>
      <w:r>
        <w:fldChar w:fldCharType="separate"/>
      </w:r>
      <w:r>
        <w:t>Assessing the sustainability and long-term viability of the proposed strategy</w:t>
        <w:tab/>
      </w:r>
      <w:r>
        <w:fldChar w:fldCharType="begin"/>
      </w:r>
      <w:r>
        <w:instrText xml:space="preserve"> PAGEREF _Toc212575114 \h </w:instrText>
      </w:r>
      <w:r>
        <w:fldChar w:fldCharType="separate"/>
      </w:r>
      <w:r>
        <w:t>11</w:t>
      </w:r>
      <w:r>
        <w:fldChar w:fldCharType="end"/>
      </w:r>
      <w:r>
        <w:fldChar w:fldCharType="end"/>
      </w:r>
    </w:p>
    <w:p>
      <w:pPr>
        <w:pStyle w:val="24"/>
        <w:tabs>
          <w:tab w:val="right" w:leader="dot" w:pos="9350"/>
        </w:tabs>
        <w:spacing w:after="0"/>
        <w:rPr>
          <w:rFonts w:ascii="Cambria" w:eastAsia="宋体" w:cs="Arial" w:hAnsi="Cambria"/>
          <w:kern w:val="2"/>
          <w:lang w:val="en-US"/>
        </w:rPr>
      </w:pPr>
      <w:r>
        <w:fldChar w:fldCharType="begin"/>
      </w:r>
      <w:r>
        <w:instrText>Hyperlink \l "_Toc212575115"</w:instrText>
      </w:r>
      <w:r>
        <w:fldChar w:fldCharType="separate"/>
      </w:r>
      <w:r>
        <w:t>Analysis of the stakeholders and use of Mendelow’s Matrix</w:t>
        <w:tab/>
      </w:r>
      <w:r>
        <w:fldChar w:fldCharType="begin"/>
      </w:r>
      <w:r>
        <w:instrText xml:space="preserve"> PAGEREF _Toc212575115 \h </w:instrText>
      </w:r>
      <w:r>
        <w:fldChar w:fldCharType="separate"/>
      </w:r>
      <w:r>
        <w:t>13</w:t>
      </w:r>
      <w:r>
        <w:fldChar w:fldCharType="end"/>
      </w:r>
      <w:r>
        <w:fldChar w:fldCharType="end"/>
      </w:r>
    </w:p>
    <w:p>
      <w:pPr>
        <w:pStyle w:val="25"/>
        <w:tabs>
          <w:tab w:val="right" w:leader="dot" w:pos="9350"/>
        </w:tabs>
        <w:spacing w:after="0"/>
        <w:rPr>
          <w:rFonts w:ascii="Cambria" w:eastAsia="宋体" w:cs="Arial" w:hAnsi="Cambria"/>
          <w:kern w:val="2"/>
          <w:lang w:val="en-US"/>
        </w:rPr>
      </w:pPr>
      <w:r>
        <w:fldChar w:fldCharType="begin"/>
      </w:r>
      <w:r>
        <w:instrText>Hyperlink \l "_Toc212575116"</w:instrText>
      </w:r>
      <w:r>
        <w:fldChar w:fldCharType="separate"/>
      </w:r>
      <w:r>
        <w:t>The application of Mendelow’s Matrix for stakeholder analysis</w:t>
        <w:tab/>
      </w:r>
      <w:r>
        <w:fldChar w:fldCharType="begin"/>
      </w:r>
      <w:r>
        <w:instrText xml:space="preserve"> PAGEREF _Toc212575116 \h </w:instrText>
      </w:r>
      <w:r>
        <w:fldChar w:fldCharType="separate"/>
      </w:r>
      <w:r>
        <w:t>13</w:t>
      </w:r>
      <w:r>
        <w:fldChar w:fldCharType="end"/>
      </w:r>
      <w:r>
        <w:fldChar w:fldCharType="end"/>
      </w:r>
    </w:p>
    <w:p>
      <w:pPr>
        <w:pStyle w:val="25"/>
        <w:tabs>
          <w:tab w:val="right" w:leader="dot" w:pos="9350"/>
        </w:tabs>
        <w:spacing w:after="0"/>
        <w:rPr>
          <w:rFonts w:ascii="Cambria" w:eastAsia="宋体" w:cs="Arial" w:hAnsi="Cambria"/>
          <w:kern w:val="2"/>
          <w:lang w:val="en-US"/>
        </w:rPr>
      </w:pPr>
      <w:r>
        <w:fldChar w:fldCharType="begin"/>
      </w:r>
      <w:r>
        <w:instrText>Hyperlink \l "_Toc212575117"</w:instrText>
      </w:r>
      <w:r>
        <w:fldChar w:fldCharType="separate"/>
      </w:r>
      <w:r>
        <w:t>Expectation of each stakeholder of the company, Bramble Foods and the power of the stakeholders to analyse feasibility</w:t>
        <w:tab/>
      </w:r>
      <w:r>
        <w:fldChar w:fldCharType="begin"/>
      </w:r>
      <w:r>
        <w:instrText xml:space="preserve"> PAGEREF _Toc212575117 \h </w:instrText>
      </w:r>
      <w:r>
        <w:fldChar w:fldCharType="separate"/>
      </w:r>
      <w:r>
        <w:t>14</w:t>
      </w:r>
      <w:r>
        <w:fldChar w:fldCharType="end"/>
      </w:r>
      <w:r>
        <w:fldChar w:fldCharType="end"/>
      </w:r>
    </w:p>
    <w:p>
      <w:pPr>
        <w:pStyle w:val="27"/>
        <w:tabs>
          <w:tab w:val="right" w:leader="dot" w:pos="9350"/>
        </w:tabs>
        <w:spacing w:after="0"/>
        <w:rPr>
          <w:rFonts w:ascii="Cambria" w:eastAsia="宋体" w:cs="Arial" w:hAnsi="Cambria"/>
          <w:kern w:val="2"/>
          <w:lang w:val="en-US"/>
        </w:rPr>
      </w:pPr>
      <w:r>
        <w:fldChar w:fldCharType="begin"/>
      </w:r>
      <w:r>
        <w:instrText>Hyperlink \l "_Toc212575118"</w:instrText>
      </w:r>
      <w:r>
        <w:fldChar w:fldCharType="separate"/>
      </w:r>
      <w:r>
        <w:t>Internal stakeholders</w:t>
        <w:tab/>
      </w:r>
      <w:r>
        <w:fldChar w:fldCharType="begin"/>
      </w:r>
      <w:r>
        <w:instrText xml:space="preserve"> PAGEREF _Toc212575118 \h </w:instrText>
      </w:r>
      <w:r>
        <w:fldChar w:fldCharType="separate"/>
      </w:r>
      <w:r>
        <w:t>14</w:t>
      </w:r>
      <w:r>
        <w:fldChar w:fldCharType="end"/>
      </w:r>
      <w:r>
        <w:fldChar w:fldCharType="end"/>
      </w:r>
    </w:p>
    <w:p>
      <w:pPr>
        <w:pStyle w:val="27"/>
        <w:tabs>
          <w:tab w:val="right" w:leader="dot" w:pos="9350"/>
        </w:tabs>
        <w:spacing w:after="0"/>
        <w:rPr>
          <w:rFonts w:ascii="Cambria" w:eastAsia="宋体" w:cs="Arial" w:hAnsi="Cambria"/>
          <w:kern w:val="2"/>
          <w:lang w:val="en-US"/>
        </w:rPr>
      </w:pPr>
      <w:r>
        <w:fldChar w:fldCharType="begin"/>
      </w:r>
      <w:r>
        <w:instrText>Hyperlink \l "_Toc212575119"</w:instrText>
      </w:r>
      <w:r>
        <w:fldChar w:fldCharType="separate"/>
      </w:r>
      <w:r>
        <w:t>External stakeholders</w:t>
        <w:tab/>
      </w:r>
      <w:r>
        <w:fldChar w:fldCharType="begin"/>
      </w:r>
      <w:r>
        <w:instrText xml:space="preserve"> PAGEREF _Toc212575119 \h </w:instrText>
      </w:r>
      <w:r>
        <w:fldChar w:fldCharType="separate"/>
      </w:r>
      <w:r>
        <w:t>15</w:t>
      </w:r>
      <w:r>
        <w:fldChar w:fldCharType="end"/>
      </w:r>
      <w:r>
        <w:fldChar w:fldCharType="end"/>
      </w:r>
    </w:p>
    <w:p>
      <w:pPr>
        <w:pStyle w:val="24"/>
        <w:tabs>
          <w:tab w:val="right" w:leader="dot" w:pos="9350"/>
        </w:tabs>
        <w:spacing w:after="0"/>
        <w:rPr>
          <w:rFonts w:ascii="Cambria" w:eastAsia="宋体" w:cs="Arial" w:hAnsi="Cambria"/>
          <w:kern w:val="2"/>
          <w:lang w:val="en-US"/>
        </w:rPr>
      </w:pPr>
      <w:r>
        <w:fldChar w:fldCharType="begin"/>
      </w:r>
      <w:r>
        <w:instrText>Hyperlink \l "_Toc212575120"</w:instrText>
      </w:r>
      <w:r>
        <w:fldChar w:fldCharType="separate"/>
      </w:r>
      <w:r>
        <w:t>Recommendations to improve the strategic mode of decision-making</w:t>
        <w:tab/>
      </w:r>
      <w:r>
        <w:fldChar w:fldCharType="begin"/>
      </w:r>
      <w:r>
        <w:instrText xml:space="preserve"> PAGEREF _Toc212575120 \h </w:instrText>
      </w:r>
      <w:r>
        <w:fldChar w:fldCharType="separate"/>
      </w:r>
      <w:r>
        <w:t>17</w:t>
      </w:r>
      <w:r>
        <w:fldChar w:fldCharType="end"/>
      </w:r>
      <w:r>
        <w:fldChar w:fldCharType="end"/>
      </w:r>
    </w:p>
    <w:p>
      <w:pPr>
        <w:pStyle w:val="24"/>
        <w:tabs>
          <w:tab w:val="right" w:leader="dot" w:pos="9350"/>
        </w:tabs>
        <w:spacing w:after="0"/>
        <w:rPr>
          <w:rFonts w:ascii="Cambria" w:eastAsia="宋体" w:cs="Arial" w:hAnsi="Cambria"/>
          <w:kern w:val="2"/>
          <w:lang w:val="en-US"/>
        </w:rPr>
      </w:pPr>
      <w:r>
        <w:fldChar w:fldCharType="begin"/>
      </w:r>
      <w:r>
        <w:instrText>Hyperlink \l "_Toc212575121"</w:instrText>
      </w:r>
      <w:r>
        <w:fldChar w:fldCharType="separate"/>
      </w:r>
      <w:r>
        <w:t>Conclusion</w:t>
        <w:tab/>
      </w:r>
      <w:r>
        <w:fldChar w:fldCharType="begin"/>
      </w:r>
      <w:r>
        <w:instrText xml:space="preserve"> PAGEREF _Toc212575121 \h </w:instrText>
      </w:r>
      <w:r>
        <w:fldChar w:fldCharType="separate"/>
      </w:r>
      <w:r>
        <w:t>18</w:t>
      </w:r>
      <w:r>
        <w:fldChar w:fldCharType="end"/>
      </w:r>
      <w:r>
        <w:fldChar w:fldCharType="end"/>
      </w:r>
    </w:p>
    <w:p>
      <w:pPr>
        <w:pStyle w:val="24"/>
        <w:tabs>
          <w:tab w:val="right" w:leader="dot" w:pos="9350"/>
        </w:tabs>
        <w:spacing w:after="0"/>
        <w:rPr>
          <w:rFonts w:ascii="Cambria" w:eastAsia="宋体" w:cs="Arial" w:hAnsi="Cambria"/>
          <w:kern w:val="2"/>
          <w:lang w:val="en-US"/>
        </w:rPr>
      </w:pPr>
      <w:r>
        <w:fldChar w:fldCharType="begin"/>
      </w:r>
      <w:r>
        <w:instrText>Hyperlink \l "_Toc212575122"</w:instrText>
      </w:r>
      <w:r>
        <w:fldChar w:fldCharType="separate"/>
      </w:r>
      <w:r>
        <w:t>References</w:t>
        <w:tab/>
      </w:r>
      <w:r>
        <w:fldChar w:fldCharType="begin"/>
      </w:r>
      <w:r>
        <w:instrText xml:space="preserve"> PAGEREF _Toc212575122 \h </w:instrText>
      </w:r>
      <w:r>
        <w:fldChar w:fldCharType="separate"/>
      </w:r>
      <w:r>
        <w:t>19</w:t>
      </w:r>
      <w:r>
        <w:fldChar w:fldCharType="end"/>
      </w:r>
      <w:r>
        <w:fldChar w:fldCharType="end"/>
      </w:r>
    </w:p>
    <w:p>
      <w:r>
        <w:rPr>
          <w:b/>
          <w:bCs/>
        </w:rPr>
        <w:fldChar w:fldCharType="end"/>
      </w:r>
    </w:p>
    <w:p>
      <w:pPr>
        <w:pStyle w:val="20"/>
        <w:rPr>
          <w:lang w:val="en-US"/>
        </w:rPr>
      </w:pPr>
    </w:p>
    <w:p/>
    <w:p>
      <w:r>
        <w:br w:type="page"/>
      </w:r>
    </w:p>
    <w:p>
      <w:pPr>
        <w:pStyle w:val="1"/>
        <w:spacing w:before="0" w:after="0"/>
      </w:pPr>
      <w:bookmarkStart w:id="1" w:name="_x70zufl4901u"/>
      <w:bookmarkStart w:id="2" w:name="_Toc212569182"/>
      <w:bookmarkStart w:id="3" w:name="_Toc212575103"/>
      <w:bookmarkStart w:id="4" w:name="_Toc212549260"/>
      <w:bookmarkEnd w:id="1"/>
      <w:r>
        <w:t>Introduction</w:t>
      </w:r>
      <w:bookmarkEnd w:id="2"/>
      <w:bookmarkEnd w:id="3"/>
      <w:r>
        <w:t xml:space="preserve">   </w:t>
      </w:r>
    </w:p>
    <w:p>
      <w:r>
        <w:t xml:space="preserve">Strategic management is essential for the success and survival of companies as it provides the ability to adapt across the fast-paced world of business. It is considered an ongoing process in which a company establishes a clear vision of their mission and achieves its goal </w:t>
      </w:r>
      <w:r>
        <w:rPr>
          <w:lang w:val="en-US"/>
        </w:rPr>
        <w:t>(Quantive, 2025)</w:t>
      </w:r>
      <w:r>
        <w:t xml:space="preserve">. With the brief introduction of the context, this report will delve into developing a comprehensive understanding of strategic management. It will discuss the strategic direction of Bramble Foods in the UK with regard to its mission and objectives. This will be followed by evaluating the business environment, which includes internal as well as external factors, by using an adequate framework. Further sections of the report will elucidate on the availability of growth options for the SMEs, alongside proposing a sustainable strategy. Meanwhile, stakeholder analysis will ensure addressing the suitable option for growth. Finally, the report will provide recommendations on the basis of the challenge that this company encounters while implementing its strategic direction. </w:t>
      </w:r>
    </w:p>
    <w:p>
      <w:pPr>
        <w:rPr>
          <w:b/>
          <w:sz w:val="28"/>
          <w:szCs w:val="28"/>
        </w:rPr>
      </w:pPr>
      <w:bookmarkStart w:id="5" w:name="_61doitk8zf2x"/>
      <w:bookmarkEnd w:id="5"/>
      <w:r>
        <w:br w:type="page"/>
      </w:r>
    </w:p>
    <w:p>
      <w:pPr>
        <w:pStyle w:val="1"/>
        <w:spacing w:before="0" w:after="0"/>
      </w:pPr>
      <w:bookmarkStart w:id="6" w:name="_Toc212569183"/>
      <w:bookmarkStart w:id="7" w:name="_Toc212575104"/>
      <w:r>
        <w:t>Overview of Bramble foods and their products, along with their business model and value proposition</w:t>
      </w:r>
      <w:bookmarkEnd w:id="6"/>
      <w:bookmarkEnd w:id="7"/>
      <w:r>
        <w:t xml:space="preserve"> </w:t>
      </w:r>
    </w:p>
    <w:p>
      <w:pPr>
        <w:rPr>
          <w:b/>
          <w:i/>
        </w:rPr>
      </w:pPr>
      <w:r>
        <w:rPr>
          <w:b/>
          <w:i/>
        </w:rPr>
        <w:t>Introduction of the company</w:t>
      </w:r>
    </w:p>
    <w:p>
      <w:r>
        <w:t xml:space="preserve">Bramble Foods is considered a thriving and family-run business with its established roots in the manufacturing and distribution of foods. It was founded in 2008 by two brothers, Tony and Nigel Foster, with industry experts on their side, namely, Chris Neville and Ken Osborne </w:t>
      </w:r>
      <w:r>
        <w:rPr>
          <w:lang w:val="en-US"/>
        </w:rPr>
        <w:t>(Bramble Foods, 2025)</w:t>
      </w:r>
      <w:r>
        <w:t xml:space="preserve">. They are regarded as one of the leading suppliers of excellent ambient foods across the UK. They serve a range of high-quality products to independent retailers and provide a reliable one-stop shop to stand out in the market of food and drink. </w:t>
      </w:r>
    </w:p>
    <w:p>
      <w:pPr>
        <w:rPr>
          <w:b/>
          <w:i/>
        </w:rPr>
      </w:pPr>
      <w:r>
        <w:rPr>
          <w:b/>
          <w:i/>
        </w:rPr>
        <w:t>Illustrating their products, business model and uniqueness</w:t>
      </w:r>
    </w:p>
    <w:p>
      <w:r>
        <w:t xml:space="preserve">The company operates from multiple sites within the Market Harborough area and manages an on-site bakery, preserving facilities, and distribution centres. They have employed over 150 local people since their early days, which entails their local knowledge and responsible sourcing </w:t>
      </w:r>
      <w:r>
        <w:rPr>
          <w:lang w:val="en-US"/>
        </w:rPr>
        <w:t>(Bramble Foods, 2025)</w:t>
      </w:r>
      <w:r>
        <w:t xml:space="preserve">. It helps them to ensure the delivery of products which meet the appropriate standards related to taste and sustainability. The business model of the company is organised to showcase the extensive range of quality foods to their customers. Their master bakers make traditional cakes, flapjacks and tray bakes in small batches alongside preparing homemade hams and savoury sauces from their original recipes. This small batch and recipes help them to serve higher-quality foods to consumers by using natural and flavorful ingredients. </w:t>
      </w:r>
    </w:p>
    <w:p>
      <w:pPr>
        <w:rPr>
          <w:b/>
          <w:sz w:val="28"/>
          <w:szCs w:val="28"/>
        </w:rPr>
      </w:pPr>
      <w:r>
        <w:br w:type="page"/>
      </w:r>
    </w:p>
    <w:p>
      <w:pPr>
        <w:pStyle w:val="1"/>
        <w:spacing w:before="0" w:after="0"/>
      </w:pPr>
      <w:bookmarkStart w:id="8" w:name="_Toc212569184"/>
      <w:bookmarkStart w:id="9" w:name="_Toc212575105"/>
      <w:r>
        <w:t>Introducing current strategic goals and directions of Bramble Foods UK</w:t>
      </w:r>
      <w:bookmarkEnd w:id="4"/>
      <w:bookmarkEnd w:id="8"/>
      <w:bookmarkEnd w:id="9"/>
    </w:p>
    <w:p>
      <w:pPr>
        <w:rPr>
          <w:b/>
          <w:i/>
        </w:rPr>
      </w:pPr>
      <w:r>
        <w:rPr>
          <w:b/>
          <w:i/>
        </w:rPr>
        <w:t>Vision</w:t>
      </w:r>
    </w:p>
    <w:p>
      <w:r>
        <w:t>Bramble Foods Ltd aims to be the UK's top provider of premium, regionally sourced, delicious foods. Therefore,  to achieve long-term growth and brand quality, the company seeks to blend traditional craftsmanship with cutting-edge product development, encouraging sustainable sourcing, excellent customer service and solid connections with independent retailers.</w:t>
      </w:r>
    </w:p>
    <w:p>
      <w:pPr>
        <w:rPr>
          <w:b/>
          <w:i/>
        </w:rPr>
      </w:pPr>
      <w:r>
        <w:rPr>
          <w:b/>
          <w:i/>
        </w:rPr>
        <w:t>Mission</w:t>
      </w:r>
    </w:p>
    <w:p>
      <w:r>
        <w:t>Bramble Foods Ltd is committed to providing high-quality, traditional foods that respect British culture and excellence. This particular company is highly focused on promoting its sustainable business operations as a renowned firm within the UK food industry</w:t>
      </w:r>
      <w:r>
        <w:rPr>
          <w:lang w:val="en-US"/>
        </w:rPr>
        <w:t xml:space="preserve"> (brambles, 2025)</w:t>
      </w:r>
      <w:r>
        <w:t xml:space="preserve">. </w:t>
      </w:r>
    </w:p>
    <w:p>
      <w:pPr>
        <w:rPr>
          <w:b/>
          <w:i/>
        </w:rPr>
      </w:pPr>
      <w:r>
        <w:rPr>
          <w:b/>
          <w:i/>
        </w:rPr>
        <w:t>Objectives</w:t>
      </w:r>
    </w:p>
    <w:p>
      <w:r>
        <w:t>Moreover, it aims to enhance efficiency in its operations, driving sustainable sourcing strategies, as well as continued innovation to meet the shifting consumer demands, which are also vital objectives</w:t>
      </w:r>
      <w:r>
        <w:rPr>
          <w:lang w:val="en-US"/>
        </w:rPr>
        <w:t xml:space="preserve"> (Dodds, 2024)</w:t>
      </w:r>
      <w:r>
        <w:t xml:space="preserve">.  Apart from these, ensuring predictable profitability and business growth in the long run is a strategic objective of Bramble Foods. </w:t>
        <w:br w:type="page"/>
      </w:r>
    </w:p>
    <w:p>
      <w:pPr>
        <w:pStyle w:val="1"/>
        <w:spacing w:before="0" w:after="0"/>
      </w:pPr>
      <w:bookmarkStart w:id="10" w:name="_fmkc4u6n747m"/>
      <w:bookmarkStart w:id="11" w:name="_Toc212569185"/>
      <w:bookmarkStart w:id="12" w:name="_Toc212575106"/>
      <w:bookmarkStart w:id="13" w:name="_Toc212549261"/>
      <w:bookmarkEnd w:id="10"/>
      <w:r>
        <w:t>Overview of Bramble foods and their products, along with their business model and value proposition</w:t>
      </w:r>
      <w:bookmarkEnd w:id="11"/>
      <w:bookmarkEnd w:id="12"/>
      <w:r>
        <w:t xml:space="preserve"> </w:t>
      </w:r>
    </w:p>
    <w:p>
      <w:pPr>
        <w:rPr>
          <w:b/>
          <w:i/>
        </w:rPr>
      </w:pPr>
      <w:r>
        <w:rPr>
          <w:b/>
          <w:i/>
        </w:rPr>
        <w:t>Introduction of the company</w:t>
      </w:r>
    </w:p>
    <w:p>
      <w:r>
        <w:t xml:space="preserve">Bramble Foods is considered a thriving and family-run business with its established roots in the manufacturing and distribution of foods. It was founded in 2008 by two brothers, Tony and Nigel Foster, with industry experts on their side, namely, Chris Neville and Ken Osborne </w:t>
      </w:r>
      <w:r>
        <w:rPr>
          <w:lang w:val="en-US"/>
        </w:rPr>
        <w:t>(Bramble Foods, 2025)</w:t>
      </w:r>
      <w:r>
        <w:t xml:space="preserve">. They are regarded as one of the leading suppliers of excellent ambient foods across the UK. They serve a range of high-quality products to independent retailers and provide a reliable one-stop shop to stand out in the market of food and drink. </w:t>
      </w:r>
    </w:p>
    <w:p>
      <w:pPr>
        <w:rPr>
          <w:b/>
          <w:i/>
        </w:rPr>
      </w:pPr>
      <w:r>
        <w:rPr>
          <w:b/>
          <w:i/>
        </w:rPr>
        <w:t>Illustrating their products, business model and uniqueness</w:t>
      </w:r>
    </w:p>
    <w:p>
      <w:r>
        <w:t xml:space="preserve">The company operates from multiple sites within the Market Harborough area and manages an on-site bakery, preserving facilities, and distribution centres. They have employed over 150 local people since their early days, which entails their local knowledge and responsible sourcing </w:t>
      </w:r>
      <w:r>
        <w:rPr>
          <w:lang w:val="en-US"/>
        </w:rPr>
        <w:t>(Bramble Foods, 2025)</w:t>
      </w:r>
      <w:r>
        <w:t xml:space="preserve">. It helps them to ensure the delivery of products which meet the appropriate standards related to taste and sustainability. The business model of the company is organised to showcase the extensive range of quality foods to their customers. Their master bakers make traditional cakes, flapjacks and tray bakes in small batches alongside preparing homemade hams and savoury sauces from their original recipes. This small batch and recipes help them to serve higher-quality foods to consumers by using natural and flavorful ingredients. </w:t>
      </w:r>
    </w:p>
    <w:p>
      <w:pPr>
        <w:pStyle w:val="2"/>
        <w:shd w:val="clear" w:color="auto" w:fill="FFFFFF"/>
        <w:spacing w:before="0" w:after="0"/>
      </w:pPr>
      <w:bookmarkStart w:id="14" w:name="_z9hh4hrri3ju"/>
      <w:bookmarkStart w:id="15" w:name="_Toc212569186"/>
      <w:bookmarkStart w:id="16" w:name="_Toc212575107"/>
      <w:bookmarkEnd w:id="14"/>
      <w:r>
        <w:t>Investigate the business environment of Bramble Foods to analyse its competitive positioning.</w:t>
      </w:r>
      <w:bookmarkEnd w:id="15"/>
      <w:bookmarkEnd w:id="16"/>
      <w:r>
        <w:t xml:space="preserve"> </w:t>
      </w:r>
    </w:p>
    <w:p>
      <w:pPr>
        <w:pStyle w:val="2"/>
        <w:shd w:val="clear" w:color="auto" w:fill="FFFFFF"/>
        <w:spacing w:before="0" w:after="0"/>
      </w:pPr>
      <w:bookmarkStart w:id="17" w:name="_a6ibt1idcqle"/>
      <w:bookmarkStart w:id="18" w:name="_Toc212569187"/>
      <w:bookmarkStart w:id="19" w:name="_Toc212575108"/>
      <w:bookmarkEnd w:id="17"/>
      <w:r>
        <w:t>Assessing the internal environment by SWOT</w:t>
      </w:r>
      <w:bookmarkEnd w:id="18"/>
      <w:bookmarkEnd w:id="19"/>
    </w:p>
    <w:tbl>
      <w:tblPr>
        <w:jc w:val="left"/>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0" w:type="dxa"/>
          <w:bottom w:w="0" w:type="dxa"/>
          <w:right w:w="0" w:type="dxa"/>
        </w:tblCellMar>
      </w:tblPr>
      <w:tblGrid>
        <w:gridCol w:w="4675"/>
        <w:gridCol w:w="4675"/>
      </w:tblGrid>
      <w:tr>
        <w:tc>
          <w:tcPr>
            <w:tcW w:w="4675" w:type="dxa"/>
          </w:tcPr>
          <w:p>
            <w:pPr>
              <w:shd w:val="clear" w:color="auto" w:fill="FFFFFF"/>
              <w:spacing w:line="360" w:lineRule="auto"/>
              <w:rPr>
                <w:b/>
                <w:i/>
              </w:rPr>
            </w:pPr>
            <w:r>
              <w:rPr>
                <w:b/>
                <w:i/>
              </w:rPr>
              <w:t>Strengths</w:t>
            </w:r>
          </w:p>
        </w:tc>
        <w:tc>
          <w:tcPr>
            <w:tcW w:w="4675" w:type="dxa"/>
          </w:tcPr>
          <w:p>
            <w:pPr>
              <w:shd w:val="clear" w:color="auto" w:fill="FFFFFF"/>
              <w:spacing w:line="360" w:lineRule="auto"/>
              <w:rPr>
                <w:b/>
                <w:i/>
              </w:rPr>
            </w:pPr>
            <w:r>
              <w:rPr>
                <w:b/>
                <w:i/>
              </w:rPr>
              <w:t>Weaknesses</w:t>
            </w:r>
          </w:p>
        </w:tc>
      </w:tr>
      <w:tr>
        <w:tc>
          <w:tcPr>
            <w:tcW w:w="4675" w:type="dxa"/>
          </w:tcPr>
          <w:p>
            <w:pPr>
              <w:pStyle w:val="26"/>
              <w:numPr>
                <w:ilvl w:val="0"/>
                <w:numId w:val="1"/>
              </w:numPr>
              <w:shd w:val="clear" w:color="auto" w:fill="FFFFFF"/>
              <w:spacing w:line="360" w:lineRule="auto"/>
            </w:pPr>
            <w:r>
              <w:t xml:space="preserve">Bramble Foods is a family-run business, which signifies an impactful culture and commitment of the company to a proactive approach for managerial decisions. </w:t>
            </w:r>
          </w:p>
          <w:p>
            <w:pPr>
              <w:pStyle w:val="26"/>
              <w:numPr>
                <w:ilvl w:val="0"/>
                <w:numId w:val="1"/>
              </w:numPr>
              <w:shd w:val="clear" w:color="auto" w:fill="FFFFFF"/>
              <w:spacing w:line="360" w:lineRule="auto"/>
            </w:pPr>
            <w:r>
              <w:t xml:space="preserve">One of the primary strengths of the company is its focus towards maintaining quality and manufacturing processes. </w:t>
            </w:r>
          </w:p>
          <w:p>
            <w:pPr>
              <w:pStyle w:val="26"/>
              <w:numPr>
                <w:ilvl w:val="0"/>
                <w:numId w:val="1"/>
              </w:numPr>
              <w:shd w:val="clear" w:color="auto" w:fill="FFFFFF"/>
              <w:spacing w:line="360" w:lineRule="auto"/>
            </w:pPr>
            <w:r>
              <w:t xml:space="preserve">Subsequently, the location of countryside in Leicestershire helps them to showcase a unique brand identity while reducing their operational costs from companies in urban locations </w:t>
            </w:r>
            <w:r>
              <w:rPr>
                <w:lang w:val="en-US"/>
              </w:rPr>
              <w:t>(Manafe, 2023)</w:t>
            </w:r>
            <w:r>
              <w:t xml:space="preserve">. </w:t>
            </w:r>
          </w:p>
        </w:tc>
        <w:tc>
          <w:tcPr>
            <w:tcW w:w="4675" w:type="dxa"/>
          </w:tcPr>
          <w:p>
            <w:pPr>
              <w:pStyle w:val="26"/>
              <w:numPr>
                <w:ilvl w:val="0"/>
                <w:numId w:val="2"/>
              </w:numPr>
              <w:shd w:val="clear" w:color="auto" w:fill="FFFFFF"/>
              <w:spacing w:line="360" w:lineRule="auto"/>
            </w:pPr>
            <w:r>
              <w:t xml:space="preserve">The primary focus of businesses on niche products results in a lack of diversification to provide their products in multiple markets. </w:t>
            </w:r>
          </w:p>
          <w:p>
            <w:pPr>
              <w:pStyle w:val="26"/>
              <w:numPr>
                <w:ilvl w:val="0"/>
                <w:numId w:val="2"/>
              </w:numPr>
              <w:shd w:val="clear" w:color="auto" w:fill="FFFFFF"/>
              <w:spacing w:line="360" w:lineRule="auto"/>
            </w:pPr>
            <w:r>
              <w:t xml:space="preserve">It is important to consider that family-operated businesses may face challenges regarding scaling their operation and maintaining a professional managerial structure. </w:t>
            </w:r>
          </w:p>
          <w:p>
            <w:pPr>
              <w:pStyle w:val="26"/>
              <w:numPr>
                <w:ilvl w:val="0"/>
                <w:numId w:val="2"/>
              </w:numPr>
              <w:shd w:val="clear" w:color="auto" w:fill="FFFFFF"/>
              <w:spacing w:line="360" w:lineRule="auto"/>
            </w:pPr>
            <w:r>
              <w:t xml:space="preserve">Compared to larger brands, the particular company's brand recognition is limited towards the particular geographic location </w:t>
            </w:r>
            <w:r>
              <w:rPr>
                <w:lang w:val="en-US"/>
              </w:rPr>
              <w:t>(Forbes, 2025)</w:t>
            </w:r>
            <w:r>
              <w:t xml:space="preserve">. </w:t>
            </w:r>
          </w:p>
        </w:tc>
      </w:tr>
      <w:tr>
        <w:tc>
          <w:tcPr>
            <w:tcW w:w="4675" w:type="dxa"/>
          </w:tcPr>
          <w:p>
            <w:pPr>
              <w:shd w:val="clear" w:color="auto" w:fill="FFFFFF"/>
              <w:spacing w:line="360" w:lineRule="auto"/>
              <w:rPr>
                <w:b/>
                <w:i/>
              </w:rPr>
            </w:pPr>
            <w:r>
              <w:rPr>
                <w:b/>
                <w:i/>
              </w:rPr>
              <w:t xml:space="preserve">Opportunities </w:t>
            </w:r>
          </w:p>
        </w:tc>
        <w:tc>
          <w:tcPr>
            <w:tcW w:w="4675" w:type="dxa"/>
          </w:tcPr>
          <w:p>
            <w:pPr>
              <w:shd w:val="clear" w:color="auto" w:fill="FFFFFF"/>
              <w:spacing w:line="360" w:lineRule="auto"/>
              <w:rPr>
                <w:b/>
                <w:i/>
              </w:rPr>
            </w:pPr>
            <w:r>
              <w:rPr>
                <w:b/>
                <w:i/>
              </w:rPr>
              <w:t>Threats</w:t>
            </w:r>
          </w:p>
        </w:tc>
      </w:tr>
      <w:tr>
        <w:tc>
          <w:tcPr>
            <w:tcW w:w="4675" w:type="dxa"/>
          </w:tcPr>
          <w:p>
            <w:pPr>
              <w:pStyle w:val="26"/>
              <w:numPr>
                <w:ilvl w:val="0"/>
                <w:numId w:val="3"/>
              </w:numPr>
              <w:shd w:val="clear" w:color="auto" w:fill="FFFFFF"/>
              <w:spacing w:line="360" w:lineRule="auto"/>
            </w:pPr>
            <w:r>
              <w:t xml:space="preserve">The brand reputation of the company can be helpful to expand towards the new segments as well as the market. </w:t>
            </w:r>
          </w:p>
          <w:p>
            <w:pPr>
              <w:pStyle w:val="26"/>
              <w:numPr>
                <w:ilvl w:val="0"/>
                <w:numId w:val="3"/>
              </w:numPr>
              <w:shd w:val="clear" w:color="auto" w:fill="FFFFFF"/>
              <w:spacing w:line="360" w:lineRule="auto"/>
            </w:pPr>
            <w:r>
              <w:t xml:space="preserve">They can take advantage of their distinct product portfolio to engage with new trends of consumers and their dietary preferences. </w:t>
            </w:r>
          </w:p>
          <w:p>
            <w:pPr>
              <w:pStyle w:val="26"/>
              <w:numPr>
                <w:ilvl w:val="0"/>
                <w:numId w:val="3"/>
              </w:numPr>
              <w:shd w:val="clear" w:color="auto" w:fill="FFFFFF"/>
              <w:spacing w:line="360" w:lineRule="auto"/>
            </w:pPr>
            <w:r>
              <w:t xml:space="preserve">Meanwhile, it states the strategy of acquisition of other associated businesses to unlock new streams of revenue and market reach </w:t>
            </w:r>
            <w:r>
              <w:rPr>
                <w:lang w:val="en-US"/>
              </w:rPr>
              <w:t>(McKee, 2024)</w:t>
            </w:r>
            <w:r>
              <w:t xml:space="preserve">. </w:t>
            </w:r>
          </w:p>
        </w:tc>
        <w:tc>
          <w:tcPr>
            <w:tcW w:w="4675" w:type="dxa"/>
          </w:tcPr>
          <w:p>
            <w:pPr>
              <w:pStyle w:val="26"/>
              <w:numPr>
                <w:ilvl w:val="0"/>
                <w:numId w:val="4"/>
              </w:numPr>
              <w:shd w:val="clear" w:color="auto" w:fill="FFFFFF"/>
              <w:spacing w:line="360" w:lineRule="auto"/>
            </w:pPr>
            <w:r>
              <w:t xml:space="preserve">The evolving preference of consumers towards healthy and dietary needs underlines the threat of failing to adapt to the changes that can hamper their competitive positioning. </w:t>
            </w:r>
          </w:p>
          <w:p>
            <w:pPr>
              <w:pStyle w:val="26"/>
              <w:numPr>
                <w:ilvl w:val="0"/>
                <w:numId w:val="4"/>
              </w:numPr>
              <w:shd w:val="clear" w:color="auto" w:fill="FFFFFF"/>
              <w:spacing w:line="360" w:lineRule="auto"/>
            </w:pPr>
            <w:r>
              <w:t>Their growth through the acquisition of a company indicates the challenge of implementing a new business model and maintaining their productivity within the entire business activity.</w:t>
            </w:r>
          </w:p>
          <w:p>
            <w:pPr>
              <w:pStyle w:val="26"/>
              <w:numPr>
                <w:ilvl w:val="0"/>
                <w:numId w:val="4"/>
              </w:numPr>
              <w:shd w:val="clear" w:color="auto" w:fill="FFFFFF"/>
              <w:spacing w:line="360" w:lineRule="auto"/>
            </w:pPr>
            <w:r>
              <w:t>A wide range of potential and well-recognised food business players, such as Sweet more Bakeries and Rustic Bakery competing against Bramble Foods.</w:t>
            </w:r>
          </w:p>
        </w:tc>
      </w:tr>
    </w:tbl>
    <w:p>
      <w:pPr>
        <w:pStyle w:val="2"/>
        <w:shd w:val="clear" w:color="auto" w:fill="FFFFFF"/>
        <w:spacing w:before="0" w:after="0"/>
      </w:pPr>
      <w:bookmarkStart w:id="20" w:name="_paloenahvdfe"/>
      <w:bookmarkStart w:id="21" w:name="_Toc212569188"/>
      <w:bookmarkStart w:id="22" w:name="_Toc212575109"/>
      <w:bookmarkEnd w:id="20"/>
      <w:r>
        <w:t>Assessing the external environment by Porter’s five forces</w:t>
      </w:r>
      <w:bookmarkEnd w:id="21"/>
      <w:bookmarkEnd w:id="22"/>
    </w:p>
    <w:p>
      <w:pPr>
        <w:rPr>
          <w:b/>
          <w:i/>
        </w:rPr>
      </w:pPr>
      <w:r>
        <w:rPr>
          <w:b/>
          <w:i/>
        </w:rPr>
        <w:t>Competitive rivalry</w:t>
      </w:r>
    </w:p>
    <w:p>
      <w:r>
        <w:t xml:space="preserve">It outlines the intense competition for maintaining market share, which reduces the overall profitability. Meanwhile, these companies are inferred to be greatly emphasising investing towards product differentiation as well as brand awareness. </w:t>
      </w:r>
    </w:p>
    <w:p>
      <w:pPr>
        <w:rPr>
          <w:b/>
          <w:i/>
        </w:rPr>
      </w:pPr>
      <w:r>
        <w:rPr>
          <w:b/>
          <w:i/>
        </w:rPr>
        <w:t>Threats of new entrants</w:t>
      </w:r>
    </w:p>
    <w:p>
      <w:r>
        <w:t>The food market requires a huge amount of capital, which can be a barrier for SMEs, especially Bramble Foods. It elaborates on the need to overcome the pricing strategy and brand image of established companies. With context to the distribution channel, the existing companies showcase impactful relationships with distributors and hence hinder small companies from accessing such benefits.</w:t>
      </w:r>
    </w:p>
    <w:p>
      <w:pPr>
        <w:rPr>
          <w:b/>
          <w:i/>
        </w:rPr>
      </w:pPr>
      <w:r>
        <w:rPr>
          <w:b/>
          <w:i/>
        </w:rPr>
        <w:t>Bargaining power of buyers</w:t>
      </w:r>
    </w:p>
    <w:p>
      <w:r>
        <w:t xml:space="preserve">The price fluctuation regarding their product illustrates the switching to cheaper alternatives due to the numerous competitors in this sector </w:t>
      </w:r>
      <w:r>
        <w:rPr>
          <w:lang w:val="en-US"/>
        </w:rPr>
        <w:t>(Haan, 2024)</w:t>
      </w:r>
      <w:r>
        <w:t xml:space="preserve">. It signifies the pressure on margins and making effective strategies to attract potential customers. Alongside, it is significant to recognise the diversion to different companies in case of various food products, which need a further negotiating strategy. </w:t>
      </w:r>
    </w:p>
    <w:p>
      <w:pPr>
        <w:rPr>
          <w:b/>
          <w:i/>
        </w:rPr>
      </w:pPr>
      <w:r>
        <w:rPr>
          <w:b/>
          <w:i/>
        </w:rPr>
        <w:t>Bargaining power of suppliers</w:t>
      </w:r>
    </w:p>
    <w:p>
      <w:r>
        <w:t xml:space="preserve">The particular model states that the sourcing of key ingredients from dominant suppliers imparts higher bargaining power and requires focus on the supply chain operations. Furthermore, the impact of suppliers depends on the basis of their availability and allocation of resources. Hence, it entails the cost associated with the transition of the supplier, which will impact and also affect the relationship with existing suppliers. </w:t>
      </w:r>
    </w:p>
    <w:p>
      <w:pPr>
        <w:rPr>
          <w:b/>
          <w:i/>
        </w:rPr>
      </w:pPr>
      <w:r>
        <w:rPr>
          <w:b/>
          <w:i/>
        </w:rPr>
        <w:t xml:space="preserve">Threat of substitutes </w:t>
      </w:r>
    </w:p>
    <w:p>
      <w:r>
        <w:t xml:space="preserve">The above-mentioned factor demonstrates the preference of consumers towards the substitutes of Bramble Foods. There are an immense number of substitutes which can range from similar brands to other kinds of drink and food items. It consists of ready-made meals, other confectionery items, as well as fresh fruits, which can be lower in price than their products. </w:t>
      </w:r>
    </w:p>
    <w:p>
      <w:pPr>
        <w:rPr>
          <w:b/>
          <w:sz w:val="28"/>
          <w:szCs w:val="28"/>
        </w:rPr>
      </w:pPr>
      <w:r>
        <w:br w:type="page"/>
      </w:r>
    </w:p>
    <w:p>
      <w:pPr>
        <w:pStyle w:val="1"/>
        <w:spacing w:before="0" w:after="0"/>
      </w:pPr>
      <w:bookmarkStart w:id="23" w:name="_Toc212569189"/>
      <w:bookmarkStart w:id="24" w:name="_Toc212575110"/>
      <w:r>
        <w:t>Understanding strategic growth choices for SMEs and applying Porter’s Generic Strategies to suggest a new sustainable strategy to Bramble Foods</w:t>
      </w:r>
      <w:bookmarkEnd w:id="13"/>
      <w:bookmarkEnd w:id="23"/>
      <w:bookmarkEnd w:id="24"/>
    </w:p>
    <w:p>
      <w:pPr>
        <w:pStyle w:val="2"/>
        <w:spacing w:before="0" w:after="0"/>
      </w:pPr>
      <w:bookmarkStart w:id="25" w:name="_z98bjw6l8vxq"/>
      <w:bookmarkStart w:id="26" w:name="_Toc212549262"/>
      <w:bookmarkStart w:id="27" w:name="_Toc212569190"/>
      <w:bookmarkStart w:id="28" w:name="_Toc212575111"/>
      <w:bookmarkEnd w:id="25"/>
      <w:r>
        <w:t>Potential strategic growth choices for SMEs</w:t>
      </w:r>
      <w:bookmarkEnd w:id="26"/>
      <w:bookmarkEnd w:id="27"/>
      <w:bookmarkEnd w:id="28"/>
    </w:p>
    <w:p>
      <w:r>
        <w:t>While discussing a range of growth opportunities for the SMEs, these can be achieved through market penetration, product line diversification, and product innovation. Moreover, business expansion can be accomplished by adopting global promotional practices with the help of e-commerce and online marketing platforms. Apart from these, resource sharing through a strategic partnership with a global industry player can also produce beneficial results in terms of accomplishing strategic growth and global expansion for the SMEs</w:t>
      </w:r>
      <w:r>
        <w:rPr>
          <w:lang w:val="en-US"/>
        </w:rPr>
        <w:t xml:space="preserve"> (Vitasek, 2024)</w:t>
      </w:r>
      <w:r>
        <w:t>.</w:t>
      </w:r>
    </w:p>
    <w:p>
      <w:pPr>
        <w:pStyle w:val="2"/>
        <w:spacing w:before="0" w:after="0"/>
      </w:pPr>
      <w:bookmarkStart w:id="29" w:name="_r6tbmcoo1b9u"/>
      <w:bookmarkStart w:id="30" w:name="_Toc212549263"/>
      <w:bookmarkStart w:id="31" w:name="_Toc212569191"/>
      <w:bookmarkStart w:id="32" w:name="_Toc212575112"/>
      <w:bookmarkEnd w:id="29"/>
      <w:r>
        <w:t>Proposing a new strategy by using Porter’s Generic Strategies framework</w:t>
      </w:r>
      <w:bookmarkEnd w:id="30"/>
      <w:bookmarkEnd w:id="31"/>
      <w:bookmarkEnd w:id="32"/>
    </w:p>
    <w:p>
      <w:pPr>
        <w:rPr>
          <w:b/>
          <w:bCs/>
          <w:i/>
          <w:iCs/>
        </w:rPr>
      </w:pPr>
      <w:bookmarkStart w:id="33" w:name="_hhx8y0fa1rpc"/>
      <w:bookmarkStart w:id="34" w:name="_Toc212549264"/>
      <w:bookmarkEnd w:id="33"/>
      <w:r>
        <w:rPr>
          <w:b/>
          <w:bCs/>
          <w:i/>
          <w:iCs/>
        </w:rPr>
        <w:t>Cost Leadership Strategy</w:t>
      </w:r>
      <w:bookmarkEnd w:id="34"/>
    </w:p>
    <w:p>
      <w:r>
        <w:t>Accomplishing a significant level of efficiency and reducing costs associated with production, distribution and operating throughout the value chain is the key prior objective of the cost leadership strategy.  This particular concept influences businesses to maintain acceptable quality standards while offering reasonable costs.  Large-scale distribution networks, lean manufacturing and process automation are regarded as necessary to implement cost leadership. Therefore, it will be difficult for Bramble Foods to adopt full cost leadership due to its focus on high-quality, traditional food items. Through price structure optimisation, brand image and product authenticity of the firm can be affected</w:t>
      </w:r>
      <w:r>
        <w:rPr>
          <w:lang w:val="en-US"/>
        </w:rPr>
        <w:t xml:space="preserve"> (Deshler, 2021)</w:t>
      </w:r>
      <w:r>
        <w:t>.  Therefore, in terms of identified cost minimisation and increasing profitability along with efficiency, cost leadership is inappropriate for the Bramble Foods brand.</w:t>
        <w:tab/>
      </w:r>
    </w:p>
    <w:p>
      <w:pPr>
        <w:rPr>
          <w:b/>
          <w:bCs/>
          <w:i/>
          <w:iCs/>
        </w:rPr>
      </w:pPr>
      <w:bookmarkStart w:id="35" w:name="_8w9uleykh90x"/>
      <w:bookmarkStart w:id="36" w:name="_Toc212549265"/>
      <w:bookmarkEnd w:id="35"/>
      <w:r>
        <w:rPr>
          <w:b/>
          <w:bCs/>
          <w:i/>
          <w:iCs/>
        </w:rPr>
        <w:t>Differentiation Strategy</w:t>
      </w:r>
      <w:bookmarkEnd w:id="36"/>
    </w:p>
    <w:p>
      <w:r>
        <w:t>The fundamental objective of a differentiation strategy is to produce distinctive goods that consumers find superior in terms of quality, innovation, or experience. Hence, to build brand loyalty and support premium pricing, differentiation includes highlighting workmanship, excellent materials and excellent customer service. Differentiation makes Bramble Foods more efficient by establishing a remarkable reputation in the niche, regional and handmade goods market. The company can improve its brand value by practising sustainable packaging, increasing its vegan or gluten-free product line, and encouraging local sourcing transparency</w:t>
      </w:r>
      <w:r>
        <w:rPr>
          <w:lang w:val="en-US"/>
        </w:rPr>
        <w:t xml:space="preserve"> (Saveth, 2023)</w:t>
      </w:r>
      <w:r>
        <w:t>. Accordingly, by differentiating itself from mass-market food producers, Bramble Foods can appeal to eco-friendly and ethically responsible customers.</w:t>
      </w:r>
    </w:p>
    <w:p>
      <w:pPr>
        <w:rPr>
          <w:b/>
          <w:bCs/>
          <w:i/>
          <w:iCs/>
        </w:rPr>
      </w:pPr>
      <w:bookmarkStart w:id="37" w:name="_58nrl5tb18iw"/>
      <w:bookmarkStart w:id="38" w:name="_Toc212549266"/>
      <w:bookmarkEnd w:id="37"/>
      <w:r>
        <w:rPr>
          <w:b/>
          <w:bCs/>
          <w:i/>
          <w:iCs/>
        </w:rPr>
        <w:t>Focus Strategy</w:t>
      </w:r>
      <w:bookmarkEnd w:id="38"/>
    </w:p>
    <w:p>
      <w:r>
        <w:t>Focus strategy targets specific market segments or groups in which the firm will be able to deliver specialised services and goods. This can be done using differentiation focus or cost focus based on the strengths and resources available in the company. The most viable and long-term action that Bramble Foods can initiate is an intensive differentiation strategy</w:t>
      </w:r>
      <w:r>
        <w:rPr>
          <w:lang w:val="en-US"/>
        </w:rPr>
        <w:t xml:space="preserve"> (Shipferling, 2022)</w:t>
      </w:r>
      <w:r>
        <w:t>. Moreover, it helps in incorporating the niche approach of catering to a niche market of independent traders, farm shops and upscale culinary outlets that value unique, craft-oriented and locally-inspired cuisine. Application of this specific strategy also can be effective in leveraging customer engagement as well as marketing efficiency for Bramble Foods.</w:t>
      </w:r>
    </w:p>
    <w:p>
      <w:pPr>
        <w:pStyle w:val="2"/>
        <w:spacing w:before="0" w:after="0"/>
      </w:pPr>
      <w:bookmarkStart w:id="39" w:name="_dd17usvj91ce"/>
      <w:bookmarkStart w:id="40" w:name="_Toc212549267"/>
      <w:bookmarkStart w:id="41" w:name="_Toc212569192"/>
      <w:bookmarkStart w:id="42" w:name="_Toc212575113"/>
      <w:bookmarkEnd w:id="39"/>
      <w:r>
        <w:t>Recommended new strategy</w:t>
      </w:r>
      <w:bookmarkEnd w:id="40"/>
      <w:bookmarkEnd w:id="41"/>
      <w:bookmarkEnd w:id="42"/>
    </w:p>
    <w:p>
      <w:pPr>
        <w:rPr>
          <w:b/>
          <w:i/>
        </w:rPr>
      </w:pPr>
      <w:r>
        <w:rPr>
          <w:b/>
          <w:i/>
        </w:rPr>
        <w:t>Focused differentiation for sustainable growth</w:t>
      </w:r>
    </w:p>
    <w:p>
      <w:r>
        <w:t>Depending on the findings of Porters' Generic model, the company is suggested to prioritise ethical sourcing and integration of the customer feedback mechanism. subsequently overall quality of the company products can be upscaled along with meeting market demands. Businesses can create long-term market value and improve brand identity by investing in local alliances and product innovation.  Bramble Foods can maintain significantly stable profitability by controlling premium pricing and fostering consumer loyalty through focused differentiation</w:t>
      </w:r>
      <w:r>
        <w:rPr>
          <w:lang w:val="en-US"/>
        </w:rPr>
        <w:t xml:space="preserve"> (Gleeson, 2024)</w:t>
      </w:r>
      <w:r>
        <w:t>. Subsequently, by aligning business objectives with environmental responsibility and community involvement along the value chain, this strategy can promote sustainable development for the company.</w:t>
      </w:r>
    </w:p>
    <w:p>
      <w:pPr>
        <w:pStyle w:val="2"/>
        <w:spacing w:before="0" w:after="0"/>
      </w:pPr>
      <w:bookmarkStart w:id="43" w:name="_qx8k28lguqfp"/>
      <w:bookmarkStart w:id="44" w:name="_Toc212549268"/>
      <w:bookmarkStart w:id="45" w:name="_Toc212569193"/>
      <w:bookmarkStart w:id="46" w:name="_Toc212575114"/>
      <w:bookmarkEnd w:id="43"/>
      <w:r>
        <w:t>Assessing the sustainability and long-term viability of the proposed strategy</w:t>
      </w:r>
      <w:bookmarkEnd w:id="44"/>
      <w:bookmarkEnd w:id="45"/>
      <w:bookmarkEnd w:id="46"/>
    </w:p>
    <w:p>
      <w:r>
        <w:t>The long-term sustainability of the process and its stability are achieved through the focused differentiation that focuses on the balance among economic performance and social and environmental goals. Accordingly, product purchasers are increasingly emphasising ethical production processes, sustainable sourcing and disclosure during the selection of food products. Bramble Foods can utilise these opportunities through carbon reduction initiatives, recyclable packaging and traceable supply chains. Such strategies appeal to ethical customers, as well as the image of the brand as more premium. Moreover, close relations with local producers will ensure the quality of products and that support for the community is high. Hence, these ethical and strategic integrations can be a key rationale behind competitive edge, resilience and market sustainability at Bramble Foods.</w:t>
      </w:r>
    </w:p>
    <w:p>
      <w:pPr>
        <w:pStyle w:val="1"/>
        <w:spacing w:before="0" w:after="0"/>
      </w:pPr>
      <w:bookmarkStart w:id="47" w:name="_Toc212569194"/>
      <w:bookmarkStart w:id="48" w:name="_Toc212575115"/>
      <w:r>
        <w:t>Analysis of the stakeholders and use of Mendelow’s Matrix</w:t>
      </w:r>
      <w:bookmarkEnd w:id="47"/>
      <w:bookmarkEnd w:id="48"/>
      <w:r>
        <w:t> </w:t>
      </w:r>
    </w:p>
    <w:p>
      <w:pPr>
        <w:pStyle w:val="2"/>
        <w:spacing w:before="0" w:after="0"/>
      </w:pPr>
      <w:bookmarkStart w:id="49" w:name="_Toc212569195"/>
      <w:bookmarkStart w:id="50" w:name="_Toc212575116"/>
      <w:r>
        <w:t>The application of Mendelow’s Matrix for stakeholder analysis</w:t>
      </w:r>
      <w:bookmarkEnd w:id="49"/>
      <w:bookmarkEnd w:id="50"/>
      <w:r>
        <w:t> </w:t>
      </w:r>
    </w:p>
    <w:p>
      <w:r>
        <w:rPr>
          <w:lang w:val="en-US"/>
        </w:rPr>
        <w:t xml:space="preserve">The Mendelow’s Matrix is a tools following which the impact over the stakeholders are analysed with the help of influencing different sectors. This matrix is divided into four segments, which are also located on the X and Y axes of a graph. Stakeholders with a high interest and high power are kept in a single quarter, and in contrast, stakeholders with low power and low interest are similarly kept in another </w:t>
      </w:r>
      <w:r>
        <w:t>(Weckström, 2024)</w:t>
      </w:r>
      <w:r>
        <w:rPr>
          <w:lang w:val="en-US"/>
        </w:rPr>
        <w:t xml:space="preserve">. Quadrants also hold low power with high-interest stakeholders and the opposite of them. This figure or the model helps in supporting the organisations to analyse the most important or required companies to be prioritised. It enables a strategic mode of communication which can eventually improve the decision-making system and analyse the risk factors effectively. Bramble Foods and the associated stakeholders will be diagnosed with the help of this model according to the state of priority in the list of companies </w:t>
      </w:r>
      <w:r>
        <w:t>(Fedorenko et al., 2025)</w:t>
      </w:r>
      <w:r>
        <w:rPr>
          <w:lang w:val="en-US"/>
        </w:rPr>
        <w:t>. Moreover, companies with a lower state of interest and a low rate of performance will also be given a certain position to deal with the understanding of competition. Moreover, the different companies which can be associated with the learning of risks and other issues also have to be identified. </w:t>
      </w:r>
    </w:p>
    <w:p>
      <w:pPr>
        <w:rPr>
          <w:lang w:val="en-US"/>
        </w:rPr>
      </w:pPr>
      <w:r>
        <w:rPr>
          <w:lang w:val="en-US"/>
        </w:rPr>
        <w:drawing>
          <wp:inline distT="0" distB="0" distL="0" distR="0">
            <wp:extent cx="5943600" cy="3343275"/>
            <wp:effectExtent l="0" t="0" r="0" b="0"/>
            <wp:docPr id="4" name="Images 4"/>
            <wp:cNvGraphicFramePr>
              <a:graphicFrameLocks noChangeAspect="1"/>
            </wp:cNvGraphicFramePr>
            <a:graphic>
              <a:graphicData uri="http://schemas.openxmlformats.org/drawingml/2006/picture">
                <pic:pic>
                  <pic:nvPicPr>
                    <pic:cNvPr id="6" name="Images 6"/>
                    <pic:cNvPicPr/>
                  </pic:nvPicPr>
                  <pic:blipFill>
                    <a:blip r:embed="rId5"/>
                    <a:stretch>
                      <a:fillRect/>
                    </a:stretch>
                  </pic:blipFill>
                  <pic:spPr>
                    <a:xfrm rot="0">
                      <a:off x="0" y="0"/>
                      <a:ext cx="5943600" cy="3343275"/>
                    </a:xfrm>
                    <a:prstGeom prst="rect"/>
                    <a:noFill/>
                    <a:ln w="12700" cmpd="sng" cap="flat">
                      <a:noFill/>
                      <a:prstDash val="solid"/>
                      <a:round/>
                    </a:ln>
                  </pic:spPr>
                </pic:pic>
              </a:graphicData>
            </a:graphic>
          </wp:inline>
        </w:drawing>
      </w:r>
    </w:p>
    <w:p>
      <w:pPr>
        <w:rPr>
          <w:lang w:val="en-US"/>
        </w:rPr>
      </w:pPr>
      <w:r>
        <w:rPr>
          <w:lang w:val="en-US"/>
        </w:rPr>
        <w:t>Figure: The Matrix proposed by Mendelow, which can be used for positioning of the stakeholders </w:t>
      </w:r>
    </w:p>
    <w:p>
      <w:pPr>
        <w:rPr>
          <w:lang w:val="en-US"/>
        </w:rPr>
      </w:pPr>
      <w:r>
        <w:rPr>
          <w:lang w:val="en-US"/>
        </w:rPr>
        <w:t>Source: </w:t>
      </w:r>
      <w:r>
        <w:t>(Weckström, 2024)</w:t>
      </w:r>
      <w:r>
        <w:rPr>
          <w:lang w:val="en-US"/>
        </w:rPr>
        <w:t>  </w:t>
      </w:r>
    </w:p>
    <w:p>
      <w:pPr>
        <w:pStyle w:val="2"/>
        <w:spacing w:before="0" w:after="0"/>
      </w:pPr>
      <w:bookmarkStart w:id="51" w:name="_Toc212569196"/>
      <w:bookmarkStart w:id="52" w:name="_Toc212575117"/>
      <w:r>
        <w:t>Expectation of each stakeholder of the company, Bramble Foods and the power of the stakeholders to analyse feasibility</w:t>
      </w:r>
      <w:bookmarkEnd w:id="51"/>
      <w:bookmarkEnd w:id="52"/>
      <w:r>
        <w:t> </w:t>
      </w:r>
    </w:p>
    <w:p>
      <w:pPr>
        <w:pStyle w:val="3"/>
        <w:spacing w:before="0" w:after="0"/>
      </w:pPr>
      <w:bookmarkStart w:id="53" w:name="_Toc212569197"/>
      <w:bookmarkStart w:id="54" w:name="_Toc212575118"/>
      <w:r>
        <w:t>Internal stakeholders</w:t>
      </w:r>
      <w:bookmarkEnd w:id="53"/>
      <w:bookmarkEnd w:id="54"/>
      <w:r>
        <w:t> </w:t>
      </w:r>
    </w:p>
    <w:p>
      <w:pPr>
        <w:rPr>
          <w:lang w:val="en-US"/>
        </w:rPr>
      </w:pPr>
      <w:r>
        <w:rPr>
          <w:b/>
          <w:bCs/>
          <w:i/>
          <w:iCs/>
          <w:lang w:val="en-US"/>
        </w:rPr>
        <w:t>Investors </w:t>
      </w:r>
    </w:p>
    <w:p>
      <w:r>
        <w:rPr>
          <w:lang w:val="en-US"/>
        </w:rPr>
        <w:t xml:space="preserve">The investors, being a part of the internal stakeholders, are required to have an interest in the growth of the company’s profit so as to improve their profit values. For the gain of a large amount of return, investors of Bramble Foods can invest more in order to get a return over the capital form of investment. Depending on the quality of the company’s performance, the investors have the power to increase their investment and also withdraw the invested amount in a great manner </w:t>
      </w:r>
      <w:r>
        <w:t>(López‐Concepción et al., 2022)</w:t>
      </w:r>
      <w:r>
        <w:rPr>
          <w:lang w:val="en-US"/>
        </w:rPr>
        <w:t>. </w:t>
      </w:r>
    </w:p>
    <w:p>
      <w:pPr>
        <w:rPr>
          <w:lang w:val="en-US"/>
        </w:rPr>
      </w:pPr>
      <w:r>
        <w:rPr>
          <w:b/>
          <w:bCs/>
          <w:i/>
          <w:iCs/>
          <w:lang w:val="en-US"/>
        </w:rPr>
        <w:t>Managers </w:t>
      </w:r>
    </w:p>
    <w:p>
      <w:pPr>
        <w:rPr>
          <w:lang w:val="en-US"/>
        </w:rPr>
      </w:pPr>
      <w:r>
        <w:rPr>
          <w:lang w:val="en-US"/>
        </w:rPr>
        <w:t>The managers of Bramble Foods intend to increase the quality of services and manage the different types of work in order to increase the range of services (</w:t>
      </w:r>
      <w:r>
        <w:t>Ardiana, 2023</w:t>
      </w:r>
      <w:r>
        <w:rPr>
          <w:lang w:val="en-US"/>
        </w:rPr>
        <w:t>). However, it is necessary to check on the power of Bramble Foods’ managers, who control the quality of performance and manage the services. Managers impact the feasibility of the decision-making system and operate with the rise in demand for performance. </w:t>
      </w:r>
    </w:p>
    <w:p>
      <w:pPr>
        <w:rPr>
          <w:lang w:val="en-US"/>
        </w:rPr>
      </w:pPr>
      <w:r>
        <w:rPr>
          <w:b/>
          <w:bCs/>
          <w:i/>
          <w:iCs/>
          <w:lang w:val="en-US"/>
        </w:rPr>
        <w:t>Founders </w:t>
      </w:r>
    </w:p>
    <w:p>
      <w:r>
        <w:rPr>
          <w:lang w:val="en-US"/>
        </w:rPr>
        <w:t xml:space="preserve">The founding members of Bramble Foods expect growth in the business with different measures which can develop and expand the business procedures. Depending on the different types of measures taken by companies and the management of the services, the founding members have the highest power to impose </w:t>
      </w:r>
      <w:r>
        <w:t>(Bebchuk and Tallarita, 2022)</w:t>
      </w:r>
      <w:r>
        <w:rPr>
          <w:lang w:val="en-US"/>
        </w:rPr>
        <w:t>. Strategic decision-making of the company following the rules of feasibility can be followed since they are highly involved in each and every performance. </w:t>
      </w:r>
    </w:p>
    <w:p>
      <w:pPr>
        <w:rPr>
          <w:lang w:val="en-US"/>
        </w:rPr>
      </w:pPr>
      <w:r>
        <w:rPr>
          <w:b/>
          <w:bCs/>
          <w:i/>
          <w:iCs/>
          <w:lang w:val="en-US"/>
        </w:rPr>
        <w:t>Employees </w:t>
      </w:r>
    </w:p>
    <w:p>
      <w:pPr>
        <w:rPr>
          <w:lang w:val="en-US"/>
        </w:rPr>
      </w:pPr>
      <w:r>
        <w:rPr>
          <w:lang w:val="en-US"/>
        </w:rPr>
        <w:t>The employees of Bramble Foods, being a part of the internal stakeholders, can impact the sales of the products, which can eventually support the development of service quality and food production. These stakeholders have enough power to improve the decision-making and management of innovation services. </w:t>
      </w:r>
    </w:p>
    <w:p>
      <w:pPr>
        <w:pStyle w:val="3"/>
        <w:spacing w:before="0" w:after="0"/>
      </w:pPr>
      <w:bookmarkStart w:id="55" w:name="_Toc212569198"/>
      <w:bookmarkStart w:id="56" w:name="_Toc212575119"/>
      <w:r>
        <w:t>External stakeholders</w:t>
      </w:r>
      <w:bookmarkEnd w:id="55"/>
      <w:bookmarkEnd w:id="56"/>
      <w:r>
        <w:t> </w:t>
      </w:r>
    </w:p>
    <w:p>
      <w:pPr>
        <w:rPr>
          <w:lang w:val="en-US"/>
        </w:rPr>
      </w:pPr>
      <w:r>
        <w:rPr>
          <w:b/>
          <w:bCs/>
          <w:i/>
          <w:iCs/>
          <w:lang w:val="en-US"/>
        </w:rPr>
        <w:t>Customers </w:t>
      </w:r>
    </w:p>
    <w:p>
      <w:r>
        <w:rPr>
          <w:lang w:val="en-US"/>
        </w:rPr>
        <w:t xml:space="preserve">The expectations of customers of Bramble Foods are mostly related to getting offers and high-quality services at a very low price range. Depending on the demand of the customers, companies like Bramble Foods can integrate into the management of the performances, where the company can gain a state of competitive advantage </w:t>
      </w:r>
      <w:r>
        <w:t>(Freeman, 2023)</w:t>
      </w:r>
      <w:r>
        <w:rPr>
          <w:lang w:val="en-US"/>
        </w:rPr>
        <w:t>. Decision-making of this respective company can therefore depend on the various factors which can manipulate the different types of services. </w:t>
      </w:r>
    </w:p>
    <w:p>
      <w:pPr>
        <w:rPr>
          <w:lang w:val="en-US"/>
        </w:rPr>
      </w:pPr>
      <w:r>
        <w:rPr>
          <w:b/>
          <w:bCs/>
          <w:i/>
          <w:iCs/>
          <w:lang w:val="en-US"/>
        </w:rPr>
        <w:t>Suppliers </w:t>
      </w:r>
    </w:p>
    <w:p>
      <w:r>
        <w:rPr>
          <w:lang w:val="en-US"/>
        </w:rPr>
        <w:t xml:space="preserve">The suppliers are external stakeholders of Bramble Foods and expect a timely earning of revenue and the management of the different services. Gain of revenue revenue from the company is also expected by the supplier, which would assure them growth. Decision-making about the company's performance is also analysed according to the required raw materials </w:t>
      </w:r>
      <w:r>
        <w:t>(Freeman and Velamuri, 2023)</w:t>
      </w:r>
      <w:r>
        <w:rPr>
          <w:lang w:val="en-US"/>
        </w:rPr>
        <w:t>. </w:t>
      </w:r>
    </w:p>
    <w:p>
      <w:pPr>
        <w:rPr>
          <w:lang w:val="en-US"/>
        </w:rPr>
      </w:pPr>
      <w:r>
        <w:rPr>
          <w:b/>
          <w:bCs/>
          <w:i/>
          <w:iCs/>
          <w:lang w:val="en-US"/>
        </w:rPr>
        <w:t>Communities </w:t>
      </w:r>
    </w:p>
    <w:p>
      <w:pPr>
        <w:rPr>
          <w:lang w:val="en-US"/>
        </w:rPr>
      </w:pPr>
      <w:r>
        <w:rPr>
          <w:lang w:val="en-US"/>
        </w:rPr>
        <w:t>Communities of Bramble Foods help in making a complete group where they can become a loyal customer of the company. The feasibility of the stakeholders needs to be analysed accordingly. The power of the steady community is also more, which can bring modification in the activities of the business. </w:t>
      </w:r>
    </w:p>
    <w:p>
      <w:pPr>
        <w:jc w:val="center"/>
        <w:rPr>
          <w:b/>
          <w:bCs/>
          <w:lang w:val="en-US"/>
        </w:rPr>
      </w:pPr>
      <w:r>
        <w:rPr>
          <w:b/>
          <w:bCs/>
          <w:lang w:val="en-US"/>
        </w:rPr>
        <w:drawing>
          <wp:inline distT="0" distB="0" distL="0" distR="0">
            <wp:extent cx="5943600" cy="4578985"/>
            <wp:effectExtent l="0" t="0" r="0" b="0"/>
            <wp:docPr id="7" name="Images 7"/>
            <wp:cNvGraphicFramePr>
              <a:graphicFrameLocks noChangeAspect="1"/>
            </wp:cNvGraphicFramePr>
            <a:graphic>
              <a:graphicData uri="http://schemas.openxmlformats.org/drawingml/2006/picture">
                <pic:pic>
                  <pic:nvPicPr>
                    <pic:cNvPr id="9" name="Images 9"/>
                    <pic:cNvPicPr/>
                  </pic:nvPicPr>
                  <pic:blipFill>
                    <a:blip r:embed="rId6"/>
                    <a:stretch>
                      <a:fillRect/>
                    </a:stretch>
                  </pic:blipFill>
                  <pic:spPr>
                    <a:xfrm rot="0">
                      <a:off x="0" y="0"/>
                      <a:ext cx="5943600" cy="4578985"/>
                    </a:xfrm>
                    <a:prstGeom prst="rect"/>
                    <a:noFill/>
                    <a:ln w="12700" cmpd="sng" cap="flat">
                      <a:noFill/>
                      <a:prstDash val="solid"/>
                      <a:miter/>
                    </a:ln>
                  </pic:spPr>
                </pic:pic>
              </a:graphicData>
            </a:graphic>
          </wp:inline>
        </w:drawing>
      </w:r>
    </w:p>
    <w:p>
      <w:pPr>
        <w:jc w:val="center"/>
        <w:rPr>
          <w:b/>
          <w:bCs/>
          <w:lang w:val="en-US"/>
        </w:rPr>
      </w:pPr>
      <w:r>
        <w:rPr>
          <w:b/>
          <w:bCs/>
          <w:lang w:val="en-US"/>
        </w:rPr>
        <w:t>Figure: The Matrix of stakeholders</w:t>
      </w:r>
    </w:p>
    <w:p>
      <w:pPr>
        <w:jc w:val="center"/>
        <w:rPr>
          <w:b/>
          <w:bCs/>
          <w:lang w:val="en-US"/>
        </w:rPr>
      </w:pPr>
      <w:r>
        <w:rPr>
          <w:b/>
          <w:bCs/>
          <w:lang w:val="en-US"/>
        </w:rPr>
        <w:t>Source: (Author)</w:t>
      </w:r>
    </w:p>
    <w:p>
      <w:pPr>
        <w:rPr>
          <w:lang w:val="en-US"/>
        </w:rPr>
      </w:pPr>
    </w:p>
    <w:p>
      <w:pPr>
        <w:rPr>
          <w:lang w:val="en-US"/>
        </w:rPr>
      </w:pPr>
    </w:p>
    <w:p>
      <w:pPr>
        <w:rPr>
          <w:lang w:val="en-US"/>
        </w:rPr>
      </w:pPr>
    </w:p>
    <w:p/>
    <w:p>
      <w:pPr>
        <w:jc w:val="left"/>
        <w:rPr>
          <w:rFonts w:cs="Arial"/>
          <w:b/>
          <w:sz w:val="28"/>
          <w:szCs w:val="28"/>
          <w:lang w:val="en-GB"/>
        </w:rPr>
      </w:pPr>
      <w:r>
        <w:br w:type="page"/>
      </w:r>
    </w:p>
    <w:p>
      <w:pPr>
        <w:pStyle w:val="1"/>
        <w:spacing w:before="0" w:after="0"/>
      </w:pPr>
      <w:bookmarkStart w:id="57" w:name="_Toc212569199"/>
      <w:bookmarkStart w:id="58" w:name="_Toc212575120"/>
      <w:r>
        <w:t>Recommendations to improve the strategic mode of decision-making</w:t>
      </w:r>
      <w:bookmarkEnd w:id="57"/>
      <w:bookmarkEnd w:id="58"/>
      <w:r>
        <w:t> </w:t>
      </w:r>
    </w:p>
    <w:p>
      <w:pPr>
        <w:rPr>
          <w:lang w:val="en-US"/>
        </w:rPr>
      </w:pPr>
      <w:r>
        <w:rPr>
          <w:b/>
          <w:bCs/>
          <w:i/>
          <w:iCs/>
          <w:lang w:val="en-US"/>
        </w:rPr>
        <w:t>Expansion of the range of products to cater to different customers </w:t>
      </w:r>
    </w:p>
    <w:p>
      <w:pPr>
        <w:rPr>
          <w:lang w:val="en-US"/>
        </w:rPr>
      </w:pPr>
      <w:r>
        <w:rPr>
          <w:lang w:val="en-US"/>
        </w:rPr>
        <w:t>Bramble Foods and the employees can research the necessary products which can gain the attraction of many customers. Depending on the requirements of the products, the different types of products have to be brought so that the performance of the financial condition can be improved. Expansion of business will eventually support the development of the services and gain an effective result after making decisions in a strategic manner. The scaling of the operations is also suggested to Bramble Foods for including many employees in the business and gaining a range of revenue from the profit values. </w:t>
      </w:r>
    </w:p>
    <w:p>
      <w:pPr>
        <w:rPr>
          <w:lang w:val="en-US"/>
        </w:rPr>
      </w:pPr>
      <w:r>
        <w:rPr>
          <w:b/>
          <w:bCs/>
          <w:i/>
          <w:iCs/>
          <w:lang w:val="en-US"/>
        </w:rPr>
        <w:t>Collaboration with bigger brands for sustaining in the competitive market </w:t>
      </w:r>
    </w:p>
    <w:p>
      <w:pPr>
        <w:rPr>
          <w:lang w:val="en-US"/>
        </w:rPr>
      </w:pPr>
      <w:r>
        <w:rPr>
          <w:lang w:val="en-US"/>
        </w:rPr>
        <w:t>The Bramble Foods is suggested to collaborate with different parties who are also associated with the branding of the company. Furthermore, the company can also improve their business performance with regard to the business models of bigger companies. Therefore, collaboration can help in the management of the risks and analyse their methods of recovery. Furthermore,  the strategic management or decision-making also includes different types of work where the collaboration results in the gain of revenue, which helps in the development of a plan for the future. Bramble Foods is suggested to expand its business with the help of collaborating with other organisations. </w:t>
      </w:r>
    </w:p>
    <w:p>
      <w:r>
        <w:br w:type="page"/>
      </w:r>
    </w:p>
    <w:p>
      <w:pPr>
        <w:pStyle w:val="1"/>
        <w:spacing w:before="0" w:after="0"/>
      </w:pPr>
      <w:bookmarkStart w:id="59" w:name="_rbklhwbrhw8h"/>
      <w:bookmarkStart w:id="60" w:name="_Toc212549269"/>
      <w:bookmarkStart w:id="61" w:name="_Toc212569200"/>
      <w:bookmarkStart w:id="62" w:name="_Toc212575121"/>
      <w:bookmarkEnd w:id="59"/>
      <w:r>
        <w:t>Conclusion</w:t>
      </w:r>
      <w:bookmarkEnd w:id="60"/>
      <w:bookmarkEnd w:id="61"/>
      <w:bookmarkEnd w:id="62"/>
    </w:p>
    <w:p>
      <w:r>
        <w:t>This particular report has discussed market growth opportunities for a renowned SME business, acknowledged as Bramble Foods. According to a brief description of the company's product, operations, and adopted business model, it has been delivered. Moreover, the vision, mission, and objectives of the firm have also been illustrated in the report. Determining the competitive positioning of Bramble Foods, both internal and external business environment analysis has been conducted in the report with the help of PESTLE, SWOT, and Porter's Five Forces framework. Furthermore, strategic growth opportunities and an effective market expansion strategy for Bramble Foods have been identified by using Porter's Generic Strategies framework. The key stakeholders of the company have been identified along with their roles in addressing potential strategic options for the firm. Lastly, several vital recommendations have also been provided in the report to ensure long-term sustainable growth of Bramble Foods.</w:t>
      </w:r>
    </w:p>
    <w:p>
      <w:r>
        <w:br w:type="page"/>
      </w:r>
    </w:p>
    <w:p>
      <w:pPr>
        <w:pStyle w:val="1"/>
        <w:spacing w:before="0" w:after="0"/>
      </w:pPr>
      <w:bookmarkStart w:id="63" w:name="_Toc212549270"/>
      <w:bookmarkStart w:id="64" w:name="_Toc212569201"/>
      <w:bookmarkStart w:id="65" w:name="_Toc212575122"/>
      <w:r>
        <w:t>References</w:t>
      </w:r>
      <w:bookmarkEnd w:id="63"/>
      <w:bookmarkEnd w:id="64"/>
      <w:bookmarkEnd w:id="65"/>
      <w:r>
        <w:t xml:space="preserve"> </w:t>
      </w:r>
    </w:p>
    <w:p>
      <w:bookmarkStart w:id="66" w:name="_Hlk212552344"/>
      <w:r>
        <w:t>Ardiana, P.A., (2023). Stakeholder engagement in sustainability reporting by Fortune Global 500 companies: A call for embeddedness. </w:t>
      </w:r>
      <w:r>
        <w:rPr>
          <w:i/>
          <w:iCs/>
        </w:rPr>
        <w:t>Meditari Accountancy Research</w:t>
      </w:r>
      <w:r>
        <w:t>, </w:t>
      </w:r>
      <w:r>
        <w:rPr>
          <w:i/>
          <w:iCs/>
        </w:rPr>
        <w:t>31</w:t>
      </w:r>
      <w:r>
        <w:t>(2), pp.344-365.</w:t>
      </w:r>
    </w:p>
    <w:p>
      <w:r>
        <w:t>Bebchuk, L.A. and Tallarita, R., (2022). Will corporations deliver value to all stakeholders?. </w:t>
      </w:r>
      <w:r>
        <w:rPr>
          <w:i/>
          <w:iCs/>
        </w:rPr>
        <w:t>Vand. L. Rev.</w:t>
      </w:r>
      <w:r>
        <w:t>, </w:t>
      </w:r>
      <w:r>
        <w:rPr>
          <w:i/>
          <w:iCs/>
        </w:rPr>
        <w:t>75</w:t>
      </w:r>
      <w:r>
        <w:t>, p.1031.</w:t>
      </w:r>
    </w:p>
    <w:p>
      <w:r>
        <w:t xml:space="preserve">Bramble Foods, (2025). </w:t>
      </w:r>
      <w:r>
        <w:rPr>
          <w:i/>
          <w:iCs/>
        </w:rPr>
        <w:t>About Us.</w:t>
      </w:r>
      <w:r>
        <w:t xml:space="preserve"> [Online] Available at: https://bramblefoods.com/about-us/ [Accessed 23 October 2025].</w:t>
      </w:r>
    </w:p>
    <w:p>
      <w:r>
        <w:t xml:space="preserve">Bramble Foods, (2025). </w:t>
      </w:r>
      <w:r>
        <w:rPr>
          <w:i/>
          <w:iCs/>
        </w:rPr>
        <w:t>Welcome to Bramble Foods - Bramble Foods.</w:t>
      </w:r>
      <w:r>
        <w:t xml:space="preserve"> [Online] Available at: https://bramblefoods.com/ [Accessed 23 October 2025].</w:t>
      </w:r>
    </w:p>
    <w:p>
      <w:r>
        <w:t xml:space="preserve">brambles, (2025). </w:t>
      </w:r>
      <w:r>
        <w:rPr>
          <w:i/>
          <w:iCs/>
        </w:rPr>
        <w:t>Pioneer Regenerative Supply Chains.</w:t>
      </w:r>
      <w:r>
        <w:t xml:space="preserve"> [Online] Available at: https://www.brambles.com/2025-sustainability-targets [Accessed 23 October 2025].</w:t>
      </w:r>
    </w:p>
    <w:p>
      <w:r>
        <w:t xml:space="preserve">Deshler, R., (2021). </w:t>
      </w:r>
      <w:r>
        <w:rPr>
          <w:i/>
          <w:iCs/>
        </w:rPr>
        <w:t>Rethinking Cost Leadership Strategies.</w:t>
      </w:r>
      <w:r>
        <w:t xml:space="preserve"> [Online] Available at: https://www.forbes.com/councils/forbescoachescouncil/2021/05/21/rethinking-cost-leadership-strategies/ [Accessed 23 October 2025].</w:t>
      </w:r>
    </w:p>
    <w:p>
      <w:r>
        <w:t xml:space="preserve">Dodds, W., (2024). </w:t>
      </w:r>
      <w:r>
        <w:rPr>
          <w:i/>
          <w:iCs/>
        </w:rPr>
        <w:t>Private equity backed Bramble Foods Group acquires The Bay Tree Food Co.</w:t>
      </w:r>
      <w:r>
        <w:t xml:space="preserve"> [Online] Available at: https://www.foodmanufacture.co.uk/Article/2024/01/16/bramble-foods-group-acquires-the-bay-tree-food-co/ [Accessed 23 October 2025].</w:t>
      </w:r>
    </w:p>
    <w:p>
      <w:r>
        <w:t>Fedorenko, I.A., Kuzmynchuk, N.V. and Kutsenko, T.M., (2025). STRATEGY FOR MANAGING THE COMPETITIVE DEVELOPMENT OF COMMUNITIES BASED ON INTERACTION WITH STAKEHOLDERS.</w:t>
      </w:r>
    </w:p>
    <w:p>
      <w:r>
        <w:t xml:space="preserve">Forbes, (2025). </w:t>
      </w:r>
      <w:r>
        <w:rPr>
          <w:i/>
          <w:iCs/>
        </w:rPr>
        <w:t>19 Common Challenges Businesses Face When Trying To Scale Operations.</w:t>
      </w:r>
      <w:r>
        <w:t xml:space="preserve"> [Online] Available at: https://www.forbes.com/councils/forbesbusinesscouncil/2025/05/02/19-common-challenges-businesses-face-when-trying-to-scale-operations/ [Accessed 23 October 2025].</w:t>
      </w:r>
    </w:p>
    <w:p>
      <w:r>
        <w:t>Freeman, R.E. and Velamuri, S.R., (2023).A new approach to CSR: Company stakeholder responsibility. In </w:t>
      </w:r>
      <w:r>
        <w:rPr>
          <w:i/>
          <w:iCs/>
        </w:rPr>
        <w:t>R. Edward Freeman’s Selected Works on Stakeholder Theory and Business Ethics</w:t>
      </w:r>
      <w:r>
        <w:t> (pp. 251-264). Cham: Springer International Publishing.</w:t>
      </w:r>
    </w:p>
    <w:p>
      <w:r>
        <w:t>Freeman, R.E., (2023). Stakeholder management: framework and philosophy. In </w:t>
      </w:r>
      <w:r>
        <w:rPr>
          <w:i/>
          <w:iCs/>
        </w:rPr>
        <w:t>R. Edward Freeman’s selected works on stakeholder theory and business ethics</w:t>
      </w:r>
      <w:r>
        <w:t> (pp. 61-88). Cham: Springer International Publishing.</w:t>
      </w:r>
    </w:p>
    <w:p>
      <w:r>
        <w:t xml:space="preserve">Gleeson, B., (2024). </w:t>
      </w:r>
      <w:r>
        <w:rPr>
          <w:i/>
          <w:iCs/>
        </w:rPr>
        <w:t>Customer-Centric Leadership: A Strategy For Sustainable Growth.</w:t>
      </w:r>
      <w:r>
        <w:t xml:space="preserve"> [Online] Available at: https://www.forbes.com/sites/brentgleeson/2024/11/17/customer-centric-leadership-a-strategy-for-sustainable-growth/ [Accessed 23 October 2025].</w:t>
      </w:r>
    </w:p>
    <w:p>
      <w:r>
        <w:t xml:space="preserve">Haan, K., (2024). </w:t>
      </w:r>
      <w:r>
        <w:rPr>
          <w:i/>
          <w:iCs/>
        </w:rPr>
        <w:t>Top Customer Experience Trends Today.</w:t>
      </w:r>
      <w:r>
        <w:t xml:space="preserve"> [Online] Available at: https://www.forbes.com/advisor/business/customer-experience-trends/ [Accessed 23 October 2025].</w:t>
      </w:r>
    </w:p>
    <w:p>
      <w:r>
        <w:t>López‐Concepción, A., Gil‐Lacruz, A.I. and Saz‐Gil, I., (2022). Stakeholder engagement, Csr development and Sdgs compliance: A systematic review from 2015 to 2021. </w:t>
      </w:r>
      <w:r>
        <w:rPr>
          <w:i/>
          <w:iCs/>
        </w:rPr>
        <w:t>Corporate Social Responsibility and Environmental Management</w:t>
      </w:r>
      <w:r>
        <w:t>, </w:t>
      </w:r>
      <w:r>
        <w:rPr>
          <w:i/>
          <w:iCs/>
        </w:rPr>
        <w:t>29</w:t>
      </w:r>
      <w:r>
        <w:t>(1), pp.19-31.</w:t>
      </w:r>
    </w:p>
    <w:p>
      <w:r>
        <w:t xml:space="preserve">Manafe, R., (2023). </w:t>
      </w:r>
      <w:r>
        <w:rPr>
          <w:i/>
          <w:iCs/>
        </w:rPr>
        <w:t>Expanding Market Reach: How To Win Rural Areas And Enhance Brand Penetration</w:t>
      </w:r>
      <w:r>
        <w:t>. [Online] Available at: https://www.forbes.com/councils/forbesbusinesscouncil/2023/10/20/expanding-market-reach-how-to-win-rural-areas-and-enhance-brand-penetration/ [Accessed 23 October 2025].</w:t>
      </w:r>
    </w:p>
    <w:p>
      <w:r>
        <w:t xml:space="preserve">McKee, S., (2024). </w:t>
      </w:r>
      <w:r>
        <w:rPr>
          <w:i/>
          <w:iCs/>
        </w:rPr>
        <w:t>Can acquisitions be used as a growth strategy.</w:t>
      </w:r>
      <w:r>
        <w:t xml:space="preserve"> [Online] Available at: https://www.hwca.com/opinion/can-acquisitions-be-used-as-a-growth-strategy/ [Accessed 23 October 2025].</w:t>
      </w:r>
    </w:p>
    <w:p>
      <w:r>
        <w:t xml:space="preserve">Quantive, (2025). </w:t>
      </w:r>
      <w:r>
        <w:rPr>
          <w:i/>
          <w:iCs/>
        </w:rPr>
        <w:t>Strategic Management Explained: Concepts, Examples, and Trends for Business Success.</w:t>
      </w:r>
      <w:r>
        <w:t xml:space="preserve"> [Online] Available at: https://quantive.com/resources/articles/strategic-management [Accessed 23 October 2025].</w:t>
      </w:r>
    </w:p>
    <w:p>
      <w:r>
        <w:t xml:space="preserve">Saveth, B., (2023). </w:t>
      </w:r>
      <w:r>
        <w:rPr>
          <w:i/>
          <w:iCs/>
        </w:rPr>
        <w:t>Embracing Sustainability: The Rise Of Eco-Friendly Packaging Solutions.</w:t>
      </w:r>
      <w:r>
        <w:t xml:space="preserve"> [Online] Available at: https://www.forbes.com/councils/forbesbusinesscouncil/2023/06/23/embracing-sustainability-the-rise-of-eco-friendly-packaging-solutions/ [Accessed 23 October 2025].</w:t>
      </w:r>
    </w:p>
    <w:p>
      <w:r>
        <w:t xml:space="preserve">Shipferling, C., (2022). </w:t>
      </w:r>
      <w:r>
        <w:rPr>
          <w:i/>
          <w:iCs/>
        </w:rPr>
        <w:t>Why Brand Building Is Actually Worth The Investment.</w:t>
      </w:r>
      <w:r>
        <w:t xml:space="preserve"> [Online] Available at: https://www.forbes.com/councils/forbesbusinesscouncil/2022/06/27/why-brand-building-is-actually-worth-the-investment/ [Accessed 23 October 2025].</w:t>
      </w:r>
    </w:p>
    <w:p>
      <w:r>
        <w:t xml:space="preserve">Vitasek, K., (2024). </w:t>
      </w:r>
      <w:r>
        <w:rPr>
          <w:i/>
          <w:iCs/>
        </w:rPr>
        <w:t>5 Ways Partnerships Can Quickly Improve Your Business’ Bottom Line.</w:t>
      </w:r>
      <w:r>
        <w:t xml:space="preserve"> [Online] Available at: https://www.forbes.com/sites/katevitasek/2024/09/17/5-ways-partnerships-can-quickly-improve-your-business-bottom-line/ [Accessed 23 October 2025].</w:t>
      </w:r>
    </w:p>
    <w:p>
      <w:r>
        <w:t xml:space="preserve">Weckström, T., (2024). Stakeholder mapping for co-creation in healthcare. </w:t>
      </w:r>
      <w:bookmarkEnd w:id="66"/>
    </w:p>
    <w:sectPr>
      <w:headerReference w:type="default" r:id="rId2"/>
      <w:footerReference w:type="default" r:id="rId3"/>
      <w:pgSz w:w="12240" w:h="15840"/>
      <w:pgMar w:top="1440" w:right="1440" w:bottom="1440" w:left="1440" w:header="720" w:footer="720" w:gutter="0"/>
      <w:pgNumType w:start="1"/>
      <w:titlePg/>
      <w:docGrid w:linePitch="326" w:charSpace="0"/>
    </w:sectPr>
  </w:body>
</w:document>
</file>

<file path=word/fontTable.xml><?xml version="1.0" encoding="utf-8"?>
<w:fonts xmlns:w="http://schemas.openxmlformats.org/wordprocessingml/2006/main" xmlns:r="http://schemas.openxmlformats.org/officeDocument/2006/relationships">
  <w:font w:name="Cambria">
    <w:panose1 w:val="02040503050406030204"/>
    <w:charset w:val="00"/>
    <w:family w:val="roman"/>
    <w:pitch w:val="variable"/>
    <w:sig w:usb0="E00006FF" w:usb1="420024FF" w:usb2="02000000" w:usb3="00000000" w:csb0="0000019F" w:csb1="00000000"/>
  </w:font>
  <w:font w:name="宋体">
    <w:panose1 w:val="00000000000000000000"/>
    <w:charset w:val="00"/>
    <w:family w:val="auto"/>
    <w:pitch w:val="variable"/>
    <w:sig w:usb0="00000000" w:usb1="00000000" w:usb2="00000000" w:usb3="00000000" w:csb0="00000000"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variable"/>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s>
</file>

<file path=word/footer1.xml><?xml version="1.0" encoding="utf-8"?>
<w:ftr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p>
    <w:pPr>
      <w:pStyle w:val="22"/>
      <w:tabs>
        <w:tab w:val="center" w:pos="4680"/>
        <w:tab w:val="right" w:pos="9360"/>
      </w:tabs>
      <w:jc w:val="right"/>
    </w:pPr>
    <w:r>
      <w:t xml:space="preserve">Page </w:t>
    </w:r>
    <w:r>
      <w:rPr>
        <w:b/>
        <w:bCs/>
      </w:rPr>
      <w:fldChar w:fldCharType="begin"/>
    </w:r>
    <w:r>
      <w:rPr>
        <w:b/>
        <w:bCs/>
      </w:rPr>
      <w:instrText xml:space="preserve"> PAGE </w:instrText>
    </w:r>
    <w:r>
      <w:rPr>
        <w:b/>
        <w:bCs/>
      </w:rPr>
      <w:fldChar w:fldCharType="separate"/>
    </w:r>
    <w:r>
      <w:rPr>
        <w:b/>
        <w:bCs/>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rPr>
      <w:t>2</w:t>
    </w:r>
    <w:r>
      <w:rPr>
        <w:b/>
        <w:bCs/>
      </w:rPr>
      <w:fldChar w:fldCharType="end"/>
    </w:r>
  </w:p>
  <w:p>
    <w:pPr>
      <w:pStyle w:val="22"/>
      <w:tabs>
        <w:tab w:val="center" w:pos="4680"/>
        <w:tab w:val="right" w:pos="9360"/>
      </w:tabs>
      <w:jc w:val="right"/>
    </w:pPr>
  </w:p>
</w:ftr>
</file>

<file path=word/header1.xml><?xml version="1.0" encoding="utf-8"?>
<w:hdr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p>
    <w:pPr>
      <w:jc w:val="right"/>
    </w:pPr>
    <w:r>
      <w:t>Strategic Management for Business</w:t>
    </w:r>
  </w:p>
</w:hdr>
</file>

<file path=word/numbering.xml><?xml version="1.0" encoding="utf-8"?>
<w:numbering xmlns:w="http://schemas.openxmlformats.org/wordprocessingml/2006/main" xmlns:o="urn:schemas-microsoft-com:office:office" xmlns:r="http://schemas.openxmlformats.org/officeDocument/2006/relationships" xmlns:m="http://schemas.openxmlformats.org/officeDocument/2006/math" xmlns:v="urn:schemas-microsoft-com:vml" xmlns:mc="http://schemas.openxmlformats.org/markup-compatibility/2006" xmlns:w14="http://schemas.microsoft.com/office/word/2010/wordml">
  <w:abstractNum w:abstractNumId="0">
    <w:multiLevelType w:val="hybridMultilevel"/>
    <w:tmpl w:val="3B7A3ED0"/>
    <w:lvl w:ilvl="0">
      <w:start w:val="1"/>
      <w:numFmt w:val="decimal"/>
      <w:lvlRestart w:val="0"/>
      <w:lvlText w:val="%1."/>
      <w:lvlJc w:val="left"/>
      <w:pPr>
        <w:tabs>
          <w:tab w:val="num" w:pos="0"/>
        </w:tabs>
        <w:ind w:left="720" w:hanging="360"/>
      </w:pPr>
      <w:rPr>
        <w:rFonts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hint="default"/>
      </w:rPr>
    </w:lvl>
    <w:lvl w:ilvl="3">
      <w:start w:val="1"/>
      <w:numFmt w:val="bullet"/>
      <w:lvlText w:val=""/>
      <w:lvlJc w:val="left"/>
      <w:pPr>
        <w:tabs>
          <w:tab w:val="num" w:pos="0"/>
        </w:tabs>
        <w:ind w:left="2880" w:hanging="360"/>
      </w:pPr>
      <w:rPr>
        <w:rFonts w:ascii="Symbol" w:hAnsi="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hint="default"/>
      </w:rPr>
    </w:lvl>
    <w:lvl w:ilvl="6">
      <w:start w:val="1"/>
      <w:numFmt w:val="bullet"/>
      <w:lvlText w:val=""/>
      <w:lvlJc w:val="left"/>
      <w:pPr>
        <w:tabs>
          <w:tab w:val="num" w:pos="0"/>
        </w:tabs>
        <w:ind w:left="5040" w:hanging="360"/>
      </w:pPr>
      <w:rPr>
        <w:rFonts w:ascii="Symbol" w:hAnsi="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hint="default"/>
      </w:rPr>
    </w:lvl>
  </w:abstractNum>
  <w:abstractNum w:abstractNumId="1">
    <w:multiLevelType w:val="hybridMultilevel"/>
    <w:tmpl w:val="3B7A3ED0"/>
    <w:lvl w:ilvl="0">
      <w:start w:val="1"/>
      <w:numFmt w:val="decimal"/>
      <w:lvlRestart w:val="0"/>
      <w:lvlText w:val="%1."/>
      <w:lvlJc w:val="left"/>
      <w:pPr>
        <w:tabs>
          <w:tab w:val="num" w:pos="0"/>
        </w:tabs>
        <w:ind w:left="720" w:hanging="360"/>
      </w:pPr>
      <w:rPr>
        <w:rFonts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hint="default"/>
      </w:rPr>
    </w:lvl>
    <w:lvl w:ilvl="3">
      <w:start w:val="1"/>
      <w:numFmt w:val="bullet"/>
      <w:lvlText w:val=""/>
      <w:lvlJc w:val="left"/>
      <w:pPr>
        <w:tabs>
          <w:tab w:val="num" w:pos="0"/>
        </w:tabs>
        <w:ind w:left="2880" w:hanging="360"/>
      </w:pPr>
      <w:rPr>
        <w:rFonts w:ascii="Symbol" w:hAnsi="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hint="default"/>
      </w:rPr>
    </w:lvl>
    <w:lvl w:ilvl="6">
      <w:start w:val="1"/>
      <w:numFmt w:val="bullet"/>
      <w:lvlText w:val=""/>
      <w:lvlJc w:val="left"/>
      <w:pPr>
        <w:tabs>
          <w:tab w:val="num" w:pos="0"/>
        </w:tabs>
        <w:ind w:left="5040" w:hanging="360"/>
      </w:pPr>
      <w:rPr>
        <w:rFonts w:ascii="Symbol" w:hAnsi="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hint="default"/>
      </w:rPr>
    </w:lvl>
  </w:abstractNum>
  <w:abstractNum w:abstractNumId="2">
    <w:multiLevelType w:val="hybridMultilevel"/>
    <w:tmpl w:val="A008E050"/>
    <w:lvl w:ilvl="0">
      <w:start w:val="1"/>
      <w:numFmt w:val="decimal"/>
      <w:lvlRestart w:val="0"/>
      <w:lvlText w:val="%1."/>
      <w:lvlJc w:val="left"/>
      <w:pPr>
        <w:tabs>
          <w:tab w:val="num" w:pos="0"/>
        </w:tabs>
        <w:ind w:left="720" w:hanging="360"/>
      </w:pPr>
      <w:rPr>
        <w:rFonts w:hint="default"/>
      </w:rPr>
    </w:lvl>
    <w:lvl w:ilvl="1">
      <w:start w:val="1"/>
      <w:numFmt w:val="lowerLetter"/>
      <w:lvlText w:val="%2."/>
      <w:lvlJc w:val="left"/>
      <w:pPr>
        <w:tabs>
          <w:tab w:val="num" w:pos="0"/>
        </w:tabs>
        <w:ind w:left="1440" w:hanging="360"/>
      </w:pPr>
    </w:lvl>
    <w:lvl w:ilvl="2">
      <w:start w:val="1"/>
      <w:numFmt w:val="lowerRoman"/>
      <w:lvlText w:val="%3."/>
      <w:lvlJc w:val="right"/>
      <w:pPr>
        <w:tabs>
          <w:tab w:val="num" w:pos="0"/>
        </w:tabs>
        <w:ind w:left="2160" w:hanging="180"/>
      </w:pPr>
    </w:lvl>
    <w:lvl w:ilvl="3">
      <w:start w:val="1"/>
      <w:numFmt w:val="decimal"/>
      <w:lvlText w:val="%4."/>
      <w:lvlJc w:val="left"/>
      <w:pPr>
        <w:tabs>
          <w:tab w:val="num" w:pos="0"/>
        </w:tabs>
        <w:ind w:left="2880" w:hanging="360"/>
      </w:pPr>
    </w:lvl>
    <w:lvl w:ilvl="4">
      <w:start w:val="1"/>
      <w:numFmt w:val="lowerLetter"/>
      <w:lvlText w:val="%5."/>
      <w:lvlJc w:val="left"/>
      <w:pPr>
        <w:tabs>
          <w:tab w:val="num" w:pos="0"/>
        </w:tabs>
        <w:ind w:left="3600" w:hanging="360"/>
      </w:pPr>
    </w:lvl>
    <w:lvl w:ilvl="5">
      <w:start w:val="1"/>
      <w:numFmt w:val="lowerRoman"/>
      <w:lvlText w:val="%6."/>
      <w:lvlJc w:val="right"/>
      <w:pPr>
        <w:tabs>
          <w:tab w:val="num" w:pos="0"/>
        </w:tabs>
        <w:ind w:left="4320" w:hanging="180"/>
      </w:pPr>
    </w:lvl>
    <w:lvl w:ilvl="6">
      <w:start w:val="1"/>
      <w:numFmt w:val="decimal"/>
      <w:lvlText w:val="%7."/>
      <w:lvlJc w:val="left"/>
      <w:pPr>
        <w:tabs>
          <w:tab w:val="num" w:pos="0"/>
        </w:tabs>
        <w:ind w:left="5040" w:hanging="360"/>
      </w:pPr>
    </w:lvl>
    <w:lvl w:ilvl="7">
      <w:start w:val="1"/>
      <w:numFmt w:val="lowerLetter"/>
      <w:lvlText w:val="%8."/>
      <w:lvlJc w:val="left"/>
      <w:pPr>
        <w:tabs>
          <w:tab w:val="num" w:pos="0"/>
        </w:tabs>
        <w:ind w:left="5760" w:hanging="360"/>
      </w:pPr>
    </w:lvl>
    <w:lvl w:ilvl="8">
      <w:start w:val="1"/>
      <w:numFmt w:val="lowerRoman"/>
      <w:lvlText w:val="%9."/>
      <w:lvlJc w:val="right"/>
      <w:pPr>
        <w:tabs>
          <w:tab w:val="num" w:pos="0"/>
        </w:tabs>
        <w:ind w:left="6480" w:hanging="180"/>
      </w:pPr>
    </w:lvl>
  </w:abstractNum>
  <w:abstractNum w:abstractNumId="3">
    <w:multiLevelType w:val="hybridMultilevel"/>
    <w:tmpl w:val="3F8C5C0C"/>
    <w:lvl w:ilvl="0">
      <w:start w:val="1"/>
      <w:numFmt w:val="decimal"/>
      <w:lvlRestart w:val="0"/>
      <w:lvlText w:val="%1."/>
      <w:lvlJc w:val="left"/>
      <w:pPr>
        <w:tabs>
          <w:tab w:val="num" w:pos="0"/>
        </w:tabs>
        <w:ind w:left="720" w:hanging="360"/>
      </w:pPr>
      <w:rPr>
        <w:rFonts w:hint="default"/>
      </w:rPr>
    </w:lvl>
    <w:lvl w:ilvl="1">
      <w:start w:val="1"/>
      <w:numFmt w:val="lowerLetter"/>
      <w:lvlText w:val="%2."/>
      <w:lvlJc w:val="left"/>
      <w:pPr>
        <w:tabs>
          <w:tab w:val="num" w:pos="0"/>
        </w:tabs>
        <w:ind w:left="1440" w:hanging="360"/>
      </w:pPr>
    </w:lvl>
    <w:lvl w:ilvl="2">
      <w:start w:val="1"/>
      <w:numFmt w:val="lowerRoman"/>
      <w:lvlText w:val="%3."/>
      <w:lvlJc w:val="right"/>
      <w:pPr>
        <w:tabs>
          <w:tab w:val="num" w:pos="0"/>
        </w:tabs>
        <w:ind w:left="2160" w:hanging="180"/>
      </w:pPr>
    </w:lvl>
    <w:lvl w:ilvl="3">
      <w:start w:val="1"/>
      <w:numFmt w:val="decimal"/>
      <w:lvlText w:val="%4."/>
      <w:lvlJc w:val="left"/>
      <w:pPr>
        <w:tabs>
          <w:tab w:val="num" w:pos="0"/>
        </w:tabs>
        <w:ind w:left="2880" w:hanging="360"/>
      </w:pPr>
    </w:lvl>
    <w:lvl w:ilvl="4">
      <w:start w:val="1"/>
      <w:numFmt w:val="lowerLetter"/>
      <w:lvlText w:val="%5."/>
      <w:lvlJc w:val="left"/>
      <w:pPr>
        <w:tabs>
          <w:tab w:val="num" w:pos="0"/>
        </w:tabs>
        <w:ind w:left="3600" w:hanging="360"/>
      </w:pPr>
    </w:lvl>
    <w:lvl w:ilvl="5">
      <w:start w:val="1"/>
      <w:numFmt w:val="lowerRoman"/>
      <w:lvlText w:val="%6."/>
      <w:lvlJc w:val="right"/>
      <w:pPr>
        <w:tabs>
          <w:tab w:val="num" w:pos="0"/>
        </w:tabs>
        <w:ind w:left="4320" w:hanging="180"/>
      </w:pPr>
    </w:lvl>
    <w:lvl w:ilvl="6">
      <w:start w:val="1"/>
      <w:numFmt w:val="decimal"/>
      <w:lvlText w:val="%7."/>
      <w:lvlJc w:val="left"/>
      <w:pPr>
        <w:tabs>
          <w:tab w:val="num" w:pos="0"/>
        </w:tabs>
        <w:ind w:left="5040" w:hanging="360"/>
      </w:pPr>
    </w:lvl>
    <w:lvl w:ilvl="7">
      <w:start w:val="1"/>
      <w:numFmt w:val="lowerLetter"/>
      <w:lvlText w:val="%8."/>
      <w:lvlJc w:val="left"/>
      <w:pPr>
        <w:tabs>
          <w:tab w:val="num" w:pos="0"/>
        </w:tabs>
        <w:ind w:left="5760" w:hanging="360"/>
      </w:pPr>
    </w:lvl>
    <w:lvl w:ilvl="8">
      <w:start w:val="1"/>
      <w:numFmt w:val="lowerRoman"/>
      <w:lvlText w:val="%9."/>
      <w:lvlJc w:val="right"/>
      <w:pPr>
        <w:tabs>
          <w:tab w:val="num" w:pos="0"/>
        </w:tabs>
        <w:ind w:left="6480" w:hanging="180"/>
      </w:pPr>
    </w:lvl>
  </w:abstractNum>
  <w:num w:numId="1">
    <w:abstractNumId w:val="0"/>
  </w:num>
  <w:num w:numId="2">
    <w:abstractNumId w:val="1"/>
  </w:num>
  <w:num w:numId="3">
    <w:abstractNumId w:val="2"/>
  </w:num>
  <w:num w:numId="4">
    <w:abstractNumId w:val="3"/>
  </w:num>
</w:numbering>
</file>

<file path=word/settings.xml><?xml version="1.0" encoding="utf-8"?>
<w:settings xmlns:w="http://schemas.openxmlformats.org/wordprocessingml/2006/main" xmlns:o="urn:schemas-microsoft-com:office:office" xmlns:r="http://schemas.openxmlformats.org/officeDocument/2006/relationships" xmlns:m="http://schemas.openxmlformats.org/officeDocument/2006/math" xmlns:v="urn:schemas-microsoft-com:vml">
  <w:zoom w:percent="202"/>
  <w:bordersDoNotSurroundHeader/>
  <w:bordersDoNotSurroundFooter/>
  <w:defaultTabStop w:val="720"/>
  <w:drawingGridHorizontalSpacing w:val="120"/>
  <w:drawingGridVerticalSpacing w:val="163"/>
  <w:displayHorizontalDrawingGridEvery w:val="0"/>
  <w:displayVerticalDrawingGridEvery w:val="1"/>
  <w:savePreviewPicture/>
  <w:compat>
    <w:spaceForUL/>
    <w:growAutofit/>
    <w:compatSetting w:name="compatibilityMode" w:uri="http://schemas.microsoft.com/office/word" w:val="14"/>
  </w:compat>
  <m:mathPr>
    <m:mathFont m:val="Cambria Math"/>
    <m:brkBin m:val="before"/>
    <m:brkBinSub m:val="--"/>
    <m:smallFrac/>
    <m:dispDef/>
    <m:lMargin m:val="0"/>
    <m:rMargin m:val="0"/>
    <m:defJc m:val="centerGroup"/>
    <m:wrapIndent m:val="1440"/>
    <m:intLim m:val="subSup"/>
    <m:naryLim m:val="undOvr"/>
  </m:mathPr>
</w:settings>
</file>

<file path=word/styles.xml><?xml version="1.0" encoding="utf-8"?>
<w:styles xmlns:w="http://schemas.openxmlformats.org/wordprocessingml/2006/main" xmlns:r="http://schemas.openxmlformats.org/officeDocument/2006/relationships">
  <w:docDefaults>
    <w:rPrDefault>
      <w:rPr>
        <w:rFonts w:ascii="Times New Roman" w:eastAsia="宋体" w:hAnsi="Times New Roman" w:cs="Times New Roman"/>
        <w:lang w:val="en-US" w:eastAsia="zh-CN" w:bidi="ar-SA"/>
      </w:rPr>
    </w:rPrDefault>
    <w:pPrDefault/>
  </w:docDefaults>
  <w:style w:type="paragraph" w:default="1" w:styleId="0">
    <w:name w:val="Normal"/>
    <w:pPr>
      <w:spacing w:line="360" w:lineRule="auto"/>
      <w:jc w:val="both"/>
    </w:pPr>
    <w:rPr>
      <w:rFonts w:ascii="Times New Roman" w:eastAsia="Times New Roman" w:cs="Times New Roman" w:hAnsi="Times New Roman"/>
      <w:sz w:val="24"/>
      <w:szCs w:val="24"/>
      <w:lang w:eastAsia="en-US" w:bidi="ar-SA"/>
    </w:rPr>
  </w:style>
  <w:style w:type="paragraph" w:styleId="1">
    <w:name w:val="heading 1"/>
    <w:basedOn w:val="0"/>
    <w:next w:val="0"/>
    <w:pPr>
      <w:keepNext/>
      <w:keepLines/>
      <w:spacing w:before="400" w:after="120"/>
      <w:outlineLvl w:val="0"/>
    </w:pPr>
    <w:rPr>
      <w:b/>
      <w:sz w:val="28"/>
      <w:szCs w:val="28"/>
    </w:rPr>
  </w:style>
  <w:style w:type="paragraph" w:styleId="2">
    <w:name w:val="heading 2"/>
    <w:basedOn w:val="0"/>
    <w:next w:val="0"/>
    <w:pPr>
      <w:keepNext/>
      <w:keepLines/>
      <w:spacing w:before="360" w:after="120"/>
      <w:outlineLvl w:val="1"/>
    </w:pPr>
    <w:rPr>
      <w:b/>
      <w:sz w:val="26"/>
      <w:szCs w:val="26"/>
    </w:rPr>
  </w:style>
  <w:style w:type="paragraph" w:styleId="3">
    <w:name w:val="heading 3"/>
    <w:basedOn w:val="0"/>
    <w:next w:val="0"/>
    <w:pPr>
      <w:keepNext/>
      <w:keepLines/>
      <w:spacing w:before="320" w:after="80"/>
      <w:outlineLvl w:val="2"/>
    </w:pPr>
    <w:rPr>
      <w:color w:val="434343"/>
      <w:sz w:val="28"/>
      <w:szCs w:val="28"/>
    </w:rPr>
  </w:style>
  <w:style w:type="paragraph" w:styleId="4">
    <w:name w:val="heading 4"/>
    <w:basedOn w:val="0"/>
    <w:next w:val="0"/>
    <w:pPr>
      <w:keepNext/>
      <w:keepLines/>
      <w:spacing w:before="280" w:after="80"/>
      <w:outlineLvl w:val="3"/>
    </w:pPr>
    <w:rPr>
      <w:color w:val="666666"/>
    </w:rPr>
  </w:style>
  <w:style w:type="paragraph" w:styleId="5">
    <w:name w:val="heading 5"/>
    <w:basedOn w:val="0"/>
    <w:next w:val="0"/>
    <w:pPr>
      <w:keepNext/>
      <w:keepLines/>
      <w:spacing w:before="240" w:after="80"/>
      <w:outlineLvl w:val="4"/>
    </w:pPr>
    <w:rPr>
      <w:color w:val="666666"/>
      <w:sz w:val="22"/>
      <w:szCs w:val="22"/>
    </w:rPr>
  </w:style>
  <w:style w:type="paragraph" w:styleId="6">
    <w:name w:val="heading 6"/>
    <w:basedOn w:val="0"/>
    <w:next w:val="0"/>
    <w:pPr>
      <w:keepNext/>
      <w:keepLines/>
      <w:spacing w:before="240" w:after="80"/>
      <w:outlineLvl w:val="5"/>
    </w:pPr>
    <w:rPr>
      <w:i/>
      <w:color w:val="666666"/>
      <w:sz w:val="22"/>
      <w:szCs w:val="22"/>
    </w:rPr>
  </w:style>
  <w:style w:type="character" w:default="1" w:styleId="10">
    <w:name w:val="Default Paragraph Font"/>
  </w:style>
  <w:style w:type="paragraph" w:styleId="15">
    <w:name w:val="Title"/>
    <w:basedOn w:val="0"/>
    <w:next w:val="0"/>
    <w:pPr>
      <w:keepNext/>
      <w:keepLines/>
      <w:spacing w:after="60"/>
    </w:pPr>
    <w:rPr>
      <w:sz w:val="52"/>
      <w:szCs w:val="52"/>
    </w:rPr>
  </w:style>
  <w:style w:type="paragraph" w:styleId="16">
    <w:name w:val="Subtitle"/>
    <w:basedOn w:val="0"/>
    <w:next w:val="0"/>
    <w:pPr>
      <w:keepNext/>
      <w:keepLines/>
      <w:spacing w:after="320"/>
    </w:pPr>
    <w:rPr>
      <w:rFonts w:ascii="Arial" w:eastAsia="Arial" w:cs="Arial" w:hAnsi="Arial"/>
      <w:color w:val="666666"/>
      <w:sz w:val="30"/>
      <w:szCs w:val="30"/>
    </w:rPr>
  </w:style>
  <w:style w:type="paragraph" w:customStyle="1" w:styleId="17">
    <w:name w:val="Bibliography"/>
    <w:basedOn w:val="0"/>
    <w:next w:val="0"/>
  </w:style>
  <w:style w:type="character" w:styleId="18">
    <w:name w:val="Hyperlink"/>
    <w:basedOn w:val="10"/>
    <w:rPr>
      <w:color w:val="0000FF"/>
      <w:u w:val="single"/>
    </w:rPr>
  </w:style>
  <w:style w:type="character" w:customStyle="1" w:styleId="19">
    <w:name w:val="Unresolved Mention"/>
    <w:basedOn w:val="10"/>
    <w:rPr>
      <w:color w:val="605E5C"/>
      <w:shd w:val="clear" w:color="auto" w:fill="E1DFDD"/>
    </w:rPr>
  </w:style>
  <w:style w:type="paragraph" w:customStyle="1" w:styleId="20">
    <w:name w:val="No Spacing"/>
    <w:pPr>
      <w:spacing w:line="240" w:lineRule="auto"/>
      <w:jc w:val="both"/>
    </w:pPr>
    <w:rPr>
      <w:rFonts w:ascii="Times New Roman" w:eastAsia="Times New Roman" w:cs="Times New Roman" w:hAnsi="Times New Roman"/>
      <w:sz w:val="24"/>
      <w:szCs w:val="24"/>
      <w:lang w:eastAsia="en-US" w:bidi="ar-SA"/>
    </w:rPr>
  </w:style>
  <w:style w:type="paragraph" w:styleId="21">
    <w:name w:val="header"/>
    <w:basedOn w:val="0"/>
    <w:pPr>
      <w:tabs>
        <w:tab w:val="center" w:pos="4680"/>
        <w:tab w:val="right" w:pos="9360"/>
      </w:tabs>
      <w:spacing w:line="240" w:lineRule="auto"/>
    </w:pPr>
  </w:style>
  <w:style w:type="paragraph" w:styleId="22">
    <w:name w:val="footer"/>
    <w:basedOn w:val="0"/>
    <w:pPr>
      <w:tabs>
        <w:tab w:val="center" w:pos="4680"/>
        <w:tab w:val="right" w:pos="9360"/>
      </w:tabs>
      <w:spacing w:line="240" w:lineRule="auto"/>
    </w:pPr>
  </w:style>
  <w:style w:type="paragraph" w:customStyle="1" w:styleId="23">
    <w:name w:val="TOC Heading"/>
    <w:basedOn w:val="1"/>
    <w:next w:val="0"/>
    <w:pPr>
      <w:spacing w:before="240" w:after="0" w:line="259" w:lineRule="auto"/>
      <w:jc w:val="left"/>
      <w:outlineLvl w:val="9"/>
    </w:pPr>
    <w:rPr>
      <w:rFonts w:ascii="Calibri" w:eastAsia="宋体" w:cs="Times New Roman" w:hAnsi="Calibri"/>
      <w:b w:val="0"/>
      <w:color w:val="365F91"/>
      <w:sz w:val="32"/>
      <w:szCs w:val="32"/>
      <w:lang w:val="en-US"/>
    </w:rPr>
  </w:style>
  <w:style w:type="paragraph" w:styleId="24">
    <w:name w:val="toc 1"/>
    <w:basedOn w:val="0"/>
    <w:autoRedefine/>
    <w:next w:val="0"/>
    <w:pPr>
      <w:spacing w:after="100"/>
    </w:pPr>
  </w:style>
  <w:style w:type="paragraph" w:styleId="25">
    <w:name w:val="toc 2"/>
    <w:basedOn w:val="0"/>
    <w:autoRedefine/>
    <w:next w:val="0"/>
    <w:pPr>
      <w:spacing w:after="100"/>
      <w:ind w:left="240"/>
    </w:pPr>
  </w:style>
  <w:style w:type="paragraph" w:customStyle="1" w:styleId="26">
    <w:name w:val="List Paragraph"/>
    <w:basedOn w:val="0"/>
    <w:pPr>
      <w:ind w:left="720"/>
      <w:contextualSpacing/>
    </w:pPr>
  </w:style>
  <w:style w:type="paragraph" w:styleId="27">
    <w:name w:val="toc 3"/>
    <w:basedOn w:val="0"/>
    <w:autoRedefine/>
    <w:next w:val="0"/>
    <w:pPr>
      <w:spacing w:after="100"/>
      <w:ind w:left="480"/>
    </w:pPr>
  </w:style>
</w:styles>
</file>

<file path=word/_rels/document.xml.rels><?xml version="1.0" encoding="UTF-8" standalone="yes"?>
<Relationships xmlns="http://schemas.openxmlformats.org/package/2006/relationships"><Relationship Id="rId1" Type="http://schemas.openxmlformats.org/officeDocument/2006/relationships/settings" Target="settings.xml"/><Relationship Id="rId2" Type="http://schemas.openxmlformats.org/officeDocument/2006/relationships/header" Target="header1.xml"/><Relationship Id="rId3" Type="http://schemas.openxmlformats.org/officeDocument/2006/relationships/footer" Target="footer1.xml"/><Relationship Id="rId4" Type="http://schemas.openxmlformats.org/officeDocument/2006/relationships/image" Target="media/2.png"/><Relationship Id="rId5" Type="http://schemas.openxmlformats.org/officeDocument/2006/relationships/image" Target="media/5.png"/><Relationship Id="rId6" Type="http://schemas.openxmlformats.org/officeDocument/2006/relationships/image" Target="media/8.png"/><Relationship Id="rId7" Type="http://schemas.openxmlformats.org/officeDocument/2006/relationships/styles" Target="styles.xml"/><Relationship Id="rId8" Type="http://schemas.openxmlformats.org/officeDocument/2006/relationships/numbering" Target="numbering.xml"/><Relationship Id="rId9" Type="http://schemas.openxmlformats.org/officeDocument/2006/relationships/fontTable" Target="fontTable.xml"/></Relationships>
</file>

<file path=docProps/app.xml><?xml version="1.0" encoding="utf-8"?>
<Properties xmlns="http://schemas.openxmlformats.org/officeDocument/2006/extended-properties">
  <Template>Normal.eit</Template>
  <TotalTime>2</TotalTime>
  <Application>Honor_Office</Application>
  <Pages>23</Pages>
  <Words>3983</Words>
  <Characters>24378</Characters>
  <Lines>490</Lines>
  <Paragraphs>154</Paragraphs>
  <CharactersWithSpaces>28241</CharactersWithSpaces>
</Properties>
</file>

<file path=docProps/core.xml><?xml version="1.0" encoding="utf-8"?>
<cp:coreProperties xmlns:cp="http://schemas.openxmlformats.org/package/2006/metadata/core-properties" xmlns:dc="http://purl.org/dc/elements/1.1/" xmlns:dcterms="http://purl.org/dc/terms/" xmlns:xsi="http://www.w3.org/2001/XMLSchema-instance">
  <cp:lastModifiedBy>HONOR Docs</cp:lastModifiedBy>
  <cp:revision>1</cp:revision>
  <dcterms:created xsi:type="dcterms:W3CDTF">2025-10-28T13:09:00Z</dcterms:created>
  <dcterms:modified xsi:type="dcterms:W3CDTF">2025-11-11T15:27:04Z</dcterms:modified>
</cp:coreProperties>
</file>