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02E63B" w14:textId="77777777" w:rsidR="00B87A77" w:rsidRDefault="00B87A77" w:rsidP="0015542B">
      <w:pPr>
        <w:spacing w:line="278" w:lineRule="auto"/>
        <w:jc w:val="center"/>
        <w:rPr>
          <w:b/>
          <w:bCs/>
          <w:sz w:val="32"/>
          <w:szCs w:val="32"/>
        </w:rPr>
      </w:pPr>
    </w:p>
    <w:p w14:paraId="6147469D" w14:textId="77777777" w:rsidR="00B87A77" w:rsidRDefault="00B87A77" w:rsidP="0015542B">
      <w:pPr>
        <w:spacing w:line="278" w:lineRule="auto"/>
        <w:jc w:val="center"/>
        <w:rPr>
          <w:b/>
          <w:bCs/>
          <w:sz w:val="32"/>
          <w:szCs w:val="32"/>
        </w:rPr>
      </w:pPr>
    </w:p>
    <w:p w14:paraId="066CE56E" w14:textId="77777777" w:rsidR="0015542B" w:rsidRDefault="0015542B" w:rsidP="0015542B">
      <w:pPr>
        <w:spacing w:line="278" w:lineRule="auto"/>
        <w:jc w:val="center"/>
        <w:rPr>
          <w:b/>
          <w:bCs/>
          <w:sz w:val="32"/>
          <w:szCs w:val="32"/>
        </w:rPr>
      </w:pPr>
      <w:r w:rsidRPr="000F6AF9">
        <w:rPr>
          <w:b/>
          <w:bCs/>
          <w:sz w:val="32"/>
          <w:szCs w:val="32"/>
        </w:rPr>
        <w:t xml:space="preserve">Module Code: </w:t>
      </w:r>
      <w:r w:rsidR="003723E5" w:rsidRPr="003723E5">
        <w:rPr>
          <w:sz w:val="32"/>
          <w:szCs w:val="32"/>
        </w:rPr>
        <w:t>LCLM5003</w:t>
      </w:r>
    </w:p>
    <w:p w14:paraId="1AAA721F" w14:textId="77777777" w:rsidR="0015542B" w:rsidRDefault="0015542B" w:rsidP="0015542B">
      <w:pPr>
        <w:spacing w:line="278" w:lineRule="auto"/>
        <w:jc w:val="center"/>
        <w:rPr>
          <w:b/>
          <w:bCs/>
          <w:sz w:val="32"/>
          <w:szCs w:val="32"/>
        </w:rPr>
      </w:pPr>
      <w:r w:rsidRPr="000F6AF9">
        <w:rPr>
          <w:b/>
          <w:bCs/>
          <w:sz w:val="32"/>
          <w:szCs w:val="32"/>
        </w:rPr>
        <w:t>Module Title:</w:t>
      </w:r>
      <w:r w:rsidR="003723E5" w:rsidRPr="003723E5">
        <w:rPr>
          <w:sz w:val="32"/>
          <w:szCs w:val="32"/>
        </w:rPr>
        <w:t>Project Management</w:t>
      </w:r>
    </w:p>
    <w:p w14:paraId="17E8DBD7" w14:textId="4A68E6C6" w:rsidR="0015542B" w:rsidRPr="000F6AF9" w:rsidRDefault="0015542B" w:rsidP="0015542B">
      <w:pPr>
        <w:spacing w:line="278" w:lineRule="auto"/>
        <w:jc w:val="center"/>
        <w:rPr>
          <w:b/>
          <w:bCs/>
          <w:sz w:val="32"/>
          <w:szCs w:val="32"/>
        </w:rPr>
      </w:pPr>
    </w:p>
    <w:p w14:paraId="5B469302" w14:textId="3A175DD9" w:rsidR="0015542B" w:rsidRPr="000F6AF9" w:rsidRDefault="0015542B" w:rsidP="0015542B">
      <w:pPr>
        <w:spacing w:line="278" w:lineRule="auto"/>
        <w:jc w:val="center"/>
        <w:rPr>
          <w:b/>
          <w:bCs/>
          <w:sz w:val="32"/>
          <w:szCs w:val="32"/>
        </w:rPr>
      </w:pPr>
      <w:r>
        <w:rPr>
          <w:b/>
          <w:bCs/>
          <w:sz w:val="32"/>
          <w:szCs w:val="32"/>
        </w:rPr>
        <w:t xml:space="preserve">Title: </w:t>
      </w:r>
      <w:r w:rsidR="003723E5" w:rsidRPr="003723E5">
        <w:rPr>
          <w:sz w:val="32"/>
          <w:szCs w:val="32"/>
        </w:rPr>
        <w:t>A Project</w:t>
      </w:r>
      <w:r w:rsidR="003723E5">
        <w:rPr>
          <w:sz w:val="32"/>
          <w:szCs w:val="32"/>
        </w:rPr>
        <w:t xml:space="preserve"> P</w:t>
      </w:r>
      <w:r w:rsidR="003723E5" w:rsidRPr="003723E5">
        <w:rPr>
          <w:sz w:val="32"/>
          <w:szCs w:val="32"/>
        </w:rPr>
        <w:t>ortfolio</w:t>
      </w:r>
    </w:p>
    <w:p w14:paraId="3D828DA4" w14:textId="5FA23070" w:rsidR="0015542B" w:rsidRDefault="0015542B" w:rsidP="0015542B">
      <w:pPr>
        <w:spacing w:line="278" w:lineRule="auto"/>
        <w:jc w:val="center"/>
        <w:rPr>
          <w:b/>
          <w:bCs/>
          <w:sz w:val="32"/>
          <w:szCs w:val="32"/>
        </w:rPr>
      </w:pPr>
    </w:p>
    <w:p w14:paraId="5480A538" w14:textId="1202D6B4" w:rsidR="00B87A77" w:rsidRDefault="00B87A77" w:rsidP="0015542B">
      <w:pPr>
        <w:spacing w:line="278" w:lineRule="auto"/>
        <w:jc w:val="center"/>
        <w:rPr>
          <w:b/>
          <w:bCs/>
          <w:sz w:val="32"/>
          <w:szCs w:val="32"/>
        </w:rPr>
      </w:pPr>
    </w:p>
    <w:p w14:paraId="664F2A9C" w14:textId="7977DBC1" w:rsidR="00B87A77" w:rsidRDefault="00B87A77" w:rsidP="0015542B">
      <w:pPr>
        <w:spacing w:line="278" w:lineRule="auto"/>
        <w:jc w:val="center"/>
        <w:rPr>
          <w:b/>
          <w:bCs/>
          <w:sz w:val="32"/>
          <w:szCs w:val="32"/>
        </w:rPr>
      </w:pPr>
    </w:p>
    <w:p w14:paraId="062297A4" w14:textId="43CD4782" w:rsidR="00B87A77" w:rsidRDefault="00B87A77" w:rsidP="0015542B">
      <w:pPr>
        <w:spacing w:line="278" w:lineRule="auto"/>
        <w:jc w:val="center"/>
        <w:rPr>
          <w:b/>
          <w:bCs/>
          <w:sz w:val="32"/>
          <w:szCs w:val="32"/>
        </w:rPr>
      </w:pPr>
    </w:p>
    <w:p w14:paraId="78201071" w14:textId="2ADB4E72" w:rsidR="00B87A77" w:rsidRDefault="00B87A77" w:rsidP="0015542B">
      <w:pPr>
        <w:spacing w:line="278" w:lineRule="auto"/>
        <w:jc w:val="center"/>
        <w:rPr>
          <w:b/>
          <w:bCs/>
          <w:sz w:val="32"/>
          <w:szCs w:val="32"/>
        </w:rPr>
      </w:pPr>
    </w:p>
    <w:p w14:paraId="0123C327" w14:textId="73F71D97" w:rsidR="00B87A77" w:rsidRDefault="00B87A77" w:rsidP="0015542B">
      <w:pPr>
        <w:spacing w:line="278" w:lineRule="auto"/>
        <w:jc w:val="center"/>
        <w:rPr>
          <w:b/>
          <w:bCs/>
          <w:sz w:val="32"/>
          <w:szCs w:val="32"/>
        </w:rPr>
      </w:pPr>
    </w:p>
    <w:p w14:paraId="54026BA2" w14:textId="3655BD74" w:rsidR="00B87A77" w:rsidRPr="000F6AF9" w:rsidRDefault="00B87A77" w:rsidP="0015542B">
      <w:pPr>
        <w:spacing w:line="278" w:lineRule="auto"/>
        <w:jc w:val="center"/>
        <w:rPr>
          <w:b/>
          <w:bCs/>
          <w:sz w:val="32"/>
          <w:szCs w:val="32"/>
        </w:rPr>
      </w:pPr>
    </w:p>
    <w:p w14:paraId="7BE81618" w14:textId="55FD8D5F" w:rsidR="0015542B" w:rsidRPr="000F6AF9" w:rsidRDefault="0015542B" w:rsidP="0015542B">
      <w:pPr>
        <w:spacing w:line="278" w:lineRule="auto"/>
        <w:jc w:val="center"/>
        <w:rPr>
          <w:b/>
          <w:bCs/>
          <w:sz w:val="32"/>
          <w:szCs w:val="32"/>
        </w:rPr>
      </w:pPr>
      <w:r w:rsidRPr="000F6AF9">
        <w:rPr>
          <w:b/>
          <w:bCs/>
          <w:sz w:val="32"/>
          <w:szCs w:val="32"/>
        </w:rPr>
        <w:t>Student Name:</w:t>
      </w:r>
      <w:r w:rsidR="00D61B3E">
        <w:rPr>
          <w:b/>
          <w:bCs/>
          <w:sz w:val="32"/>
          <w:szCs w:val="32"/>
        </w:rPr>
        <w:t xml:space="preserve"> </w:t>
      </w:r>
      <w:proofErr w:type="spellStart"/>
      <w:r w:rsidR="00D61B3E">
        <w:rPr>
          <w:b/>
          <w:bCs/>
          <w:sz w:val="32"/>
          <w:szCs w:val="32"/>
        </w:rPr>
        <w:t>Hasibull</w:t>
      </w:r>
      <w:proofErr w:type="spellEnd"/>
      <w:r w:rsidR="00D61B3E">
        <w:rPr>
          <w:b/>
          <w:bCs/>
          <w:sz w:val="32"/>
          <w:szCs w:val="32"/>
        </w:rPr>
        <w:t xml:space="preserve"> </w:t>
      </w:r>
      <w:proofErr w:type="spellStart"/>
      <w:r w:rsidR="00D61B3E">
        <w:rPr>
          <w:b/>
          <w:bCs/>
          <w:sz w:val="32"/>
          <w:szCs w:val="32"/>
        </w:rPr>
        <w:t>Khandeker</w:t>
      </w:r>
      <w:proofErr w:type="spellEnd"/>
    </w:p>
    <w:p w14:paraId="11A47FC5" w14:textId="42513109" w:rsidR="0015542B" w:rsidRDefault="0015542B" w:rsidP="0015542B">
      <w:pPr>
        <w:spacing w:line="278" w:lineRule="auto"/>
        <w:jc w:val="center"/>
        <w:rPr>
          <w:b/>
          <w:bCs/>
          <w:sz w:val="32"/>
          <w:szCs w:val="32"/>
        </w:rPr>
      </w:pPr>
      <w:r w:rsidRPr="000F6AF9">
        <w:rPr>
          <w:b/>
          <w:bCs/>
          <w:sz w:val="32"/>
          <w:szCs w:val="32"/>
        </w:rPr>
        <w:t>Student ID:</w:t>
      </w:r>
      <w:r w:rsidR="007509E1">
        <w:rPr>
          <w:b/>
          <w:bCs/>
          <w:sz w:val="32"/>
          <w:szCs w:val="32"/>
        </w:rPr>
        <w:t xml:space="preserve"> </w:t>
      </w:r>
      <w:r w:rsidR="00D61B3E">
        <w:rPr>
          <w:b/>
          <w:bCs/>
          <w:sz w:val="32"/>
          <w:szCs w:val="32"/>
        </w:rPr>
        <w:t>2423</w:t>
      </w:r>
      <w:r w:rsidR="00C23DBC">
        <w:rPr>
          <w:b/>
          <w:bCs/>
          <w:sz w:val="32"/>
          <w:szCs w:val="32"/>
        </w:rPr>
        <w:t>897</w:t>
      </w:r>
    </w:p>
    <w:p w14:paraId="2FBDF2DF" w14:textId="6B6044FB" w:rsidR="00C23DBC" w:rsidRDefault="00C23DBC" w:rsidP="0015542B">
      <w:pPr>
        <w:spacing w:line="278" w:lineRule="auto"/>
        <w:jc w:val="center"/>
        <w:rPr>
          <w:b/>
          <w:bCs/>
          <w:sz w:val="32"/>
          <w:szCs w:val="32"/>
        </w:rPr>
      </w:pPr>
      <w:r>
        <w:rPr>
          <w:b/>
          <w:bCs/>
          <w:sz w:val="32"/>
          <w:szCs w:val="32"/>
        </w:rPr>
        <w:t>Teacher</w:t>
      </w:r>
      <w:r w:rsidR="006B2760">
        <w:rPr>
          <w:b/>
          <w:bCs/>
          <w:sz w:val="32"/>
          <w:szCs w:val="32"/>
        </w:rPr>
        <w:t>: Dr Kareem Sani</w:t>
      </w:r>
    </w:p>
    <w:p w14:paraId="6EC6755E" w14:textId="46D8EF9A" w:rsidR="0015542B" w:rsidRDefault="0015542B" w:rsidP="0015542B">
      <w:pPr>
        <w:spacing w:line="278" w:lineRule="auto"/>
        <w:jc w:val="center"/>
        <w:rPr>
          <w:b/>
          <w:bCs/>
          <w:sz w:val="32"/>
          <w:szCs w:val="32"/>
        </w:rPr>
      </w:pPr>
    </w:p>
    <w:p w14:paraId="4E9177F5" w14:textId="3D9D7893" w:rsidR="0015542B" w:rsidRDefault="0015542B" w:rsidP="0015542B">
      <w:pPr>
        <w:jc w:val="center"/>
        <w:rPr>
          <w:b/>
          <w:bCs/>
          <w:sz w:val="32"/>
          <w:szCs w:val="32"/>
        </w:rPr>
      </w:pPr>
    </w:p>
    <w:p w14:paraId="3DB3BF8E" w14:textId="54CDFE66" w:rsidR="0015542B" w:rsidRDefault="0015542B" w:rsidP="0015542B">
      <w:pPr>
        <w:jc w:val="center"/>
        <w:rPr>
          <w:b/>
          <w:bCs/>
          <w:sz w:val="32"/>
          <w:szCs w:val="32"/>
        </w:rPr>
      </w:pPr>
    </w:p>
    <w:p w14:paraId="6E2AA095" w14:textId="1FF5EBE1" w:rsidR="006059CD" w:rsidRDefault="0015542B" w:rsidP="0015542B">
      <w:pPr>
        <w:spacing w:line="278" w:lineRule="auto"/>
        <w:jc w:val="left"/>
        <w:rPr>
          <w:rFonts w:ascii="Arial" w:eastAsia="Calibri" w:hAnsi="Arial" w:cs="Arial"/>
          <w:noProof/>
          <w:kern w:val="0"/>
          <w:sz w:val="22"/>
          <w:szCs w:val="22"/>
          <w:lang w:val="en-GB" w:eastAsia="en-GB"/>
        </w:rPr>
      </w:pPr>
      <w:r>
        <w:rPr>
          <w:rFonts w:ascii="Arial" w:eastAsia="Calibri" w:hAnsi="Arial" w:cs="Arial"/>
          <w:noProof/>
          <w:kern w:val="0"/>
          <w:sz w:val="22"/>
          <w:szCs w:val="22"/>
          <w:lang w:val="en-GB" w:eastAsia="en-GB"/>
        </w:rPr>
        <w:br w:type="page"/>
      </w:r>
    </w:p>
    <w:p w14:paraId="582394E6" w14:textId="77777777" w:rsidR="00887C88" w:rsidRDefault="001D76B5" w:rsidP="00887C88">
      <w:pPr>
        <w:spacing w:line="278" w:lineRule="auto"/>
        <w:jc w:val="left"/>
        <w:rPr>
          <w:rFonts w:ascii="Arial" w:eastAsia="Calibri" w:hAnsi="Arial" w:cs="Arial"/>
          <w:noProof/>
          <w:kern w:val="0"/>
          <w:sz w:val="22"/>
          <w:szCs w:val="22"/>
          <w:lang w:val="en-GB" w:eastAsia="en-GB"/>
        </w:rPr>
      </w:pPr>
      <w:r>
        <w:rPr>
          <w:noProof/>
        </w:rPr>
        <w:lastRenderedPageBreak/>
        <w:drawing>
          <wp:anchor distT="0" distB="0" distL="114300" distR="114300" simplePos="0" relativeHeight="251659264" behindDoc="0" locked="0" layoutInCell="1" allowOverlap="1" wp14:anchorId="42AA516D" wp14:editId="23162877">
            <wp:simplePos x="0" y="0"/>
            <wp:positionH relativeFrom="column">
              <wp:posOffset>0</wp:posOffset>
            </wp:positionH>
            <wp:positionV relativeFrom="paragraph">
              <wp:posOffset>0</wp:posOffset>
            </wp:positionV>
            <wp:extent cx="5941451" cy="8460740"/>
            <wp:effectExtent l="0" t="0" r="2540" b="0"/>
            <wp:wrapTopAndBottom/>
            <wp:docPr id="290883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83152" name=""/>
                    <pic:cNvPicPr/>
                  </pic:nvPicPr>
                  <pic:blipFill>
                    <a:blip r:embed="rId7"/>
                    <a:stretch>
                      <a:fillRect/>
                    </a:stretch>
                  </pic:blipFill>
                  <pic:spPr>
                    <a:xfrm>
                      <a:off x="0" y="0"/>
                      <a:ext cx="5941451" cy="8460740"/>
                    </a:xfrm>
                    <a:prstGeom prst="rect">
                      <a:avLst/>
                    </a:prstGeom>
                  </pic:spPr>
                </pic:pic>
              </a:graphicData>
            </a:graphic>
            <wp14:sizeRelH relativeFrom="margin">
              <wp14:pctWidth>0</wp14:pctWidth>
            </wp14:sizeRelH>
            <wp14:sizeRelV relativeFrom="margin">
              <wp14:pctHeight>0</wp14:pctHeight>
            </wp14:sizeRelV>
          </wp:anchor>
        </w:drawing>
      </w:r>
    </w:p>
    <w:p w14:paraId="68E28F90" w14:textId="338D8B3E" w:rsidR="006059CD" w:rsidRPr="00887C88" w:rsidRDefault="006059CD" w:rsidP="00887C88">
      <w:pPr>
        <w:spacing w:line="278" w:lineRule="auto"/>
        <w:jc w:val="left"/>
        <w:rPr>
          <w:rFonts w:ascii="Arial" w:eastAsia="Calibri" w:hAnsi="Arial" w:cs="Arial"/>
          <w:noProof/>
          <w:kern w:val="0"/>
          <w:sz w:val="22"/>
          <w:szCs w:val="22"/>
          <w:lang w:val="en-GB" w:eastAsia="en-GB"/>
        </w:rPr>
      </w:pPr>
      <w:r w:rsidRPr="006059CD">
        <w:rPr>
          <w:rFonts w:eastAsiaTheme="minorEastAsia"/>
          <w:b/>
          <w:bCs/>
          <w:color w:val="1A1A1A" w:themeColor="background1" w:themeShade="1A"/>
          <w:kern w:val="0"/>
          <w:lang w:val="en-GB" w:eastAsia="en-GB"/>
        </w:rPr>
        <w:lastRenderedPageBreak/>
        <w:t>Reflection on Feedback and Improvements for the Final Project Management Plan</w:t>
      </w:r>
    </w:p>
    <w:p w14:paraId="56AA6E56" w14:textId="77777777" w:rsidR="006059CD" w:rsidRPr="006059CD" w:rsidRDefault="006059CD" w:rsidP="006059CD">
      <w:pPr>
        <w:spacing w:before="100" w:beforeAutospacing="1" w:after="100" w:afterAutospacing="1" w:line="240" w:lineRule="auto"/>
        <w:jc w:val="left"/>
        <w:rPr>
          <w:rFonts w:eastAsiaTheme="minorEastAsia"/>
          <w:color w:val="1A1A1A" w:themeColor="background1" w:themeShade="1A"/>
          <w:kern w:val="0"/>
          <w:lang w:val="en-GB" w:eastAsia="en-GB"/>
        </w:rPr>
      </w:pPr>
      <w:r w:rsidRPr="006059CD">
        <w:rPr>
          <w:rFonts w:eastAsiaTheme="minorEastAsia"/>
          <w:color w:val="1A1A1A" w:themeColor="background1" w:themeShade="1A"/>
          <w:kern w:val="0"/>
          <w:lang w:val="en-GB" w:eastAsia="en-GB"/>
        </w:rPr>
        <w:t>The feedback received from my tutor and peers highlighted several strengths in my project poster while also identifying areas that can be improved in the final project management plan. Overall, the comments confirmed that my poster successfully addressed the redevelopment of the central transport hub and demonstrated a clear understanding of the project management principles required for the assignment.</w:t>
      </w:r>
    </w:p>
    <w:p w14:paraId="6357D014" w14:textId="77777777" w:rsidR="006059CD" w:rsidRPr="006059CD" w:rsidRDefault="006059CD" w:rsidP="006059CD">
      <w:pPr>
        <w:spacing w:before="100" w:beforeAutospacing="1" w:after="100" w:afterAutospacing="1" w:line="240" w:lineRule="auto"/>
        <w:jc w:val="left"/>
        <w:rPr>
          <w:rFonts w:eastAsiaTheme="minorEastAsia"/>
          <w:color w:val="1A1A1A" w:themeColor="background1" w:themeShade="1A"/>
          <w:kern w:val="0"/>
          <w:lang w:val="en-GB" w:eastAsia="en-GB"/>
        </w:rPr>
      </w:pPr>
      <w:r w:rsidRPr="006059CD">
        <w:rPr>
          <w:rFonts w:eastAsiaTheme="minorEastAsia"/>
          <w:color w:val="1A1A1A" w:themeColor="background1" w:themeShade="1A"/>
          <w:kern w:val="0"/>
          <w:lang w:val="en-GB" w:eastAsia="en-GB"/>
        </w:rPr>
        <w:t>One of the key strengths identified was the clear and professional presentation of the poster. The project background effectively explained why the redevelopment was necessary, linking the closure of the transport hub to wider economic, environmental, and social issues. My project aim, objectives, scope, stakeholders, risks, and strategic value were all well aligned with the project scenario, creating a logical and coherent proposal. The tutor also recognised the strong stakeholder analysis, which clearly identified each stakeholder's level of influence and interest, as well as the structured risk management section that linked major project risks with appropriate mitigation strategies. In addition, the strategic value section successfully demonstrated how the project would contribute to economic recovery, sustainability, accessibility, and digital transformation. These comments show that I was able to communicate the project's purpose and benefits effectively to different stakeholders.</w:t>
      </w:r>
    </w:p>
    <w:p w14:paraId="3AD66C41" w14:textId="77777777" w:rsidR="006059CD" w:rsidRPr="006059CD" w:rsidRDefault="006059CD" w:rsidP="006059CD">
      <w:pPr>
        <w:spacing w:before="100" w:beforeAutospacing="1" w:after="100" w:afterAutospacing="1" w:line="240" w:lineRule="auto"/>
        <w:jc w:val="left"/>
        <w:rPr>
          <w:rFonts w:eastAsiaTheme="minorEastAsia"/>
          <w:color w:val="1A1A1A" w:themeColor="background1" w:themeShade="1A"/>
          <w:kern w:val="0"/>
          <w:lang w:val="en-GB" w:eastAsia="en-GB"/>
        </w:rPr>
      </w:pPr>
      <w:r w:rsidRPr="006059CD">
        <w:rPr>
          <w:rFonts w:eastAsiaTheme="minorEastAsia"/>
          <w:color w:val="1A1A1A" w:themeColor="background1" w:themeShade="1A"/>
          <w:kern w:val="0"/>
          <w:lang w:val="en-GB" w:eastAsia="en-GB"/>
        </w:rPr>
        <w:t>Despite these strengths, the feedback also highlighted several important areas for improvement. The main recommendation was to make the project objectives more specific and measurable by including clear performance targets and realistic timescales. In the final project management plan, I will revise each objective using the SMART framework so that progress can be measured throughout the project lifecycle. For example, instead of simply stating that carbon emissions will be reduced, I will include a measurable target and a completion deadline.</w:t>
      </w:r>
    </w:p>
    <w:p w14:paraId="4F03BD0C" w14:textId="77777777" w:rsidR="006059CD" w:rsidRPr="006059CD" w:rsidRDefault="006059CD" w:rsidP="006059CD">
      <w:pPr>
        <w:spacing w:before="100" w:beforeAutospacing="1" w:after="100" w:afterAutospacing="1" w:line="240" w:lineRule="auto"/>
        <w:jc w:val="left"/>
        <w:rPr>
          <w:rFonts w:eastAsiaTheme="minorEastAsia"/>
          <w:color w:val="1A1A1A" w:themeColor="background1" w:themeShade="1A"/>
          <w:kern w:val="0"/>
          <w:lang w:val="en-GB" w:eastAsia="en-GB"/>
        </w:rPr>
      </w:pPr>
      <w:r w:rsidRPr="006059CD">
        <w:rPr>
          <w:rFonts w:eastAsiaTheme="minorEastAsia"/>
          <w:color w:val="1A1A1A" w:themeColor="background1" w:themeShade="1A"/>
          <w:kern w:val="0"/>
          <w:lang w:val="en-GB" w:eastAsia="en-GB"/>
        </w:rPr>
        <w:t>Another significant area for improvement is the wider application of recognised project management tools and techniques. While the poster included stakeholder analysis and risk identification, it did not demonstrate the full range of project management methodologies expected at a higher academic level. Therefore, my final project management plan will include additional tools such as a stakeholder power-interest matrix, a detailed project schedule using a Gantt chart, a Work Breakdown Structure (WBS), a project governance structure, and a probability-impact risk matrix. These tools will provide greater evidence of planning, monitoring, and control processes throughout the project.</w:t>
      </w:r>
    </w:p>
    <w:p w14:paraId="5D78617B" w14:textId="77777777" w:rsidR="006059CD" w:rsidRPr="006059CD" w:rsidRDefault="006059CD" w:rsidP="006059CD">
      <w:pPr>
        <w:spacing w:before="100" w:beforeAutospacing="1" w:after="100" w:afterAutospacing="1" w:line="240" w:lineRule="auto"/>
        <w:jc w:val="left"/>
        <w:rPr>
          <w:rFonts w:eastAsiaTheme="minorEastAsia"/>
          <w:color w:val="1A1A1A" w:themeColor="background1" w:themeShade="1A"/>
          <w:kern w:val="0"/>
          <w:lang w:val="en-GB" w:eastAsia="en-GB"/>
        </w:rPr>
      </w:pPr>
      <w:r w:rsidRPr="006059CD">
        <w:rPr>
          <w:rFonts w:eastAsiaTheme="minorEastAsia"/>
          <w:color w:val="1A1A1A" w:themeColor="background1" w:themeShade="1A"/>
          <w:kern w:val="0"/>
          <w:lang w:val="en-GB" w:eastAsia="en-GB"/>
        </w:rPr>
        <w:t>The feedback also encouraged greater critical analysis of project risks, stakeholder interests, and project trade-offs. In response, I will expand my discussion by evaluating the potential conflicts between cost, time, quality, sustainability, and stakeholder expectations. Rather than simply identifying risks, I will critically assess their potential impact on project success and justify the selected mitigation strategies using project management theory and academic literature.</w:t>
      </w:r>
    </w:p>
    <w:p w14:paraId="6E4089A4" w14:textId="77777777" w:rsidR="006059CD" w:rsidRPr="006059CD" w:rsidRDefault="006059CD" w:rsidP="006059CD">
      <w:pPr>
        <w:spacing w:before="100" w:beforeAutospacing="1" w:after="100" w:afterAutospacing="1" w:line="240" w:lineRule="auto"/>
        <w:jc w:val="left"/>
        <w:rPr>
          <w:rFonts w:eastAsiaTheme="minorEastAsia"/>
          <w:color w:val="1A1A1A" w:themeColor="background1" w:themeShade="1A"/>
          <w:kern w:val="0"/>
          <w:lang w:val="en-GB" w:eastAsia="en-GB"/>
        </w:rPr>
      </w:pPr>
      <w:r w:rsidRPr="006059CD">
        <w:rPr>
          <w:rFonts w:eastAsiaTheme="minorEastAsia"/>
          <w:color w:val="1A1A1A" w:themeColor="background1" w:themeShade="1A"/>
          <w:kern w:val="0"/>
          <w:lang w:val="en-GB" w:eastAsia="en-GB"/>
        </w:rPr>
        <w:t xml:space="preserve">Overall, the feedback has provided valuable guidance for improving my final project management plan. While my poster demonstrated a strong understanding of the project context and communicated the proposal effectively, the final submission will place greater emphasis on measurable objectives, project management methodologies, and critical evaluation. By applying </w:t>
      </w:r>
      <w:r w:rsidRPr="006059CD">
        <w:rPr>
          <w:rFonts w:eastAsiaTheme="minorEastAsia"/>
          <w:color w:val="1A1A1A" w:themeColor="background1" w:themeShade="1A"/>
          <w:kern w:val="0"/>
          <w:lang w:val="en-GB" w:eastAsia="en-GB"/>
        </w:rPr>
        <w:lastRenderedPageBreak/>
        <w:t>these improvements, I aim to produce a more comprehensive and academically rigorous project management plan that demonstrates both practical planning skills and a deeper understanding of project management principles.</w:t>
      </w:r>
    </w:p>
    <w:p w14:paraId="3CED503D" w14:textId="77777777" w:rsidR="006059CD" w:rsidRPr="006059CD" w:rsidRDefault="006059CD" w:rsidP="006059CD">
      <w:pPr>
        <w:spacing w:line="278" w:lineRule="auto"/>
        <w:jc w:val="left"/>
        <w:rPr>
          <w:rFonts w:asciiTheme="minorHAnsi" w:eastAsiaTheme="minorEastAsia" w:hAnsiTheme="minorHAnsi" w:cstheme="minorBidi"/>
          <w:color w:val="1A1A1A" w:themeColor="background1" w:themeShade="1A"/>
          <w:lang w:val="en-GB" w:eastAsia="en-GB"/>
          <w14:ligatures w14:val="standardContextual"/>
        </w:rPr>
      </w:pPr>
    </w:p>
    <w:p w14:paraId="53B1D91A"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709AA23D"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297EAA31"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5E7D2ED6"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135ED9C0"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467BB9B4"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18C94366"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28A5B23F"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4D309BB5"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0C48A919"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43210BE1"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3228E082"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72DB53B9"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0A68FE73"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17EFF597"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75F4156D"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4680974B"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7B3B95AF"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34FCB237"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0A568F5F"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29D3B786"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05739F81" w14:textId="77777777" w:rsidR="006059CD" w:rsidRDefault="006059CD" w:rsidP="0015542B">
      <w:pPr>
        <w:spacing w:line="278" w:lineRule="auto"/>
        <w:jc w:val="left"/>
        <w:rPr>
          <w:rFonts w:ascii="Arial" w:eastAsia="Calibri" w:hAnsi="Arial" w:cs="Arial"/>
          <w:noProof/>
          <w:kern w:val="0"/>
          <w:sz w:val="22"/>
          <w:szCs w:val="22"/>
          <w:lang w:val="en-GB" w:eastAsia="en-GB"/>
        </w:rPr>
      </w:pPr>
    </w:p>
    <w:p w14:paraId="7C25F9A1" w14:textId="77777777" w:rsidR="006059CD" w:rsidRDefault="006059CD" w:rsidP="0015542B">
      <w:pPr>
        <w:spacing w:line="278" w:lineRule="auto"/>
        <w:jc w:val="left"/>
        <w:rPr>
          <w:rFonts w:ascii="Arial" w:eastAsia="Calibri" w:hAnsi="Arial" w:cs="Arial"/>
          <w:noProof/>
          <w:kern w:val="0"/>
          <w:sz w:val="22"/>
          <w:szCs w:val="22"/>
          <w:lang w:val="en-GB" w:eastAsia="en-GB"/>
        </w:rPr>
      </w:pPr>
    </w:p>
    <w:sdt>
      <w:sdtPr>
        <w:rPr>
          <w:rFonts w:ascii="Times New Roman" w:eastAsiaTheme="minorHAnsi" w:hAnsi="Times New Roman" w:cs="Times New Roman"/>
          <w:color w:val="auto"/>
          <w:kern w:val="2"/>
          <w:sz w:val="24"/>
          <w:szCs w:val="24"/>
        </w:rPr>
        <w:id w:val="1400550580"/>
        <w:docPartObj>
          <w:docPartGallery w:val="Table of Contents"/>
          <w:docPartUnique/>
        </w:docPartObj>
      </w:sdtPr>
      <w:sdtEndPr>
        <w:rPr>
          <w:b/>
          <w:bCs/>
          <w:noProof/>
        </w:rPr>
      </w:sdtEndPr>
      <w:sdtContent>
        <w:p w14:paraId="08159592" w14:textId="77777777" w:rsidR="00DE4375" w:rsidRPr="00EC4BAB" w:rsidRDefault="00DE4375" w:rsidP="00DE4375">
          <w:pPr>
            <w:pStyle w:val="TOCHeading"/>
            <w:spacing w:after="240"/>
            <w:jc w:val="center"/>
            <w:rPr>
              <w:rFonts w:ascii="Times New Roman" w:hAnsi="Times New Roman" w:cs="Times New Roman"/>
              <w:b/>
              <w:bCs/>
              <w:color w:val="auto"/>
            </w:rPr>
          </w:pPr>
          <w:r w:rsidRPr="00EC4BAB">
            <w:rPr>
              <w:rFonts w:ascii="Times New Roman" w:hAnsi="Times New Roman" w:cs="Times New Roman"/>
              <w:b/>
              <w:bCs/>
              <w:color w:val="auto"/>
            </w:rPr>
            <w:t>Table of Contents</w:t>
          </w:r>
        </w:p>
        <w:p w14:paraId="3F17A987" w14:textId="77777777" w:rsidR="0054029A" w:rsidRDefault="0003347C">
          <w:pPr>
            <w:pStyle w:val="TOC1"/>
            <w:tabs>
              <w:tab w:val="right" w:leader="dot" w:pos="9350"/>
            </w:tabs>
            <w:rPr>
              <w:rFonts w:asciiTheme="minorHAnsi" w:eastAsiaTheme="minorEastAsia" w:hAnsiTheme="minorHAnsi" w:cstheme="minorBidi"/>
              <w:noProof/>
            </w:rPr>
          </w:pPr>
          <w:r>
            <w:fldChar w:fldCharType="begin"/>
          </w:r>
          <w:r w:rsidR="00DE4375">
            <w:instrText xml:space="preserve"> TOC \o "1-3" \h \z \u </w:instrText>
          </w:r>
          <w:r>
            <w:fldChar w:fldCharType="separate"/>
          </w:r>
          <w:hyperlink w:anchor="_Toc234708363" w:history="1">
            <w:r w:rsidR="0054029A" w:rsidRPr="004C437B">
              <w:rPr>
                <w:rStyle w:val="Hyperlink"/>
                <w:noProof/>
              </w:rPr>
              <w:t>Introduction</w:t>
            </w:r>
            <w:r w:rsidR="0054029A">
              <w:rPr>
                <w:noProof/>
                <w:webHidden/>
              </w:rPr>
              <w:tab/>
            </w:r>
            <w:r>
              <w:rPr>
                <w:noProof/>
                <w:webHidden/>
              </w:rPr>
              <w:fldChar w:fldCharType="begin"/>
            </w:r>
            <w:r w:rsidR="0054029A">
              <w:rPr>
                <w:noProof/>
                <w:webHidden/>
              </w:rPr>
              <w:instrText xml:space="preserve"> PAGEREF _Toc234708363 \h </w:instrText>
            </w:r>
            <w:r>
              <w:rPr>
                <w:noProof/>
                <w:webHidden/>
              </w:rPr>
            </w:r>
            <w:r>
              <w:rPr>
                <w:noProof/>
                <w:webHidden/>
              </w:rPr>
              <w:fldChar w:fldCharType="separate"/>
            </w:r>
            <w:r w:rsidR="0054029A">
              <w:rPr>
                <w:noProof/>
                <w:webHidden/>
              </w:rPr>
              <w:t>1</w:t>
            </w:r>
            <w:r>
              <w:rPr>
                <w:noProof/>
                <w:webHidden/>
              </w:rPr>
              <w:fldChar w:fldCharType="end"/>
            </w:r>
          </w:hyperlink>
        </w:p>
        <w:p w14:paraId="09CF6F52" w14:textId="77777777" w:rsidR="0054029A" w:rsidRDefault="0054029A">
          <w:pPr>
            <w:pStyle w:val="TOC1"/>
            <w:tabs>
              <w:tab w:val="right" w:leader="dot" w:pos="9350"/>
            </w:tabs>
            <w:rPr>
              <w:rFonts w:asciiTheme="minorHAnsi" w:eastAsiaTheme="minorEastAsia" w:hAnsiTheme="minorHAnsi" w:cstheme="minorBidi"/>
              <w:noProof/>
            </w:rPr>
          </w:pPr>
          <w:hyperlink w:anchor="_Toc234708364" w:history="1">
            <w:r w:rsidRPr="004C437B">
              <w:rPr>
                <w:rStyle w:val="Hyperlink"/>
                <w:noProof/>
              </w:rPr>
              <w:t>Project Description</w:t>
            </w:r>
            <w:r>
              <w:rPr>
                <w:noProof/>
                <w:webHidden/>
              </w:rPr>
              <w:tab/>
            </w:r>
            <w:r w:rsidR="0003347C">
              <w:rPr>
                <w:noProof/>
                <w:webHidden/>
              </w:rPr>
              <w:fldChar w:fldCharType="begin"/>
            </w:r>
            <w:r>
              <w:rPr>
                <w:noProof/>
                <w:webHidden/>
              </w:rPr>
              <w:instrText xml:space="preserve"> PAGEREF _Toc234708364 \h </w:instrText>
            </w:r>
            <w:r w:rsidR="0003347C">
              <w:rPr>
                <w:noProof/>
                <w:webHidden/>
              </w:rPr>
            </w:r>
            <w:r w:rsidR="0003347C">
              <w:rPr>
                <w:noProof/>
                <w:webHidden/>
              </w:rPr>
              <w:fldChar w:fldCharType="separate"/>
            </w:r>
            <w:r>
              <w:rPr>
                <w:noProof/>
                <w:webHidden/>
              </w:rPr>
              <w:t>1</w:t>
            </w:r>
            <w:r w:rsidR="0003347C">
              <w:rPr>
                <w:noProof/>
                <w:webHidden/>
              </w:rPr>
              <w:fldChar w:fldCharType="end"/>
            </w:r>
          </w:hyperlink>
        </w:p>
        <w:p w14:paraId="75EE5701" w14:textId="77777777" w:rsidR="0054029A" w:rsidRDefault="0054029A">
          <w:pPr>
            <w:pStyle w:val="TOC1"/>
            <w:tabs>
              <w:tab w:val="right" w:leader="dot" w:pos="9350"/>
            </w:tabs>
            <w:rPr>
              <w:rFonts w:asciiTheme="minorHAnsi" w:eastAsiaTheme="minorEastAsia" w:hAnsiTheme="minorHAnsi" w:cstheme="minorBidi"/>
              <w:noProof/>
            </w:rPr>
          </w:pPr>
          <w:hyperlink w:anchor="_Toc234708365" w:history="1">
            <w:r w:rsidRPr="004C437B">
              <w:rPr>
                <w:rStyle w:val="Hyperlink"/>
                <w:noProof/>
              </w:rPr>
              <w:t>Scope</w:t>
            </w:r>
            <w:r>
              <w:rPr>
                <w:noProof/>
                <w:webHidden/>
              </w:rPr>
              <w:tab/>
            </w:r>
            <w:r w:rsidR="0003347C">
              <w:rPr>
                <w:noProof/>
                <w:webHidden/>
              </w:rPr>
              <w:fldChar w:fldCharType="begin"/>
            </w:r>
            <w:r>
              <w:rPr>
                <w:noProof/>
                <w:webHidden/>
              </w:rPr>
              <w:instrText xml:space="preserve"> PAGEREF _Toc234708365 \h </w:instrText>
            </w:r>
            <w:r w:rsidR="0003347C">
              <w:rPr>
                <w:noProof/>
                <w:webHidden/>
              </w:rPr>
            </w:r>
            <w:r w:rsidR="0003347C">
              <w:rPr>
                <w:noProof/>
                <w:webHidden/>
              </w:rPr>
              <w:fldChar w:fldCharType="separate"/>
            </w:r>
            <w:r>
              <w:rPr>
                <w:noProof/>
                <w:webHidden/>
              </w:rPr>
              <w:t>2</w:t>
            </w:r>
            <w:r w:rsidR="0003347C">
              <w:rPr>
                <w:noProof/>
                <w:webHidden/>
              </w:rPr>
              <w:fldChar w:fldCharType="end"/>
            </w:r>
          </w:hyperlink>
        </w:p>
        <w:p w14:paraId="538CC6BC" w14:textId="77777777" w:rsidR="0054029A" w:rsidRDefault="0054029A">
          <w:pPr>
            <w:pStyle w:val="TOC1"/>
            <w:tabs>
              <w:tab w:val="right" w:leader="dot" w:pos="9350"/>
            </w:tabs>
            <w:rPr>
              <w:rFonts w:asciiTheme="minorHAnsi" w:eastAsiaTheme="minorEastAsia" w:hAnsiTheme="minorHAnsi" w:cstheme="minorBidi"/>
              <w:noProof/>
            </w:rPr>
          </w:pPr>
          <w:hyperlink w:anchor="_Toc234708366" w:history="1">
            <w:r w:rsidRPr="004C437B">
              <w:rPr>
                <w:rStyle w:val="Hyperlink"/>
                <w:noProof/>
              </w:rPr>
              <w:t>Work Breakdown Structure</w:t>
            </w:r>
            <w:r>
              <w:rPr>
                <w:noProof/>
                <w:webHidden/>
              </w:rPr>
              <w:tab/>
            </w:r>
            <w:r w:rsidR="0003347C">
              <w:rPr>
                <w:noProof/>
                <w:webHidden/>
              </w:rPr>
              <w:fldChar w:fldCharType="begin"/>
            </w:r>
            <w:r>
              <w:rPr>
                <w:noProof/>
                <w:webHidden/>
              </w:rPr>
              <w:instrText xml:space="preserve"> PAGEREF _Toc234708366 \h </w:instrText>
            </w:r>
            <w:r w:rsidR="0003347C">
              <w:rPr>
                <w:noProof/>
                <w:webHidden/>
              </w:rPr>
            </w:r>
            <w:r w:rsidR="0003347C">
              <w:rPr>
                <w:noProof/>
                <w:webHidden/>
              </w:rPr>
              <w:fldChar w:fldCharType="separate"/>
            </w:r>
            <w:r>
              <w:rPr>
                <w:noProof/>
                <w:webHidden/>
              </w:rPr>
              <w:t>2</w:t>
            </w:r>
            <w:r w:rsidR="0003347C">
              <w:rPr>
                <w:noProof/>
                <w:webHidden/>
              </w:rPr>
              <w:fldChar w:fldCharType="end"/>
            </w:r>
          </w:hyperlink>
        </w:p>
        <w:p w14:paraId="5AB1006C" w14:textId="77777777" w:rsidR="0054029A" w:rsidRDefault="0054029A">
          <w:pPr>
            <w:pStyle w:val="TOC1"/>
            <w:tabs>
              <w:tab w:val="right" w:leader="dot" w:pos="9350"/>
            </w:tabs>
            <w:rPr>
              <w:rFonts w:asciiTheme="minorHAnsi" w:eastAsiaTheme="minorEastAsia" w:hAnsiTheme="minorHAnsi" w:cstheme="minorBidi"/>
              <w:noProof/>
            </w:rPr>
          </w:pPr>
          <w:hyperlink w:anchor="_Toc234708367" w:history="1">
            <w:r w:rsidRPr="004C437B">
              <w:rPr>
                <w:rStyle w:val="Hyperlink"/>
                <w:noProof/>
              </w:rPr>
              <w:t>Quad Chart</w:t>
            </w:r>
            <w:r>
              <w:rPr>
                <w:noProof/>
                <w:webHidden/>
              </w:rPr>
              <w:tab/>
            </w:r>
            <w:r w:rsidR="0003347C">
              <w:rPr>
                <w:noProof/>
                <w:webHidden/>
              </w:rPr>
              <w:fldChar w:fldCharType="begin"/>
            </w:r>
            <w:r>
              <w:rPr>
                <w:noProof/>
                <w:webHidden/>
              </w:rPr>
              <w:instrText xml:space="preserve"> PAGEREF _Toc234708367 \h </w:instrText>
            </w:r>
            <w:r w:rsidR="0003347C">
              <w:rPr>
                <w:noProof/>
                <w:webHidden/>
              </w:rPr>
            </w:r>
            <w:r w:rsidR="0003347C">
              <w:rPr>
                <w:noProof/>
                <w:webHidden/>
              </w:rPr>
              <w:fldChar w:fldCharType="separate"/>
            </w:r>
            <w:r>
              <w:rPr>
                <w:noProof/>
                <w:webHidden/>
              </w:rPr>
              <w:t>4</w:t>
            </w:r>
            <w:r w:rsidR="0003347C">
              <w:rPr>
                <w:noProof/>
                <w:webHidden/>
              </w:rPr>
              <w:fldChar w:fldCharType="end"/>
            </w:r>
          </w:hyperlink>
        </w:p>
        <w:p w14:paraId="536A1F2D" w14:textId="77777777" w:rsidR="0054029A" w:rsidRDefault="0054029A">
          <w:pPr>
            <w:pStyle w:val="TOC1"/>
            <w:tabs>
              <w:tab w:val="right" w:leader="dot" w:pos="9350"/>
            </w:tabs>
            <w:rPr>
              <w:rFonts w:asciiTheme="minorHAnsi" w:eastAsiaTheme="minorEastAsia" w:hAnsiTheme="minorHAnsi" w:cstheme="minorBidi"/>
              <w:noProof/>
            </w:rPr>
          </w:pPr>
          <w:hyperlink w:anchor="_Toc234708368" w:history="1">
            <w:r w:rsidRPr="004C437B">
              <w:rPr>
                <w:rStyle w:val="Hyperlink"/>
                <w:noProof/>
              </w:rPr>
              <w:t>Gantt Chart</w:t>
            </w:r>
            <w:r>
              <w:rPr>
                <w:noProof/>
                <w:webHidden/>
              </w:rPr>
              <w:tab/>
            </w:r>
            <w:r w:rsidR="0003347C">
              <w:rPr>
                <w:noProof/>
                <w:webHidden/>
              </w:rPr>
              <w:fldChar w:fldCharType="begin"/>
            </w:r>
            <w:r>
              <w:rPr>
                <w:noProof/>
                <w:webHidden/>
              </w:rPr>
              <w:instrText xml:space="preserve"> PAGEREF _Toc234708368 \h </w:instrText>
            </w:r>
            <w:r w:rsidR="0003347C">
              <w:rPr>
                <w:noProof/>
                <w:webHidden/>
              </w:rPr>
            </w:r>
            <w:r w:rsidR="0003347C">
              <w:rPr>
                <w:noProof/>
                <w:webHidden/>
              </w:rPr>
              <w:fldChar w:fldCharType="separate"/>
            </w:r>
            <w:r>
              <w:rPr>
                <w:noProof/>
                <w:webHidden/>
              </w:rPr>
              <w:t>4</w:t>
            </w:r>
            <w:r w:rsidR="0003347C">
              <w:rPr>
                <w:noProof/>
                <w:webHidden/>
              </w:rPr>
              <w:fldChar w:fldCharType="end"/>
            </w:r>
          </w:hyperlink>
        </w:p>
        <w:p w14:paraId="293AE96D" w14:textId="77777777" w:rsidR="0054029A" w:rsidRDefault="0054029A">
          <w:pPr>
            <w:pStyle w:val="TOC1"/>
            <w:tabs>
              <w:tab w:val="right" w:leader="dot" w:pos="9350"/>
            </w:tabs>
            <w:rPr>
              <w:rFonts w:asciiTheme="minorHAnsi" w:eastAsiaTheme="minorEastAsia" w:hAnsiTheme="minorHAnsi" w:cstheme="minorBidi"/>
              <w:noProof/>
            </w:rPr>
          </w:pPr>
          <w:hyperlink w:anchor="_Toc234708369" w:history="1">
            <w:r w:rsidRPr="004C437B">
              <w:rPr>
                <w:rStyle w:val="Hyperlink"/>
                <w:noProof/>
              </w:rPr>
              <w:t>Stakeholder Involvement</w:t>
            </w:r>
            <w:r>
              <w:rPr>
                <w:noProof/>
                <w:webHidden/>
              </w:rPr>
              <w:tab/>
            </w:r>
            <w:r w:rsidR="0003347C">
              <w:rPr>
                <w:noProof/>
                <w:webHidden/>
              </w:rPr>
              <w:fldChar w:fldCharType="begin"/>
            </w:r>
            <w:r>
              <w:rPr>
                <w:noProof/>
                <w:webHidden/>
              </w:rPr>
              <w:instrText xml:space="preserve"> PAGEREF _Toc234708369 \h </w:instrText>
            </w:r>
            <w:r w:rsidR="0003347C">
              <w:rPr>
                <w:noProof/>
                <w:webHidden/>
              </w:rPr>
            </w:r>
            <w:r w:rsidR="0003347C">
              <w:rPr>
                <w:noProof/>
                <w:webHidden/>
              </w:rPr>
              <w:fldChar w:fldCharType="separate"/>
            </w:r>
            <w:r>
              <w:rPr>
                <w:noProof/>
                <w:webHidden/>
              </w:rPr>
              <w:t>5</w:t>
            </w:r>
            <w:r w:rsidR="0003347C">
              <w:rPr>
                <w:noProof/>
                <w:webHidden/>
              </w:rPr>
              <w:fldChar w:fldCharType="end"/>
            </w:r>
          </w:hyperlink>
        </w:p>
        <w:p w14:paraId="5419B989" w14:textId="77777777" w:rsidR="0054029A" w:rsidRDefault="0054029A">
          <w:pPr>
            <w:pStyle w:val="TOC1"/>
            <w:tabs>
              <w:tab w:val="right" w:leader="dot" w:pos="9350"/>
            </w:tabs>
            <w:rPr>
              <w:rFonts w:asciiTheme="minorHAnsi" w:eastAsiaTheme="minorEastAsia" w:hAnsiTheme="minorHAnsi" w:cstheme="minorBidi"/>
              <w:noProof/>
            </w:rPr>
          </w:pPr>
          <w:hyperlink w:anchor="_Toc234708370" w:history="1">
            <w:r w:rsidRPr="004C437B">
              <w:rPr>
                <w:rStyle w:val="Hyperlink"/>
                <w:noProof/>
              </w:rPr>
              <w:t>Allocation of Resources</w:t>
            </w:r>
            <w:r>
              <w:rPr>
                <w:noProof/>
                <w:webHidden/>
              </w:rPr>
              <w:tab/>
            </w:r>
            <w:r w:rsidR="0003347C">
              <w:rPr>
                <w:noProof/>
                <w:webHidden/>
              </w:rPr>
              <w:fldChar w:fldCharType="begin"/>
            </w:r>
            <w:r>
              <w:rPr>
                <w:noProof/>
                <w:webHidden/>
              </w:rPr>
              <w:instrText xml:space="preserve"> PAGEREF _Toc234708370 \h </w:instrText>
            </w:r>
            <w:r w:rsidR="0003347C">
              <w:rPr>
                <w:noProof/>
                <w:webHidden/>
              </w:rPr>
            </w:r>
            <w:r w:rsidR="0003347C">
              <w:rPr>
                <w:noProof/>
                <w:webHidden/>
              </w:rPr>
              <w:fldChar w:fldCharType="separate"/>
            </w:r>
            <w:r>
              <w:rPr>
                <w:noProof/>
                <w:webHidden/>
              </w:rPr>
              <w:t>7</w:t>
            </w:r>
            <w:r w:rsidR="0003347C">
              <w:rPr>
                <w:noProof/>
                <w:webHidden/>
              </w:rPr>
              <w:fldChar w:fldCharType="end"/>
            </w:r>
          </w:hyperlink>
        </w:p>
        <w:p w14:paraId="79EFACC9" w14:textId="77777777" w:rsidR="0054029A" w:rsidRDefault="0054029A">
          <w:pPr>
            <w:pStyle w:val="TOC1"/>
            <w:tabs>
              <w:tab w:val="right" w:leader="dot" w:pos="9350"/>
            </w:tabs>
            <w:rPr>
              <w:rFonts w:asciiTheme="minorHAnsi" w:eastAsiaTheme="minorEastAsia" w:hAnsiTheme="minorHAnsi" w:cstheme="minorBidi"/>
              <w:noProof/>
            </w:rPr>
          </w:pPr>
          <w:hyperlink w:anchor="_Toc234708371" w:history="1">
            <w:r w:rsidRPr="004C437B">
              <w:rPr>
                <w:rStyle w:val="Hyperlink"/>
                <w:noProof/>
              </w:rPr>
              <w:t>Risk Analysis</w:t>
            </w:r>
            <w:r>
              <w:rPr>
                <w:noProof/>
                <w:webHidden/>
              </w:rPr>
              <w:tab/>
            </w:r>
            <w:r w:rsidR="0003347C">
              <w:rPr>
                <w:noProof/>
                <w:webHidden/>
              </w:rPr>
              <w:fldChar w:fldCharType="begin"/>
            </w:r>
            <w:r>
              <w:rPr>
                <w:noProof/>
                <w:webHidden/>
              </w:rPr>
              <w:instrText xml:space="preserve"> PAGEREF _Toc234708371 \h </w:instrText>
            </w:r>
            <w:r w:rsidR="0003347C">
              <w:rPr>
                <w:noProof/>
                <w:webHidden/>
              </w:rPr>
            </w:r>
            <w:r w:rsidR="0003347C">
              <w:rPr>
                <w:noProof/>
                <w:webHidden/>
              </w:rPr>
              <w:fldChar w:fldCharType="separate"/>
            </w:r>
            <w:r>
              <w:rPr>
                <w:noProof/>
                <w:webHidden/>
              </w:rPr>
              <w:t>8</w:t>
            </w:r>
            <w:r w:rsidR="0003347C">
              <w:rPr>
                <w:noProof/>
                <w:webHidden/>
              </w:rPr>
              <w:fldChar w:fldCharType="end"/>
            </w:r>
          </w:hyperlink>
        </w:p>
        <w:p w14:paraId="7AC48A0F" w14:textId="77777777" w:rsidR="0054029A" w:rsidRDefault="0054029A">
          <w:pPr>
            <w:pStyle w:val="TOC1"/>
            <w:tabs>
              <w:tab w:val="right" w:leader="dot" w:pos="9350"/>
            </w:tabs>
            <w:rPr>
              <w:rFonts w:asciiTheme="minorHAnsi" w:eastAsiaTheme="minorEastAsia" w:hAnsiTheme="minorHAnsi" w:cstheme="minorBidi"/>
              <w:noProof/>
            </w:rPr>
          </w:pPr>
          <w:hyperlink w:anchor="_Toc234708372" w:history="1">
            <w:r w:rsidRPr="004C437B">
              <w:rPr>
                <w:rStyle w:val="Hyperlink"/>
                <w:noProof/>
              </w:rPr>
              <w:t>Conclusion</w:t>
            </w:r>
            <w:r>
              <w:rPr>
                <w:noProof/>
                <w:webHidden/>
              </w:rPr>
              <w:tab/>
            </w:r>
            <w:r w:rsidR="0003347C">
              <w:rPr>
                <w:noProof/>
                <w:webHidden/>
              </w:rPr>
              <w:fldChar w:fldCharType="begin"/>
            </w:r>
            <w:r>
              <w:rPr>
                <w:noProof/>
                <w:webHidden/>
              </w:rPr>
              <w:instrText xml:space="preserve"> PAGEREF _Toc234708372 \h </w:instrText>
            </w:r>
            <w:r w:rsidR="0003347C">
              <w:rPr>
                <w:noProof/>
                <w:webHidden/>
              </w:rPr>
            </w:r>
            <w:r w:rsidR="0003347C">
              <w:rPr>
                <w:noProof/>
                <w:webHidden/>
              </w:rPr>
              <w:fldChar w:fldCharType="separate"/>
            </w:r>
            <w:r>
              <w:rPr>
                <w:noProof/>
                <w:webHidden/>
              </w:rPr>
              <w:t>10</w:t>
            </w:r>
            <w:r w:rsidR="0003347C">
              <w:rPr>
                <w:noProof/>
                <w:webHidden/>
              </w:rPr>
              <w:fldChar w:fldCharType="end"/>
            </w:r>
          </w:hyperlink>
        </w:p>
        <w:p w14:paraId="60F168FE" w14:textId="77777777" w:rsidR="0054029A" w:rsidRDefault="0054029A">
          <w:pPr>
            <w:pStyle w:val="TOC1"/>
            <w:tabs>
              <w:tab w:val="right" w:leader="dot" w:pos="9350"/>
            </w:tabs>
            <w:rPr>
              <w:rFonts w:asciiTheme="minorHAnsi" w:eastAsiaTheme="minorEastAsia" w:hAnsiTheme="minorHAnsi" w:cstheme="minorBidi"/>
              <w:noProof/>
            </w:rPr>
          </w:pPr>
          <w:hyperlink w:anchor="_Toc234708373" w:history="1">
            <w:r w:rsidRPr="004C437B">
              <w:rPr>
                <w:rStyle w:val="Hyperlink"/>
                <w:noProof/>
              </w:rPr>
              <w:t>References</w:t>
            </w:r>
            <w:r>
              <w:rPr>
                <w:noProof/>
                <w:webHidden/>
              </w:rPr>
              <w:tab/>
            </w:r>
            <w:r w:rsidR="0003347C">
              <w:rPr>
                <w:noProof/>
                <w:webHidden/>
              </w:rPr>
              <w:fldChar w:fldCharType="begin"/>
            </w:r>
            <w:r>
              <w:rPr>
                <w:noProof/>
                <w:webHidden/>
              </w:rPr>
              <w:instrText xml:space="preserve"> PAGEREF _Toc234708373 \h </w:instrText>
            </w:r>
            <w:r w:rsidR="0003347C">
              <w:rPr>
                <w:noProof/>
                <w:webHidden/>
              </w:rPr>
            </w:r>
            <w:r w:rsidR="0003347C">
              <w:rPr>
                <w:noProof/>
                <w:webHidden/>
              </w:rPr>
              <w:fldChar w:fldCharType="separate"/>
            </w:r>
            <w:r>
              <w:rPr>
                <w:noProof/>
                <w:webHidden/>
              </w:rPr>
              <w:t>11</w:t>
            </w:r>
            <w:r w:rsidR="0003347C">
              <w:rPr>
                <w:noProof/>
                <w:webHidden/>
              </w:rPr>
              <w:fldChar w:fldCharType="end"/>
            </w:r>
          </w:hyperlink>
        </w:p>
        <w:p w14:paraId="2855C8BE" w14:textId="77777777" w:rsidR="00DE4375" w:rsidRDefault="0003347C">
          <w:r>
            <w:rPr>
              <w:b/>
              <w:bCs/>
              <w:noProof/>
            </w:rPr>
            <w:fldChar w:fldCharType="end"/>
          </w:r>
        </w:p>
      </w:sdtContent>
    </w:sdt>
    <w:p w14:paraId="7E02ED26" w14:textId="77777777" w:rsidR="0054029A" w:rsidRDefault="00EC4BAB" w:rsidP="00445A45">
      <w:pPr>
        <w:spacing w:line="278" w:lineRule="auto"/>
        <w:jc w:val="center"/>
        <w:rPr>
          <w:noProof/>
        </w:rPr>
      </w:pPr>
      <w:r w:rsidRPr="00EC4BAB">
        <w:rPr>
          <w:b/>
          <w:bCs/>
          <w:sz w:val="32"/>
          <w:szCs w:val="32"/>
        </w:rPr>
        <w:t>List of Figures</w:t>
      </w:r>
      <w:r w:rsidR="0003347C">
        <w:rPr>
          <w:b/>
          <w:bCs/>
        </w:rPr>
        <w:fldChar w:fldCharType="begin"/>
      </w:r>
      <w:r w:rsidRPr="00EC4BAB">
        <w:rPr>
          <w:b/>
          <w:bCs/>
        </w:rPr>
        <w:instrText xml:space="preserve"> TOC \h \z \c "Figure" </w:instrText>
      </w:r>
      <w:r w:rsidR="0003347C">
        <w:rPr>
          <w:b/>
          <w:bCs/>
        </w:rPr>
        <w:fldChar w:fldCharType="separate"/>
      </w:r>
    </w:p>
    <w:p w14:paraId="5150B99F" w14:textId="77777777" w:rsidR="0054029A" w:rsidRDefault="0054029A">
      <w:pPr>
        <w:pStyle w:val="TableofFigures"/>
        <w:tabs>
          <w:tab w:val="right" w:leader="dot" w:pos="9350"/>
        </w:tabs>
        <w:rPr>
          <w:rFonts w:asciiTheme="minorHAnsi" w:eastAsiaTheme="minorEastAsia" w:hAnsiTheme="minorHAnsi" w:cstheme="minorBidi"/>
          <w:noProof/>
        </w:rPr>
      </w:pPr>
      <w:hyperlink w:anchor="_Toc234708374" w:history="1">
        <w:r w:rsidRPr="00894CFB">
          <w:rPr>
            <w:rStyle w:val="Hyperlink"/>
            <w:noProof/>
          </w:rPr>
          <w:t>Figure 1: Work Breakdown Structure</w:t>
        </w:r>
        <w:r>
          <w:rPr>
            <w:noProof/>
            <w:webHidden/>
          </w:rPr>
          <w:tab/>
        </w:r>
        <w:r w:rsidR="0003347C">
          <w:rPr>
            <w:noProof/>
            <w:webHidden/>
          </w:rPr>
          <w:fldChar w:fldCharType="begin"/>
        </w:r>
        <w:r>
          <w:rPr>
            <w:noProof/>
            <w:webHidden/>
          </w:rPr>
          <w:instrText xml:space="preserve"> PAGEREF _Toc234708374 \h </w:instrText>
        </w:r>
        <w:r w:rsidR="0003347C">
          <w:rPr>
            <w:noProof/>
            <w:webHidden/>
          </w:rPr>
        </w:r>
        <w:r w:rsidR="0003347C">
          <w:rPr>
            <w:noProof/>
            <w:webHidden/>
          </w:rPr>
          <w:fldChar w:fldCharType="separate"/>
        </w:r>
        <w:r>
          <w:rPr>
            <w:noProof/>
            <w:webHidden/>
          </w:rPr>
          <w:t>3</w:t>
        </w:r>
        <w:r w:rsidR="0003347C">
          <w:rPr>
            <w:noProof/>
            <w:webHidden/>
          </w:rPr>
          <w:fldChar w:fldCharType="end"/>
        </w:r>
      </w:hyperlink>
    </w:p>
    <w:p w14:paraId="20EDFB7B" w14:textId="77777777" w:rsidR="0054029A" w:rsidRDefault="0054029A">
      <w:pPr>
        <w:pStyle w:val="TableofFigures"/>
        <w:tabs>
          <w:tab w:val="right" w:leader="dot" w:pos="9350"/>
        </w:tabs>
        <w:rPr>
          <w:rFonts w:asciiTheme="minorHAnsi" w:eastAsiaTheme="minorEastAsia" w:hAnsiTheme="minorHAnsi" w:cstheme="minorBidi"/>
          <w:noProof/>
        </w:rPr>
      </w:pPr>
      <w:hyperlink w:anchor="_Toc234708375" w:history="1">
        <w:r w:rsidRPr="00894CFB">
          <w:rPr>
            <w:rStyle w:val="Hyperlink"/>
            <w:noProof/>
          </w:rPr>
          <w:t>Figure 2: Quad chart - Objectives, Schedule, Cost, Risk</w:t>
        </w:r>
        <w:r>
          <w:rPr>
            <w:noProof/>
            <w:webHidden/>
          </w:rPr>
          <w:tab/>
        </w:r>
        <w:r w:rsidR="0003347C">
          <w:rPr>
            <w:noProof/>
            <w:webHidden/>
          </w:rPr>
          <w:fldChar w:fldCharType="begin"/>
        </w:r>
        <w:r>
          <w:rPr>
            <w:noProof/>
            <w:webHidden/>
          </w:rPr>
          <w:instrText xml:space="preserve"> PAGEREF _Toc234708375 \h </w:instrText>
        </w:r>
        <w:r w:rsidR="0003347C">
          <w:rPr>
            <w:noProof/>
            <w:webHidden/>
          </w:rPr>
        </w:r>
        <w:r w:rsidR="0003347C">
          <w:rPr>
            <w:noProof/>
            <w:webHidden/>
          </w:rPr>
          <w:fldChar w:fldCharType="separate"/>
        </w:r>
        <w:r>
          <w:rPr>
            <w:noProof/>
            <w:webHidden/>
          </w:rPr>
          <w:t>4</w:t>
        </w:r>
        <w:r w:rsidR="0003347C">
          <w:rPr>
            <w:noProof/>
            <w:webHidden/>
          </w:rPr>
          <w:fldChar w:fldCharType="end"/>
        </w:r>
      </w:hyperlink>
    </w:p>
    <w:p w14:paraId="64D554AE" w14:textId="77777777" w:rsidR="0054029A" w:rsidRDefault="0054029A">
      <w:pPr>
        <w:pStyle w:val="TableofFigures"/>
        <w:tabs>
          <w:tab w:val="right" w:leader="dot" w:pos="9350"/>
        </w:tabs>
        <w:rPr>
          <w:rFonts w:asciiTheme="minorHAnsi" w:eastAsiaTheme="minorEastAsia" w:hAnsiTheme="minorHAnsi" w:cstheme="minorBidi"/>
          <w:noProof/>
        </w:rPr>
      </w:pPr>
      <w:hyperlink w:anchor="_Toc234708376" w:history="1">
        <w:r w:rsidRPr="00894CFB">
          <w:rPr>
            <w:rStyle w:val="Hyperlink"/>
            <w:noProof/>
          </w:rPr>
          <w:t>Figure 3: Gantt Chart</w:t>
        </w:r>
        <w:r>
          <w:rPr>
            <w:noProof/>
            <w:webHidden/>
          </w:rPr>
          <w:tab/>
        </w:r>
        <w:r w:rsidR="0003347C">
          <w:rPr>
            <w:noProof/>
            <w:webHidden/>
          </w:rPr>
          <w:fldChar w:fldCharType="begin"/>
        </w:r>
        <w:r>
          <w:rPr>
            <w:noProof/>
            <w:webHidden/>
          </w:rPr>
          <w:instrText xml:space="preserve"> PAGEREF _Toc234708376 \h </w:instrText>
        </w:r>
        <w:r w:rsidR="0003347C">
          <w:rPr>
            <w:noProof/>
            <w:webHidden/>
          </w:rPr>
        </w:r>
        <w:r w:rsidR="0003347C">
          <w:rPr>
            <w:noProof/>
            <w:webHidden/>
          </w:rPr>
          <w:fldChar w:fldCharType="separate"/>
        </w:r>
        <w:r>
          <w:rPr>
            <w:noProof/>
            <w:webHidden/>
          </w:rPr>
          <w:t>5</w:t>
        </w:r>
        <w:r w:rsidR="0003347C">
          <w:rPr>
            <w:noProof/>
            <w:webHidden/>
          </w:rPr>
          <w:fldChar w:fldCharType="end"/>
        </w:r>
      </w:hyperlink>
    </w:p>
    <w:p w14:paraId="671E7D7C" w14:textId="77777777" w:rsidR="0054029A" w:rsidRDefault="0054029A">
      <w:pPr>
        <w:pStyle w:val="TableofFigures"/>
        <w:tabs>
          <w:tab w:val="right" w:leader="dot" w:pos="9350"/>
        </w:tabs>
        <w:rPr>
          <w:rFonts w:asciiTheme="minorHAnsi" w:eastAsiaTheme="minorEastAsia" w:hAnsiTheme="minorHAnsi" w:cstheme="minorBidi"/>
          <w:noProof/>
        </w:rPr>
      </w:pPr>
      <w:hyperlink w:anchor="_Toc234708377" w:history="1">
        <w:r w:rsidRPr="00894CFB">
          <w:rPr>
            <w:rStyle w:val="Hyperlink"/>
            <w:noProof/>
          </w:rPr>
          <w:t>Figure 4: Power-Interest Stakeholder Matrix</w:t>
        </w:r>
        <w:r>
          <w:rPr>
            <w:noProof/>
            <w:webHidden/>
          </w:rPr>
          <w:tab/>
        </w:r>
        <w:r w:rsidR="0003347C">
          <w:rPr>
            <w:noProof/>
            <w:webHidden/>
          </w:rPr>
          <w:fldChar w:fldCharType="begin"/>
        </w:r>
        <w:r>
          <w:rPr>
            <w:noProof/>
            <w:webHidden/>
          </w:rPr>
          <w:instrText xml:space="preserve"> PAGEREF _Toc234708377 \h </w:instrText>
        </w:r>
        <w:r w:rsidR="0003347C">
          <w:rPr>
            <w:noProof/>
            <w:webHidden/>
          </w:rPr>
        </w:r>
        <w:r w:rsidR="0003347C">
          <w:rPr>
            <w:noProof/>
            <w:webHidden/>
          </w:rPr>
          <w:fldChar w:fldCharType="separate"/>
        </w:r>
        <w:r>
          <w:rPr>
            <w:noProof/>
            <w:webHidden/>
          </w:rPr>
          <w:t>6</w:t>
        </w:r>
        <w:r w:rsidR="0003347C">
          <w:rPr>
            <w:noProof/>
            <w:webHidden/>
          </w:rPr>
          <w:fldChar w:fldCharType="end"/>
        </w:r>
      </w:hyperlink>
    </w:p>
    <w:p w14:paraId="17C0FBEE" w14:textId="77777777" w:rsidR="0054029A" w:rsidRDefault="0054029A">
      <w:pPr>
        <w:pStyle w:val="TableofFigures"/>
        <w:tabs>
          <w:tab w:val="right" w:leader="dot" w:pos="9350"/>
        </w:tabs>
        <w:rPr>
          <w:rFonts w:asciiTheme="minorHAnsi" w:eastAsiaTheme="minorEastAsia" w:hAnsiTheme="minorHAnsi" w:cstheme="minorBidi"/>
          <w:noProof/>
        </w:rPr>
      </w:pPr>
      <w:hyperlink w:anchor="_Toc234708378" w:history="1">
        <w:r w:rsidRPr="00894CFB">
          <w:rPr>
            <w:rStyle w:val="Hyperlink"/>
            <w:noProof/>
          </w:rPr>
          <w:t>Figure 5: RACI Matrix</w:t>
        </w:r>
        <w:r>
          <w:rPr>
            <w:noProof/>
            <w:webHidden/>
          </w:rPr>
          <w:tab/>
        </w:r>
        <w:r w:rsidR="0003347C">
          <w:rPr>
            <w:noProof/>
            <w:webHidden/>
          </w:rPr>
          <w:fldChar w:fldCharType="begin"/>
        </w:r>
        <w:r>
          <w:rPr>
            <w:noProof/>
            <w:webHidden/>
          </w:rPr>
          <w:instrText xml:space="preserve"> PAGEREF _Toc234708378 \h </w:instrText>
        </w:r>
        <w:r w:rsidR="0003347C">
          <w:rPr>
            <w:noProof/>
            <w:webHidden/>
          </w:rPr>
        </w:r>
        <w:r w:rsidR="0003347C">
          <w:rPr>
            <w:noProof/>
            <w:webHidden/>
          </w:rPr>
          <w:fldChar w:fldCharType="separate"/>
        </w:r>
        <w:r>
          <w:rPr>
            <w:noProof/>
            <w:webHidden/>
          </w:rPr>
          <w:t>7</w:t>
        </w:r>
        <w:r w:rsidR="0003347C">
          <w:rPr>
            <w:noProof/>
            <w:webHidden/>
          </w:rPr>
          <w:fldChar w:fldCharType="end"/>
        </w:r>
      </w:hyperlink>
    </w:p>
    <w:p w14:paraId="618D92EE" w14:textId="77777777" w:rsidR="0054029A" w:rsidRDefault="0054029A">
      <w:pPr>
        <w:pStyle w:val="TableofFigures"/>
        <w:tabs>
          <w:tab w:val="right" w:leader="dot" w:pos="9350"/>
        </w:tabs>
        <w:rPr>
          <w:rFonts w:asciiTheme="minorHAnsi" w:eastAsiaTheme="minorEastAsia" w:hAnsiTheme="minorHAnsi" w:cstheme="minorBidi"/>
          <w:noProof/>
        </w:rPr>
      </w:pPr>
      <w:hyperlink w:anchor="_Toc234708379" w:history="1">
        <w:r w:rsidRPr="00894CFB">
          <w:rPr>
            <w:rStyle w:val="Hyperlink"/>
            <w:noProof/>
          </w:rPr>
          <w:t>Figure 6: Probability-Impact Risk Matrix</w:t>
        </w:r>
        <w:r>
          <w:rPr>
            <w:noProof/>
            <w:webHidden/>
          </w:rPr>
          <w:tab/>
        </w:r>
        <w:r w:rsidR="0003347C">
          <w:rPr>
            <w:noProof/>
            <w:webHidden/>
          </w:rPr>
          <w:fldChar w:fldCharType="begin"/>
        </w:r>
        <w:r>
          <w:rPr>
            <w:noProof/>
            <w:webHidden/>
          </w:rPr>
          <w:instrText xml:space="preserve"> PAGEREF _Toc234708379 \h </w:instrText>
        </w:r>
        <w:r w:rsidR="0003347C">
          <w:rPr>
            <w:noProof/>
            <w:webHidden/>
          </w:rPr>
        </w:r>
        <w:r w:rsidR="0003347C">
          <w:rPr>
            <w:noProof/>
            <w:webHidden/>
          </w:rPr>
          <w:fldChar w:fldCharType="separate"/>
        </w:r>
        <w:r>
          <w:rPr>
            <w:noProof/>
            <w:webHidden/>
          </w:rPr>
          <w:t>8</w:t>
        </w:r>
        <w:r w:rsidR="0003347C">
          <w:rPr>
            <w:noProof/>
            <w:webHidden/>
          </w:rPr>
          <w:fldChar w:fldCharType="end"/>
        </w:r>
      </w:hyperlink>
    </w:p>
    <w:p w14:paraId="0F4A9A84" w14:textId="77777777" w:rsidR="00385B07" w:rsidRDefault="0003347C">
      <w:pPr>
        <w:spacing w:line="278" w:lineRule="auto"/>
        <w:jc w:val="left"/>
        <w:sectPr w:rsidR="00385B07" w:rsidSect="00385B0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titlePg/>
          <w:docGrid w:linePitch="360"/>
        </w:sectPr>
      </w:pPr>
      <w:r>
        <w:fldChar w:fldCharType="end"/>
      </w:r>
    </w:p>
    <w:p w14:paraId="3C167C91" w14:textId="77777777" w:rsidR="00515565" w:rsidRPr="00515565" w:rsidRDefault="00515565" w:rsidP="00B14C28">
      <w:pPr>
        <w:pStyle w:val="Heading1"/>
      </w:pPr>
      <w:bookmarkStart w:id="0" w:name="_Toc234708363"/>
      <w:r w:rsidRPr="00515565">
        <w:lastRenderedPageBreak/>
        <w:t>Introduction</w:t>
      </w:r>
      <w:bookmarkEnd w:id="0"/>
    </w:p>
    <w:p w14:paraId="45B58C82" w14:textId="77777777" w:rsidR="00515565" w:rsidRPr="00515565" w:rsidRDefault="00213090" w:rsidP="00515565">
      <w:r w:rsidRPr="00213090">
        <w:t>A large central transport hub in a major UK city is closed in November 2025 due to structural safety issues. This negatively impacts rail, bus and freight operations and leads to significant economic and social costs (Chen et al., 2022). This is a project management plan to regenerate that hub into a new and contemporary multimodal interchange, accessible, safe and sustainable. The project is in the range of infrastructure mega-projects, in which cost and time overruns are both customary and frequent (</w:t>
      </w:r>
      <w:proofErr w:type="spellStart"/>
      <w:r w:rsidRPr="00213090">
        <w:t>Flyvbjerg</w:t>
      </w:r>
      <w:proofErr w:type="spellEnd"/>
      <w:r w:rsidRPr="00213090">
        <w:t xml:space="preserve"> and Gardner, 2023). This risk profile leads to a mostly traditional stage-gated development management model rather than a rigorous Agile one. This meets the static regulatory and safety requirements the project needs to satisfy. The evidence of hybrid project management has also been </w:t>
      </w:r>
      <w:r w:rsidR="00305E1F">
        <w:t xml:space="preserve">concentrated in software contexts, with </w:t>
      </w:r>
      <w:r w:rsidRPr="00213090">
        <w:t xml:space="preserve">limited </w:t>
      </w:r>
      <w:r w:rsidR="00305E1F">
        <w:t xml:space="preserve">testing </w:t>
      </w:r>
      <w:r w:rsidRPr="00213090">
        <w:t xml:space="preserve">in infrastructure </w:t>
      </w:r>
      <w:r w:rsidR="00305E1F" w:rsidRPr="00305E1F">
        <w:t>setting</w:t>
      </w:r>
      <w:r w:rsidRPr="00213090">
        <w:t>s, which again provides foundational support for the traditionalist position here (</w:t>
      </w:r>
      <w:proofErr w:type="spellStart"/>
      <w:r w:rsidRPr="00213090">
        <w:t>Székely</w:t>
      </w:r>
      <w:proofErr w:type="spellEnd"/>
      <w:r w:rsidRPr="00213090">
        <w:t xml:space="preserve">, </w:t>
      </w:r>
      <w:proofErr w:type="spellStart"/>
      <w:r w:rsidRPr="00213090">
        <w:t>Erdeiné</w:t>
      </w:r>
      <w:proofErr w:type="spellEnd"/>
      <w:r w:rsidRPr="00213090">
        <w:t xml:space="preserve"> </w:t>
      </w:r>
      <w:proofErr w:type="spellStart"/>
      <w:r w:rsidRPr="00213090">
        <w:t>Késmárki-Gally</w:t>
      </w:r>
      <w:proofErr w:type="spellEnd"/>
      <w:r w:rsidRPr="00213090">
        <w:t xml:space="preserve"> and </w:t>
      </w:r>
      <w:proofErr w:type="spellStart"/>
      <w:r w:rsidRPr="00213090">
        <w:t>Lakner</w:t>
      </w:r>
      <w:proofErr w:type="spellEnd"/>
      <w:r w:rsidRPr="00213090">
        <w:t xml:space="preserve">, 2025). The project description, scope, structure, governance, resourcing and risk position are </w:t>
      </w:r>
      <w:r w:rsidR="00757E24">
        <w:t>discussed next.</w:t>
      </w:r>
    </w:p>
    <w:p w14:paraId="60DC3C27" w14:textId="77777777" w:rsidR="00515565" w:rsidRPr="00515565" w:rsidRDefault="00515565" w:rsidP="00B14C28">
      <w:pPr>
        <w:pStyle w:val="Heading1"/>
      </w:pPr>
      <w:bookmarkStart w:id="1" w:name="_Toc234708364"/>
      <w:r w:rsidRPr="00515565">
        <w:t>Project Description</w:t>
      </w:r>
      <w:bookmarkEnd w:id="1"/>
    </w:p>
    <w:p w14:paraId="7BFC97B4" w14:textId="77777777" w:rsidR="005538E6" w:rsidRDefault="005538E6" w:rsidP="00515565">
      <w:r w:rsidRPr="005538E6">
        <w:t xml:space="preserve">The project presents an integrated rail, bus and freight interchange at the complete redevelopment of the central transport hub area. There are </w:t>
      </w:r>
      <w:r w:rsidR="00305E1F" w:rsidRPr="00305E1F">
        <w:t>four</w:t>
      </w:r>
      <w:r w:rsidRPr="005538E6">
        <w:t xml:space="preserve"> project options contained in the scenario. These include a hub redevelopment</w:t>
      </w:r>
      <w:r w:rsidR="00E6370E">
        <w:t>,</w:t>
      </w:r>
      <w:r w:rsidRPr="005538E6">
        <w:t xml:space="preserve"> a temporary multimodal solution</w:t>
      </w:r>
      <w:r w:rsidR="00E6370E">
        <w:t>,</w:t>
      </w:r>
      <w:r w:rsidRPr="005538E6">
        <w:t xml:space="preserve"> digital </w:t>
      </w:r>
      <w:proofErr w:type="spellStart"/>
      <w:r w:rsidRPr="005538E6">
        <w:t>modernisation</w:t>
      </w:r>
      <w:proofErr w:type="spellEnd"/>
      <w:r w:rsidRPr="005538E6">
        <w:t xml:space="preserve"> of passenger flow</w:t>
      </w:r>
      <w:r w:rsidR="00E6370E">
        <w:t>,</w:t>
      </w:r>
      <w:r w:rsidRPr="005538E6">
        <w:t xml:space="preserve"> and net-zero transport redesign. The selection for full redevelopment is </w:t>
      </w:r>
      <w:r w:rsidR="00305E1F" w:rsidRPr="00305E1F">
        <w:t>made over</w:t>
      </w:r>
      <w:r w:rsidRPr="005538E6">
        <w:t xml:space="preserve"> the other three. This is because a temporary fix will not solve structural and compliance issues that led to the closure. Passenger information and logistics coordination </w:t>
      </w:r>
      <w:r w:rsidR="00E6370E">
        <w:t xml:space="preserve">are </w:t>
      </w:r>
      <w:r w:rsidRPr="005538E6">
        <w:t xml:space="preserve">solved by digital </w:t>
      </w:r>
      <w:proofErr w:type="spellStart"/>
      <w:r w:rsidRPr="005538E6">
        <w:t>modernisation</w:t>
      </w:r>
      <w:proofErr w:type="spellEnd"/>
      <w:r w:rsidR="00E6370E">
        <w:t>,</w:t>
      </w:r>
      <w:r w:rsidRPr="005538E6">
        <w:t xml:space="preserve"> but have no effect on physical s</w:t>
      </w:r>
      <w:r w:rsidR="00305E1F" w:rsidRPr="00305E1F">
        <w:t>afe</w:t>
      </w:r>
      <w:r w:rsidRPr="005538E6">
        <w:t xml:space="preserve">ty. An emissions-only approach to net zero would fail to address issues of capacity and accessibility. It would make more sense to think of digital </w:t>
      </w:r>
      <w:r w:rsidR="00305E1F">
        <w:t xml:space="preserve">and sustainability </w:t>
      </w:r>
      <w:r w:rsidRPr="005538E6">
        <w:t xml:space="preserve">improvements as part of </w:t>
      </w:r>
      <w:r w:rsidR="00305E1F" w:rsidRPr="00305E1F">
        <w:t xml:space="preserve">one redevelopment </w:t>
      </w:r>
      <w:proofErr w:type="spellStart"/>
      <w:r w:rsidR="00305E1F" w:rsidRPr="00305E1F">
        <w:t>programme</w:t>
      </w:r>
      <w:proofErr w:type="spellEnd"/>
      <w:r w:rsidRPr="005538E6">
        <w:t xml:space="preserve">, rather than as separate initiatives bidding for the same site, time, and funding. This reflects current delivery practices, where the provision of safety measures is increasingly linked with capacity and sustainability in the context of integrated infrastructure </w:t>
      </w:r>
      <w:proofErr w:type="spellStart"/>
      <w:r w:rsidRPr="005538E6">
        <w:t>programmes</w:t>
      </w:r>
      <w:proofErr w:type="spellEnd"/>
      <w:r w:rsidRPr="005538E6">
        <w:t xml:space="preserve"> (Chen et al., 2022).</w:t>
      </w:r>
    </w:p>
    <w:p w14:paraId="2454D80B" w14:textId="77777777" w:rsidR="00515565" w:rsidRPr="00515565" w:rsidRDefault="005538E6" w:rsidP="00515565">
      <w:r w:rsidRPr="005538E6">
        <w:t xml:space="preserve">The redevelopment also fits within the UK government's transport </w:t>
      </w:r>
      <w:proofErr w:type="spellStart"/>
      <w:r w:rsidRPr="005538E6">
        <w:t>decarbonisation</w:t>
      </w:r>
      <w:proofErr w:type="spellEnd"/>
      <w:r w:rsidRPr="005538E6">
        <w:t xml:space="preserve"> goals, which require investment in infrastructure to also do more to stimulate net-zero outcomes, rather than operate a </w:t>
      </w:r>
      <w:proofErr w:type="spellStart"/>
      <w:r w:rsidRPr="005538E6">
        <w:t>workstream</w:t>
      </w:r>
      <w:proofErr w:type="spellEnd"/>
      <w:r w:rsidRPr="005538E6">
        <w:t xml:space="preserve"> alongside these goals (Department for Transport, 2021). For planning </w:t>
      </w:r>
      <w:r w:rsidRPr="005538E6">
        <w:lastRenderedPageBreak/>
        <w:t xml:space="preserve">purposes, the project is considered a </w:t>
      </w:r>
      <w:proofErr w:type="spellStart"/>
      <w:r w:rsidRPr="005538E6">
        <w:t>megaproject</w:t>
      </w:r>
      <w:proofErr w:type="spellEnd"/>
      <w:r w:rsidRPr="005538E6">
        <w:t>, based on its multiple interdependent stakeholders, cost, and complexity (</w:t>
      </w:r>
      <w:proofErr w:type="spellStart"/>
      <w:r w:rsidRPr="005538E6">
        <w:t>Denicol</w:t>
      </w:r>
      <w:proofErr w:type="spellEnd"/>
      <w:r w:rsidRPr="005538E6">
        <w:t xml:space="preserve">, Davies and </w:t>
      </w:r>
      <w:proofErr w:type="spellStart"/>
      <w:r w:rsidRPr="005538E6">
        <w:t>Pryke</w:t>
      </w:r>
      <w:proofErr w:type="spellEnd"/>
      <w:r w:rsidRPr="005538E6">
        <w:t>, 2021).</w:t>
      </w:r>
    </w:p>
    <w:p w14:paraId="65F0D704" w14:textId="77777777" w:rsidR="00515565" w:rsidRPr="00515565" w:rsidRDefault="00515565" w:rsidP="00B14C28">
      <w:pPr>
        <w:pStyle w:val="Heading1"/>
      </w:pPr>
      <w:bookmarkStart w:id="2" w:name="_Toc234708365"/>
      <w:r w:rsidRPr="00515565">
        <w:t>Scope</w:t>
      </w:r>
      <w:bookmarkEnd w:id="2"/>
    </w:p>
    <w:p w14:paraId="6375970F" w14:textId="77777777" w:rsidR="00515565" w:rsidRPr="00515565" w:rsidRDefault="00EE4A41" w:rsidP="00515565">
      <w:r w:rsidRPr="00EE4A41">
        <w:t xml:space="preserve">In this project, all work necessary to restore the full transport capacity at the hub </w:t>
      </w:r>
      <w:r w:rsidR="00305E1F" w:rsidRPr="00305E1F">
        <w:t>is</w:t>
      </w:r>
      <w:r w:rsidRPr="00EE4A41">
        <w:t xml:space="preserve"> performed to restore the site to </w:t>
      </w:r>
      <w:r w:rsidR="00E6370E">
        <w:t xml:space="preserve">a </w:t>
      </w:r>
      <w:r w:rsidRPr="00EE4A41">
        <w:t xml:space="preserve">modern level of safety and accessibility. This covers the demolition of unsafe existing infrastructure, new rail, bus and freight developments, smart ticketing and passenger information technology. This type of digital passenger information </w:t>
      </w:r>
      <w:r w:rsidR="00E6370E">
        <w:t>tool</w:t>
      </w:r>
      <w:r w:rsidRPr="00EE4A41">
        <w:t xml:space="preserve"> has been demonstrated to increase the accuracy of current journeys for transport users in other locations, supporting their incorporation here (Estrada-Esquivel et al., 2022). Renewable energy and green infrastructure have also been included</w:t>
      </w:r>
      <w:r w:rsidR="00E6370E">
        <w:t>,</w:t>
      </w:r>
      <w:r w:rsidRPr="00EE4A41">
        <w:t xml:space="preserve"> as well as a structured </w:t>
      </w:r>
      <w:proofErr w:type="spellStart"/>
      <w:r w:rsidRPr="00EE4A41">
        <w:t>programme</w:t>
      </w:r>
      <w:proofErr w:type="spellEnd"/>
      <w:r w:rsidRPr="00EE4A41">
        <w:t xml:space="preserve"> of stakeholder consultation. Accessibility improvements form a core scope item, not an add-on. This is growing evidence that public transport buildings continue to represent a significant source of physical barriers for wheelchair and mobility-device users, especially at pathways, ramps and entries (</w:t>
      </w:r>
      <w:proofErr w:type="spellStart"/>
      <w:r w:rsidRPr="00EE4A41">
        <w:t>Kapsalis</w:t>
      </w:r>
      <w:proofErr w:type="spellEnd"/>
      <w:r w:rsidRPr="00EE4A41">
        <w:t xml:space="preserve">, Jaeger and Hale, 2022). Any extension of a regional roadway beyond the transport zone, commercial development of any property which is not directly connected to the transport area, or operation beyond handover is not included within the scope. These boundaries matter. Otherwise, the project could go sideways into different areas of development, creating a potential for scope creep and cost and time issues. The rationale behind defining these boundaries also forms the basis of the work breakdown structure presented in the following section as items left out are positioned outside the overall scope of the WBS but not </w:t>
      </w:r>
      <w:proofErr w:type="spellStart"/>
      <w:r w:rsidR="00E6370E">
        <w:t>minimised</w:t>
      </w:r>
      <w:proofErr w:type="spellEnd"/>
      <w:r w:rsidRPr="00EE4A41">
        <w:t xml:space="preserve"> within it. </w:t>
      </w:r>
      <w:r w:rsidR="00305E1F" w:rsidRPr="00305E1F">
        <w:t>Any change to scope after baseline approval is reviewed against cost, schedule and safety impact through a formal change control process</w:t>
      </w:r>
      <w:r w:rsidRPr="00EE4A41">
        <w:t>.</w:t>
      </w:r>
    </w:p>
    <w:p w14:paraId="3130F5CA" w14:textId="77777777" w:rsidR="00515565" w:rsidRPr="00515565" w:rsidRDefault="00515565" w:rsidP="00B14C28">
      <w:pPr>
        <w:pStyle w:val="Heading1"/>
      </w:pPr>
      <w:bookmarkStart w:id="3" w:name="_Toc234708366"/>
      <w:r w:rsidRPr="00515565">
        <w:t>Work Breakdown Structure</w:t>
      </w:r>
      <w:bookmarkEnd w:id="3"/>
    </w:p>
    <w:p w14:paraId="3E5209F8" w14:textId="77777777" w:rsidR="00515565" w:rsidRDefault="00425427" w:rsidP="00515565">
      <w:r w:rsidRPr="00425427">
        <w:t xml:space="preserve">The work breakdown structure (WBS) is a hierarchy of deliverables that are divided into manageable work packages to </w:t>
      </w:r>
      <w:proofErr w:type="spellStart"/>
      <w:r w:rsidRPr="00425427">
        <w:t>organise</w:t>
      </w:r>
      <w:proofErr w:type="spellEnd"/>
      <w:r w:rsidRPr="00425427">
        <w:t xml:space="preserve"> the redevelopment. This is consistent with PMI tradition, where each successive level is more refined and less encompassing of work (Cerezo-Narváez et al., 2020). The WBS is linked to the whole deliverable, which is a redeveloped, safe and sustainable transport hub, at Level 1. At level 2, this is broken down into five key work streams. These include demolition and enabling works, construction of rail and bus interchanges, construction of freight facilities, digital and smart systems, and green infrastructure. Finally, level 3 breaks each stream </w:t>
      </w:r>
      <w:r w:rsidRPr="00425427">
        <w:lastRenderedPageBreak/>
        <w:t xml:space="preserve">down into individual work </w:t>
      </w:r>
      <w:proofErr w:type="spellStart"/>
      <w:r w:rsidRPr="00425427">
        <w:t>packages</w:t>
      </w:r>
      <w:r>
        <w:t>,</w:t>
      </w:r>
      <w:r w:rsidR="00305E1F" w:rsidRPr="00305E1F">
        <w:t>such</w:t>
      </w:r>
      <w:proofErr w:type="spellEnd"/>
      <w:r w:rsidR="00305E1F" w:rsidRPr="00305E1F">
        <w:t xml:space="preserve"> as</w:t>
      </w:r>
      <w:r w:rsidRPr="00425427">
        <w:t xml:space="preserve"> platform co</w:t>
      </w:r>
      <w:r w:rsidR="00305E1F" w:rsidRPr="00305E1F">
        <w:t>nstruction</w:t>
      </w:r>
      <w:r w:rsidRPr="00425427">
        <w:t>, installing ticketing hardware, or installing solar panel components.</w:t>
      </w:r>
    </w:p>
    <w:p w14:paraId="6C5542C9" w14:textId="77777777" w:rsidR="00C501AE" w:rsidRDefault="009A1823" w:rsidP="00515565">
      <w:r w:rsidRPr="009A1823">
        <w:rPr>
          <w:noProof/>
          <w:lang w:val="fr-FR" w:eastAsia="fr-FR"/>
        </w:rPr>
        <w:drawing>
          <wp:inline distT="0" distB="0" distL="0" distR="0" wp14:anchorId="3D7628AA" wp14:editId="7902C783">
            <wp:extent cx="5943600" cy="3049270"/>
            <wp:effectExtent l="0" t="0" r="0" b="0"/>
            <wp:docPr id="993787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87783" name=""/>
                    <pic:cNvPicPr/>
                  </pic:nvPicPr>
                  <pic:blipFill>
                    <a:blip r:embed="rId14"/>
                    <a:stretch>
                      <a:fillRect/>
                    </a:stretch>
                  </pic:blipFill>
                  <pic:spPr>
                    <a:xfrm>
                      <a:off x="0" y="0"/>
                      <a:ext cx="5943600" cy="3049270"/>
                    </a:xfrm>
                    <a:prstGeom prst="rect">
                      <a:avLst/>
                    </a:prstGeom>
                  </pic:spPr>
                </pic:pic>
              </a:graphicData>
            </a:graphic>
          </wp:inline>
        </w:drawing>
      </w:r>
    </w:p>
    <w:p w14:paraId="1DF0151A" w14:textId="77777777" w:rsidR="004F77B9" w:rsidRDefault="00B23055" w:rsidP="00B23055">
      <w:pPr>
        <w:pStyle w:val="Caption"/>
        <w:jc w:val="center"/>
        <w:rPr>
          <w:sz w:val="24"/>
          <w:szCs w:val="24"/>
        </w:rPr>
      </w:pPr>
      <w:bookmarkStart w:id="4" w:name="_Toc234708374"/>
      <w:r w:rsidRPr="00B23055">
        <w:rPr>
          <w:sz w:val="24"/>
          <w:szCs w:val="24"/>
        </w:rPr>
        <w:t xml:space="preserve">Figure </w:t>
      </w:r>
      <w:r w:rsidR="0003347C" w:rsidRPr="00B23055">
        <w:rPr>
          <w:sz w:val="24"/>
          <w:szCs w:val="24"/>
        </w:rPr>
        <w:fldChar w:fldCharType="begin"/>
      </w:r>
      <w:r w:rsidRPr="00B23055">
        <w:rPr>
          <w:sz w:val="24"/>
          <w:szCs w:val="24"/>
        </w:rPr>
        <w:instrText xml:space="preserve"> SEQ Figure \* ARABIC </w:instrText>
      </w:r>
      <w:r w:rsidR="0003347C" w:rsidRPr="00B23055">
        <w:rPr>
          <w:sz w:val="24"/>
          <w:szCs w:val="24"/>
        </w:rPr>
        <w:fldChar w:fldCharType="separate"/>
      </w:r>
      <w:r w:rsidR="00946AFC">
        <w:rPr>
          <w:noProof/>
          <w:sz w:val="24"/>
          <w:szCs w:val="24"/>
        </w:rPr>
        <w:t>1</w:t>
      </w:r>
      <w:r w:rsidR="0003347C" w:rsidRPr="00B23055">
        <w:rPr>
          <w:sz w:val="24"/>
          <w:szCs w:val="24"/>
        </w:rPr>
        <w:fldChar w:fldCharType="end"/>
      </w:r>
      <w:r w:rsidRPr="00B23055">
        <w:rPr>
          <w:sz w:val="24"/>
          <w:szCs w:val="24"/>
        </w:rPr>
        <w:t>: Work Breakdown Structure</w:t>
      </w:r>
      <w:bookmarkEnd w:id="4"/>
    </w:p>
    <w:p w14:paraId="1E66587F" w14:textId="77777777" w:rsidR="00E23F79" w:rsidRPr="00E23F79" w:rsidRDefault="00E23F79" w:rsidP="00E23F79">
      <w:pPr>
        <w:jc w:val="center"/>
      </w:pPr>
      <w:r>
        <w:t>Source: A</w:t>
      </w:r>
      <w:r w:rsidRPr="00E23F79">
        <w:t>dapted from Cerezo-Narváez et al. (2020)</w:t>
      </w:r>
    </w:p>
    <w:p w14:paraId="575DAFA4" w14:textId="77777777" w:rsidR="00515565" w:rsidRPr="00515565" w:rsidRDefault="001C73AB" w:rsidP="00515565">
      <w:r w:rsidRPr="001C73AB">
        <w:t>This is not an arbitrary structure. It</w:t>
      </w:r>
      <w:r w:rsidR="00305E1F" w:rsidRPr="00305E1F">
        <w:t xml:space="preserve"> is not a task-oriented logic; it i</w:t>
      </w:r>
      <w:r w:rsidRPr="001C73AB">
        <w:t xml:space="preserve">s a </w:t>
      </w:r>
      <w:r w:rsidR="00E6370E">
        <w:t>deliverable-oriented</w:t>
      </w:r>
      <w:r w:rsidRPr="001C73AB">
        <w:t xml:space="preserve"> logic. This means every branch is a product of the project and not an action </w:t>
      </w:r>
      <w:r w:rsidR="00E6370E">
        <w:t>taken</w:t>
      </w:r>
      <w:r w:rsidRPr="001C73AB">
        <w:t xml:space="preserve">. The advantages </w:t>
      </w:r>
      <w:r w:rsidR="00E6370E">
        <w:t>of</w:t>
      </w:r>
      <w:r w:rsidRPr="001C73AB">
        <w:t xml:space="preserve"> using this method</w:t>
      </w:r>
      <w:r w:rsidR="00E6370E">
        <w:t>, as</w:t>
      </w:r>
      <w:r w:rsidRPr="001C73AB">
        <w:t xml:space="preserve"> demonstrated by construction projects</w:t>
      </w:r>
      <w:r w:rsidR="00E6370E">
        <w:t>,</w:t>
      </w:r>
      <w:r w:rsidRPr="001C73AB">
        <w:t xml:space="preserve"> are that there is a reduced ambiguity in regard to ownership as each work package may be delegated to one responsible party (Cerezo-Narváez et al., 2020). It also aids the later mapping of cost data, as the branches of the WBS can be directly mapped as the branches of the cost breakdown structure. It is helpful if the project is such that the budget has to be monitored against the actual work done.</w:t>
      </w:r>
    </w:p>
    <w:p w14:paraId="40280690" w14:textId="77777777" w:rsidR="00515565" w:rsidRPr="00515565" w:rsidRDefault="009373E6" w:rsidP="00515565">
      <w:r>
        <w:t>There is one limitation that should be mentioned</w:t>
      </w:r>
      <w:r w:rsidR="00712100" w:rsidRPr="00712100">
        <w:t xml:space="preserve">. A WBS indicates work that exists, but does not indicate when it will occur or the time required for each package. That sequencing is left to the Gantt chart, which </w:t>
      </w:r>
      <w:r w:rsidR="00E6370E">
        <w:t>is</w:t>
      </w:r>
      <w:r w:rsidR="00712100" w:rsidRPr="00712100">
        <w:t xml:space="preserve"> described later. The WBS and the schedule are consequently considered separate but related tools here in the present case, rather than one document performing two functions. This is also relevant to supporting the stability of the WBS, even when the schedule changes, which is a common concern for such infrastructure </w:t>
      </w:r>
      <w:proofErr w:type="spellStart"/>
      <w:r w:rsidR="00712100" w:rsidRPr="00712100">
        <w:t>megaprojects</w:t>
      </w:r>
      <w:proofErr w:type="spellEnd"/>
      <w:r w:rsidR="00712100" w:rsidRPr="00712100">
        <w:t xml:space="preserve"> (</w:t>
      </w:r>
      <w:proofErr w:type="spellStart"/>
      <w:r w:rsidR="00712100" w:rsidRPr="00712100">
        <w:t>Flyvbjerg</w:t>
      </w:r>
      <w:proofErr w:type="spellEnd"/>
      <w:r w:rsidR="00712100" w:rsidRPr="00712100">
        <w:t xml:space="preserve"> and Gardner, 2023).</w:t>
      </w:r>
    </w:p>
    <w:p w14:paraId="5A908FF0" w14:textId="77777777" w:rsidR="00515565" w:rsidRPr="00515565" w:rsidRDefault="00515565" w:rsidP="00B14C28">
      <w:pPr>
        <w:pStyle w:val="Heading1"/>
      </w:pPr>
      <w:bookmarkStart w:id="5" w:name="_Toc234708367"/>
      <w:r w:rsidRPr="00515565">
        <w:lastRenderedPageBreak/>
        <w:t>Quad Chart</w:t>
      </w:r>
      <w:bookmarkEnd w:id="5"/>
    </w:p>
    <w:p w14:paraId="76EECAEB" w14:textId="77777777" w:rsidR="00515565" w:rsidRDefault="00D729F4" w:rsidP="00515565">
      <w:r w:rsidRPr="00D729F4">
        <w:t xml:space="preserve">A quad chart is an overview of the project, displayed in four quadrants </w:t>
      </w:r>
      <w:r w:rsidR="00E6370E">
        <w:t>on</w:t>
      </w:r>
      <w:r w:rsidRPr="00D729F4">
        <w:t xml:space="preserve"> a single page. This project's version includes Objectives, Schedule, Cost and Risk. This view provides an easy snapshot of project health, without having to open the entire project plan (</w:t>
      </w:r>
      <w:proofErr w:type="spellStart"/>
      <w:r w:rsidRPr="00D729F4">
        <w:t>Denicol</w:t>
      </w:r>
      <w:proofErr w:type="spellEnd"/>
      <w:r w:rsidRPr="00D729F4">
        <w:t xml:space="preserve">, Davies and </w:t>
      </w:r>
      <w:proofErr w:type="spellStart"/>
      <w:r w:rsidRPr="00D729F4">
        <w:t>Pryke</w:t>
      </w:r>
      <w:proofErr w:type="spellEnd"/>
      <w:r w:rsidRPr="00D729F4">
        <w:t>, 2021).</w:t>
      </w:r>
    </w:p>
    <w:p w14:paraId="41EB8651" w14:textId="77777777" w:rsidR="009E400E" w:rsidRPr="00515565" w:rsidRDefault="00252F22" w:rsidP="00515565">
      <w:r w:rsidRPr="00252F22">
        <w:rPr>
          <w:noProof/>
          <w:lang w:val="fr-FR" w:eastAsia="fr-FR"/>
        </w:rPr>
        <w:drawing>
          <wp:inline distT="0" distB="0" distL="0" distR="0" wp14:anchorId="7AACF0E9" wp14:editId="57A3124E">
            <wp:extent cx="5943600" cy="3182620"/>
            <wp:effectExtent l="0" t="0" r="0" b="0"/>
            <wp:docPr id="343932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932700" name=""/>
                    <pic:cNvPicPr/>
                  </pic:nvPicPr>
                  <pic:blipFill>
                    <a:blip r:embed="rId15"/>
                    <a:stretch>
                      <a:fillRect/>
                    </a:stretch>
                  </pic:blipFill>
                  <pic:spPr>
                    <a:xfrm>
                      <a:off x="0" y="0"/>
                      <a:ext cx="5943600" cy="3182620"/>
                    </a:xfrm>
                    <a:prstGeom prst="rect">
                      <a:avLst/>
                    </a:prstGeom>
                  </pic:spPr>
                </pic:pic>
              </a:graphicData>
            </a:graphic>
          </wp:inline>
        </w:drawing>
      </w:r>
    </w:p>
    <w:p w14:paraId="038CAF51" w14:textId="77777777" w:rsidR="00515565" w:rsidRPr="00E23F79" w:rsidRDefault="00BD3DAC" w:rsidP="00BD3DAC">
      <w:pPr>
        <w:pStyle w:val="Caption"/>
        <w:jc w:val="center"/>
        <w:rPr>
          <w:sz w:val="24"/>
          <w:szCs w:val="24"/>
        </w:rPr>
      </w:pPr>
      <w:bookmarkStart w:id="6" w:name="_Toc234708375"/>
      <w:r w:rsidRPr="00E23F79">
        <w:rPr>
          <w:sz w:val="24"/>
          <w:szCs w:val="24"/>
        </w:rPr>
        <w:t xml:space="preserve">Figure </w:t>
      </w:r>
      <w:r w:rsidR="0003347C" w:rsidRPr="00E23F79">
        <w:rPr>
          <w:sz w:val="24"/>
          <w:szCs w:val="24"/>
        </w:rPr>
        <w:fldChar w:fldCharType="begin"/>
      </w:r>
      <w:r w:rsidRPr="00E23F79">
        <w:rPr>
          <w:sz w:val="24"/>
          <w:szCs w:val="24"/>
        </w:rPr>
        <w:instrText xml:space="preserve"> SEQ Figure \* ARABIC </w:instrText>
      </w:r>
      <w:r w:rsidR="0003347C" w:rsidRPr="00E23F79">
        <w:rPr>
          <w:sz w:val="24"/>
          <w:szCs w:val="24"/>
        </w:rPr>
        <w:fldChar w:fldCharType="separate"/>
      </w:r>
      <w:r w:rsidR="00946AFC">
        <w:rPr>
          <w:noProof/>
          <w:sz w:val="24"/>
          <w:szCs w:val="24"/>
        </w:rPr>
        <w:t>2</w:t>
      </w:r>
      <w:r w:rsidR="0003347C" w:rsidRPr="00E23F79">
        <w:rPr>
          <w:sz w:val="24"/>
          <w:szCs w:val="24"/>
        </w:rPr>
        <w:fldChar w:fldCharType="end"/>
      </w:r>
      <w:r w:rsidRPr="00E23F79">
        <w:rPr>
          <w:sz w:val="24"/>
          <w:szCs w:val="24"/>
        </w:rPr>
        <w:t xml:space="preserve">: Quad chart </w:t>
      </w:r>
      <w:r w:rsidR="00F16CE8" w:rsidRPr="00E23F79">
        <w:rPr>
          <w:sz w:val="24"/>
          <w:szCs w:val="24"/>
        </w:rPr>
        <w:t>-</w:t>
      </w:r>
      <w:r w:rsidRPr="00E23F79">
        <w:rPr>
          <w:sz w:val="24"/>
          <w:szCs w:val="24"/>
        </w:rPr>
        <w:t xml:space="preserve"> Objectives, Schedule, Cost, Risk</w:t>
      </w:r>
      <w:bookmarkEnd w:id="6"/>
    </w:p>
    <w:p w14:paraId="472E5A64" w14:textId="77777777" w:rsidR="00036122" w:rsidRPr="00036122" w:rsidRDefault="00036122" w:rsidP="00036122">
      <w:pPr>
        <w:jc w:val="center"/>
      </w:pPr>
      <w:r>
        <w:t xml:space="preserve">Source: </w:t>
      </w:r>
      <w:r w:rsidRPr="004C1E8F">
        <w:t>Self-made</w:t>
      </w:r>
      <w:r w:rsidR="00185B09">
        <w:t>, a</w:t>
      </w:r>
      <w:r w:rsidR="00185B09" w:rsidRPr="00185B09">
        <w:t xml:space="preserve">dapted from </w:t>
      </w:r>
      <w:proofErr w:type="spellStart"/>
      <w:r w:rsidR="00185B09" w:rsidRPr="00185B09">
        <w:t>Denicol</w:t>
      </w:r>
      <w:proofErr w:type="spellEnd"/>
      <w:r w:rsidR="00185B09" w:rsidRPr="00185B09">
        <w:t xml:space="preserve">, Davies and </w:t>
      </w:r>
      <w:proofErr w:type="spellStart"/>
      <w:r w:rsidR="00185B09" w:rsidRPr="00185B09">
        <w:t>Pryke</w:t>
      </w:r>
      <w:proofErr w:type="spellEnd"/>
      <w:r w:rsidR="00185B09" w:rsidRPr="00185B09">
        <w:t xml:space="preserve"> (2021)</w:t>
      </w:r>
    </w:p>
    <w:p w14:paraId="584E8F5C" w14:textId="77777777" w:rsidR="00810B09" w:rsidRDefault="00352475" w:rsidP="00515565">
      <w:r w:rsidRPr="00352475">
        <w:t xml:space="preserve">The four quadrants are not independent. A slip in </w:t>
      </w:r>
      <w:r w:rsidR="00E6370E">
        <w:t>the schedule</w:t>
      </w:r>
      <w:r w:rsidRPr="00352475">
        <w:t xml:space="preserve"> gets translated into </w:t>
      </w:r>
      <w:r w:rsidR="00E6370E">
        <w:t xml:space="preserve">an </w:t>
      </w:r>
      <w:r w:rsidRPr="00352475">
        <w:t xml:space="preserve">increase in Cost as </w:t>
      </w:r>
      <w:r w:rsidR="00E6370E">
        <w:t xml:space="preserve">the </w:t>
      </w:r>
      <w:r w:rsidRPr="00352475">
        <w:t xml:space="preserve">length of site occupation increases overheads. In </w:t>
      </w:r>
      <w:proofErr w:type="spellStart"/>
      <w:r w:rsidRPr="00352475">
        <w:t>megaproject</w:t>
      </w:r>
      <w:proofErr w:type="spellEnd"/>
      <w:r w:rsidRPr="00352475">
        <w:t xml:space="preserve"> literature, this is a well-known phenomenon: schedule and cost overrun </w:t>
      </w:r>
      <w:r w:rsidR="00E6370E">
        <w:t>go</w:t>
      </w:r>
      <w:r w:rsidRPr="00352475">
        <w:t xml:space="preserve"> together much of the time (</w:t>
      </w:r>
      <w:proofErr w:type="spellStart"/>
      <w:r w:rsidRPr="00352475">
        <w:t>Flyvbjerg</w:t>
      </w:r>
      <w:proofErr w:type="spellEnd"/>
      <w:r w:rsidRPr="00352475">
        <w:t xml:space="preserve"> and Gardner, 2023). When making decisions, it is helpful to understand the chart as a group of </w:t>
      </w:r>
      <w:r w:rsidR="00305E1F" w:rsidRPr="00305E1F">
        <w:t>four</w:t>
      </w:r>
      <w:r w:rsidRPr="00352475">
        <w:t xml:space="preserve"> boxes, not </w:t>
      </w:r>
      <w:r w:rsidR="00305E1F" w:rsidRPr="00305E1F">
        <w:t>four</w:t>
      </w:r>
      <w:r w:rsidRPr="00352475">
        <w:t xml:space="preserve"> separate boxes. This chart is used in the steering group meetings to identify the quadrant that needs to be addressed at a </w:t>
      </w:r>
      <w:r w:rsidR="00E6370E">
        <w:t>glance</w:t>
      </w:r>
      <w:r w:rsidRPr="00352475">
        <w:t>.</w:t>
      </w:r>
    </w:p>
    <w:p w14:paraId="58DE9EE0" w14:textId="77777777" w:rsidR="00810B09" w:rsidRDefault="00810B09">
      <w:pPr>
        <w:spacing w:line="278" w:lineRule="auto"/>
        <w:jc w:val="left"/>
      </w:pPr>
      <w:r>
        <w:br w:type="page"/>
      </w:r>
    </w:p>
    <w:p w14:paraId="6F81EB23" w14:textId="77777777" w:rsidR="00515565" w:rsidRPr="00515565" w:rsidRDefault="00515565" w:rsidP="00B14C28">
      <w:pPr>
        <w:pStyle w:val="Heading1"/>
      </w:pPr>
      <w:bookmarkStart w:id="7" w:name="_Toc234708368"/>
      <w:r w:rsidRPr="00515565">
        <w:lastRenderedPageBreak/>
        <w:t>Gantt Chart</w:t>
      </w:r>
      <w:bookmarkEnd w:id="7"/>
    </w:p>
    <w:p w14:paraId="66268FE7" w14:textId="77777777" w:rsidR="00515565" w:rsidRDefault="00101C5D" w:rsidP="00515565">
      <w:r w:rsidRPr="00101C5D">
        <w:t xml:space="preserve">The Gantt chart establishes the project schedule in </w:t>
      </w:r>
      <w:r w:rsidR="00E6370E">
        <w:t>phases</w:t>
      </w:r>
      <w:r w:rsidRPr="00101C5D">
        <w:t xml:space="preserve">, covering enabling activities to the end of commissioning and handover. The five main phases are </w:t>
      </w:r>
      <w:r w:rsidR="00E6370E">
        <w:t>outlined</w:t>
      </w:r>
      <w:r w:rsidRPr="00101C5D">
        <w:t xml:space="preserve">: demolition, structural construction, installation of systems, testing and commissioning, and handover. Schedule and scope remain linked to the work streams </w:t>
      </w:r>
      <w:r w:rsidR="00E6370E">
        <w:t>identified</w:t>
      </w:r>
      <w:r w:rsidRPr="00101C5D">
        <w:t xml:space="preserve"> in the WBS.</w:t>
      </w:r>
    </w:p>
    <w:p w14:paraId="706B8A39" w14:textId="77777777" w:rsidR="00C05C32" w:rsidRPr="00515565" w:rsidRDefault="005249C1" w:rsidP="00515565">
      <w:r w:rsidRPr="005249C1">
        <w:rPr>
          <w:noProof/>
          <w:lang w:val="fr-FR" w:eastAsia="fr-FR"/>
        </w:rPr>
        <w:drawing>
          <wp:inline distT="0" distB="0" distL="0" distR="0" wp14:anchorId="26021753" wp14:editId="39458E97">
            <wp:extent cx="5943600" cy="2698115"/>
            <wp:effectExtent l="0" t="0" r="0" b="6985"/>
            <wp:docPr id="1457858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858261" name=""/>
                    <pic:cNvPicPr/>
                  </pic:nvPicPr>
                  <pic:blipFill>
                    <a:blip r:embed="rId16"/>
                    <a:stretch>
                      <a:fillRect/>
                    </a:stretch>
                  </pic:blipFill>
                  <pic:spPr>
                    <a:xfrm>
                      <a:off x="0" y="0"/>
                      <a:ext cx="5943600" cy="2698115"/>
                    </a:xfrm>
                    <a:prstGeom prst="rect">
                      <a:avLst/>
                    </a:prstGeom>
                  </pic:spPr>
                </pic:pic>
              </a:graphicData>
            </a:graphic>
          </wp:inline>
        </w:drawing>
      </w:r>
    </w:p>
    <w:p w14:paraId="68A2AFD4" w14:textId="77777777" w:rsidR="00515565" w:rsidRPr="00E23F79" w:rsidRDefault="00BD3DAC" w:rsidP="00BD3DAC">
      <w:pPr>
        <w:pStyle w:val="Caption"/>
        <w:jc w:val="center"/>
        <w:rPr>
          <w:sz w:val="24"/>
          <w:szCs w:val="24"/>
        </w:rPr>
      </w:pPr>
      <w:bookmarkStart w:id="8" w:name="_Toc234708376"/>
      <w:r w:rsidRPr="00E23F79">
        <w:rPr>
          <w:sz w:val="24"/>
          <w:szCs w:val="24"/>
        </w:rPr>
        <w:t xml:space="preserve">Figure </w:t>
      </w:r>
      <w:r w:rsidR="0003347C" w:rsidRPr="00E23F79">
        <w:rPr>
          <w:sz w:val="24"/>
          <w:szCs w:val="24"/>
        </w:rPr>
        <w:fldChar w:fldCharType="begin"/>
      </w:r>
      <w:r w:rsidRPr="00E23F79">
        <w:rPr>
          <w:sz w:val="24"/>
          <w:szCs w:val="24"/>
        </w:rPr>
        <w:instrText xml:space="preserve"> SEQ Figure \* ARABIC </w:instrText>
      </w:r>
      <w:r w:rsidR="0003347C" w:rsidRPr="00E23F79">
        <w:rPr>
          <w:sz w:val="24"/>
          <w:szCs w:val="24"/>
        </w:rPr>
        <w:fldChar w:fldCharType="separate"/>
      </w:r>
      <w:r w:rsidR="00946AFC">
        <w:rPr>
          <w:noProof/>
          <w:sz w:val="24"/>
          <w:szCs w:val="24"/>
        </w:rPr>
        <w:t>3</w:t>
      </w:r>
      <w:r w:rsidR="0003347C" w:rsidRPr="00E23F79">
        <w:rPr>
          <w:sz w:val="24"/>
          <w:szCs w:val="24"/>
        </w:rPr>
        <w:fldChar w:fldCharType="end"/>
      </w:r>
      <w:r w:rsidRPr="00E23F79">
        <w:rPr>
          <w:sz w:val="24"/>
          <w:szCs w:val="24"/>
        </w:rPr>
        <w:t>: Gantt Chart</w:t>
      </w:r>
      <w:bookmarkEnd w:id="8"/>
    </w:p>
    <w:p w14:paraId="44405346" w14:textId="77777777" w:rsidR="004C1E8F" w:rsidRPr="004C1E8F" w:rsidRDefault="004C1E8F" w:rsidP="004C1E8F">
      <w:pPr>
        <w:jc w:val="center"/>
      </w:pPr>
      <w:r>
        <w:t xml:space="preserve">Source: </w:t>
      </w:r>
      <w:r w:rsidRPr="004C1E8F">
        <w:t>Self-made</w:t>
      </w:r>
    </w:p>
    <w:p w14:paraId="72C7768C" w14:textId="77777777" w:rsidR="00515565" w:rsidRPr="00515565" w:rsidRDefault="009615BA" w:rsidP="00515565">
      <w:r w:rsidRPr="009615BA">
        <w:t>Demolition must be completed prior to the commencement of structural works</w:t>
      </w:r>
      <w:r w:rsidR="00E6370E">
        <w:t>,</w:t>
      </w:r>
      <w:r w:rsidRPr="009615BA">
        <w:t xml:space="preserve"> as a new foundation cannot be placed on an unsafe site. Systems installation overlaps with later structural work, shortening the timeline but raising coordination risk on site.</w:t>
      </w:r>
    </w:p>
    <w:p w14:paraId="691BDC0E" w14:textId="77777777" w:rsidR="00F46CF6" w:rsidRDefault="00F9270C" w:rsidP="00515565">
      <w:r w:rsidRPr="00F9270C">
        <w:t xml:space="preserve">While useful for communicating timing to non-specialist stakeholders, there is a known limitation to </w:t>
      </w:r>
      <w:r w:rsidR="00E6370E">
        <w:t>Gantt</w:t>
      </w:r>
      <w:r w:rsidRPr="00F9270C">
        <w:t xml:space="preserve"> charts. They do not clearly show task dependencies, nor identify which activities actually drive the end date (</w:t>
      </w:r>
      <w:proofErr w:type="spellStart"/>
      <w:r w:rsidRPr="00F9270C">
        <w:t>Okoye</w:t>
      </w:r>
      <w:proofErr w:type="spellEnd"/>
      <w:r w:rsidRPr="00F9270C">
        <w:t xml:space="preserve"> et al., 2025). For that reason, the critical path is tracked separately here, using network analysis rather than </w:t>
      </w:r>
      <w:r w:rsidR="00E6370E">
        <w:t xml:space="preserve">being </w:t>
      </w:r>
      <w:r w:rsidRPr="00F9270C">
        <w:t>read directly off the bar chart. The use of the Gantt chart is associated with project performance only when scheduling staff have been properly trained to read rather than just create it (</w:t>
      </w:r>
      <w:proofErr w:type="spellStart"/>
      <w:r w:rsidRPr="00F9270C">
        <w:t>Okoye</w:t>
      </w:r>
      <w:proofErr w:type="spellEnd"/>
      <w:r w:rsidRPr="00F9270C">
        <w:t xml:space="preserve"> et al., 2025).</w:t>
      </w:r>
    </w:p>
    <w:p w14:paraId="6CD60762" w14:textId="77777777" w:rsidR="00F46CF6" w:rsidRDefault="00F46CF6">
      <w:pPr>
        <w:spacing w:line="278" w:lineRule="auto"/>
        <w:jc w:val="left"/>
      </w:pPr>
      <w:r>
        <w:br w:type="page"/>
      </w:r>
    </w:p>
    <w:p w14:paraId="69E635EE" w14:textId="77777777" w:rsidR="00515565" w:rsidRPr="00515565" w:rsidRDefault="00515565" w:rsidP="00B14C28">
      <w:pPr>
        <w:pStyle w:val="Heading1"/>
      </w:pPr>
      <w:bookmarkStart w:id="9" w:name="_Toc234708369"/>
      <w:r w:rsidRPr="00515565">
        <w:lastRenderedPageBreak/>
        <w:t>Stakeholder Involvement</w:t>
      </w:r>
      <w:bookmarkEnd w:id="9"/>
    </w:p>
    <w:p w14:paraId="3FAFEAEA" w14:textId="77777777" w:rsidR="00515565" w:rsidRDefault="005743AA" w:rsidP="00515565">
      <w:r w:rsidRPr="005743AA">
        <w:t>On a project this large, stakeholders vary in terms of both their power and their interest. The Local Authority and Central Government have high power and high interest because they provide funding and are responsible for the results of the project. The delivery component, via Transport Operators and Contractors</w:t>
      </w:r>
      <w:r w:rsidR="00E6370E">
        <w:t>,</w:t>
      </w:r>
      <w:r w:rsidRPr="005743AA">
        <w:t xml:space="preserve"> is </w:t>
      </w:r>
      <w:r w:rsidR="00305E1F">
        <w:t xml:space="preserve">again </w:t>
      </w:r>
      <w:r w:rsidRPr="005743AA">
        <w:t xml:space="preserve">another </w:t>
      </w:r>
      <w:r w:rsidR="00305E1F" w:rsidRPr="00305E1F">
        <w:t>high-power</w:t>
      </w:r>
      <w:r w:rsidRPr="005743AA">
        <w:t xml:space="preserve">, </w:t>
      </w:r>
      <w:r w:rsidR="00E6370E">
        <w:t>high-interest</w:t>
      </w:r>
      <w:r w:rsidRPr="005743AA">
        <w:t xml:space="preserve"> group. Commuters and Residents are also </w:t>
      </w:r>
      <w:r w:rsidR="00E6370E">
        <w:t>highly interested</w:t>
      </w:r>
      <w:r w:rsidRPr="005743AA">
        <w:t xml:space="preserve">, albeit still </w:t>
      </w:r>
      <w:r w:rsidR="00E6370E">
        <w:t xml:space="preserve">with </w:t>
      </w:r>
      <w:r w:rsidRPr="005743AA">
        <w:t xml:space="preserve">comparatively low formal power, as they are impacted daily but do not have a direct say in </w:t>
      </w:r>
      <w:r w:rsidR="00E6370E">
        <w:t>decision-making</w:t>
      </w:r>
      <w:r w:rsidRPr="005743AA">
        <w:t xml:space="preserve">. Environmental Agencies and Local Businesses </w:t>
      </w:r>
      <w:r w:rsidR="00305E1F" w:rsidRPr="00305E1F">
        <w:t>fall into</w:t>
      </w:r>
      <w:r w:rsidRPr="005743AA">
        <w:t xml:space="preserve"> a </w:t>
      </w:r>
      <w:r w:rsidR="00305E1F" w:rsidRPr="00305E1F">
        <w:t>medium-interest category</w:t>
      </w:r>
      <w:r w:rsidRPr="005743AA">
        <w:t xml:space="preserve"> and are involved primarily because of compliance or continuity concerns.</w:t>
      </w:r>
    </w:p>
    <w:p w14:paraId="5AD3EBB9" w14:textId="77777777" w:rsidR="00DD34D9" w:rsidRPr="00515565" w:rsidRDefault="00DD34D9" w:rsidP="00515565">
      <w:r w:rsidRPr="00DD34D9">
        <w:rPr>
          <w:noProof/>
          <w:lang w:val="fr-FR" w:eastAsia="fr-FR"/>
        </w:rPr>
        <w:drawing>
          <wp:inline distT="0" distB="0" distL="0" distR="0" wp14:anchorId="3C7BFC9D" wp14:editId="7B96F0FE">
            <wp:extent cx="5943600" cy="3279140"/>
            <wp:effectExtent l="0" t="0" r="0" b="0"/>
            <wp:docPr id="811163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163818" name=""/>
                    <pic:cNvPicPr/>
                  </pic:nvPicPr>
                  <pic:blipFill>
                    <a:blip r:embed="rId17"/>
                    <a:stretch>
                      <a:fillRect/>
                    </a:stretch>
                  </pic:blipFill>
                  <pic:spPr>
                    <a:xfrm>
                      <a:off x="0" y="0"/>
                      <a:ext cx="5943600" cy="3279140"/>
                    </a:xfrm>
                    <a:prstGeom prst="rect">
                      <a:avLst/>
                    </a:prstGeom>
                  </pic:spPr>
                </pic:pic>
              </a:graphicData>
            </a:graphic>
          </wp:inline>
        </w:drawing>
      </w:r>
    </w:p>
    <w:p w14:paraId="0F06F472" w14:textId="77777777" w:rsidR="00515565" w:rsidRPr="00793CE1" w:rsidRDefault="00BD3DAC" w:rsidP="00BD3DAC">
      <w:pPr>
        <w:pStyle w:val="Caption"/>
        <w:jc w:val="center"/>
        <w:rPr>
          <w:sz w:val="24"/>
          <w:szCs w:val="24"/>
        </w:rPr>
      </w:pPr>
      <w:bookmarkStart w:id="10" w:name="_Toc234708377"/>
      <w:r w:rsidRPr="00793CE1">
        <w:rPr>
          <w:sz w:val="24"/>
          <w:szCs w:val="24"/>
        </w:rPr>
        <w:t xml:space="preserve">Figure </w:t>
      </w:r>
      <w:r w:rsidR="0003347C" w:rsidRPr="00793CE1">
        <w:rPr>
          <w:sz w:val="24"/>
          <w:szCs w:val="24"/>
        </w:rPr>
        <w:fldChar w:fldCharType="begin"/>
      </w:r>
      <w:r w:rsidRPr="00793CE1">
        <w:rPr>
          <w:sz w:val="24"/>
          <w:szCs w:val="24"/>
        </w:rPr>
        <w:instrText xml:space="preserve"> SEQ Figure \* ARABIC </w:instrText>
      </w:r>
      <w:r w:rsidR="0003347C" w:rsidRPr="00793CE1">
        <w:rPr>
          <w:sz w:val="24"/>
          <w:szCs w:val="24"/>
        </w:rPr>
        <w:fldChar w:fldCharType="separate"/>
      </w:r>
      <w:r w:rsidR="00946AFC">
        <w:rPr>
          <w:noProof/>
          <w:sz w:val="24"/>
          <w:szCs w:val="24"/>
        </w:rPr>
        <w:t>4</w:t>
      </w:r>
      <w:r w:rsidR="0003347C" w:rsidRPr="00793CE1">
        <w:rPr>
          <w:sz w:val="24"/>
          <w:szCs w:val="24"/>
        </w:rPr>
        <w:fldChar w:fldCharType="end"/>
      </w:r>
      <w:r w:rsidRPr="00793CE1">
        <w:rPr>
          <w:sz w:val="24"/>
          <w:szCs w:val="24"/>
        </w:rPr>
        <w:t>: Power-Interest Stakeholder Matrix</w:t>
      </w:r>
      <w:bookmarkEnd w:id="10"/>
    </w:p>
    <w:p w14:paraId="18DC83E5" w14:textId="77777777" w:rsidR="00793CE1" w:rsidRPr="00793CE1" w:rsidRDefault="00793CE1" w:rsidP="00793CE1">
      <w:pPr>
        <w:jc w:val="center"/>
      </w:pPr>
      <w:r>
        <w:t xml:space="preserve">Source: </w:t>
      </w:r>
      <w:r w:rsidR="005C4242">
        <w:t>A</w:t>
      </w:r>
      <w:r w:rsidR="005C4242" w:rsidRPr="005C4242">
        <w:t xml:space="preserve">dapted from </w:t>
      </w:r>
      <w:proofErr w:type="spellStart"/>
      <w:r w:rsidR="005C4242" w:rsidRPr="005C4242">
        <w:t>Maqbool</w:t>
      </w:r>
      <w:proofErr w:type="spellEnd"/>
      <w:r w:rsidR="005C4242" w:rsidRPr="005C4242">
        <w:t xml:space="preserve">, Rashid and </w:t>
      </w:r>
      <w:proofErr w:type="spellStart"/>
      <w:r w:rsidR="005C4242" w:rsidRPr="005C4242">
        <w:t>Ashfaq</w:t>
      </w:r>
      <w:proofErr w:type="spellEnd"/>
      <w:r w:rsidR="005C4242" w:rsidRPr="005C4242">
        <w:t xml:space="preserve"> (2022)</w:t>
      </w:r>
    </w:p>
    <w:p w14:paraId="5EBCB0CC" w14:textId="77777777" w:rsidR="00515565" w:rsidRPr="00515565" w:rsidRDefault="00AC6377" w:rsidP="00515565">
      <w:r w:rsidRPr="00AC6377">
        <w:t xml:space="preserve">The grouping </w:t>
      </w:r>
      <w:r w:rsidR="00305E1F" w:rsidRPr="00305E1F">
        <w:t>is based on the power and interest matrix and has been shown</w:t>
      </w:r>
      <w:r w:rsidRPr="00AC6377">
        <w:t xml:space="preserve"> to be useful for the satisfaction of both internal and external stakeholders if used throughout a project's life cycle (</w:t>
      </w:r>
      <w:proofErr w:type="spellStart"/>
      <w:r w:rsidRPr="00AC6377">
        <w:t>Maqbool</w:t>
      </w:r>
      <w:proofErr w:type="spellEnd"/>
      <w:r w:rsidRPr="00AC6377">
        <w:t xml:space="preserve">, Rashid and </w:t>
      </w:r>
      <w:proofErr w:type="spellStart"/>
      <w:r w:rsidRPr="00AC6377">
        <w:t>Ashfaq</w:t>
      </w:r>
      <w:proofErr w:type="spellEnd"/>
      <w:r w:rsidRPr="00AC6377">
        <w:t xml:space="preserve">, 2022). </w:t>
      </w:r>
      <w:r w:rsidR="00E6370E">
        <w:t>High-power</w:t>
      </w:r>
      <w:r w:rsidRPr="00AC6377">
        <w:t xml:space="preserve">, </w:t>
      </w:r>
      <w:r w:rsidR="00E6370E">
        <w:t>high-interest</w:t>
      </w:r>
      <w:r w:rsidRPr="00AC6377">
        <w:t xml:space="preserve"> stakeholders are engaged closely and continually via participation </w:t>
      </w:r>
      <w:r w:rsidR="00E6370E">
        <w:t>in</w:t>
      </w:r>
      <w:r w:rsidRPr="00AC6377">
        <w:t xml:space="preserve"> a steering group. Schedules are set to provide updates and consultation with medium-interest groups at key moments, not continuously.</w:t>
      </w:r>
    </w:p>
    <w:p w14:paraId="07D75C54" w14:textId="77777777" w:rsidR="00515565" w:rsidRPr="00515565" w:rsidRDefault="008D508A" w:rsidP="00515565">
      <w:r w:rsidRPr="008D508A">
        <w:lastRenderedPageBreak/>
        <w:t xml:space="preserve">It is important to highlight </w:t>
      </w:r>
      <w:r w:rsidR="00305E1F" w:rsidRPr="00305E1F">
        <w:t>community consultation at this stage</w:t>
      </w:r>
      <w:r w:rsidRPr="008D508A">
        <w:t xml:space="preserve">. Based on the experience of the mega transport infrastructure projects, it </w:t>
      </w:r>
      <w:r w:rsidR="00305E1F" w:rsidRPr="00305E1F">
        <w:t>is suggest</w:t>
      </w:r>
      <w:r w:rsidRPr="008D508A">
        <w:t>ed that inadequate boundaries of stakeholders at the start of a project lead to disputes during its delivery phase (</w:t>
      </w:r>
      <w:proofErr w:type="spellStart"/>
      <w:r w:rsidRPr="008D508A">
        <w:t>Erkul</w:t>
      </w:r>
      <w:proofErr w:type="spellEnd"/>
      <w:r w:rsidRPr="008D508A">
        <w:t xml:space="preserve">, </w:t>
      </w:r>
      <w:proofErr w:type="spellStart"/>
      <w:r w:rsidRPr="008D508A">
        <w:t>Yitmen</w:t>
      </w:r>
      <w:proofErr w:type="spellEnd"/>
      <w:r w:rsidRPr="008D508A">
        <w:t xml:space="preserve"> and Celik, 2016). To manage this, consultation</w:t>
      </w:r>
      <w:r w:rsidR="00305E1F" w:rsidRPr="00305E1F">
        <w:t xml:space="preserve"> on the redevelopment starts before the detailed design is </w:t>
      </w:r>
      <w:proofErr w:type="spellStart"/>
      <w:r w:rsidR="00305E1F" w:rsidRPr="00305E1F">
        <w:t>finalised</w:t>
      </w:r>
      <w:proofErr w:type="spellEnd"/>
      <w:r w:rsidR="00305E1F" w:rsidRPr="00305E1F">
        <w:t>, not after, giving residents and local businesses a genuine opportunity to shape early decisions rather than react to fixed plans</w:t>
      </w:r>
      <w:r w:rsidRPr="008D508A">
        <w:t>.</w:t>
      </w:r>
    </w:p>
    <w:p w14:paraId="6BFDAA4D" w14:textId="77777777" w:rsidR="00515565" w:rsidRPr="00515565" w:rsidRDefault="00FD5020" w:rsidP="00515565">
      <w:r w:rsidRPr="00FD5020">
        <w:t xml:space="preserve">There is one risk that is worth explicitly mentioning. Even a small opposition group can stall a mega project if it receives widespread public or media coverage. This indicates that formal power does not accurately predict stakeholder influence on schedule outcomes. For that reason, this project takes sustained two-way communication as a risk-mitigation tool, not just a </w:t>
      </w:r>
      <w:r w:rsidR="00305E1F" w:rsidRPr="00305E1F">
        <w:t>governance requirement imposed by the funding body</w:t>
      </w:r>
      <w:r w:rsidRPr="00FD5020">
        <w:t>.</w:t>
      </w:r>
    </w:p>
    <w:p w14:paraId="7D7B371E" w14:textId="77777777" w:rsidR="00515565" w:rsidRPr="00515565" w:rsidRDefault="00515565" w:rsidP="00B14C28">
      <w:pPr>
        <w:pStyle w:val="Heading1"/>
      </w:pPr>
      <w:bookmarkStart w:id="11" w:name="_Toc234708370"/>
      <w:r w:rsidRPr="00515565">
        <w:t>Allocation of Resources</w:t>
      </w:r>
      <w:bookmarkEnd w:id="11"/>
    </w:p>
    <w:p w14:paraId="7AFE705B" w14:textId="77777777" w:rsidR="00515565" w:rsidRDefault="00FC1451" w:rsidP="00515565">
      <w:r w:rsidRPr="00FC1451">
        <w:t xml:space="preserve">There are three major categories to this project's resourcing: people, plant and materials. The project leadership rests with a </w:t>
      </w:r>
      <w:r w:rsidR="00E6370E">
        <w:t>client-side</w:t>
      </w:r>
      <w:r w:rsidRPr="00FC1451">
        <w:t xml:space="preserve"> project manager with a delivery team from the main contractor and dedicated specialists from rail, digital ticketing and green infrastructure subcontractors. A RACI shows who is responsible for each WBS work package</w:t>
      </w:r>
      <w:r w:rsidR="00E6370E">
        <w:t>,</w:t>
      </w:r>
      <w:r w:rsidRPr="00FC1451">
        <w:t xml:space="preserve"> and means that no single deliverable is without a named lead.</w:t>
      </w:r>
    </w:p>
    <w:p w14:paraId="0E295A02" w14:textId="77777777" w:rsidR="00C04493" w:rsidRPr="00515565" w:rsidRDefault="00C26B82" w:rsidP="00351E3D">
      <w:pPr>
        <w:jc w:val="center"/>
      </w:pPr>
      <w:r w:rsidRPr="00C26B82">
        <w:rPr>
          <w:noProof/>
          <w:lang w:val="fr-FR" w:eastAsia="fr-FR"/>
        </w:rPr>
        <w:drawing>
          <wp:inline distT="0" distB="0" distL="0" distR="0" wp14:anchorId="68A837EF" wp14:editId="1876A8D0">
            <wp:extent cx="4840014" cy="2591683"/>
            <wp:effectExtent l="0" t="0" r="0" b="0"/>
            <wp:docPr id="809596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96008" name=""/>
                    <pic:cNvPicPr/>
                  </pic:nvPicPr>
                  <pic:blipFill>
                    <a:blip r:embed="rId18"/>
                    <a:stretch>
                      <a:fillRect/>
                    </a:stretch>
                  </pic:blipFill>
                  <pic:spPr>
                    <a:xfrm>
                      <a:off x="0" y="0"/>
                      <a:ext cx="4854627" cy="2599508"/>
                    </a:xfrm>
                    <a:prstGeom prst="rect">
                      <a:avLst/>
                    </a:prstGeom>
                  </pic:spPr>
                </pic:pic>
              </a:graphicData>
            </a:graphic>
          </wp:inline>
        </w:drawing>
      </w:r>
    </w:p>
    <w:p w14:paraId="636EB772" w14:textId="77777777" w:rsidR="00515565" w:rsidRPr="00D56308" w:rsidRDefault="00BD3DAC" w:rsidP="00BD3DAC">
      <w:pPr>
        <w:pStyle w:val="Caption"/>
        <w:jc w:val="center"/>
        <w:rPr>
          <w:sz w:val="24"/>
          <w:szCs w:val="24"/>
        </w:rPr>
      </w:pPr>
      <w:bookmarkStart w:id="12" w:name="_Toc234708378"/>
      <w:r w:rsidRPr="00D56308">
        <w:rPr>
          <w:sz w:val="24"/>
          <w:szCs w:val="24"/>
        </w:rPr>
        <w:t xml:space="preserve">Figure </w:t>
      </w:r>
      <w:r w:rsidR="0003347C" w:rsidRPr="00D56308">
        <w:rPr>
          <w:sz w:val="24"/>
          <w:szCs w:val="24"/>
        </w:rPr>
        <w:fldChar w:fldCharType="begin"/>
      </w:r>
      <w:r w:rsidRPr="00D56308">
        <w:rPr>
          <w:sz w:val="24"/>
          <w:szCs w:val="24"/>
        </w:rPr>
        <w:instrText xml:space="preserve"> SEQ Figure \* ARABIC </w:instrText>
      </w:r>
      <w:r w:rsidR="0003347C" w:rsidRPr="00D56308">
        <w:rPr>
          <w:sz w:val="24"/>
          <w:szCs w:val="24"/>
        </w:rPr>
        <w:fldChar w:fldCharType="separate"/>
      </w:r>
      <w:r w:rsidR="00946AFC">
        <w:rPr>
          <w:noProof/>
          <w:sz w:val="24"/>
          <w:szCs w:val="24"/>
        </w:rPr>
        <w:t>5</w:t>
      </w:r>
      <w:r w:rsidR="0003347C" w:rsidRPr="00D56308">
        <w:rPr>
          <w:sz w:val="24"/>
          <w:szCs w:val="24"/>
        </w:rPr>
        <w:fldChar w:fldCharType="end"/>
      </w:r>
      <w:r w:rsidRPr="00D56308">
        <w:rPr>
          <w:sz w:val="24"/>
          <w:szCs w:val="24"/>
        </w:rPr>
        <w:t>: RACI Matrix</w:t>
      </w:r>
      <w:bookmarkEnd w:id="12"/>
    </w:p>
    <w:p w14:paraId="29807D83" w14:textId="77777777" w:rsidR="00D56308" w:rsidRPr="00D56308" w:rsidRDefault="00D56308" w:rsidP="00D56308">
      <w:pPr>
        <w:jc w:val="center"/>
      </w:pPr>
      <w:r>
        <w:t xml:space="preserve">Source: </w:t>
      </w:r>
      <w:r w:rsidRPr="00BD3DAC">
        <w:t>Self-made</w:t>
      </w:r>
    </w:p>
    <w:p w14:paraId="415BD00C" w14:textId="77777777" w:rsidR="00515565" w:rsidRPr="00515565" w:rsidRDefault="00D66103" w:rsidP="00515565">
      <w:r w:rsidRPr="00D66103">
        <w:lastRenderedPageBreak/>
        <w:t xml:space="preserve">Budget is provided in increments by phase. This supports the previous discussion on cost breakdown structures, where costs directly mapped </w:t>
      </w:r>
      <w:r w:rsidR="00E6370E">
        <w:t>onto</w:t>
      </w:r>
      <w:r w:rsidRPr="00D66103">
        <w:t xml:space="preserve"> the WBS branches provide greater visibility of spend versus physical progress (Cerezo-Narváez et al., 2020). </w:t>
      </w:r>
      <w:r w:rsidR="00305E1F" w:rsidRPr="00305E1F">
        <w:t>Demolition and structural works absorb the largest share,</w:t>
      </w:r>
      <w:r w:rsidRPr="00D66103">
        <w:t xml:space="preserve"> due to labour and plant intensity. Digital systems and green infrastructure also have small but significant allocations.</w:t>
      </w:r>
    </w:p>
    <w:p w14:paraId="7A4944CE" w14:textId="77777777" w:rsidR="00515565" w:rsidRPr="00515565" w:rsidRDefault="00023BD8" w:rsidP="00515565">
      <w:r w:rsidRPr="00023BD8">
        <w:t>Resourcing is not risk-free. UK construction professionals commonly refer to resource mismanagement and lack of clarity around sustainable targets as significant challenges for delivery (</w:t>
      </w:r>
      <w:proofErr w:type="spellStart"/>
      <w:r w:rsidRPr="00023BD8">
        <w:t>Maqbool</w:t>
      </w:r>
      <w:proofErr w:type="spellEnd"/>
      <w:r w:rsidRPr="00023BD8">
        <w:t xml:space="preserve"> and </w:t>
      </w:r>
      <w:proofErr w:type="spellStart"/>
      <w:r w:rsidRPr="00023BD8">
        <w:t>Jowett</w:t>
      </w:r>
      <w:proofErr w:type="spellEnd"/>
      <w:r w:rsidRPr="00023BD8">
        <w:t xml:space="preserve">, 2023). There are also skill shortages in the workforce, especially with rail systems specialists. To </w:t>
      </w:r>
      <w:r>
        <w:t>manage</w:t>
      </w:r>
      <w:r w:rsidRPr="00023BD8">
        <w:t xml:space="preserve"> this, procurement partners </w:t>
      </w:r>
      <w:r w:rsidR="00E6370E">
        <w:t xml:space="preserve">with </w:t>
      </w:r>
      <w:r w:rsidRPr="00023BD8">
        <w:t xml:space="preserve">several subcontractors for each </w:t>
      </w:r>
      <w:r w:rsidR="00E6370E">
        <w:t>speciality</w:t>
      </w:r>
      <w:r w:rsidRPr="00023BD8">
        <w:t>, instead of depending on a single provider for key trades.</w:t>
      </w:r>
    </w:p>
    <w:p w14:paraId="67E19AFB" w14:textId="77777777" w:rsidR="00515565" w:rsidRPr="00515565" w:rsidRDefault="00515565" w:rsidP="00B14C28">
      <w:pPr>
        <w:pStyle w:val="Heading1"/>
      </w:pPr>
      <w:bookmarkStart w:id="13" w:name="_Toc234708371"/>
      <w:r w:rsidRPr="00515565">
        <w:t>Risk Analysis</w:t>
      </w:r>
      <w:bookmarkEnd w:id="13"/>
    </w:p>
    <w:p w14:paraId="55036AAC" w14:textId="77777777" w:rsidR="00515565" w:rsidRDefault="00E6370E" w:rsidP="00515565">
      <w:r>
        <w:t>The probability</w:t>
      </w:r>
      <w:r w:rsidR="00305E1F" w:rsidRPr="00305E1F">
        <w:t>-impact</w:t>
      </w:r>
      <w:r w:rsidR="00C26812" w:rsidRPr="00C26812">
        <w:t xml:space="preserve"> matrix is used for assessing risk on this project</w:t>
      </w:r>
      <w:r>
        <w:t>; the</w:t>
      </w:r>
      <w:r w:rsidR="00C26812" w:rsidRPr="00C26812">
        <w:t xml:space="preserve"> impact is plotted against </w:t>
      </w:r>
      <w:r>
        <w:t xml:space="preserve">the </w:t>
      </w:r>
      <w:r w:rsidR="00C26812" w:rsidRPr="00C26812">
        <w:t xml:space="preserve">possibility for every risk identified. It is still the most widely used instrument in </w:t>
      </w:r>
      <w:r>
        <w:t>construction-related</w:t>
      </w:r>
      <w:r w:rsidR="00C26812" w:rsidRPr="00C26812">
        <w:t xml:space="preserve"> risk management</w:t>
      </w:r>
      <w:r>
        <w:t>,</w:t>
      </w:r>
      <w:r w:rsidR="00C26812" w:rsidRPr="00C26812">
        <w:t xml:space="preserve"> partly because it is easy to construct and easy to explain to non-specialist stakeholders (</w:t>
      </w:r>
      <w:proofErr w:type="spellStart"/>
      <w:r w:rsidR="00C26812" w:rsidRPr="00C26812">
        <w:t>Acebes</w:t>
      </w:r>
      <w:r>
        <w:t>et</w:t>
      </w:r>
      <w:proofErr w:type="spellEnd"/>
      <w:r>
        <w:t xml:space="preserve"> al.</w:t>
      </w:r>
      <w:r w:rsidR="00C26812" w:rsidRPr="00C26812">
        <w:t>, 2024).</w:t>
      </w:r>
    </w:p>
    <w:p w14:paraId="7F201A01" w14:textId="77777777" w:rsidR="00FD5934" w:rsidRPr="00515565" w:rsidRDefault="00FD5934" w:rsidP="009373E6">
      <w:pPr>
        <w:jc w:val="center"/>
      </w:pPr>
      <w:r w:rsidRPr="00FD5934">
        <w:rPr>
          <w:noProof/>
          <w:lang w:val="fr-FR" w:eastAsia="fr-FR"/>
        </w:rPr>
        <w:drawing>
          <wp:inline distT="0" distB="0" distL="0" distR="0" wp14:anchorId="1B36F700" wp14:editId="26AE80C3">
            <wp:extent cx="5628290" cy="3010173"/>
            <wp:effectExtent l="0" t="0" r="0" b="0"/>
            <wp:docPr id="1094838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38386" name=""/>
                    <pic:cNvPicPr/>
                  </pic:nvPicPr>
                  <pic:blipFill>
                    <a:blip r:embed="rId19"/>
                    <a:stretch>
                      <a:fillRect/>
                    </a:stretch>
                  </pic:blipFill>
                  <pic:spPr>
                    <a:xfrm>
                      <a:off x="0" y="0"/>
                      <a:ext cx="5631213" cy="3011736"/>
                    </a:xfrm>
                    <a:prstGeom prst="rect">
                      <a:avLst/>
                    </a:prstGeom>
                  </pic:spPr>
                </pic:pic>
              </a:graphicData>
            </a:graphic>
          </wp:inline>
        </w:drawing>
      </w:r>
    </w:p>
    <w:p w14:paraId="0D928A2F" w14:textId="77777777" w:rsidR="00515565" w:rsidRPr="00BD3DAC" w:rsidRDefault="00BD3DAC" w:rsidP="00BD3DAC">
      <w:pPr>
        <w:pStyle w:val="Caption"/>
        <w:jc w:val="center"/>
        <w:rPr>
          <w:sz w:val="24"/>
          <w:szCs w:val="24"/>
        </w:rPr>
      </w:pPr>
      <w:bookmarkStart w:id="14" w:name="_Toc234708379"/>
      <w:r w:rsidRPr="00BD3DAC">
        <w:rPr>
          <w:sz w:val="24"/>
          <w:szCs w:val="24"/>
        </w:rPr>
        <w:t xml:space="preserve">Figure </w:t>
      </w:r>
      <w:r w:rsidR="0003347C" w:rsidRPr="00BD3DAC">
        <w:rPr>
          <w:sz w:val="24"/>
          <w:szCs w:val="24"/>
        </w:rPr>
        <w:fldChar w:fldCharType="begin"/>
      </w:r>
      <w:r w:rsidRPr="00BD3DAC">
        <w:rPr>
          <w:sz w:val="24"/>
          <w:szCs w:val="24"/>
        </w:rPr>
        <w:instrText xml:space="preserve"> SEQ Figure \* ARABIC </w:instrText>
      </w:r>
      <w:r w:rsidR="0003347C" w:rsidRPr="00BD3DAC">
        <w:rPr>
          <w:sz w:val="24"/>
          <w:szCs w:val="24"/>
        </w:rPr>
        <w:fldChar w:fldCharType="separate"/>
      </w:r>
      <w:r w:rsidR="00946AFC">
        <w:rPr>
          <w:noProof/>
          <w:sz w:val="24"/>
          <w:szCs w:val="24"/>
        </w:rPr>
        <w:t>6</w:t>
      </w:r>
      <w:r w:rsidR="0003347C" w:rsidRPr="00BD3DAC">
        <w:rPr>
          <w:sz w:val="24"/>
          <w:szCs w:val="24"/>
        </w:rPr>
        <w:fldChar w:fldCharType="end"/>
      </w:r>
      <w:r w:rsidRPr="00BD3DAC">
        <w:rPr>
          <w:sz w:val="24"/>
          <w:szCs w:val="24"/>
        </w:rPr>
        <w:t>: Probability-Impact Risk Matrix</w:t>
      </w:r>
      <w:bookmarkEnd w:id="14"/>
    </w:p>
    <w:p w14:paraId="49CBDD41" w14:textId="77777777" w:rsidR="00BD3DAC" w:rsidRPr="00BD3DAC" w:rsidRDefault="00BD3DAC" w:rsidP="00BD3DAC">
      <w:pPr>
        <w:jc w:val="center"/>
      </w:pPr>
      <w:r>
        <w:t xml:space="preserve">Source: </w:t>
      </w:r>
      <w:r w:rsidRPr="00BD3DAC">
        <w:t>Self-made</w:t>
      </w:r>
    </w:p>
    <w:p w14:paraId="2CF3D896" w14:textId="77777777" w:rsidR="00515565" w:rsidRPr="00515565" w:rsidRDefault="00EA4375" w:rsidP="00515565">
      <w:r w:rsidRPr="00EA4375">
        <w:lastRenderedPageBreak/>
        <w:t>But the matrix has real limitations, and these should not be ignored. Actual exposure to risks placed in the same cell of the table may vary significantly because the tool combines a variety of probabilities and impacts into a single score. This can result in genuine risks of varying degrees being considered equal, as long as they are in the same box (</w:t>
      </w:r>
      <w:proofErr w:type="spellStart"/>
      <w:r w:rsidRPr="00EA4375">
        <w:t>Acebes</w:t>
      </w:r>
      <w:proofErr w:type="spellEnd"/>
      <w:r w:rsidRPr="00EA4375">
        <w:t xml:space="preserve"> et al., 2024). It is used as a screening tool here, as a means to determine which risks warrant more detailed consideration, not as a factual assessment of a risk's level of exposure.</w:t>
      </w:r>
    </w:p>
    <w:p w14:paraId="21C8C165" w14:textId="77777777" w:rsidR="00515565" w:rsidRPr="00515565" w:rsidRDefault="0029731E" w:rsidP="00515565">
      <w:r w:rsidRPr="0029731E">
        <w:t xml:space="preserve">There are </w:t>
      </w:r>
      <w:r w:rsidR="00305E1F" w:rsidRPr="00305E1F">
        <w:t>six</w:t>
      </w:r>
      <w:r w:rsidRPr="0029731E">
        <w:t xml:space="preserve"> highest-ranked risks. Construction delays are number one due to </w:t>
      </w:r>
      <w:r w:rsidR="00E6370E">
        <w:t>it</w:t>
      </w:r>
      <w:r w:rsidRPr="0029731E">
        <w:t xml:space="preserve"> being a multi-phase and multi-contractor </w:t>
      </w:r>
      <w:proofErr w:type="spellStart"/>
      <w:r w:rsidRPr="0029731E">
        <w:t>programme</w:t>
      </w:r>
      <w:proofErr w:type="spellEnd"/>
      <w:r w:rsidRPr="0029731E">
        <w:t>. Stronger schedule management and buffer</w:t>
      </w:r>
      <w:r w:rsidR="00305E1F" w:rsidRPr="00305E1F">
        <w:t xml:space="preserve"> time in the critical path</w:t>
      </w:r>
      <w:r w:rsidRPr="0029731E">
        <w:t xml:space="preserve"> are the keys </w:t>
      </w:r>
      <w:r w:rsidR="00E6370E">
        <w:t>to</w:t>
      </w:r>
      <w:r w:rsidRPr="0029731E">
        <w:t xml:space="preserve"> mitigation. However, the residual risk is still moderate because large-scale infrastructure </w:t>
      </w:r>
      <w:proofErr w:type="spellStart"/>
      <w:r w:rsidRPr="0029731E">
        <w:t>programmes</w:t>
      </w:r>
      <w:proofErr w:type="spellEnd"/>
      <w:r w:rsidRPr="0029731E">
        <w:t xml:space="preserve"> of this sort tend to be consistently known to run over time </w:t>
      </w:r>
      <w:r w:rsidR="00305E1F" w:rsidRPr="00305E1F">
        <w:t>regardless</w:t>
      </w:r>
      <w:r w:rsidRPr="0029731E">
        <w:t xml:space="preserve"> of planning quality (</w:t>
      </w:r>
      <w:proofErr w:type="spellStart"/>
      <w:r w:rsidRPr="0029731E">
        <w:t>Flyvbjerg</w:t>
      </w:r>
      <w:proofErr w:type="spellEnd"/>
      <w:r w:rsidRPr="0029731E">
        <w:t xml:space="preserve"> </w:t>
      </w:r>
      <w:r w:rsidR="00305E1F" w:rsidRPr="00305E1F">
        <w:t>and</w:t>
      </w:r>
      <w:r w:rsidRPr="0029731E">
        <w:t xml:space="preserve"> Gardner, 2023).</w:t>
      </w:r>
    </w:p>
    <w:p w14:paraId="2DAFFD6F" w14:textId="77777777" w:rsidR="00515565" w:rsidRPr="00515565" w:rsidRDefault="00167D38" w:rsidP="00515565">
      <w:r w:rsidRPr="00167D38">
        <w:t xml:space="preserve">This has been followed closely </w:t>
      </w:r>
      <w:r w:rsidR="00E6370E">
        <w:t>by</w:t>
      </w:r>
      <w:r w:rsidRPr="00167D38">
        <w:t xml:space="preserve"> budget overruns resulting from the same time pressures described above. The cost and schedule risk are </w:t>
      </w:r>
      <w:r w:rsidR="00305E1F">
        <w:t xml:space="preserve">treated as linked, </w:t>
      </w:r>
      <w:r w:rsidRPr="00167D38">
        <w:t xml:space="preserve">not </w:t>
      </w:r>
      <w:proofErr w:type="spellStart"/>
      <w:r w:rsidR="00E6370E">
        <w:t>analysed</w:t>
      </w:r>
      <w:proofErr w:type="spellEnd"/>
      <w:r w:rsidRPr="00167D38">
        <w:t xml:space="preserve"> separately in the present manner; it is also noted in the quad chart that cost and schedule risks are interconnected. Phases also include separate work stream budget reserves for mitigation, as opposed to a single mitigation pot.</w:t>
      </w:r>
    </w:p>
    <w:p w14:paraId="539A5893" w14:textId="77777777" w:rsidR="00515565" w:rsidRPr="00515565" w:rsidRDefault="009E4801" w:rsidP="00515565">
      <w:r w:rsidRPr="009E4801">
        <w:t xml:space="preserve">Stakeholder opposition is ranked third. As mentioned above, even a </w:t>
      </w:r>
      <w:r w:rsidR="00E6370E">
        <w:t>low-power</w:t>
      </w:r>
      <w:r w:rsidRPr="009E4801">
        <w:t xml:space="preserve"> group can slow a mega project if it gains public attention. The main mitigation is early and constant consultation; however, there is always some residual risk: opposition can arise later in delivery, even after early buy-in (</w:t>
      </w:r>
      <w:proofErr w:type="spellStart"/>
      <w:r w:rsidRPr="009E4801">
        <w:t>Erkul</w:t>
      </w:r>
      <w:proofErr w:type="spellEnd"/>
      <w:r w:rsidRPr="009E4801">
        <w:t xml:space="preserve">, </w:t>
      </w:r>
      <w:proofErr w:type="spellStart"/>
      <w:r w:rsidRPr="009E4801">
        <w:t>Yitmen</w:t>
      </w:r>
      <w:proofErr w:type="spellEnd"/>
      <w:r w:rsidRPr="009E4801">
        <w:t xml:space="preserve"> and Celik</w:t>
      </w:r>
      <w:r w:rsidR="008C4C2D">
        <w:t>,</w:t>
      </w:r>
      <w:r w:rsidRPr="009E4801">
        <w:t xml:space="preserve"> 2016).</w:t>
      </w:r>
    </w:p>
    <w:p w14:paraId="6344E3A8" w14:textId="77777777" w:rsidR="00515565" w:rsidRPr="00515565" w:rsidRDefault="007A4B80" w:rsidP="00515565">
      <w:r w:rsidRPr="007A4B80">
        <w:t xml:space="preserve">Supply chain disruption and skilled labour shortage are clustered together as these are related to market capacity factors beyond </w:t>
      </w:r>
      <w:r w:rsidR="00E6370E">
        <w:t xml:space="preserve">the </w:t>
      </w:r>
      <w:r w:rsidRPr="007A4B80">
        <w:t xml:space="preserve">control of the project. </w:t>
      </w:r>
      <w:r w:rsidR="00305E1F" w:rsidRPr="00305E1F">
        <w:t>Multiple supplier procurement cannot eliminate the principal shortage, but by increasing the number of suppliers, single-point</w:t>
      </w:r>
      <w:r w:rsidRPr="007A4B80">
        <w:t xml:space="preserve"> failure is avoided.</w:t>
      </w:r>
    </w:p>
    <w:p w14:paraId="64DE7F38" w14:textId="77777777" w:rsidR="00515565" w:rsidRPr="00515565" w:rsidRDefault="002E2FE9" w:rsidP="00515565">
      <w:r w:rsidRPr="002E2FE9">
        <w:t>Environmental compliance risk is ranked last of the six, but it is not minor. In reality, sustainability targets are often ambiguous, and this has been identified as a common constraint on delivery in the UK construction industry (</w:t>
      </w:r>
      <w:proofErr w:type="spellStart"/>
      <w:r w:rsidRPr="002E2FE9">
        <w:t>Maqbool</w:t>
      </w:r>
      <w:proofErr w:type="spellEnd"/>
      <w:r w:rsidRPr="002E2FE9">
        <w:t xml:space="preserve"> and </w:t>
      </w:r>
      <w:proofErr w:type="spellStart"/>
      <w:r w:rsidRPr="002E2FE9">
        <w:t>Jowett</w:t>
      </w:r>
      <w:proofErr w:type="spellEnd"/>
      <w:r w:rsidRPr="002E2FE9">
        <w:t xml:space="preserve">, 2023). The mitigation implemented is </w:t>
      </w:r>
      <w:r w:rsidR="00E6370E">
        <w:t xml:space="preserve">an </w:t>
      </w:r>
      <w:r w:rsidRPr="002E2FE9">
        <w:t>early environmental assessment prior to detailed design.</w:t>
      </w:r>
    </w:p>
    <w:p w14:paraId="46C3635B" w14:textId="77777777" w:rsidR="00515565" w:rsidRPr="00515565" w:rsidRDefault="007967D2" w:rsidP="00515565">
      <w:r w:rsidRPr="007967D2">
        <w:lastRenderedPageBreak/>
        <w:t xml:space="preserve">One trade-off that should be explicitly named: shorter delivery time might be at the expense of </w:t>
      </w:r>
      <w:r w:rsidR="00305E1F" w:rsidRPr="00305E1F">
        <w:t>environmental</w:t>
      </w:r>
      <w:r w:rsidRPr="007967D2">
        <w:t xml:space="preserve"> and </w:t>
      </w:r>
      <w:r w:rsidR="00305E1F" w:rsidRPr="00305E1F">
        <w:t>safety risk</w:t>
      </w:r>
      <w:r w:rsidRPr="007967D2">
        <w:t xml:space="preserve">, as the time for assessment and testing obviously decreases. This project focuses on the latter. The size and nature of the investment make this the more defensible </w:t>
      </w:r>
      <w:r w:rsidR="00305E1F" w:rsidRPr="00305E1F">
        <w:t>choice, since projects of this size and profile face the highest exposure when things go wrong, not the least (</w:t>
      </w:r>
      <w:r w:rsidRPr="007967D2">
        <w:t>Chen et al., 2022).</w:t>
      </w:r>
    </w:p>
    <w:p w14:paraId="50C775FF" w14:textId="77777777" w:rsidR="00515565" w:rsidRPr="00515565" w:rsidRDefault="00515565" w:rsidP="00B14C28">
      <w:pPr>
        <w:pStyle w:val="Heading1"/>
      </w:pPr>
      <w:bookmarkStart w:id="15" w:name="_Toc234708372"/>
      <w:r w:rsidRPr="00515565">
        <w:t>Conclusion</w:t>
      </w:r>
      <w:bookmarkEnd w:id="15"/>
    </w:p>
    <w:p w14:paraId="0F068C9C" w14:textId="77777777" w:rsidR="00515565" w:rsidRPr="00515565" w:rsidRDefault="00A708F3" w:rsidP="00515565">
      <w:r w:rsidRPr="00A708F3">
        <w:t>This plan outlines a redevelopment around clear scope boundaries, a deliverable-based WBS, and a stage-gated schedule overseen by Gantt and critical path analysis. When it comes to stakeholder engagement, it's not treated as a good formality, it's a risk-mitigation measure, as there is always a chance for opposition from lower power groups to slow down delivery. Risk is analyzed using a probability-impact matrix, though this is not viewed as an exhaustive approach.</w:t>
      </w:r>
    </w:p>
    <w:p w14:paraId="094CEF67" w14:textId="77777777" w:rsidR="00515565" w:rsidRPr="00515565" w:rsidRDefault="003969A8" w:rsidP="00515565">
      <w:r w:rsidRPr="003969A8">
        <w:t xml:space="preserve">There is a potential caveat to this plan that needs to be mentioned. The cost and schedule information is based on assumptions and infrastructure </w:t>
      </w:r>
      <w:proofErr w:type="spellStart"/>
      <w:r w:rsidRPr="003969A8">
        <w:t>megaprojects</w:t>
      </w:r>
      <w:proofErr w:type="spellEnd"/>
      <w:r w:rsidRPr="003969A8">
        <w:t xml:space="preserve"> of this size have a history of exceeding both, even at the best of management (</w:t>
      </w:r>
      <w:proofErr w:type="spellStart"/>
      <w:r w:rsidRPr="003969A8">
        <w:t>Flyvbjerg</w:t>
      </w:r>
      <w:proofErr w:type="spellEnd"/>
      <w:r w:rsidRPr="003969A8">
        <w:t xml:space="preserve"> and Gardner, 2023). The plan must be reviewed when reaching each project gate, rather than established at the beginning.</w:t>
      </w:r>
    </w:p>
    <w:p w14:paraId="6788F4C5" w14:textId="77777777" w:rsidR="00BF680F" w:rsidRDefault="00BF680F" w:rsidP="0059216C"/>
    <w:p w14:paraId="0C2305CE" w14:textId="77777777" w:rsidR="0091435E" w:rsidRDefault="0091435E" w:rsidP="0059216C"/>
    <w:p w14:paraId="36A27A51" w14:textId="77777777" w:rsidR="001E1492" w:rsidRDefault="001E1492" w:rsidP="0059216C"/>
    <w:p w14:paraId="123B3E09" w14:textId="77777777" w:rsidR="00285CBD" w:rsidRDefault="00285CBD">
      <w:pPr>
        <w:spacing w:line="278" w:lineRule="auto"/>
        <w:jc w:val="left"/>
      </w:pPr>
      <w:r>
        <w:br w:type="page"/>
      </w:r>
    </w:p>
    <w:p w14:paraId="05C79320" w14:textId="77777777" w:rsidR="006551CF" w:rsidRDefault="003154F2" w:rsidP="00134091">
      <w:pPr>
        <w:pStyle w:val="Heading1"/>
      </w:pPr>
      <w:bookmarkStart w:id="16" w:name="_Toc234708373"/>
      <w:r>
        <w:lastRenderedPageBreak/>
        <w:t>References</w:t>
      </w:r>
      <w:bookmarkEnd w:id="16"/>
    </w:p>
    <w:p w14:paraId="5463DA69" w14:textId="77777777" w:rsidR="00033F3D" w:rsidRDefault="00033F3D" w:rsidP="00F533B3">
      <w:proofErr w:type="spellStart"/>
      <w:r w:rsidRPr="00F533B3">
        <w:t>Acebes</w:t>
      </w:r>
      <w:proofErr w:type="spellEnd"/>
      <w:r w:rsidRPr="00F533B3">
        <w:t xml:space="preserve">, F., </w:t>
      </w:r>
      <w:proofErr w:type="spellStart"/>
      <w:r w:rsidRPr="00F533B3">
        <w:t>González-Varona</w:t>
      </w:r>
      <w:proofErr w:type="spellEnd"/>
      <w:r w:rsidRPr="00F533B3">
        <w:t xml:space="preserve">, J.M., </w:t>
      </w:r>
      <w:proofErr w:type="spellStart"/>
      <w:r w:rsidRPr="00F533B3">
        <w:t>López-Paredes</w:t>
      </w:r>
      <w:proofErr w:type="spellEnd"/>
      <w:r w:rsidRPr="00F533B3">
        <w:t xml:space="preserve">, A. and </w:t>
      </w:r>
      <w:proofErr w:type="spellStart"/>
      <w:r w:rsidRPr="00F533B3">
        <w:t>Pajares</w:t>
      </w:r>
      <w:proofErr w:type="spellEnd"/>
      <w:r w:rsidRPr="00F533B3">
        <w:t xml:space="preserve">, J. (2024) 'Beyond probability-impact matrices in project risk management: A quantitative methodology for risk </w:t>
      </w:r>
      <w:proofErr w:type="spellStart"/>
      <w:r w:rsidRPr="00F533B3">
        <w:t>prioritisation</w:t>
      </w:r>
      <w:proofErr w:type="spellEnd"/>
      <w:r w:rsidRPr="00F533B3">
        <w:t xml:space="preserve">', </w:t>
      </w:r>
      <w:r w:rsidRPr="00F533B3">
        <w:rPr>
          <w:i/>
          <w:iCs/>
        </w:rPr>
        <w:t>Humanities and Social Sciences Communications</w:t>
      </w:r>
      <w:r w:rsidRPr="00F533B3">
        <w:t xml:space="preserve">, 11(670), pp. 1–13. </w:t>
      </w:r>
      <w:proofErr w:type="spellStart"/>
      <w:r w:rsidRPr="00F533B3">
        <w:t>doi</w:t>
      </w:r>
      <w:proofErr w:type="spellEnd"/>
      <w:r w:rsidRPr="00F533B3">
        <w:t>: 10.1057/s41599-024-03180-5.</w:t>
      </w:r>
    </w:p>
    <w:p w14:paraId="15BED94B" w14:textId="77777777" w:rsidR="00033F3D" w:rsidRPr="00F533B3" w:rsidRDefault="00033F3D" w:rsidP="00F533B3">
      <w:r w:rsidRPr="00F533B3">
        <w:t xml:space="preserve">Cerezo-Narváez, A., Pastor-Fernández, A., Otero-Mateo, M. and Ballesteros-Pérez, P. (2020) 'Integration of Cost and Work Breakdown Structures in the Management of Construction Projects', </w:t>
      </w:r>
      <w:r w:rsidRPr="00F533B3">
        <w:rPr>
          <w:i/>
          <w:iCs/>
        </w:rPr>
        <w:t>Applied Sciences</w:t>
      </w:r>
      <w:r w:rsidRPr="00F533B3">
        <w:t xml:space="preserve">, 10(4), 1386. </w:t>
      </w:r>
      <w:proofErr w:type="spellStart"/>
      <w:r w:rsidRPr="00F533B3">
        <w:t>doi</w:t>
      </w:r>
      <w:proofErr w:type="spellEnd"/>
      <w:r w:rsidRPr="00F533B3">
        <w:t>: 10.3390/app10041386.</w:t>
      </w:r>
    </w:p>
    <w:p w14:paraId="55A2E258" w14:textId="77777777" w:rsidR="00033F3D" w:rsidRPr="00F533B3" w:rsidRDefault="00033F3D" w:rsidP="00F533B3">
      <w:r w:rsidRPr="00F533B3">
        <w:t xml:space="preserve">Chen, D., Xiang, P., Jia, F. and </w:t>
      </w:r>
      <w:proofErr w:type="spellStart"/>
      <w:r w:rsidRPr="00F533B3">
        <w:t>Guo</w:t>
      </w:r>
      <w:proofErr w:type="spellEnd"/>
      <w:r w:rsidRPr="00F533B3">
        <w:t xml:space="preserve">, J. (2022) 'A systematic review of current status and trends of mega-infrastructure projects', </w:t>
      </w:r>
      <w:r w:rsidRPr="00F533B3">
        <w:rPr>
          <w:i/>
          <w:iCs/>
        </w:rPr>
        <w:t>Ain Shams Engineering Journal</w:t>
      </w:r>
      <w:r w:rsidRPr="00F533B3">
        <w:t xml:space="preserve">, 13(6), 101773. </w:t>
      </w:r>
      <w:proofErr w:type="spellStart"/>
      <w:r w:rsidRPr="00F533B3">
        <w:t>doi</w:t>
      </w:r>
      <w:proofErr w:type="spellEnd"/>
      <w:r w:rsidRPr="00F533B3">
        <w:t>: 10.1016/</w:t>
      </w:r>
      <w:proofErr w:type="spellStart"/>
      <w:r w:rsidRPr="00F533B3">
        <w:t>j.asej.2022.101773</w:t>
      </w:r>
      <w:proofErr w:type="spellEnd"/>
      <w:r w:rsidRPr="00F533B3">
        <w:t>.</w:t>
      </w:r>
    </w:p>
    <w:p w14:paraId="64D22A79" w14:textId="77777777" w:rsidR="00033F3D" w:rsidRPr="00F533B3" w:rsidRDefault="00033F3D" w:rsidP="00F533B3">
      <w:proofErr w:type="spellStart"/>
      <w:r w:rsidRPr="00F533B3">
        <w:t>Denicol</w:t>
      </w:r>
      <w:proofErr w:type="spellEnd"/>
      <w:r w:rsidRPr="00F533B3">
        <w:t xml:space="preserve">, J., Davies, A. and </w:t>
      </w:r>
      <w:proofErr w:type="spellStart"/>
      <w:r w:rsidRPr="00F533B3">
        <w:t>Pryke</w:t>
      </w:r>
      <w:proofErr w:type="spellEnd"/>
      <w:r w:rsidRPr="00F533B3">
        <w:t xml:space="preserve">, S. (2021) 'The </w:t>
      </w:r>
      <w:proofErr w:type="spellStart"/>
      <w:r w:rsidRPr="00F533B3">
        <w:t>organisational</w:t>
      </w:r>
      <w:proofErr w:type="spellEnd"/>
      <w:r w:rsidRPr="00F533B3">
        <w:t xml:space="preserve"> architecture of </w:t>
      </w:r>
      <w:proofErr w:type="spellStart"/>
      <w:r w:rsidRPr="00F533B3">
        <w:t>megaprojects</w:t>
      </w:r>
      <w:proofErr w:type="spellEnd"/>
      <w:r w:rsidRPr="00F533B3">
        <w:t xml:space="preserve">', </w:t>
      </w:r>
      <w:r w:rsidRPr="00F533B3">
        <w:rPr>
          <w:i/>
          <w:iCs/>
        </w:rPr>
        <w:t>International Journal of Project Management</w:t>
      </w:r>
      <w:r w:rsidRPr="00F533B3">
        <w:t xml:space="preserve">, 39(4), pp. 339–350. </w:t>
      </w:r>
      <w:proofErr w:type="spellStart"/>
      <w:r w:rsidRPr="00F533B3">
        <w:t>doi</w:t>
      </w:r>
      <w:proofErr w:type="spellEnd"/>
      <w:r w:rsidRPr="00F533B3">
        <w:t>: 10.1016/</w:t>
      </w:r>
      <w:proofErr w:type="spellStart"/>
      <w:r w:rsidRPr="00F533B3">
        <w:t>j.ijproman.2021.02.002</w:t>
      </w:r>
      <w:proofErr w:type="spellEnd"/>
      <w:r w:rsidRPr="00F533B3">
        <w:t>.</w:t>
      </w:r>
    </w:p>
    <w:p w14:paraId="6DB4625C" w14:textId="77777777" w:rsidR="00033F3D" w:rsidRPr="00F533B3" w:rsidRDefault="00033F3D" w:rsidP="00F533B3">
      <w:r w:rsidRPr="00F533B3">
        <w:t xml:space="preserve">Department for Transport (2021) </w:t>
      </w:r>
      <w:proofErr w:type="spellStart"/>
      <w:r w:rsidRPr="00F533B3">
        <w:rPr>
          <w:i/>
          <w:iCs/>
        </w:rPr>
        <w:t>Decarbonising</w:t>
      </w:r>
      <w:proofErr w:type="spellEnd"/>
      <w:r w:rsidRPr="00F533B3">
        <w:rPr>
          <w:i/>
          <w:iCs/>
        </w:rPr>
        <w:t xml:space="preserve"> Transport: A Better, Greener Britain</w:t>
      </w:r>
      <w:r w:rsidRPr="00F533B3">
        <w:t xml:space="preserve">. London: DfT. Available at: </w:t>
      </w:r>
      <w:hyperlink r:id="rId20" w:history="1">
        <w:r w:rsidRPr="00F533B3">
          <w:rPr>
            <w:rStyle w:val="Hyperlink"/>
          </w:rPr>
          <w:t>https://www.gov.uk/government/publications/transport-decarbonisation-plan</w:t>
        </w:r>
      </w:hyperlink>
      <w:r w:rsidRPr="00F533B3">
        <w:t xml:space="preserve"> (Accessed: 11 July 2026).</w:t>
      </w:r>
    </w:p>
    <w:p w14:paraId="3C2E4DAC" w14:textId="77777777" w:rsidR="00033F3D" w:rsidRPr="00F533B3" w:rsidRDefault="00033F3D" w:rsidP="00F533B3">
      <w:proofErr w:type="spellStart"/>
      <w:r w:rsidRPr="00592DFA">
        <w:t>Erkul</w:t>
      </w:r>
      <w:proofErr w:type="spellEnd"/>
      <w:r w:rsidRPr="00592DFA">
        <w:t xml:space="preserve">, M., </w:t>
      </w:r>
      <w:proofErr w:type="spellStart"/>
      <w:r w:rsidRPr="00592DFA">
        <w:t>Yitmen</w:t>
      </w:r>
      <w:proofErr w:type="spellEnd"/>
      <w:r w:rsidRPr="00592DFA">
        <w:t xml:space="preserve">, I. and Celik, T. (2016) 'Stakeholder Engagement in Mega Transport Infrastructure Projects', </w:t>
      </w:r>
      <w:proofErr w:type="spellStart"/>
      <w:r w:rsidRPr="00592DFA">
        <w:rPr>
          <w:i/>
          <w:iCs/>
        </w:rPr>
        <w:t>Procedia</w:t>
      </w:r>
      <w:proofErr w:type="spellEnd"/>
      <w:r w:rsidRPr="00592DFA">
        <w:rPr>
          <w:i/>
          <w:iCs/>
        </w:rPr>
        <w:t xml:space="preserve"> Engineering</w:t>
      </w:r>
      <w:r w:rsidRPr="00592DFA">
        <w:t xml:space="preserve">, 161, pp. 704–710. </w:t>
      </w:r>
      <w:proofErr w:type="spellStart"/>
      <w:r w:rsidRPr="00592DFA">
        <w:t>doi</w:t>
      </w:r>
      <w:proofErr w:type="spellEnd"/>
      <w:r w:rsidRPr="00592DFA">
        <w:t>: 10.1016/</w:t>
      </w:r>
      <w:proofErr w:type="spellStart"/>
      <w:r w:rsidRPr="00592DFA">
        <w:t>j.proeng.2016.08.745</w:t>
      </w:r>
      <w:proofErr w:type="spellEnd"/>
      <w:r w:rsidRPr="00592DFA">
        <w:t>.</w:t>
      </w:r>
    </w:p>
    <w:p w14:paraId="576688B0" w14:textId="77777777" w:rsidR="00033F3D" w:rsidRPr="00F533B3" w:rsidRDefault="00033F3D" w:rsidP="00F533B3">
      <w:r w:rsidRPr="00F533B3">
        <w:t xml:space="preserve">Estrada-Esquivel, H., </w:t>
      </w:r>
      <w:proofErr w:type="spellStart"/>
      <w:r w:rsidRPr="00F533B3">
        <w:t>Martínez-Rebollar</w:t>
      </w:r>
      <w:proofErr w:type="spellEnd"/>
      <w:r w:rsidRPr="00F533B3">
        <w:t xml:space="preserve">, A., </w:t>
      </w:r>
      <w:proofErr w:type="spellStart"/>
      <w:r w:rsidRPr="00F533B3">
        <w:t>Wences-Olguin</w:t>
      </w:r>
      <w:proofErr w:type="spellEnd"/>
      <w:r w:rsidRPr="00F533B3">
        <w:t xml:space="preserve">, P., Hernandez-Perez, Y. and Ortiz-Hernandez, J. (2022) 'A Smart Information System for Passengers of Urban Transport Based on IoT', </w:t>
      </w:r>
      <w:r w:rsidRPr="00F533B3">
        <w:rPr>
          <w:i/>
          <w:iCs/>
        </w:rPr>
        <w:t>Electronics</w:t>
      </w:r>
      <w:r w:rsidRPr="00F533B3">
        <w:t xml:space="preserve">, 11(5), 834. </w:t>
      </w:r>
      <w:proofErr w:type="spellStart"/>
      <w:r w:rsidRPr="00F533B3">
        <w:t>doi</w:t>
      </w:r>
      <w:proofErr w:type="spellEnd"/>
      <w:r w:rsidRPr="00F533B3">
        <w:t>: 10.3390/electronics11050834.</w:t>
      </w:r>
    </w:p>
    <w:p w14:paraId="1396B38A" w14:textId="77777777" w:rsidR="00033F3D" w:rsidRPr="00F533B3" w:rsidRDefault="00033F3D" w:rsidP="00F533B3">
      <w:proofErr w:type="spellStart"/>
      <w:r w:rsidRPr="00F533B3">
        <w:t>Flyvbjerg</w:t>
      </w:r>
      <w:proofErr w:type="spellEnd"/>
      <w:r w:rsidRPr="00F533B3">
        <w:t xml:space="preserve">, B. and Gardner, D. (2023) </w:t>
      </w:r>
      <w:r w:rsidRPr="00F533B3">
        <w:rPr>
          <w:i/>
          <w:iCs/>
        </w:rPr>
        <w:t>How Big Things Get Done: The Surprising Factors That Determine the Fate of Every Project, from Home Renovations to Space Exploration and Everything in Between</w:t>
      </w:r>
      <w:r w:rsidRPr="00F533B3">
        <w:t>. New York: Currency.</w:t>
      </w:r>
    </w:p>
    <w:p w14:paraId="17726251" w14:textId="77777777" w:rsidR="00033F3D" w:rsidRPr="00F533B3" w:rsidRDefault="00033F3D" w:rsidP="00F533B3">
      <w:proofErr w:type="spellStart"/>
      <w:r w:rsidRPr="00F533B3">
        <w:lastRenderedPageBreak/>
        <w:t>Kapsalis</w:t>
      </w:r>
      <w:proofErr w:type="spellEnd"/>
      <w:r w:rsidRPr="00F533B3">
        <w:t xml:space="preserve">, E., Jaeger, N. and Hale, J. (2022) 'Disabled-by-design: effects of inaccessible urban public spaces on users of mobility assistive devices – a systematic review', </w:t>
      </w:r>
      <w:r w:rsidRPr="00F533B3">
        <w:rPr>
          <w:i/>
          <w:iCs/>
        </w:rPr>
        <w:t>Disability and Rehabilitation: Assistive Technology</w:t>
      </w:r>
      <w:r w:rsidRPr="00F533B3">
        <w:t xml:space="preserve">, 19(3), pp. 604–622. </w:t>
      </w:r>
      <w:proofErr w:type="spellStart"/>
      <w:r w:rsidRPr="00F533B3">
        <w:t>doi</w:t>
      </w:r>
      <w:proofErr w:type="spellEnd"/>
      <w:r w:rsidRPr="00F533B3">
        <w:t>: 10.1080/17483107.2022.2111723.</w:t>
      </w:r>
    </w:p>
    <w:p w14:paraId="1A328536" w14:textId="77777777" w:rsidR="00033F3D" w:rsidRPr="00F533B3" w:rsidRDefault="00033F3D" w:rsidP="00F533B3">
      <w:proofErr w:type="spellStart"/>
      <w:r w:rsidRPr="00F533B3">
        <w:t>Maqbool</w:t>
      </w:r>
      <w:proofErr w:type="spellEnd"/>
      <w:r w:rsidRPr="00F533B3">
        <w:t xml:space="preserve">, R. and </w:t>
      </w:r>
      <w:proofErr w:type="spellStart"/>
      <w:r w:rsidRPr="00F533B3">
        <w:t>Jowett</w:t>
      </w:r>
      <w:proofErr w:type="spellEnd"/>
      <w:r w:rsidRPr="00F533B3">
        <w:t xml:space="preserve">, E. (2023) 'Conserving a sustainable urban environment through energy security and project management practices', </w:t>
      </w:r>
      <w:r w:rsidRPr="00F533B3">
        <w:rPr>
          <w:i/>
          <w:iCs/>
        </w:rPr>
        <w:t>Environmental Science and Pollution Research</w:t>
      </w:r>
      <w:r w:rsidRPr="00F533B3">
        <w:t xml:space="preserve">, 30(34), pp. 81858–81880. </w:t>
      </w:r>
      <w:proofErr w:type="spellStart"/>
      <w:r w:rsidRPr="00F533B3">
        <w:t>doi</w:t>
      </w:r>
      <w:proofErr w:type="spellEnd"/>
      <w:r w:rsidRPr="00F533B3">
        <w:t>: 10.1007/s11356-022-21721-w.</w:t>
      </w:r>
    </w:p>
    <w:p w14:paraId="1F2D1C8B" w14:textId="77777777" w:rsidR="00033F3D" w:rsidRPr="00F533B3" w:rsidRDefault="00033F3D" w:rsidP="00F533B3">
      <w:proofErr w:type="spellStart"/>
      <w:r w:rsidRPr="00F533B3">
        <w:t>Maqbool</w:t>
      </w:r>
      <w:proofErr w:type="spellEnd"/>
      <w:r w:rsidRPr="00F533B3">
        <w:t xml:space="preserve">, R., Rashid, Y. and </w:t>
      </w:r>
      <w:proofErr w:type="spellStart"/>
      <w:r w:rsidRPr="00F533B3">
        <w:t>Ashfaq</w:t>
      </w:r>
      <w:proofErr w:type="spellEnd"/>
      <w:r w:rsidRPr="00F533B3">
        <w:t xml:space="preserve">, S. (2022) 'Renewable energy project success: Internal versus external stakeholders' satisfaction and influences of power-interest matrix', </w:t>
      </w:r>
      <w:r w:rsidRPr="00F533B3">
        <w:rPr>
          <w:i/>
          <w:iCs/>
        </w:rPr>
        <w:t>Sustainable Development</w:t>
      </w:r>
      <w:r w:rsidRPr="00F533B3">
        <w:t xml:space="preserve">, 30(6). </w:t>
      </w:r>
      <w:proofErr w:type="spellStart"/>
      <w:r w:rsidRPr="00F533B3">
        <w:t>doi</w:t>
      </w:r>
      <w:proofErr w:type="spellEnd"/>
      <w:r w:rsidRPr="00F533B3">
        <w:t>: 10.1002/</w:t>
      </w:r>
      <w:proofErr w:type="spellStart"/>
      <w:r w:rsidRPr="00F533B3">
        <w:t>sd.2327</w:t>
      </w:r>
      <w:proofErr w:type="spellEnd"/>
      <w:r w:rsidRPr="00F533B3">
        <w:t>.</w:t>
      </w:r>
    </w:p>
    <w:p w14:paraId="20ACD59E" w14:textId="77777777" w:rsidR="00033F3D" w:rsidRPr="00F533B3" w:rsidRDefault="00033F3D" w:rsidP="00F533B3">
      <w:proofErr w:type="spellStart"/>
      <w:r w:rsidRPr="00F533B3">
        <w:t>Okoye</w:t>
      </w:r>
      <w:proofErr w:type="spellEnd"/>
      <w:r w:rsidRPr="00F533B3">
        <w:t xml:space="preserve">, C.U., </w:t>
      </w:r>
      <w:proofErr w:type="spellStart"/>
      <w:r w:rsidRPr="00F533B3">
        <w:t>Echeme</w:t>
      </w:r>
      <w:proofErr w:type="spellEnd"/>
      <w:r w:rsidRPr="00F533B3">
        <w:t xml:space="preserve">, I.I., </w:t>
      </w:r>
      <w:proofErr w:type="spellStart"/>
      <w:r w:rsidRPr="00F533B3">
        <w:t>Anyanwu</w:t>
      </w:r>
      <w:proofErr w:type="spellEnd"/>
      <w:r w:rsidRPr="00F533B3">
        <w:t xml:space="preserve">, C.I. and </w:t>
      </w:r>
      <w:proofErr w:type="spellStart"/>
      <w:r w:rsidRPr="00F533B3">
        <w:t>Akaun</w:t>
      </w:r>
      <w:proofErr w:type="spellEnd"/>
      <w:r w:rsidRPr="00F533B3">
        <w:t xml:space="preserve">, G. (2025) 'Effectiveness of Project Planning and Scheduling Techniques in Construction Project Performance', </w:t>
      </w:r>
      <w:r w:rsidRPr="00F533B3">
        <w:rPr>
          <w:i/>
          <w:iCs/>
        </w:rPr>
        <w:t>PM World Journal</w:t>
      </w:r>
      <w:r w:rsidRPr="00F533B3">
        <w:t>, 14(10), pp. 1–17.</w:t>
      </w:r>
    </w:p>
    <w:p w14:paraId="218BCF10" w14:textId="77777777" w:rsidR="00033F3D" w:rsidRPr="00F533B3" w:rsidRDefault="00033F3D" w:rsidP="00F533B3">
      <w:proofErr w:type="spellStart"/>
      <w:r w:rsidRPr="00F533B3">
        <w:t>Székely</w:t>
      </w:r>
      <w:proofErr w:type="spellEnd"/>
      <w:r w:rsidRPr="00F533B3">
        <w:t xml:space="preserve">, B., </w:t>
      </w:r>
      <w:proofErr w:type="spellStart"/>
      <w:r w:rsidRPr="00F533B3">
        <w:t>Erdeiné</w:t>
      </w:r>
      <w:proofErr w:type="spellEnd"/>
      <w:r w:rsidRPr="00F533B3">
        <w:t xml:space="preserve"> </w:t>
      </w:r>
      <w:proofErr w:type="spellStart"/>
      <w:r w:rsidRPr="00F533B3">
        <w:t>Késmárki-Gally</w:t>
      </w:r>
      <w:proofErr w:type="spellEnd"/>
      <w:r w:rsidRPr="00F533B3">
        <w:t xml:space="preserve">, S. and </w:t>
      </w:r>
      <w:proofErr w:type="spellStart"/>
      <w:r w:rsidRPr="00F533B3">
        <w:t>Lakner</w:t>
      </w:r>
      <w:proofErr w:type="spellEnd"/>
      <w:r w:rsidRPr="00F533B3">
        <w:t xml:space="preserve">, Z. (2025) 'Hybrid project management: Scoping review', </w:t>
      </w:r>
      <w:r w:rsidRPr="00F533B3">
        <w:rPr>
          <w:i/>
          <w:iCs/>
        </w:rPr>
        <w:t>Project Leadership and Society</w:t>
      </w:r>
      <w:r w:rsidRPr="00F533B3">
        <w:t xml:space="preserve">, 6, 100182. </w:t>
      </w:r>
      <w:proofErr w:type="spellStart"/>
      <w:r w:rsidRPr="00F533B3">
        <w:t>doi</w:t>
      </w:r>
      <w:proofErr w:type="spellEnd"/>
      <w:r w:rsidRPr="00F533B3">
        <w:t>: 10.1016/</w:t>
      </w:r>
      <w:proofErr w:type="spellStart"/>
      <w:r w:rsidRPr="00F533B3">
        <w:t>j.plas.2025.100182</w:t>
      </w:r>
      <w:proofErr w:type="spellEnd"/>
      <w:r w:rsidRPr="00F533B3">
        <w:t>.</w:t>
      </w:r>
    </w:p>
    <w:p w14:paraId="0B93694A" w14:textId="77777777" w:rsidR="00BC2E6C" w:rsidRPr="00837E34" w:rsidRDefault="00BC2E6C" w:rsidP="00837E34"/>
    <w:p w14:paraId="313AF282" w14:textId="77777777" w:rsidR="008003D3" w:rsidRDefault="008003D3" w:rsidP="00ED486A"/>
    <w:sectPr w:rsidR="008003D3" w:rsidSect="001854C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686845D" w14:textId="77777777" w:rsidR="001C52FF" w:rsidRDefault="001C52FF" w:rsidP="001854CA">
      <w:pPr>
        <w:spacing w:after="0" w:line="240" w:lineRule="auto"/>
      </w:pPr>
      <w:r>
        <w:separator/>
      </w:r>
    </w:p>
  </w:endnote>
  <w:endnote w:type="continuationSeparator" w:id="0">
    <w:p w14:paraId="0765E4B5" w14:textId="77777777" w:rsidR="001C52FF" w:rsidRDefault="001C52FF" w:rsidP="00185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4B8524" w14:textId="77777777" w:rsidR="00305E1F" w:rsidRDefault="00305E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57383426"/>
      <w:docPartObj>
        <w:docPartGallery w:val="Page Numbers (Bottom of Page)"/>
        <w:docPartUnique/>
      </w:docPartObj>
    </w:sdtPr>
    <w:sdtEndPr>
      <w:rPr>
        <w:noProof/>
      </w:rPr>
    </w:sdtEndPr>
    <w:sdtContent>
      <w:p w14:paraId="0AFC6AFA" w14:textId="77777777" w:rsidR="001854CA" w:rsidRDefault="0003347C">
        <w:pPr>
          <w:pStyle w:val="Footer"/>
          <w:jc w:val="right"/>
        </w:pPr>
        <w:r>
          <w:fldChar w:fldCharType="begin"/>
        </w:r>
        <w:r w:rsidR="001854CA">
          <w:instrText xml:space="preserve"> PAGE   \* MERGEFORMAT </w:instrText>
        </w:r>
        <w:r>
          <w:fldChar w:fldCharType="separate"/>
        </w:r>
        <w:r w:rsidR="00B87A77">
          <w:rPr>
            <w:noProof/>
          </w:rPr>
          <w:t>12</w:t>
        </w:r>
        <w:r>
          <w:rPr>
            <w:noProof/>
          </w:rPr>
          <w:fldChar w:fldCharType="end"/>
        </w:r>
      </w:p>
    </w:sdtContent>
  </w:sdt>
  <w:p w14:paraId="10A0A4F5" w14:textId="77777777" w:rsidR="001854CA" w:rsidRDefault="001854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EC3FA75" w14:textId="77777777" w:rsidR="00305E1F" w:rsidRDefault="00305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C6557D" w14:textId="77777777" w:rsidR="001C52FF" w:rsidRDefault="001C52FF" w:rsidP="001854CA">
      <w:pPr>
        <w:spacing w:after="0" w:line="240" w:lineRule="auto"/>
      </w:pPr>
      <w:r>
        <w:separator/>
      </w:r>
    </w:p>
  </w:footnote>
  <w:footnote w:type="continuationSeparator" w:id="0">
    <w:p w14:paraId="7B3EF3ED" w14:textId="77777777" w:rsidR="001C52FF" w:rsidRDefault="001C52FF" w:rsidP="001854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1FEBA66" w14:textId="77777777" w:rsidR="00305E1F" w:rsidRDefault="00305E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59D9FB2" w14:textId="77777777" w:rsidR="00305E1F" w:rsidRDefault="00305E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EF6743" w14:textId="77777777" w:rsidR="00305E1F" w:rsidRDefault="00305E1F">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hideSpellingErrors/>
  <w:hideGrammaticalErrors/>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2B7"/>
    <w:rsid w:val="0000101B"/>
    <w:rsid w:val="00004593"/>
    <w:rsid w:val="00005A1B"/>
    <w:rsid w:val="00010B15"/>
    <w:rsid w:val="00011E16"/>
    <w:rsid w:val="00012344"/>
    <w:rsid w:val="000125B3"/>
    <w:rsid w:val="00016AA8"/>
    <w:rsid w:val="00023BD8"/>
    <w:rsid w:val="00024403"/>
    <w:rsid w:val="000252B3"/>
    <w:rsid w:val="00025567"/>
    <w:rsid w:val="000258AD"/>
    <w:rsid w:val="00030D89"/>
    <w:rsid w:val="0003347C"/>
    <w:rsid w:val="00033F3D"/>
    <w:rsid w:val="00034F3C"/>
    <w:rsid w:val="00035C5B"/>
    <w:rsid w:val="00036122"/>
    <w:rsid w:val="00040512"/>
    <w:rsid w:val="000407AA"/>
    <w:rsid w:val="0004190E"/>
    <w:rsid w:val="00041D80"/>
    <w:rsid w:val="00042750"/>
    <w:rsid w:val="0004285F"/>
    <w:rsid w:val="000440D2"/>
    <w:rsid w:val="00050F16"/>
    <w:rsid w:val="00051304"/>
    <w:rsid w:val="00056899"/>
    <w:rsid w:val="00057021"/>
    <w:rsid w:val="00060EE1"/>
    <w:rsid w:val="000706B3"/>
    <w:rsid w:val="00072948"/>
    <w:rsid w:val="000729DD"/>
    <w:rsid w:val="00072C2D"/>
    <w:rsid w:val="0007315A"/>
    <w:rsid w:val="000773DC"/>
    <w:rsid w:val="0007761E"/>
    <w:rsid w:val="00082DAC"/>
    <w:rsid w:val="00084AF0"/>
    <w:rsid w:val="00086EBC"/>
    <w:rsid w:val="00094126"/>
    <w:rsid w:val="0009603F"/>
    <w:rsid w:val="000977BD"/>
    <w:rsid w:val="000A1A5B"/>
    <w:rsid w:val="000A70CB"/>
    <w:rsid w:val="000B004B"/>
    <w:rsid w:val="000B0A08"/>
    <w:rsid w:val="000B2C79"/>
    <w:rsid w:val="000C25E7"/>
    <w:rsid w:val="000D08F8"/>
    <w:rsid w:val="000D1039"/>
    <w:rsid w:val="000D1224"/>
    <w:rsid w:val="000D5AF5"/>
    <w:rsid w:val="000E0AFA"/>
    <w:rsid w:val="000E1CBB"/>
    <w:rsid w:val="000E472F"/>
    <w:rsid w:val="000E56E1"/>
    <w:rsid w:val="000F4D60"/>
    <w:rsid w:val="000F56FD"/>
    <w:rsid w:val="000F58DF"/>
    <w:rsid w:val="000F5E81"/>
    <w:rsid w:val="00101C5D"/>
    <w:rsid w:val="00102F13"/>
    <w:rsid w:val="00104397"/>
    <w:rsid w:val="0011241C"/>
    <w:rsid w:val="00113451"/>
    <w:rsid w:val="00114778"/>
    <w:rsid w:val="0011478F"/>
    <w:rsid w:val="00115140"/>
    <w:rsid w:val="0011550B"/>
    <w:rsid w:val="00115A9D"/>
    <w:rsid w:val="00115F91"/>
    <w:rsid w:val="00122670"/>
    <w:rsid w:val="001325E2"/>
    <w:rsid w:val="001325E4"/>
    <w:rsid w:val="00133D07"/>
    <w:rsid w:val="00134091"/>
    <w:rsid w:val="001354B9"/>
    <w:rsid w:val="00136174"/>
    <w:rsid w:val="00143934"/>
    <w:rsid w:val="00144914"/>
    <w:rsid w:val="00151ED6"/>
    <w:rsid w:val="00153357"/>
    <w:rsid w:val="00154810"/>
    <w:rsid w:val="0015542B"/>
    <w:rsid w:val="00156EDA"/>
    <w:rsid w:val="00162581"/>
    <w:rsid w:val="00163451"/>
    <w:rsid w:val="00164B94"/>
    <w:rsid w:val="00165BC6"/>
    <w:rsid w:val="00165F0E"/>
    <w:rsid w:val="00167D38"/>
    <w:rsid w:val="001724F4"/>
    <w:rsid w:val="00174111"/>
    <w:rsid w:val="001744BD"/>
    <w:rsid w:val="00175273"/>
    <w:rsid w:val="00181A6C"/>
    <w:rsid w:val="00181B39"/>
    <w:rsid w:val="001842A5"/>
    <w:rsid w:val="00184B5C"/>
    <w:rsid w:val="001854CA"/>
    <w:rsid w:val="00185B09"/>
    <w:rsid w:val="00187D39"/>
    <w:rsid w:val="00187F49"/>
    <w:rsid w:val="00192EA1"/>
    <w:rsid w:val="00194103"/>
    <w:rsid w:val="00196E64"/>
    <w:rsid w:val="001A00B5"/>
    <w:rsid w:val="001A07A4"/>
    <w:rsid w:val="001A25CF"/>
    <w:rsid w:val="001A3D52"/>
    <w:rsid w:val="001B49AF"/>
    <w:rsid w:val="001B680D"/>
    <w:rsid w:val="001B7347"/>
    <w:rsid w:val="001C381B"/>
    <w:rsid w:val="001C3C17"/>
    <w:rsid w:val="001C52FF"/>
    <w:rsid w:val="001C5E67"/>
    <w:rsid w:val="001C61E3"/>
    <w:rsid w:val="001C73AB"/>
    <w:rsid w:val="001D3D41"/>
    <w:rsid w:val="001D42B3"/>
    <w:rsid w:val="001D76B5"/>
    <w:rsid w:val="001E0036"/>
    <w:rsid w:val="001E1492"/>
    <w:rsid w:val="001E1BA2"/>
    <w:rsid w:val="001E4313"/>
    <w:rsid w:val="001E68F6"/>
    <w:rsid w:val="001E7FC0"/>
    <w:rsid w:val="001F04D9"/>
    <w:rsid w:val="001F4742"/>
    <w:rsid w:val="001F5D0F"/>
    <w:rsid w:val="001F5DA5"/>
    <w:rsid w:val="00201617"/>
    <w:rsid w:val="0020391B"/>
    <w:rsid w:val="00205ADB"/>
    <w:rsid w:val="0020685B"/>
    <w:rsid w:val="002111BB"/>
    <w:rsid w:val="00213090"/>
    <w:rsid w:val="002145BA"/>
    <w:rsid w:val="00217C08"/>
    <w:rsid w:val="00224532"/>
    <w:rsid w:val="00227B28"/>
    <w:rsid w:val="002313A8"/>
    <w:rsid w:val="0023179F"/>
    <w:rsid w:val="0023543A"/>
    <w:rsid w:val="0023544B"/>
    <w:rsid w:val="0023552D"/>
    <w:rsid w:val="00237D17"/>
    <w:rsid w:val="002415A3"/>
    <w:rsid w:val="00241B8A"/>
    <w:rsid w:val="00251931"/>
    <w:rsid w:val="00252F22"/>
    <w:rsid w:val="002552A7"/>
    <w:rsid w:val="00256F68"/>
    <w:rsid w:val="00260D4B"/>
    <w:rsid w:val="00260ED6"/>
    <w:rsid w:val="00262639"/>
    <w:rsid w:val="00263CC9"/>
    <w:rsid w:val="00265366"/>
    <w:rsid w:val="00265A49"/>
    <w:rsid w:val="00266149"/>
    <w:rsid w:val="00266232"/>
    <w:rsid w:val="00270CDE"/>
    <w:rsid w:val="00271737"/>
    <w:rsid w:val="002755DC"/>
    <w:rsid w:val="0027573E"/>
    <w:rsid w:val="002773D6"/>
    <w:rsid w:val="00277AFF"/>
    <w:rsid w:val="00277FFC"/>
    <w:rsid w:val="00282A2E"/>
    <w:rsid w:val="00282F82"/>
    <w:rsid w:val="00285CBD"/>
    <w:rsid w:val="0029368B"/>
    <w:rsid w:val="00294AB9"/>
    <w:rsid w:val="00294E6E"/>
    <w:rsid w:val="0029731E"/>
    <w:rsid w:val="002A0C57"/>
    <w:rsid w:val="002B16D0"/>
    <w:rsid w:val="002B289A"/>
    <w:rsid w:val="002B2CEB"/>
    <w:rsid w:val="002B3B07"/>
    <w:rsid w:val="002B6EEF"/>
    <w:rsid w:val="002B7366"/>
    <w:rsid w:val="002C0645"/>
    <w:rsid w:val="002C3F0B"/>
    <w:rsid w:val="002C3FEB"/>
    <w:rsid w:val="002C4D5D"/>
    <w:rsid w:val="002D18B7"/>
    <w:rsid w:val="002D4DAD"/>
    <w:rsid w:val="002E1A4C"/>
    <w:rsid w:val="002E2FE9"/>
    <w:rsid w:val="002E3DAE"/>
    <w:rsid w:val="002E4D13"/>
    <w:rsid w:val="002E624E"/>
    <w:rsid w:val="002E637A"/>
    <w:rsid w:val="002E6B97"/>
    <w:rsid w:val="002F3EA7"/>
    <w:rsid w:val="002F49B0"/>
    <w:rsid w:val="002F59DD"/>
    <w:rsid w:val="002F7405"/>
    <w:rsid w:val="00301792"/>
    <w:rsid w:val="00304F2C"/>
    <w:rsid w:val="00305E1F"/>
    <w:rsid w:val="003075BD"/>
    <w:rsid w:val="0031225E"/>
    <w:rsid w:val="003154F2"/>
    <w:rsid w:val="00321271"/>
    <w:rsid w:val="00327937"/>
    <w:rsid w:val="00330C75"/>
    <w:rsid w:val="00330D5D"/>
    <w:rsid w:val="00331691"/>
    <w:rsid w:val="0033736D"/>
    <w:rsid w:val="003379B5"/>
    <w:rsid w:val="00341077"/>
    <w:rsid w:val="00342428"/>
    <w:rsid w:val="00342A31"/>
    <w:rsid w:val="00343B25"/>
    <w:rsid w:val="003445D5"/>
    <w:rsid w:val="003476BB"/>
    <w:rsid w:val="00351E3D"/>
    <w:rsid w:val="00352475"/>
    <w:rsid w:val="003528D7"/>
    <w:rsid w:val="00357826"/>
    <w:rsid w:val="00360835"/>
    <w:rsid w:val="003630C3"/>
    <w:rsid w:val="00370195"/>
    <w:rsid w:val="00370528"/>
    <w:rsid w:val="003723E5"/>
    <w:rsid w:val="00372C8C"/>
    <w:rsid w:val="00373DB9"/>
    <w:rsid w:val="00374EF5"/>
    <w:rsid w:val="00376A38"/>
    <w:rsid w:val="0037728E"/>
    <w:rsid w:val="00380511"/>
    <w:rsid w:val="0038284D"/>
    <w:rsid w:val="00385B07"/>
    <w:rsid w:val="00387CC0"/>
    <w:rsid w:val="00390E7A"/>
    <w:rsid w:val="00393D9A"/>
    <w:rsid w:val="00394F57"/>
    <w:rsid w:val="003969A8"/>
    <w:rsid w:val="00397C93"/>
    <w:rsid w:val="003A55E9"/>
    <w:rsid w:val="003A5AC1"/>
    <w:rsid w:val="003B14E3"/>
    <w:rsid w:val="003B4A36"/>
    <w:rsid w:val="003B7347"/>
    <w:rsid w:val="003B7956"/>
    <w:rsid w:val="003C2ADE"/>
    <w:rsid w:val="003C6ADD"/>
    <w:rsid w:val="003D34C3"/>
    <w:rsid w:val="003D661E"/>
    <w:rsid w:val="003D7F2E"/>
    <w:rsid w:val="003E28E5"/>
    <w:rsid w:val="003E394D"/>
    <w:rsid w:val="003E4111"/>
    <w:rsid w:val="003E4C12"/>
    <w:rsid w:val="003F11BE"/>
    <w:rsid w:val="003F23EB"/>
    <w:rsid w:val="003F2465"/>
    <w:rsid w:val="00400158"/>
    <w:rsid w:val="00401ABE"/>
    <w:rsid w:val="00402532"/>
    <w:rsid w:val="0040443A"/>
    <w:rsid w:val="00410A54"/>
    <w:rsid w:val="004110A3"/>
    <w:rsid w:val="00412311"/>
    <w:rsid w:val="004168C6"/>
    <w:rsid w:val="0042433B"/>
    <w:rsid w:val="00425427"/>
    <w:rsid w:val="00426ABB"/>
    <w:rsid w:val="004318CD"/>
    <w:rsid w:val="00434405"/>
    <w:rsid w:val="0043469A"/>
    <w:rsid w:val="00440473"/>
    <w:rsid w:val="004404A9"/>
    <w:rsid w:val="00441C0D"/>
    <w:rsid w:val="0044365A"/>
    <w:rsid w:val="00445A45"/>
    <w:rsid w:val="00446577"/>
    <w:rsid w:val="004507E8"/>
    <w:rsid w:val="00452828"/>
    <w:rsid w:val="00455DD5"/>
    <w:rsid w:val="00461B37"/>
    <w:rsid w:val="00463627"/>
    <w:rsid w:val="0046684E"/>
    <w:rsid w:val="00467B37"/>
    <w:rsid w:val="004712F4"/>
    <w:rsid w:val="00475BE1"/>
    <w:rsid w:val="004764E5"/>
    <w:rsid w:val="00480116"/>
    <w:rsid w:val="00486621"/>
    <w:rsid w:val="00487680"/>
    <w:rsid w:val="00487AEA"/>
    <w:rsid w:val="00491B95"/>
    <w:rsid w:val="0049337F"/>
    <w:rsid w:val="004959D1"/>
    <w:rsid w:val="00496726"/>
    <w:rsid w:val="0049761C"/>
    <w:rsid w:val="004A0205"/>
    <w:rsid w:val="004A22B1"/>
    <w:rsid w:val="004A288E"/>
    <w:rsid w:val="004A4777"/>
    <w:rsid w:val="004A6BD5"/>
    <w:rsid w:val="004B2ED5"/>
    <w:rsid w:val="004B5406"/>
    <w:rsid w:val="004B7E2B"/>
    <w:rsid w:val="004C0278"/>
    <w:rsid w:val="004C1E8F"/>
    <w:rsid w:val="004C2339"/>
    <w:rsid w:val="004C2551"/>
    <w:rsid w:val="004C2C5E"/>
    <w:rsid w:val="004C5E6D"/>
    <w:rsid w:val="004D1609"/>
    <w:rsid w:val="004D3CE4"/>
    <w:rsid w:val="004D5E48"/>
    <w:rsid w:val="004D7D41"/>
    <w:rsid w:val="004F77B9"/>
    <w:rsid w:val="004F7A37"/>
    <w:rsid w:val="0050277A"/>
    <w:rsid w:val="0050662E"/>
    <w:rsid w:val="005100E1"/>
    <w:rsid w:val="00510C52"/>
    <w:rsid w:val="00513B9C"/>
    <w:rsid w:val="00514CE9"/>
    <w:rsid w:val="00515565"/>
    <w:rsid w:val="00517BDC"/>
    <w:rsid w:val="005206C5"/>
    <w:rsid w:val="005216AA"/>
    <w:rsid w:val="0052177E"/>
    <w:rsid w:val="005246CC"/>
    <w:rsid w:val="005249C1"/>
    <w:rsid w:val="005259F6"/>
    <w:rsid w:val="005270EC"/>
    <w:rsid w:val="005315D3"/>
    <w:rsid w:val="005339E1"/>
    <w:rsid w:val="005341D4"/>
    <w:rsid w:val="00537A81"/>
    <w:rsid w:val="0054029A"/>
    <w:rsid w:val="00543296"/>
    <w:rsid w:val="0054481F"/>
    <w:rsid w:val="00546278"/>
    <w:rsid w:val="005538E6"/>
    <w:rsid w:val="00556E33"/>
    <w:rsid w:val="00557399"/>
    <w:rsid w:val="005615F5"/>
    <w:rsid w:val="00561FA4"/>
    <w:rsid w:val="0056338D"/>
    <w:rsid w:val="0056350D"/>
    <w:rsid w:val="005639FF"/>
    <w:rsid w:val="00563A43"/>
    <w:rsid w:val="00571D05"/>
    <w:rsid w:val="00572CAD"/>
    <w:rsid w:val="00574338"/>
    <w:rsid w:val="005743AA"/>
    <w:rsid w:val="00574C49"/>
    <w:rsid w:val="00583A6F"/>
    <w:rsid w:val="00585207"/>
    <w:rsid w:val="00590DDE"/>
    <w:rsid w:val="0059216C"/>
    <w:rsid w:val="00592DFA"/>
    <w:rsid w:val="00594A91"/>
    <w:rsid w:val="005A12CA"/>
    <w:rsid w:val="005A20A8"/>
    <w:rsid w:val="005A77C5"/>
    <w:rsid w:val="005B010E"/>
    <w:rsid w:val="005B07A9"/>
    <w:rsid w:val="005B1759"/>
    <w:rsid w:val="005B2976"/>
    <w:rsid w:val="005B3D83"/>
    <w:rsid w:val="005C04B1"/>
    <w:rsid w:val="005C3F88"/>
    <w:rsid w:val="005C4242"/>
    <w:rsid w:val="005C575F"/>
    <w:rsid w:val="005C68C5"/>
    <w:rsid w:val="005C7074"/>
    <w:rsid w:val="005D114D"/>
    <w:rsid w:val="005D16C8"/>
    <w:rsid w:val="005D6AC9"/>
    <w:rsid w:val="005D73DB"/>
    <w:rsid w:val="005E0211"/>
    <w:rsid w:val="005E0554"/>
    <w:rsid w:val="005E1C29"/>
    <w:rsid w:val="005E4679"/>
    <w:rsid w:val="005E48A4"/>
    <w:rsid w:val="005F221F"/>
    <w:rsid w:val="005F262D"/>
    <w:rsid w:val="005F30CD"/>
    <w:rsid w:val="005F536E"/>
    <w:rsid w:val="006003F1"/>
    <w:rsid w:val="00601F48"/>
    <w:rsid w:val="00605925"/>
    <w:rsid w:val="006059CD"/>
    <w:rsid w:val="00612AD9"/>
    <w:rsid w:val="006202EF"/>
    <w:rsid w:val="00625A4E"/>
    <w:rsid w:val="00626379"/>
    <w:rsid w:val="00630243"/>
    <w:rsid w:val="00630888"/>
    <w:rsid w:val="00631AB8"/>
    <w:rsid w:val="00631B32"/>
    <w:rsid w:val="006351D3"/>
    <w:rsid w:val="00635E00"/>
    <w:rsid w:val="00637891"/>
    <w:rsid w:val="006379F3"/>
    <w:rsid w:val="00640F22"/>
    <w:rsid w:val="00642CCD"/>
    <w:rsid w:val="006442B0"/>
    <w:rsid w:val="006551CF"/>
    <w:rsid w:val="006567E9"/>
    <w:rsid w:val="006578EF"/>
    <w:rsid w:val="0066022E"/>
    <w:rsid w:val="00661732"/>
    <w:rsid w:val="006632AF"/>
    <w:rsid w:val="00680A53"/>
    <w:rsid w:val="00680F5A"/>
    <w:rsid w:val="00682DDE"/>
    <w:rsid w:val="00683757"/>
    <w:rsid w:val="00684DEE"/>
    <w:rsid w:val="00686197"/>
    <w:rsid w:val="00687629"/>
    <w:rsid w:val="00687BBF"/>
    <w:rsid w:val="00692F0F"/>
    <w:rsid w:val="00693BB1"/>
    <w:rsid w:val="00693E3A"/>
    <w:rsid w:val="006A14B2"/>
    <w:rsid w:val="006A5A46"/>
    <w:rsid w:val="006A646A"/>
    <w:rsid w:val="006B171F"/>
    <w:rsid w:val="006B2760"/>
    <w:rsid w:val="006B6E5E"/>
    <w:rsid w:val="006C4F16"/>
    <w:rsid w:val="006C5E5B"/>
    <w:rsid w:val="006D0B57"/>
    <w:rsid w:val="006D0D39"/>
    <w:rsid w:val="006D41C6"/>
    <w:rsid w:val="006E6907"/>
    <w:rsid w:val="00703CC0"/>
    <w:rsid w:val="00703E77"/>
    <w:rsid w:val="0070680D"/>
    <w:rsid w:val="00707DC1"/>
    <w:rsid w:val="00712100"/>
    <w:rsid w:val="00717CC0"/>
    <w:rsid w:val="00717D0F"/>
    <w:rsid w:val="007225B8"/>
    <w:rsid w:val="00723D3F"/>
    <w:rsid w:val="00724D02"/>
    <w:rsid w:val="00725079"/>
    <w:rsid w:val="00726614"/>
    <w:rsid w:val="00732982"/>
    <w:rsid w:val="00734689"/>
    <w:rsid w:val="00740570"/>
    <w:rsid w:val="0074257E"/>
    <w:rsid w:val="00747209"/>
    <w:rsid w:val="007509E1"/>
    <w:rsid w:val="00750ABD"/>
    <w:rsid w:val="007527D7"/>
    <w:rsid w:val="00753042"/>
    <w:rsid w:val="00754D6F"/>
    <w:rsid w:val="007555D5"/>
    <w:rsid w:val="00757E24"/>
    <w:rsid w:val="00764001"/>
    <w:rsid w:val="007657EC"/>
    <w:rsid w:val="00765A53"/>
    <w:rsid w:val="00770CAF"/>
    <w:rsid w:val="007751AC"/>
    <w:rsid w:val="00776681"/>
    <w:rsid w:val="00777EBA"/>
    <w:rsid w:val="007847E4"/>
    <w:rsid w:val="00790C90"/>
    <w:rsid w:val="00792543"/>
    <w:rsid w:val="00793CE1"/>
    <w:rsid w:val="007967D2"/>
    <w:rsid w:val="007A07B4"/>
    <w:rsid w:val="007A0A81"/>
    <w:rsid w:val="007A46B3"/>
    <w:rsid w:val="007A4B80"/>
    <w:rsid w:val="007A5207"/>
    <w:rsid w:val="007A544C"/>
    <w:rsid w:val="007A6EA4"/>
    <w:rsid w:val="007B029D"/>
    <w:rsid w:val="007B6F4F"/>
    <w:rsid w:val="007B745E"/>
    <w:rsid w:val="007C0DC7"/>
    <w:rsid w:val="007C18D8"/>
    <w:rsid w:val="007D17BD"/>
    <w:rsid w:val="007D1D63"/>
    <w:rsid w:val="007D3590"/>
    <w:rsid w:val="007D6140"/>
    <w:rsid w:val="007E14F9"/>
    <w:rsid w:val="007E271C"/>
    <w:rsid w:val="007E67F9"/>
    <w:rsid w:val="007F345B"/>
    <w:rsid w:val="007F4193"/>
    <w:rsid w:val="007F6E1B"/>
    <w:rsid w:val="007F7B7E"/>
    <w:rsid w:val="008003D3"/>
    <w:rsid w:val="008008BC"/>
    <w:rsid w:val="008015AE"/>
    <w:rsid w:val="00801B8A"/>
    <w:rsid w:val="00803F1B"/>
    <w:rsid w:val="00804F1B"/>
    <w:rsid w:val="008051AE"/>
    <w:rsid w:val="00807265"/>
    <w:rsid w:val="00810B09"/>
    <w:rsid w:val="008134B5"/>
    <w:rsid w:val="00813C01"/>
    <w:rsid w:val="00813C82"/>
    <w:rsid w:val="00814E8E"/>
    <w:rsid w:val="008169C4"/>
    <w:rsid w:val="008250EE"/>
    <w:rsid w:val="00827E9E"/>
    <w:rsid w:val="00827ED8"/>
    <w:rsid w:val="008318F2"/>
    <w:rsid w:val="00833036"/>
    <w:rsid w:val="00834508"/>
    <w:rsid w:val="00837559"/>
    <w:rsid w:val="00837E34"/>
    <w:rsid w:val="0084572D"/>
    <w:rsid w:val="00845DC4"/>
    <w:rsid w:val="0084638E"/>
    <w:rsid w:val="008518F4"/>
    <w:rsid w:val="00852023"/>
    <w:rsid w:val="00862AB1"/>
    <w:rsid w:val="00865D6C"/>
    <w:rsid w:val="00866A87"/>
    <w:rsid w:val="00872621"/>
    <w:rsid w:val="00872F87"/>
    <w:rsid w:val="00873638"/>
    <w:rsid w:val="00874C5F"/>
    <w:rsid w:val="00875050"/>
    <w:rsid w:val="008771F4"/>
    <w:rsid w:val="008823D4"/>
    <w:rsid w:val="00882D79"/>
    <w:rsid w:val="00883DF1"/>
    <w:rsid w:val="00884577"/>
    <w:rsid w:val="00886727"/>
    <w:rsid w:val="00887C88"/>
    <w:rsid w:val="00890515"/>
    <w:rsid w:val="00890FF4"/>
    <w:rsid w:val="00892C4F"/>
    <w:rsid w:val="008A1893"/>
    <w:rsid w:val="008A2414"/>
    <w:rsid w:val="008A573E"/>
    <w:rsid w:val="008A590D"/>
    <w:rsid w:val="008A7E47"/>
    <w:rsid w:val="008B3F74"/>
    <w:rsid w:val="008B403E"/>
    <w:rsid w:val="008C19AE"/>
    <w:rsid w:val="008C33FB"/>
    <w:rsid w:val="008C3C24"/>
    <w:rsid w:val="008C4980"/>
    <w:rsid w:val="008C4C2D"/>
    <w:rsid w:val="008C51C9"/>
    <w:rsid w:val="008C7E3F"/>
    <w:rsid w:val="008C7E96"/>
    <w:rsid w:val="008D0017"/>
    <w:rsid w:val="008D311B"/>
    <w:rsid w:val="008D4C2B"/>
    <w:rsid w:val="008D508A"/>
    <w:rsid w:val="008D7EDE"/>
    <w:rsid w:val="008E0385"/>
    <w:rsid w:val="008E1E7F"/>
    <w:rsid w:val="008E5274"/>
    <w:rsid w:val="008E79BB"/>
    <w:rsid w:val="008E7F37"/>
    <w:rsid w:val="008F28AF"/>
    <w:rsid w:val="008F45FF"/>
    <w:rsid w:val="008F4952"/>
    <w:rsid w:val="008F5FC9"/>
    <w:rsid w:val="00900654"/>
    <w:rsid w:val="00905000"/>
    <w:rsid w:val="00910768"/>
    <w:rsid w:val="00910E47"/>
    <w:rsid w:val="00911428"/>
    <w:rsid w:val="00911E11"/>
    <w:rsid w:val="00913326"/>
    <w:rsid w:val="0091435E"/>
    <w:rsid w:val="00914EDB"/>
    <w:rsid w:val="009151B6"/>
    <w:rsid w:val="00915D2A"/>
    <w:rsid w:val="00915FC9"/>
    <w:rsid w:val="00921E76"/>
    <w:rsid w:val="00925F7D"/>
    <w:rsid w:val="00927FA7"/>
    <w:rsid w:val="009313A5"/>
    <w:rsid w:val="009320DF"/>
    <w:rsid w:val="00933DCB"/>
    <w:rsid w:val="009352C7"/>
    <w:rsid w:val="00935738"/>
    <w:rsid w:val="0093653B"/>
    <w:rsid w:val="009371EC"/>
    <w:rsid w:val="009373E6"/>
    <w:rsid w:val="00940996"/>
    <w:rsid w:val="0094650B"/>
    <w:rsid w:val="00946AFC"/>
    <w:rsid w:val="0095172E"/>
    <w:rsid w:val="009525F3"/>
    <w:rsid w:val="00952980"/>
    <w:rsid w:val="00954BCE"/>
    <w:rsid w:val="00961269"/>
    <w:rsid w:val="009615BA"/>
    <w:rsid w:val="00962AF3"/>
    <w:rsid w:val="00963110"/>
    <w:rsid w:val="0096614A"/>
    <w:rsid w:val="00966E39"/>
    <w:rsid w:val="009679C4"/>
    <w:rsid w:val="00967FF0"/>
    <w:rsid w:val="00971A5D"/>
    <w:rsid w:val="00980588"/>
    <w:rsid w:val="0098060D"/>
    <w:rsid w:val="00987B73"/>
    <w:rsid w:val="009902FB"/>
    <w:rsid w:val="0099211C"/>
    <w:rsid w:val="00994A27"/>
    <w:rsid w:val="0099616D"/>
    <w:rsid w:val="009A01D8"/>
    <w:rsid w:val="009A0BA3"/>
    <w:rsid w:val="009A1823"/>
    <w:rsid w:val="009A2F4E"/>
    <w:rsid w:val="009A3385"/>
    <w:rsid w:val="009A5729"/>
    <w:rsid w:val="009A6AAD"/>
    <w:rsid w:val="009B10EC"/>
    <w:rsid w:val="009B1251"/>
    <w:rsid w:val="009B14D4"/>
    <w:rsid w:val="009B2C0D"/>
    <w:rsid w:val="009B4F53"/>
    <w:rsid w:val="009B55E8"/>
    <w:rsid w:val="009B6122"/>
    <w:rsid w:val="009B6ACB"/>
    <w:rsid w:val="009C5F75"/>
    <w:rsid w:val="009C5F9F"/>
    <w:rsid w:val="009D1482"/>
    <w:rsid w:val="009D2436"/>
    <w:rsid w:val="009D4E6D"/>
    <w:rsid w:val="009E05DE"/>
    <w:rsid w:val="009E400E"/>
    <w:rsid w:val="009E4801"/>
    <w:rsid w:val="009E4F86"/>
    <w:rsid w:val="009E73D0"/>
    <w:rsid w:val="009F3B10"/>
    <w:rsid w:val="009F5992"/>
    <w:rsid w:val="009F6804"/>
    <w:rsid w:val="00A01667"/>
    <w:rsid w:val="00A02A51"/>
    <w:rsid w:val="00A04AE7"/>
    <w:rsid w:val="00A04F7E"/>
    <w:rsid w:val="00A06C7B"/>
    <w:rsid w:val="00A06CED"/>
    <w:rsid w:val="00A162C1"/>
    <w:rsid w:val="00A169AD"/>
    <w:rsid w:val="00A16F99"/>
    <w:rsid w:val="00A1792F"/>
    <w:rsid w:val="00A228FC"/>
    <w:rsid w:val="00A25A23"/>
    <w:rsid w:val="00A26F0F"/>
    <w:rsid w:val="00A27215"/>
    <w:rsid w:val="00A301C9"/>
    <w:rsid w:val="00A31E8F"/>
    <w:rsid w:val="00A34600"/>
    <w:rsid w:val="00A35E20"/>
    <w:rsid w:val="00A378C9"/>
    <w:rsid w:val="00A4113C"/>
    <w:rsid w:val="00A41DEF"/>
    <w:rsid w:val="00A42176"/>
    <w:rsid w:val="00A44392"/>
    <w:rsid w:val="00A471A1"/>
    <w:rsid w:val="00A53DE3"/>
    <w:rsid w:val="00A53EE8"/>
    <w:rsid w:val="00A5480A"/>
    <w:rsid w:val="00A5494D"/>
    <w:rsid w:val="00A54AC0"/>
    <w:rsid w:val="00A54CDE"/>
    <w:rsid w:val="00A55312"/>
    <w:rsid w:val="00A553FC"/>
    <w:rsid w:val="00A56A9D"/>
    <w:rsid w:val="00A609BC"/>
    <w:rsid w:val="00A625B3"/>
    <w:rsid w:val="00A66D73"/>
    <w:rsid w:val="00A674DB"/>
    <w:rsid w:val="00A708F3"/>
    <w:rsid w:val="00A72316"/>
    <w:rsid w:val="00A74B87"/>
    <w:rsid w:val="00A810B0"/>
    <w:rsid w:val="00A817E2"/>
    <w:rsid w:val="00A84E72"/>
    <w:rsid w:val="00A8555D"/>
    <w:rsid w:val="00A8579A"/>
    <w:rsid w:val="00A85E88"/>
    <w:rsid w:val="00A937DB"/>
    <w:rsid w:val="00AA0394"/>
    <w:rsid w:val="00AA5B0F"/>
    <w:rsid w:val="00AA6285"/>
    <w:rsid w:val="00AB1407"/>
    <w:rsid w:val="00AB1E06"/>
    <w:rsid w:val="00AB2270"/>
    <w:rsid w:val="00AB5EF2"/>
    <w:rsid w:val="00AB5FB1"/>
    <w:rsid w:val="00AC119A"/>
    <w:rsid w:val="00AC204A"/>
    <w:rsid w:val="00AC2E58"/>
    <w:rsid w:val="00AC3DCF"/>
    <w:rsid w:val="00AC3E1F"/>
    <w:rsid w:val="00AC5C3E"/>
    <w:rsid w:val="00AC6377"/>
    <w:rsid w:val="00AC77BD"/>
    <w:rsid w:val="00AD0203"/>
    <w:rsid w:val="00AD1D69"/>
    <w:rsid w:val="00AD33A9"/>
    <w:rsid w:val="00AD42E5"/>
    <w:rsid w:val="00AD7BF2"/>
    <w:rsid w:val="00AE1A43"/>
    <w:rsid w:val="00AE244C"/>
    <w:rsid w:val="00AF1A38"/>
    <w:rsid w:val="00AF2BA1"/>
    <w:rsid w:val="00AF648D"/>
    <w:rsid w:val="00B029EC"/>
    <w:rsid w:val="00B04680"/>
    <w:rsid w:val="00B04ACC"/>
    <w:rsid w:val="00B10C10"/>
    <w:rsid w:val="00B10EB4"/>
    <w:rsid w:val="00B148FD"/>
    <w:rsid w:val="00B14C28"/>
    <w:rsid w:val="00B207CB"/>
    <w:rsid w:val="00B23055"/>
    <w:rsid w:val="00B23BE9"/>
    <w:rsid w:val="00B315D4"/>
    <w:rsid w:val="00B35F07"/>
    <w:rsid w:val="00B45713"/>
    <w:rsid w:val="00B4592E"/>
    <w:rsid w:val="00B5140A"/>
    <w:rsid w:val="00B51D78"/>
    <w:rsid w:val="00B53D54"/>
    <w:rsid w:val="00B543B1"/>
    <w:rsid w:val="00B55B50"/>
    <w:rsid w:val="00B6258B"/>
    <w:rsid w:val="00B6661A"/>
    <w:rsid w:val="00B672E9"/>
    <w:rsid w:val="00B70D78"/>
    <w:rsid w:val="00B71421"/>
    <w:rsid w:val="00B73A47"/>
    <w:rsid w:val="00B73D44"/>
    <w:rsid w:val="00B74C27"/>
    <w:rsid w:val="00B75804"/>
    <w:rsid w:val="00B82286"/>
    <w:rsid w:val="00B8254C"/>
    <w:rsid w:val="00B85149"/>
    <w:rsid w:val="00B87A77"/>
    <w:rsid w:val="00B9435A"/>
    <w:rsid w:val="00B96504"/>
    <w:rsid w:val="00B977D3"/>
    <w:rsid w:val="00BA0012"/>
    <w:rsid w:val="00BA0B40"/>
    <w:rsid w:val="00BA15F6"/>
    <w:rsid w:val="00BA6A0B"/>
    <w:rsid w:val="00BB28EF"/>
    <w:rsid w:val="00BC06B0"/>
    <w:rsid w:val="00BC0EA1"/>
    <w:rsid w:val="00BC2112"/>
    <w:rsid w:val="00BC2E6C"/>
    <w:rsid w:val="00BC43CE"/>
    <w:rsid w:val="00BC4B85"/>
    <w:rsid w:val="00BD2263"/>
    <w:rsid w:val="00BD3DAC"/>
    <w:rsid w:val="00BD3FAC"/>
    <w:rsid w:val="00BD4C6C"/>
    <w:rsid w:val="00BE1B56"/>
    <w:rsid w:val="00BE20DC"/>
    <w:rsid w:val="00BE7BA9"/>
    <w:rsid w:val="00BE7DF2"/>
    <w:rsid w:val="00BF0EA2"/>
    <w:rsid w:val="00BF680F"/>
    <w:rsid w:val="00BF6DC0"/>
    <w:rsid w:val="00C0354F"/>
    <w:rsid w:val="00C04493"/>
    <w:rsid w:val="00C04778"/>
    <w:rsid w:val="00C05C32"/>
    <w:rsid w:val="00C11752"/>
    <w:rsid w:val="00C12F1C"/>
    <w:rsid w:val="00C13F61"/>
    <w:rsid w:val="00C14B20"/>
    <w:rsid w:val="00C14FAB"/>
    <w:rsid w:val="00C20AA7"/>
    <w:rsid w:val="00C23DBC"/>
    <w:rsid w:val="00C26376"/>
    <w:rsid w:val="00C26812"/>
    <w:rsid w:val="00C26B82"/>
    <w:rsid w:val="00C30753"/>
    <w:rsid w:val="00C33647"/>
    <w:rsid w:val="00C34CD2"/>
    <w:rsid w:val="00C36AD0"/>
    <w:rsid w:val="00C40D80"/>
    <w:rsid w:val="00C468B3"/>
    <w:rsid w:val="00C46971"/>
    <w:rsid w:val="00C501AE"/>
    <w:rsid w:val="00C517A5"/>
    <w:rsid w:val="00C5245E"/>
    <w:rsid w:val="00C52C91"/>
    <w:rsid w:val="00C52ECF"/>
    <w:rsid w:val="00C54954"/>
    <w:rsid w:val="00C5546D"/>
    <w:rsid w:val="00C55D6B"/>
    <w:rsid w:val="00C56794"/>
    <w:rsid w:val="00C57959"/>
    <w:rsid w:val="00C60043"/>
    <w:rsid w:val="00C607D2"/>
    <w:rsid w:val="00C61F83"/>
    <w:rsid w:val="00C6372F"/>
    <w:rsid w:val="00C64D22"/>
    <w:rsid w:val="00C706DF"/>
    <w:rsid w:val="00C70C47"/>
    <w:rsid w:val="00C70DA9"/>
    <w:rsid w:val="00C7324E"/>
    <w:rsid w:val="00C73AE3"/>
    <w:rsid w:val="00C75984"/>
    <w:rsid w:val="00C775C5"/>
    <w:rsid w:val="00C800C8"/>
    <w:rsid w:val="00C8347B"/>
    <w:rsid w:val="00C842A6"/>
    <w:rsid w:val="00C84C6B"/>
    <w:rsid w:val="00C86884"/>
    <w:rsid w:val="00C923E5"/>
    <w:rsid w:val="00C94077"/>
    <w:rsid w:val="00C9555F"/>
    <w:rsid w:val="00C96A0F"/>
    <w:rsid w:val="00C96F4D"/>
    <w:rsid w:val="00CA313B"/>
    <w:rsid w:val="00CA5314"/>
    <w:rsid w:val="00CB39B7"/>
    <w:rsid w:val="00CB4134"/>
    <w:rsid w:val="00CC1648"/>
    <w:rsid w:val="00CC175C"/>
    <w:rsid w:val="00CC39D6"/>
    <w:rsid w:val="00CC584B"/>
    <w:rsid w:val="00CC61B4"/>
    <w:rsid w:val="00CD0927"/>
    <w:rsid w:val="00CD48E5"/>
    <w:rsid w:val="00CD6AE1"/>
    <w:rsid w:val="00CE0A18"/>
    <w:rsid w:val="00CE0B95"/>
    <w:rsid w:val="00CE27B9"/>
    <w:rsid w:val="00CE37C0"/>
    <w:rsid w:val="00CE6990"/>
    <w:rsid w:val="00CE7788"/>
    <w:rsid w:val="00CF1980"/>
    <w:rsid w:val="00CF2E76"/>
    <w:rsid w:val="00CF32E5"/>
    <w:rsid w:val="00CF4803"/>
    <w:rsid w:val="00CF6637"/>
    <w:rsid w:val="00CF7C53"/>
    <w:rsid w:val="00D03C69"/>
    <w:rsid w:val="00D04A1B"/>
    <w:rsid w:val="00D10875"/>
    <w:rsid w:val="00D10D48"/>
    <w:rsid w:val="00D11DDD"/>
    <w:rsid w:val="00D14171"/>
    <w:rsid w:val="00D22946"/>
    <w:rsid w:val="00D24B09"/>
    <w:rsid w:val="00D24E67"/>
    <w:rsid w:val="00D26440"/>
    <w:rsid w:val="00D26934"/>
    <w:rsid w:val="00D275A4"/>
    <w:rsid w:val="00D33CAC"/>
    <w:rsid w:val="00D34F8D"/>
    <w:rsid w:val="00D36691"/>
    <w:rsid w:val="00D40FC6"/>
    <w:rsid w:val="00D432F3"/>
    <w:rsid w:val="00D45956"/>
    <w:rsid w:val="00D45993"/>
    <w:rsid w:val="00D56308"/>
    <w:rsid w:val="00D56FE8"/>
    <w:rsid w:val="00D60FD1"/>
    <w:rsid w:val="00D612FC"/>
    <w:rsid w:val="00D61B3E"/>
    <w:rsid w:val="00D6283E"/>
    <w:rsid w:val="00D66103"/>
    <w:rsid w:val="00D673BD"/>
    <w:rsid w:val="00D706EC"/>
    <w:rsid w:val="00D7284E"/>
    <w:rsid w:val="00D729F4"/>
    <w:rsid w:val="00D731D0"/>
    <w:rsid w:val="00D778C9"/>
    <w:rsid w:val="00D81020"/>
    <w:rsid w:val="00D85DFE"/>
    <w:rsid w:val="00D87C6E"/>
    <w:rsid w:val="00D9114E"/>
    <w:rsid w:val="00D91591"/>
    <w:rsid w:val="00D928B5"/>
    <w:rsid w:val="00D93F46"/>
    <w:rsid w:val="00D9419C"/>
    <w:rsid w:val="00DA338F"/>
    <w:rsid w:val="00DA3522"/>
    <w:rsid w:val="00DB1ACA"/>
    <w:rsid w:val="00DB2BEE"/>
    <w:rsid w:val="00DB2C2A"/>
    <w:rsid w:val="00DB37BF"/>
    <w:rsid w:val="00DB46C0"/>
    <w:rsid w:val="00DB590C"/>
    <w:rsid w:val="00DB6166"/>
    <w:rsid w:val="00DB6C44"/>
    <w:rsid w:val="00DB77EE"/>
    <w:rsid w:val="00DC0E2E"/>
    <w:rsid w:val="00DC18B3"/>
    <w:rsid w:val="00DC2E47"/>
    <w:rsid w:val="00DC4834"/>
    <w:rsid w:val="00DC5BC3"/>
    <w:rsid w:val="00DC5C25"/>
    <w:rsid w:val="00DC6C5C"/>
    <w:rsid w:val="00DC717C"/>
    <w:rsid w:val="00DD34D9"/>
    <w:rsid w:val="00DD36C2"/>
    <w:rsid w:val="00DD3A55"/>
    <w:rsid w:val="00DD7B7A"/>
    <w:rsid w:val="00DE05EC"/>
    <w:rsid w:val="00DE20B8"/>
    <w:rsid w:val="00DE381F"/>
    <w:rsid w:val="00DE4375"/>
    <w:rsid w:val="00DE55F7"/>
    <w:rsid w:val="00DF0188"/>
    <w:rsid w:val="00DF35AD"/>
    <w:rsid w:val="00DF4AC1"/>
    <w:rsid w:val="00DF561D"/>
    <w:rsid w:val="00DF6D75"/>
    <w:rsid w:val="00E00035"/>
    <w:rsid w:val="00E00273"/>
    <w:rsid w:val="00E00BB8"/>
    <w:rsid w:val="00E017C7"/>
    <w:rsid w:val="00E0259A"/>
    <w:rsid w:val="00E060F7"/>
    <w:rsid w:val="00E12440"/>
    <w:rsid w:val="00E13185"/>
    <w:rsid w:val="00E14680"/>
    <w:rsid w:val="00E156D4"/>
    <w:rsid w:val="00E23190"/>
    <w:rsid w:val="00E23F79"/>
    <w:rsid w:val="00E27861"/>
    <w:rsid w:val="00E31C2E"/>
    <w:rsid w:val="00E376F7"/>
    <w:rsid w:val="00E437EB"/>
    <w:rsid w:val="00E453C8"/>
    <w:rsid w:val="00E462EA"/>
    <w:rsid w:val="00E46CF9"/>
    <w:rsid w:val="00E479E4"/>
    <w:rsid w:val="00E50531"/>
    <w:rsid w:val="00E51EC8"/>
    <w:rsid w:val="00E52198"/>
    <w:rsid w:val="00E53A03"/>
    <w:rsid w:val="00E54B80"/>
    <w:rsid w:val="00E572B7"/>
    <w:rsid w:val="00E579E2"/>
    <w:rsid w:val="00E603EA"/>
    <w:rsid w:val="00E62176"/>
    <w:rsid w:val="00E6370E"/>
    <w:rsid w:val="00E6563E"/>
    <w:rsid w:val="00E6616E"/>
    <w:rsid w:val="00E67376"/>
    <w:rsid w:val="00E74A77"/>
    <w:rsid w:val="00E7509F"/>
    <w:rsid w:val="00E7560B"/>
    <w:rsid w:val="00E82421"/>
    <w:rsid w:val="00E82B3E"/>
    <w:rsid w:val="00E83443"/>
    <w:rsid w:val="00E83C2F"/>
    <w:rsid w:val="00E90D0C"/>
    <w:rsid w:val="00E95338"/>
    <w:rsid w:val="00E97614"/>
    <w:rsid w:val="00EA1059"/>
    <w:rsid w:val="00EA19A8"/>
    <w:rsid w:val="00EA1C1E"/>
    <w:rsid w:val="00EA4375"/>
    <w:rsid w:val="00EA6974"/>
    <w:rsid w:val="00EA74B7"/>
    <w:rsid w:val="00EB5100"/>
    <w:rsid w:val="00EC20AC"/>
    <w:rsid w:val="00EC28C3"/>
    <w:rsid w:val="00EC2CD5"/>
    <w:rsid w:val="00EC4BAB"/>
    <w:rsid w:val="00EC4F28"/>
    <w:rsid w:val="00EC63AB"/>
    <w:rsid w:val="00EC67EC"/>
    <w:rsid w:val="00ED214D"/>
    <w:rsid w:val="00ED468B"/>
    <w:rsid w:val="00ED486A"/>
    <w:rsid w:val="00ED6EB5"/>
    <w:rsid w:val="00EE05A7"/>
    <w:rsid w:val="00EE156E"/>
    <w:rsid w:val="00EE2D11"/>
    <w:rsid w:val="00EE44DA"/>
    <w:rsid w:val="00EE4A41"/>
    <w:rsid w:val="00EE507B"/>
    <w:rsid w:val="00EE53EE"/>
    <w:rsid w:val="00EE5805"/>
    <w:rsid w:val="00EF19AC"/>
    <w:rsid w:val="00EF29DC"/>
    <w:rsid w:val="00EF4752"/>
    <w:rsid w:val="00F012E0"/>
    <w:rsid w:val="00F024C7"/>
    <w:rsid w:val="00F10D4E"/>
    <w:rsid w:val="00F12A41"/>
    <w:rsid w:val="00F16CE8"/>
    <w:rsid w:val="00F22491"/>
    <w:rsid w:val="00F22D76"/>
    <w:rsid w:val="00F23024"/>
    <w:rsid w:val="00F241A8"/>
    <w:rsid w:val="00F2594F"/>
    <w:rsid w:val="00F25C8A"/>
    <w:rsid w:val="00F270B2"/>
    <w:rsid w:val="00F31176"/>
    <w:rsid w:val="00F33ABC"/>
    <w:rsid w:val="00F359D9"/>
    <w:rsid w:val="00F36191"/>
    <w:rsid w:val="00F464EE"/>
    <w:rsid w:val="00F46CF6"/>
    <w:rsid w:val="00F5186E"/>
    <w:rsid w:val="00F5198E"/>
    <w:rsid w:val="00F533B3"/>
    <w:rsid w:val="00F5392A"/>
    <w:rsid w:val="00F53E0E"/>
    <w:rsid w:val="00F570A6"/>
    <w:rsid w:val="00F70A67"/>
    <w:rsid w:val="00F72A13"/>
    <w:rsid w:val="00F75173"/>
    <w:rsid w:val="00F754B9"/>
    <w:rsid w:val="00F755D4"/>
    <w:rsid w:val="00F81237"/>
    <w:rsid w:val="00F81250"/>
    <w:rsid w:val="00F82821"/>
    <w:rsid w:val="00F83AC1"/>
    <w:rsid w:val="00F85D00"/>
    <w:rsid w:val="00F8725E"/>
    <w:rsid w:val="00F90E7A"/>
    <w:rsid w:val="00F911C5"/>
    <w:rsid w:val="00F9270C"/>
    <w:rsid w:val="00F94E22"/>
    <w:rsid w:val="00F94FB2"/>
    <w:rsid w:val="00F9621A"/>
    <w:rsid w:val="00FA0BDE"/>
    <w:rsid w:val="00FA557F"/>
    <w:rsid w:val="00FA6675"/>
    <w:rsid w:val="00FA682E"/>
    <w:rsid w:val="00FA7326"/>
    <w:rsid w:val="00FA7411"/>
    <w:rsid w:val="00FB2523"/>
    <w:rsid w:val="00FB5C5E"/>
    <w:rsid w:val="00FB6BC0"/>
    <w:rsid w:val="00FC1451"/>
    <w:rsid w:val="00FC27E4"/>
    <w:rsid w:val="00FC4100"/>
    <w:rsid w:val="00FD1629"/>
    <w:rsid w:val="00FD3668"/>
    <w:rsid w:val="00FD5020"/>
    <w:rsid w:val="00FD5934"/>
    <w:rsid w:val="00FD7AC0"/>
    <w:rsid w:val="00FD7BF8"/>
    <w:rsid w:val="00FE4C88"/>
    <w:rsid w:val="00FF0EB2"/>
    <w:rsid w:val="00FF2A4F"/>
    <w:rsid w:val="00FF4654"/>
    <w:rsid w:val="00FF51CF"/>
    <w:rsid w:val="00FF6C8B"/>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9DB455"/>
  <w15:docId w15:val="{3F6651CB-4057-7A4B-99C4-8B708462C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1E"/>
    <w:pPr>
      <w:spacing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07761E"/>
    <w:pPr>
      <w:outlineLvl w:val="0"/>
    </w:pPr>
    <w:rPr>
      <w:b/>
      <w:bCs/>
      <w:sz w:val="32"/>
      <w:szCs w:val="32"/>
    </w:rPr>
  </w:style>
  <w:style w:type="paragraph" w:styleId="Heading2">
    <w:name w:val="heading 2"/>
    <w:basedOn w:val="Normal"/>
    <w:next w:val="Normal"/>
    <w:link w:val="Heading2Char"/>
    <w:uiPriority w:val="9"/>
    <w:unhideWhenUsed/>
    <w:qFormat/>
    <w:rsid w:val="0007761E"/>
    <w:pPr>
      <w:outlineLvl w:val="1"/>
    </w:pPr>
    <w:rPr>
      <w:b/>
      <w:bCs/>
      <w:sz w:val="28"/>
      <w:szCs w:val="28"/>
    </w:rPr>
  </w:style>
  <w:style w:type="paragraph" w:styleId="Heading3">
    <w:name w:val="heading 3"/>
    <w:basedOn w:val="Normal"/>
    <w:next w:val="Normal"/>
    <w:link w:val="Heading3Char"/>
    <w:uiPriority w:val="9"/>
    <w:unhideWhenUsed/>
    <w:qFormat/>
    <w:rsid w:val="00CF1980"/>
    <w:pPr>
      <w:outlineLvl w:val="2"/>
    </w:pPr>
    <w:rPr>
      <w:b/>
      <w:bCs/>
      <w:i/>
      <w:iCs/>
    </w:rPr>
  </w:style>
  <w:style w:type="paragraph" w:styleId="Heading4">
    <w:name w:val="heading 4"/>
    <w:basedOn w:val="Normal"/>
    <w:next w:val="Normal"/>
    <w:link w:val="Heading4Char"/>
    <w:uiPriority w:val="9"/>
    <w:semiHidden/>
    <w:unhideWhenUsed/>
    <w:qFormat/>
    <w:rsid w:val="00E572B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572B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572B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572B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572B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572B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61E"/>
    <w:rPr>
      <w:rFonts w:ascii="Times New Roman" w:hAnsi="Times New Roman" w:cs="Times New Roman"/>
      <w:b/>
      <w:bCs/>
      <w:sz w:val="32"/>
      <w:szCs w:val="32"/>
    </w:rPr>
  </w:style>
  <w:style w:type="character" w:customStyle="1" w:styleId="Heading3Char">
    <w:name w:val="Heading 3 Char"/>
    <w:basedOn w:val="DefaultParagraphFont"/>
    <w:link w:val="Heading3"/>
    <w:uiPriority w:val="9"/>
    <w:rsid w:val="00CF1980"/>
    <w:rPr>
      <w:rFonts w:ascii="Times New Roman" w:hAnsi="Times New Roman" w:cs="Times New Roman"/>
      <w:b/>
      <w:bCs/>
      <w:i/>
      <w:iCs/>
    </w:rPr>
  </w:style>
  <w:style w:type="character" w:customStyle="1" w:styleId="Heading2Char">
    <w:name w:val="Heading 2 Char"/>
    <w:basedOn w:val="DefaultParagraphFont"/>
    <w:link w:val="Heading2"/>
    <w:uiPriority w:val="9"/>
    <w:rsid w:val="0007761E"/>
    <w:rPr>
      <w:rFonts w:ascii="Times New Roman" w:hAnsi="Times New Roman" w:cs="Times New Roman"/>
      <w:b/>
      <w:bCs/>
      <w:sz w:val="28"/>
      <w:szCs w:val="28"/>
    </w:rPr>
  </w:style>
  <w:style w:type="character" w:customStyle="1" w:styleId="Heading4Char">
    <w:name w:val="Heading 4 Char"/>
    <w:basedOn w:val="DefaultParagraphFont"/>
    <w:link w:val="Heading4"/>
    <w:uiPriority w:val="9"/>
    <w:semiHidden/>
    <w:rsid w:val="00E57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2B7"/>
    <w:rPr>
      <w:rFonts w:eastAsiaTheme="majorEastAsia" w:cstheme="majorBidi"/>
      <w:color w:val="272727" w:themeColor="text1" w:themeTint="D8"/>
    </w:rPr>
  </w:style>
  <w:style w:type="paragraph" w:styleId="Title">
    <w:name w:val="Title"/>
    <w:basedOn w:val="Normal"/>
    <w:next w:val="Normal"/>
    <w:link w:val="TitleChar"/>
    <w:uiPriority w:val="10"/>
    <w:qFormat/>
    <w:rsid w:val="00E572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2B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2B7"/>
    <w:pPr>
      <w:spacing w:before="160"/>
      <w:jc w:val="center"/>
    </w:pPr>
    <w:rPr>
      <w:i/>
      <w:iCs/>
      <w:color w:val="404040" w:themeColor="text1" w:themeTint="BF"/>
    </w:rPr>
  </w:style>
  <w:style w:type="character" w:customStyle="1" w:styleId="QuoteChar">
    <w:name w:val="Quote Char"/>
    <w:basedOn w:val="DefaultParagraphFont"/>
    <w:link w:val="Quote"/>
    <w:uiPriority w:val="29"/>
    <w:rsid w:val="00E572B7"/>
    <w:rPr>
      <w:rFonts w:ascii="Times New Roman" w:hAnsi="Times New Roman" w:cs="Times New Roman"/>
      <w:i/>
      <w:iCs/>
      <w:color w:val="404040" w:themeColor="text1" w:themeTint="BF"/>
    </w:rPr>
  </w:style>
  <w:style w:type="paragraph" w:styleId="ListParagraph">
    <w:name w:val="List Paragraph"/>
    <w:basedOn w:val="Normal"/>
    <w:uiPriority w:val="34"/>
    <w:qFormat/>
    <w:rsid w:val="00E572B7"/>
    <w:pPr>
      <w:ind w:left="720"/>
      <w:contextualSpacing/>
    </w:pPr>
  </w:style>
  <w:style w:type="character" w:styleId="IntenseEmphasis">
    <w:name w:val="Intense Emphasis"/>
    <w:basedOn w:val="DefaultParagraphFont"/>
    <w:uiPriority w:val="21"/>
    <w:qFormat/>
    <w:rsid w:val="00E572B7"/>
    <w:rPr>
      <w:i/>
      <w:iCs/>
      <w:color w:val="0F4761" w:themeColor="accent1" w:themeShade="BF"/>
    </w:rPr>
  </w:style>
  <w:style w:type="paragraph" w:styleId="IntenseQuote">
    <w:name w:val="Intense Quote"/>
    <w:basedOn w:val="Normal"/>
    <w:next w:val="Normal"/>
    <w:link w:val="IntenseQuoteChar"/>
    <w:uiPriority w:val="30"/>
    <w:qFormat/>
    <w:rsid w:val="00E57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2B7"/>
    <w:rPr>
      <w:rFonts w:ascii="Times New Roman" w:hAnsi="Times New Roman" w:cs="Times New Roman"/>
      <w:i/>
      <w:iCs/>
      <w:color w:val="0F4761" w:themeColor="accent1" w:themeShade="BF"/>
    </w:rPr>
  </w:style>
  <w:style w:type="character" w:styleId="IntenseReference">
    <w:name w:val="Intense Reference"/>
    <w:basedOn w:val="DefaultParagraphFont"/>
    <w:uiPriority w:val="32"/>
    <w:qFormat/>
    <w:rsid w:val="00E572B7"/>
    <w:rPr>
      <w:b/>
      <w:bCs/>
      <w:smallCaps/>
      <w:color w:val="0F4761" w:themeColor="accent1" w:themeShade="BF"/>
      <w:spacing w:val="5"/>
    </w:rPr>
  </w:style>
  <w:style w:type="character" w:styleId="Hyperlink">
    <w:name w:val="Hyperlink"/>
    <w:basedOn w:val="DefaultParagraphFont"/>
    <w:uiPriority w:val="99"/>
    <w:unhideWhenUsed/>
    <w:rsid w:val="00360835"/>
    <w:rPr>
      <w:color w:val="467886" w:themeColor="hyperlink"/>
      <w:u w:val="single"/>
    </w:rPr>
  </w:style>
  <w:style w:type="character" w:customStyle="1" w:styleId="UnresolvedMention1">
    <w:name w:val="Unresolved Mention1"/>
    <w:basedOn w:val="DefaultParagraphFont"/>
    <w:uiPriority w:val="99"/>
    <w:semiHidden/>
    <w:unhideWhenUsed/>
    <w:rsid w:val="00360835"/>
    <w:rPr>
      <w:color w:val="605E5C"/>
      <w:shd w:val="clear" w:color="auto" w:fill="E1DFDD"/>
    </w:rPr>
  </w:style>
  <w:style w:type="table" w:styleId="TableGrid">
    <w:name w:val="Table Grid"/>
    <w:basedOn w:val="TableNormal"/>
    <w:uiPriority w:val="59"/>
    <w:rsid w:val="007847E4"/>
    <w:pPr>
      <w:spacing w:after="0" w:line="240" w:lineRule="auto"/>
    </w:pPr>
    <w:rPr>
      <w:rFonts w:ascii="Calibri" w:eastAsia="Calibri" w:hAnsi="Calibri" w:cs="Arial"/>
      <w:kern w:val="0"/>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21">
    <w:name w:val="Plain Table 21"/>
    <w:basedOn w:val="TableNormal"/>
    <w:uiPriority w:val="42"/>
    <w:rsid w:val="00A625B3"/>
    <w:pPr>
      <w:spacing w:after="0" w:line="240" w:lineRule="auto"/>
    </w:pPr>
    <w:rPr>
      <w:sz w:val="22"/>
      <w:szCs w:val="22"/>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TableGridLight1">
    <w:name w:val="Table Grid Light1"/>
    <w:basedOn w:val="TableNormal"/>
    <w:uiPriority w:val="40"/>
    <w:rsid w:val="00A625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DE4375"/>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rPr>
  </w:style>
  <w:style w:type="paragraph" w:styleId="TOC1">
    <w:name w:val="toc 1"/>
    <w:basedOn w:val="Normal"/>
    <w:next w:val="Normal"/>
    <w:autoRedefine/>
    <w:uiPriority w:val="39"/>
    <w:unhideWhenUsed/>
    <w:rsid w:val="00DE4375"/>
    <w:pPr>
      <w:spacing w:after="100"/>
    </w:pPr>
  </w:style>
  <w:style w:type="paragraph" w:styleId="TOC2">
    <w:name w:val="toc 2"/>
    <w:basedOn w:val="Normal"/>
    <w:next w:val="Normal"/>
    <w:autoRedefine/>
    <w:uiPriority w:val="39"/>
    <w:unhideWhenUsed/>
    <w:rsid w:val="00DE4375"/>
    <w:pPr>
      <w:spacing w:after="100"/>
      <w:ind w:left="240"/>
    </w:pPr>
  </w:style>
  <w:style w:type="paragraph" w:styleId="Header">
    <w:name w:val="header"/>
    <w:basedOn w:val="Normal"/>
    <w:link w:val="HeaderChar"/>
    <w:uiPriority w:val="99"/>
    <w:unhideWhenUsed/>
    <w:rsid w:val="001854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54CA"/>
    <w:rPr>
      <w:rFonts w:ascii="Times New Roman" w:hAnsi="Times New Roman" w:cs="Times New Roman"/>
    </w:rPr>
  </w:style>
  <w:style w:type="paragraph" w:styleId="Footer">
    <w:name w:val="footer"/>
    <w:basedOn w:val="Normal"/>
    <w:link w:val="FooterChar"/>
    <w:uiPriority w:val="99"/>
    <w:unhideWhenUsed/>
    <w:rsid w:val="001854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54CA"/>
    <w:rPr>
      <w:rFonts w:ascii="Times New Roman" w:hAnsi="Times New Roman" w:cs="Times New Roman"/>
    </w:rPr>
  </w:style>
  <w:style w:type="paragraph" w:styleId="TOC3">
    <w:name w:val="toc 3"/>
    <w:basedOn w:val="Normal"/>
    <w:next w:val="Normal"/>
    <w:autoRedefine/>
    <w:uiPriority w:val="39"/>
    <w:unhideWhenUsed/>
    <w:rsid w:val="00EE53EE"/>
    <w:pPr>
      <w:spacing w:after="100"/>
      <w:ind w:left="480"/>
    </w:pPr>
  </w:style>
  <w:style w:type="paragraph" w:styleId="TOC4">
    <w:name w:val="toc 4"/>
    <w:basedOn w:val="Normal"/>
    <w:next w:val="Normal"/>
    <w:autoRedefine/>
    <w:uiPriority w:val="39"/>
    <w:unhideWhenUsed/>
    <w:rsid w:val="00FA6675"/>
    <w:pPr>
      <w:spacing w:after="100" w:line="278" w:lineRule="auto"/>
      <w:ind w:left="720"/>
      <w:jc w:val="left"/>
    </w:pPr>
    <w:rPr>
      <w:rFonts w:asciiTheme="minorHAnsi" w:eastAsiaTheme="minorEastAsia" w:hAnsiTheme="minorHAnsi" w:cstheme="minorBidi"/>
    </w:rPr>
  </w:style>
  <w:style w:type="paragraph" w:styleId="TOC5">
    <w:name w:val="toc 5"/>
    <w:basedOn w:val="Normal"/>
    <w:next w:val="Normal"/>
    <w:autoRedefine/>
    <w:uiPriority w:val="39"/>
    <w:unhideWhenUsed/>
    <w:rsid w:val="00FA6675"/>
    <w:pPr>
      <w:spacing w:after="100" w:line="278" w:lineRule="auto"/>
      <w:ind w:left="960"/>
      <w:jc w:val="left"/>
    </w:pPr>
    <w:rPr>
      <w:rFonts w:asciiTheme="minorHAnsi" w:eastAsiaTheme="minorEastAsia" w:hAnsiTheme="minorHAnsi" w:cstheme="minorBidi"/>
    </w:rPr>
  </w:style>
  <w:style w:type="paragraph" w:styleId="TOC6">
    <w:name w:val="toc 6"/>
    <w:basedOn w:val="Normal"/>
    <w:next w:val="Normal"/>
    <w:autoRedefine/>
    <w:uiPriority w:val="39"/>
    <w:unhideWhenUsed/>
    <w:rsid w:val="00FA6675"/>
    <w:pPr>
      <w:spacing w:after="100" w:line="278" w:lineRule="auto"/>
      <w:ind w:left="1200"/>
      <w:jc w:val="left"/>
    </w:pPr>
    <w:rPr>
      <w:rFonts w:asciiTheme="minorHAnsi" w:eastAsiaTheme="minorEastAsia" w:hAnsiTheme="minorHAnsi" w:cstheme="minorBidi"/>
    </w:rPr>
  </w:style>
  <w:style w:type="paragraph" w:styleId="TOC7">
    <w:name w:val="toc 7"/>
    <w:basedOn w:val="Normal"/>
    <w:next w:val="Normal"/>
    <w:autoRedefine/>
    <w:uiPriority w:val="39"/>
    <w:unhideWhenUsed/>
    <w:rsid w:val="00FA6675"/>
    <w:pPr>
      <w:spacing w:after="100" w:line="278" w:lineRule="auto"/>
      <w:ind w:left="1440"/>
      <w:jc w:val="left"/>
    </w:pPr>
    <w:rPr>
      <w:rFonts w:asciiTheme="minorHAnsi" w:eastAsiaTheme="minorEastAsia" w:hAnsiTheme="minorHAnsi" w:cstheme="minorBidi"/>
    </w:rPr>
  </w:style>
  <w:style w:type="paragraph" w:styleId="TOC8">
    <w:name w:val="toc 8"/>
    <w:basedOn w:val="Normal"/>
    <w:next w:val="Normal"/>
    <w:autoRedefine/>
    <w:uiPriority w:val="39"/>
    <w:unhideWhenUsed/>
    <w:rsid w:val="00FA6675"/>
    <w:pPr>
      <w:spacing w:after="100" w:line="278" w:lineRule="auto"/>
      <w:ind w:left="1680"/>
      <w:jc w:val="left"/>
    </w:pPr>
    <w:rPr>
      <w:rFonts w:asciiTheme="minorHAnsi" w:eastAsiaTheme="minorEastAsia" w:hAnsiTheme="minorHAnsi" w:cstheme="minorBidi"/>
    </w:rPr>
  </w:style>
  <w:style w:type="paragraph" w:styleId="TOC9">
    <w:name w:val="toc 9"/>
    <w:basedOn w:val="Normal"/>
    <w:next w:val="Normal"/>
    <w:autoRedefine/>
    <w:uiPriority w:val="39"/>
    <w:unhideWhenUsed/>
    <w:rsid w:val="00FA6675"/>
    <w:pPr>
      <w:spacing w:after="100" w:line="278" w:lineRule="auto"/>
      <w:ind w:left="1920"/>
      <w:jc w:val="left"/>
    </w:pPr>
    <w:rPr>
      <w:rFonts w:asciiTheme="minorHAnsi" w:eastAsiaTheme="minorEastAsia" w:hAnsiTheme="minorHAnsi" w:cstheme="minorBidi"/>
    </w:rPr>
  </w:style>
  <w:style w:type="paragraph" w:styleId="Caption">
    <w:name w:val="caption"/>
    <w:basedOn w:val="Normal"/>
    <w:next w:val="Normal"/>
    <w:uiPriority w:val="35"/>
    <w:unhideWhenUsed/>
    <w:qFormat/>
    <w:rsid w:val="002E6B97"/>
    <w:pPr>
      <w:spacing w:after="200" w:line="240" w:lineRule="auto"/>
    </w:pPr>
    <w:rPr>
      <w:i/>
      <w:iCs/>
      <w:color w:val="0E2841" w:themeColor="text2"/>
      <w:sz w:val="18"/>
      <w:szCs w:val="18"/>
    </w:rPr>
  </w:style>
  <w:style w:type="paragraph" w:styleId="NoSpacing">
    <w:name w:val="No Spacing"/>
    <w:uiPriority w:val="1"/>
    <w:qFormat/>
    <w:rsid w:val="00A674DB"/>
    <w:pPr>
      <w:spacing w:after="0" w:line="240" w:lineRule="auto"/>
      <w:jc w:val="both"/>
    </w:pPr>
    <w:rPr>
      <w:rFonts w:ascii="Times New Roman" w:hAnsi="Times New Roman" w:cs="Times New Roman"/>
    </w:rPr>
  </w:style>
  <w:style w:type="paragraph" w:styleId="TableofFigures">
    <w:name w:val="table of figures"/>
    <w:basedOn w:val="Normal"/>
    <w:next w:val="Normal"/>
    <w:uiPriority w:val="99"/>
    <w:unhideWhenUsed/>
    <w:rsid w:val="00EC4BAB"/>
    <w:pPr>
      <w:spacing w:after="0"/>
    </w:pPr>
  </w:style>
  <w:style w:type="table" w:customStyle="1" w:styleId="PlainTable11">
    <w:name w:val="Plain Table 11"/>
    <w:basedOn w:val="TableNormal"/>
    <w:uiPriority w:val="41"/>
    <w:rsid w:val="00DA33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1">
    <w:name w:val="Grid Table 1 Light1"/>
    <w:basedOn w:val="TableNormal"/>
    <w:uiPriority w:val="46"/>
    <w:rsid w:val="00DA338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7C18D8"/>
    <w:rPr>
      <w:color w:val="96607D" w:themeColor="followedHyperlink"/>
      <w:u w:val="single"/>
    </w:rPr>
  </w:style>
  <w:style w:type="paragraph" w:styleId="BalloonText">
    <w:name w:val="Balloon Text"/>
    <w:basedOn w:val="Normal"/>
    <w:link w:val="BalloonTextChar"/>
    <w:uiPriority w:val="99"/>
    <w:semiHidden/>
    <w:unhideWhenUsed/>
    <w:rsid w:val="00B87A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A77"/>
    <w:rPr>
      <w:rFonts w:ascii="Tahoma" w:hAnsi="Tahoma" w:cs="Tahoma"/>
      <w:sz w:val="16"/>
      <w:szCs w:val="16"/>
    </w:rPr>
  </w:style>
  <w:style w:type="character" w:styleId="Strong">
    <w:name w:val="Strong"/>
    <w:basedOn w:val="DefaultParagraphFont"/>
    <w:uiPriority w:val="22"/>
    <w:qFormat/>
    <w:rsid w:val="007C0DC7"/>
    <w:rPr>
      <w:b/>
      <w:bCs/>
    </w:rPr>
  </w:style>
  <w:style w:type="character" w:customStyle="1" w:styleId="apple-converted-space">
    <w:name w:val="apple-converted-space"/>
    <w:basedOn w:val="DefaultParagraphFont"/>
    <w:rsid w:val="007C0DC7"/>
  </w:style>
  <w:style w:type="paragraph" w:styleId="NormalWeb">
    <w:name w:val="Normal (Web)"/>
    <w:basedOn w:val="Normal"/>
    <w:uiPriority w:val="99"/>
    <w:semiHidden/>
    <w:unhideWhenUsed/>
    <w:rsid w:val="006059CD"/>
    <w:pPr>
      <w:spacing w:before="100" w:beforeAutospacing="1" w:after="100" w:afterAutospacing="1" w:line="240" w:lineRule="auto"/>
      <w:jc w:val="left"/>
    </w:pPr>
    <w:rPr>
      <w:rFonts w:eastAsiaTheme="minorEastAsia"/>
      <w:kern w:val="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gov.uk/government/publications/transport-decarbonisation-pla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17FEBF-EA31-4F17-9739-B4256027653F}">
  <we:reference id="wa200010725" version="1.0.0.1" store="en-US" storeType="OMEX"/>
  <we:alternateReferences>
    <we:reference id="wa200010725" version="1.0.0.1" store="" storeType="OMEX"/>
  </we:alternateReferences>
  <we:properties>
    <we:property name="claude.fileId" value="&quot;14118afb-b27f-42f4-8e9e-0a930a0d94e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4E1CE1-8CC3-4F04-96E0-37BC097BDD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3481</Words>
  <Characters>21759</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Nusrat Khandeker (HAN)</cp:lastModifiedBy>
  <cp:revision>2</cp:revision>
  <dcterms:created xsi:type="dcterms:W3CDTF">2026-07-17T18:07:00Z</dcterms:created>
  <dcterms:modified xsi:type="dcterms:W3CDTF">2026-07-17T18:07:00Z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4e3341e2-6094-421f-8bef-732abbc741a2</vt:lpwstr>
  </property>
</Properties>
</file>