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1223609" wp14:paraId="7D36A6C8" wp14:textId="317EF6A0">
      <w:pPr>
        <w:spacing w:after="160" w:line="259" w:lineRule="auto"/>
        <w:rPr>
          <w:rFonts w:ascii="Calibri" w:hAnsi="Calibri" w:eastAsia="Calibri" w:cs="Calibri"/>
          <w:noProof w:val="0"/>
          <w:sz w:val="24"/>
          <w:szCs w:val="24"/>
          <w:lang w:val="en-US"/>
        </w:rPr>
      </w:pPr>
      <w:r w:rsidRPr="71223609" w:rsidR="48085474">
        <w:rPr>
          <w:rFonts w:ascii="Calibri" w:hAnsi="Calibri" w:eastAsia="Calibri" w:cs="Calibri"/>
          <w:b w:val="1"/>
          <w:bCs w:val="1"/>
          <w:noProof w:val="0"/>
          <w:sz w:val="24"/>
          <w:szCs w:val="24"/>
          <w:lang w:val="en-US"/>
        </w:rPr>
        <w:t>ECAD40013</w:t>
      </w:r>
    </w:p>
    <w:p xmlns:wp14="http://schemas.microsoft.com/office/word/2010/wordml" w:rsidP="71223609" wp14:paraId="25ED21D6" wp14:textId="56961B65">
      <w:pPr>
        <w:spacing w:after="160" w:line="259" w:lineRule="auto"/>
        <w:jc w:val="left"/>
        <w:rPr>
          <w:rFonts w:ascii="Calibri" w:hAnsi="Calibri" w:eastAsia="Calibri" w:cs="Calibri"/>
          <w:noProof w:val="0"/>
          <w:sz w:val="24"/>
          <w:szCs w:val="24"/>
          <w:lang w:val="en-US"/>
        </w:rPr>
      </w:pPr>
      <w:r w:rsidRPr="71223609" w:rsidR="48085474">
        <w:rPr>
          <w:rFonts w:ascii="Calibri" w:hAnsi="Calibri" w:eastAsia="Calibri" w:cs="Calibri"/>
          <w:strike w:val="0"/>
          <w:dstrike w:val="0"/>
          <w:noProof w:val="0"/>
          <w:sz w:val="24"/>
          <w:szCs w:val="24"/>
          <w:u w:val="single"/>
          <w:lang w:val="en-US"/>
        </w:rPr>
        <w:t>Targets:</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3120"/>
        <w:gridCol w:w="3120"/>
        <w:gridCol w:w="3120"/>
      </w:tblGrid>
      <w:tr w:rsidR="71223609" w:rsidTr="71223609" w14:paraId="17E2DF6A">
        <w:trPr>
          <w:trHeight w:val="300"/>
        </w:trPr>
        <w:tc>
          <w:tcPr>
            <w:tcW w:w="3120" w:type="dxa"/>
            <w:tcMar>
              <w:left w:w="105" w:type="dxa"/>
              <w:right w:w="105" w:type="dxa"/>
            </w:tcMar>
            <w:vAlign w:val="center"/>
          </w:tcPr>
          <w:p w:rsidR="71223609" w:rsidP="71223609" w:rsidRDefault="71223609" w14:paraId="0183E593" w14:textId="20F7349C">
            <w:pPr>
              <w:spacing w:line="259" w:lineRule="auto"/>
              <w:rPr>
                <w:rFonts w:ascii="Calibri" w:hAnsi="Calibri" w:eastAsia="Calibri" w:cs="Calibri"/>
                <w:sz w:val="24"/>
                <w:szCs w:val="24"/>
                <w:lang w:val="en-US"/>
              </w:rPr>
            </w:pPr>
          </w:p>
        </w:tc>
        <w:tc>
          <w:tcPr>
            <w:tcW w:w="3120" w:type="dxa"/>
            <w:tcMar>
              <w:left w:w="105" w:type="dxa"/>
              <w:right w:w="105" w:type="dxa"/>
            </w:tcMar>
            <w:vAlign w:val="center"/>
          </w:tcPr>
          <w:p w:rsidR="71223609" w:rsidP="71223609" w:rsidRDefault="71223609" w14:paraId="055F8AD8" w14:textId="26789F2E">
            <w:pPr>
              <w:spacing w:line="259" w:lineRule="auto"/>
              <w:rPr>
                <w:rFonts w:ascii="Calibri" w:hAnsi="Calibri" w:eastAsia="Calibri" w:cs="Calibri"/>
                <w:sz w:val="24"/>
                <w:szCs w:val="24"/>
                <w:lang w:val="en-US"/>
              </w:rPr>
            </w:pPr>
            <w:r w:rsidRPr="71223609" w:rsidR="71223609">
              <w:rPr>
                <w:rFonts w:ascii="Calibri" w:hAnsi="Calibri" w:eastAsia="Calibri" w:cs="Calibri"/>
                <w:sz w:val="24"/>
                <w:szCs w:val="24"/>
                <w:lang w:val="en-US"/>
              </w:rPr>
              <w:t>Targets:</w:t>
            </w:r>
          </w:p>
        </w:tc>
        <w:tc>
          <w:tcPr>
            <w:tcW w:w="3120" w:type="dxa"/>
            <w:tcMar>
              <w:left w:w="105" w:type="dxa"/>
              <w:right w:w="105" w:type="dxa"/>
            </w:tcMar>
            <w:vAlign w:val="center"/>
          </w:tcPr>
          <w:p w:rsidR="71223609" w:rsidP="71223609" w:rsidRDefault="71223609" w14:paraId="6EC63FB4" w14:textId="72B27618">
            <w:pPr>
              <w:spacing w:line="259" w:lineRule="auto"/>
              <w:rPr>
                <w:rFonts w:ascii="Calibri" w:hAnsi="Calibri" w:eastAsia="Calibri" w:cs="Calibri"/>
                <w:sz w:val="24"/>
                <w:szCs w:val="24"/>
                <w:lang w:val="en-US"/>
              </w:rPr>
            </w:pPr>
            <w:r w:rsidRPr="71223609" w:rsidR="71223609">
              <w:rPr>
                <w:rFonts w:ascii="Calibri" w:hAnsi="Calibri" w:eastAsia="Calibri" w:cs="Calibri"/>
                <w:sz w:val="24"/>
                <w:szCs w:val="24"/>
                <w:lang w:val="en-US"/>
              </w:rPr>
              <w:t xml:space="preserve">What </w:t>
            </w:r>
            <w:r w:rsidRPr="71223609" w:rsidR="71223609">
              <w:rPr>
                <w:rFonts w:ascii="Calibri" w:hAnsi="Calibri" w:eastAsia="Calibri" w:cs="Calibri"/>
                <w:sz w:val="24"/>
                <w:szCs w:val="24"/>
                <w:lang w:val="en-US"/>
              </w:rPr>
              <w:t>I</w:t>
            </w:r>
            <w:r w:rsidRPr="71223609" w:rsidR="71223609">
              <w:rPr>
                <w:rFonts w:ascii="Calibri" w:hAnsi="Calibri" w:eastAsia="Calibri" w:cs="Calibri"/>
                <w:sz w:val="24"/>
                <w:szCs w:val="24"/>
                <w:lang w:val="en-US"/>
              </w:rPr>
              <w:t xml:space="preserve"> have done in this assignment:</w:t>
            </w:r>
          </w:p>
        </w:tc>
      </w:tr>
      <w:tr w:rsidR="71223609" w:rsidTr="71223609" w14:paraId="6C628D3C">
        <w:trPr>
          <w:trHeight w:val="300"/>
        </w:trPr>
        <w:tc>
          <w:tcPr>
            <w:tcW w:w="3120" w:type="dxa"/>
            <w:tcMar>
              <w:left w:w="105" w:type="dxa"/>
              <w:right w:w="105" w:type="dxa"/>
            </w:tcMar>
            <w:vAlign w:val="center"/>
          </w:tcPr>
          <w:p w:rsidR="71223609" w:rsidP="71223609" w:rsidRDefault="71223609" w14:paraId="782C09D4" w14:textId="7AEDCD24">
            <w:pPr>
              <w:spacing w:line="259" w:lineRule="auto"/>
              <w:rPr>
                <w:rFonts w:ascii="Calibri" w:hAnsi="Calibri" w:eastAsia="Calibri" w:cs="Calibri"/>
                <w:sz w:val="24"/>
                <w:szCs w:val="24"/>
                <w:lang w:val="en-US"/>
              </w:rPr>
            </w:pPr>
            <w:r w:rsidRPr="71223609" w:rsidR="71223609">
              <w:rPr>
                <w:rFonts w:ascii="Calibri" w:hAnsi="Calibri" w:eastAsia="Calibri" w:cs="Calibri"/>
                <w:sz w:val="24"/>
                <w:szCs w:val="24"/>
                <w:lang w:val="en-US"/>
              </w:rPr>
              <w:t>Target 1</w:t>
            </w:r>
          </w:p>
        </w:tc>
        <w:tc>
          <w:tcPr>
            <w:tcW w:w="3120" w:type="dxa"/>
            <w:tcMar>
              <w:left w:w="105" w:type="dxa"/>
              <w:right w:w="105" w:type="dxa"/>
            </w:tcMar>
            <w:vAlign w:val="center"/>
          </w:tcPr>
          <w:p w:rsidR="71223609" w:rsidP="71223609" w:rsidRDefault="71223609" w14:paraId="2EFE3AE4" w14:textId="0F15D581">
            <w:pPr>
              <w:spacing w:line="259" w:lineRule="auto"/>
              <w:rPr>
                <w:rFonts w:ascii="Calibri" w:hAnsi="Calibri" w:eastAsia="Calibri" w:cs="Calibri"/>
                <w:color w:val="283041"/>
                <w:sz w:val="24"/>
                <w:szCs w:val="24"/>
                <w:lang w:val="en-US"/>
              </w:rPr>
            </w:pPr>
            <w:r w:rsidRPr="71223609" w:rsidR="71223609">
              <w:rPr>
                <w:rFonts w:ascii="Calibri" w:hAnsi="Calibri" w:eastAsia="Calibri" w:cs="Calibri"/>
                <w:color w:val="283041"/>
                <w:sz w:val="24"/>
                <w:szCs w:val="24"/>
                <w:lang w:val="en-US"/>
              </w:rPr>
              <w:t>Read even more relevant books and journal articles as well as websites when researching</w:t>
            </w:r>
            <w:r w:rsidRPr="71223609" w:rsidR="71223609">
              <w:rPr>
                <w:rFonts w:ascii="Calibri" w:hAnsi="Calibri" w:eastAsia="Calibri" w:cs="Calibri"/>
                <w:color w:val="283041"/>
                <w:sz w:val="24"/>
                <w:szCs w:val="24"/>
                <w:lang w:val="en-US"/>
              </w:rPr>
              <w:t xml:space="preserve">.  </w:t>
            </w:r>
          </w:p>
        </w:tc>
        <w:tc>
          <w:tcPr>
            <w:tcW w:w="3120" w:type="dxa"/>
            <w:tcMar>
              <w:left w:w="105" w:type="dxa"/>
              <w:right w:w="105" w:type="dxa"/>
            </w:tcMar>
            <w:vAlign w:val="center"/>
          </w:tcPr>
          <w:p w:rsidR="71223609" w:rsidP="71223609" w:rsidRDefault="71223609" w14:paraId="0DCDC41F" w14:textId="618CDAA6">
            <w:pPr>
              <w:spacing w:line="259" w:lineRule="auto"/>
              <w:rPr>
                <w:rFonts w:ascii="Calibri" w:hAnsi="Calibri" w:eastAsia="Calibri" w:cs="Calibri"/>
                <w:sz w:val="24"/>
                <w:szCs w:val="24"/>
                <w:lang w:val="en-US"/>
              </w:rPr>
            </w:pPr>
            <w:r w:rsidRPr="71223609" w:rsidR="71223609">
              <w:rPr>
                <w:rFonts w:ascii="Calibri" w:hAnsi="Calibri" w:eastAsia="Calibri" w:cs="Calibri"/>
                <w:sz w:val="24"/>
                <w:szCs w:val="24"/>
                <w:lang w:val="en-US"/>
              </w:rPr>
              <w:t>I used</w:t>
            </w:r>
            <w:r w:rsidRPr="71223609" w:rsidR="71223609">
              <w:rPr>
                <w:rFonts w:ascii="Calibri" w:hAnsi="Calibri" w:eastAsia="Calibri" w:cs="Calibri"/>
                <w:sz w:val="24"/>
                <w:szCs w:val="24"/>
                <w:lang w:val="en-US"/>
              </w:rPr>
              <w:t xml:space="preserve"> a wider range of valid websites and books to deepen my research.</w:t>
            </w:r>
          </w:p>
        </w:tc>
      </w:tr>
      <w:tr w:rsidR="71223609" w:rsidTr="71223609" w14:paraId="4A20C27D">
        <w:trPr>
          <w:trHeight w:val="300"/>
        </w:trPr>
        <w:tc>
          <w:tcPr>
            <w:tcW w:w="3120" w:type="dxa"/>
            <w:tcMar>
              <w:left w:w="105" w:type="dxa"/>
              <w:right w:w="105" w:type="dxa"/>
            </w:tcMar>
            <w:vAlign w:val="center"/>
          </w:tcPr>
          <w:p w:rsidR="71223609" w:rsidP="71223609" w:rsidRDefault="71223609" w14:paraId="7622BEAE" w14:textId="0BDDC029">
            <w:pPr>
              <w:spacing w:line="259" w:lineRule="auto"/>
              <w:rPr>
                <w:rFonts w:ascii="Calibri" w:hAnsi="Calibri" w:eastAsia="Calibri" w:cs="Calibri"/>
                <w:sz w:val="24"/>
                <w:szCs w:val="24"/>
                <w:lang w:val="en-US"/>
              </w:rPr>
            </w:pPr>
            <w:r w:rsidRPr="71223609" w:rsidR="71223609">
              <w:rPr>
                <w:rFonts w:ascii="Calibri" w:hAnsi="Calibri" w:eastAsia="Calibri" w:cs="Calibri"/>
                <w:sz w:val="24"/>
                <w:szCs w:val="24"/>
                <w:lang w:val="en-US"/>
              </w:rPr>
              <w:t xml:space="preserve">Target 2 </w:t>
            </w:r>
          </w:p>
        </w:tc>
        <w:tc>
          <w:tcPr>
            <w:tcW w:w="3120" w:type="dxa"/>
            <w:tcMar>
              <w:left w:w="105" w:type="dxa"/>
              <w:right w:w="105" w:type="dxa"/>
            </w:tcMar>
            <w:vAlign w:val="center"/>
          </w:tcPr>
          <w:p w:rsidR="71223609" w:rsidP="71223609" w:rsidRDefault="71223609" w14:paraId="42656223" w14:textId="03CA767B">
            <w:pPr>
              <w:spacing w:line="259" w:lineRule="auto"/>
              <w:rPr>
                <w:rFonts w:ascii="Calibri" w:hAnsi="Calibri" w:eastAsia="Calibri" w:cs="Calibri"/>
                <w:color w:val="283041"/>
                <w:sz w:val="24"/>
                <w:szCs w:val="24"/>
                <w:lang w:val="en-US"/>
              </w:rPr>
            </w:pPr>
            <w:r w:rsidRPr="71223609" w:rsidR="71223609">
              <w:rPr>
                <w:rFonts w:ascii="Calibri" w:hAnsi="Calibri" w:eastAsia="Calibri" w:cs="Calibri"/>
                <w:color w:val="283041"/>
                <w:sz w:val="24"/>
                <w:szCs w:val="24"/>
                <w:lang w:val="en-US"/>
              </w:rPr>
              <w:t>Endeavour to synthesize research into your writing to aid the support of your key points.</w:t>
            </w:r>
          </w:p>
        </w:tc>
        <w:tc>
          <w:tcPr>
            <w:tcW w:w="3120" w:type="dxa"/>
            <w:tcMar>
              <w:left w:w="105" w:type="dxa"/>
              <w:right w:w="105" w:type="dxa"/>
            </w:tcMar>
            <w:vAlign w:val="center"/>
          </w:tcPr>
          <w:p w:rsidR="71223609" w:rsidP="71223609" w:rsidRDefault="71223609" w14:paraId="0B3065AD" w14:textId="6F79BFB5">
            <w:pPr>
              <w:spacing w:line="259" w:lineRule="auto"/>
              <w:rPr>
                <w:rFonts w:ascii="Calibri" w:hAnsi="Calibri" w:eastAsia="Calibri" w:cs="Calibri"/>
                <w:sz w:val="24"/>
                <w:szCs w:val="24"/>
                <w:lang w:val="en-US"/>
              </w:rPr>
            </w:pPr>
            <w:r w:rsidRPr="71223609" w:rsidR="71223609">
              <w:rPr>
                <w:rFonts w:ascii="Calibri" w:hAnsi="Calibri" w:eastAsia="Calibri" w:cs="Calibri"/>
                <w:sz w:val="24"/>
                <w:szCs w:val="24"/>
                <w:lang w:val="en-US"/>
              </w:rPr>
              <w:t>Combined research within my writing to support my key points and strengthen my statements.</w:t>
            </w:r>
          </w:p>
        </w:tc>
      </w:tr>
      <w:tr w:rsidR="71223609" w:rsidTr="71223609" w14:paraId="3812BA8C">
        <w:trPr>
          <w:trHeight w:val="300"/>
        </w:trPr>
        <w:tc>
          <w:tcPr>
            <w:tcW w:w="3120" w:type="dxa"/>
            <w:tcMar>
              <w:left w:w="105" w:type="dxa"/>
              <w:right w:w="105" w:type="dxa"/>
            </w:tcMar>
            <w:vAlign w:val="center"/>
          </w:tcPr>
          <w:p w:rsidR="71223609" w:rsidP="71223609" w:rsidRDefault="71223609" w14:paraId="27137347" w14:textId="11AAC626">
            <w:pPr>
              <w:spacing w:line="259" w:lineRule="auto"/>
              <w:rPr>
                <w:rFonts w:ascii="Calibri" w:hAnsi="Calibri" w:eastAsia="Calibri" w:cs="Calibri"/>
                <w:sz w:val="24"/>
                <w:szCs w:val="24"/>
                <w:lang w:val="en-US"/>
              </w:rPr>
            </w:pPr>
            <w:r w:rsidRPr="71223609" w:rsidR="71223609">
              <w:rPr>
                <w:rFonts w:ascii="Calibri" w:hAnsi="Calibri" w:eastAsia="Calibri" w:cs="Calibri"/>
                <w:sz w:val="24"/>
                <w:szCs w:val="24"/>
                <w:lang w:val="en-US"/>
              </w:rPr>
              <w:t>Target 3</w:t>
            </w:r>
          </w:p>
        </w:tc>
        <w:tc>
          <w:tcPr>
            <w:tcW w:w="3120" w:type="dxa"/>
            <w:tcMar>
              <w:left w:w="105" w:type="dxa"/>
              <w:right w:w="105" w:type="dxa"/>
            </w:tcMar>
            <w:vAlign w:val="center"/>
          </w:tcPr>
          <w:p w:rsidR="71223609" w:rsidP="71223609" w:rsidRDefault="71223609" w14:paraId="67729CF6" w14:textId="07A4195D">
            <w:pPr>
              <w:spacing w:line="259" w:lineRule="auto"/>
              <w:rPr>
                <w:rFonts w:ascii="Calibri" w:hAnsi="Calibri" w:eastAsia="Calibri" w:cs="Calibri"/>
                <w:color w:val="283041"/>
                <w:sz w:val="24"/>
                <w:szCs w:val="24"/>
                <w:lang w:val="en-US"/>
              </w:rPr>
            </w:pPr>
            <w:r w:rsidRPr="71223609" w:rsidR="71223609">
              <w:rPr>
                <w:rFonts w:ascii="Calibri" w:hAnsi="Calibri" w:eastAsia="Calibri" w:cs="Calibri"/>
                <w:color w:val="283041"/>
                <w:sz w:val="24"/>
                <w:szCs w:val="24"/>
                <w:lang w:val="en-US"/>
              </w:rPr>
              <w:t>Continue to ensure a greater critical approach throughout, offering and reflecting on the opposing view whenever possible.</w:t>
            </w:r>
          </w:p>
        </w:tc>
        <w:tc>
          <w:tcPr>
            <w:tcW w:w="3120" w:type="dxa"/>
            <w:tcMar>
              <w:left w:w="105" w:type="dxa"/>
              <w:right w:w="105" w:type="dxa"/>
            </w:tcMar>
            <w:vAlign w:val="center"/>
          </w:tcPr>
          <w:p w:rsidR="71223609" w:rsidP="71223609" w:rsidRDefault="71223609" w14:paraId="14D45E6E" w14:textId="29EF1550">
            <w:pPr>
              <w:spacing w:line="259" w:lineRule="auto"/>
              <w:rPr>
                <w:rFonts w:ascii="Calibri" w:hAnsi="Calibri" w:eastAsia="Calibri" w:cs="Calibri"/>
                <w:sz w:val="24"/>
                <w:szCs w:val="24"/>
                <w:lang w:val="en-US"/>
              </w:rPr>
            </w:pPr>
            <w:r w:rsidRPr="71223609" w:rsidR="71223609">
              <w:rPr>
                <w:rFonts w:ascii="Calibri" w:hAnsi="Calibri" w:eastAsia="Calibri" w:cs="Calibri"/>
                <w:sz w:val="24"/>
                <w:szCs w:val="24"/>
                <w:lang w:val="en-US"/>
              </w:rPr>
              <w:t>Ensured to compare opportunities with challenges throughout to offer an opposing view of my statement.</w:t>
            </w:r>
          </w:p>
        </w:tc>
      </w:tr>
    </w:tbl>
    <w:p xmlns:wp14="http://schemas.microsoft.com/office/word/2010/wordml" w:rsidP="71223609" wp14:paraId="51C8BDBA" wp14:textId="4C1144C4">
      <w:pPr>
        <w:spacing w:after="160" w:line="259" w:lineRule="auto"/>
        <w:jc w:val="left"/>
        <w:rPr>
          <w:rFonts w:ascii="Calibri" w:hAnsi="Calibri" w:eastAsia="Calibri" w:cs="Calibri"/>
          <w:noProof w:val="0"/>
          <w:sz w:val="24"/>
          <w:szCs w:val="24"/>
          <w:lang w:val="en-US"/>
        </w:rPr>
      </w:pPr>
    </w:p>
    <w:p xmlns:wp14="http://schemas.microsoft.com/office/word/2010/wordml" w:rsidP="71223609" wp14:paraId="4AADAF11" wp14:textId="1924D37B">
      <w:pPr>
        <w:spacing w:after="160" w:line="259" w:lineRule="auto"/>
        <w:jc w:val="center"/>
        <w:rPr>
          <w:rFonts w:ascii="Calibri" w:hAnsi="Calibri" w:eastAsia="Calibri" w:cs="Calibri"/>
          <w:noProof w:val="0"/>
          <w:sz w:val="24"/>
          <w:szCs w:val="24"/>
          <w:lang w:val="en-US"/>
        </w:rPr>
      </w:pPr>
      <w:r w:rsidRPr="71223609" w:rsidR="48085474">
        <w:rPr>
          <w:rFonts w:ascii="Calibri" w:hAnsi="Calibri" w:eastAsia="Calibri" w:cs="Calibri"/>
          <w:strike w:val="0"/>
          <w:dstrike w:val="0"/>
          <w:noProof w:val="0"/>
          <w:sz w:val="24"/>
          <w:szCs w:val="24"/>
          <w:u w:val="single"/>
          <w:lang w:val="en-US"/>
        </w:rPr>
        <w:t>Start at my feet</w:t>
      </w:r>
    </w:p>
    <w:p xmlns:wp14="http://schemas.microsoft.com/office/word/2010/wordml" w:rsidP="71223609" wp14:paraId="35C0A1FB" wp14:textId="41F9CC4F">
      <w:pPr>
        <w:spacing w:after="160" w:line="259" w:lineRule="auto"/>
        <w:rPr>
          <w:rFonts w:ascii="Calibri" w:hAnsi="Calibri" w:eastAsia="Calibri" w:cs="Calibri"/>
          <w:noProof w:val="0"/>
          <w:sz w:val="24"/>
          <w:szCs w:val="24"/>
          <w:lang w:val="en-US"/>
        </w:rPr>
      </w:pPr>
    </w:p>
    <w:p xmlns:wp14="http://schemas.microsoft.com/office/word/2010/wordml" w:rsidP="71223609" wp14:paraId="6E27F9A1" wp14:textId="1285C3E7">
      <w:pPr>
        <w:spacing w:after="160" w:line="259" w:lineRule="auto"/>
        <w:jc w:val="left"/>
        <w:rPr>
          <w:rFonts w:ascii="Calibri" w:hAnsi="Calibri" w:eastAsia="Calibri" w:cs="Calibri"/>
          <w:noProof w:val="0"/>
          <w:sz w:val="24"/>
          <w:szCs w:val="24"/>
          <w:lang w:val="en-US"/>
        </w:rPr>
      </w:pPr>
      <w:r w:rsidRPr="71223609" w:rsidR="48085474">
        <w:rPr>
          <w:rFonts w:ascii="Calibri" w:hAnsi="Calibri" w:eastAsia="Calibri" w:cs="Calibri"/>
          <w:noProof w:val="0"/>
          <w:sz w:val="24"/>
          <w:szCs w:val="24"/>
          <w:lang w:val="en-US"/>
        </w:rPr>
        <w:t>The 2021 Welsh census revealed that the population within Wales has grown by 44,000 since the last census in 2011, this caused a rise within the area of school X which had also risen by 4.5% (</w:t>
      </w:r>
      <w:r w:rsidRPr="71223609" w:rsidR="48085474">
        <w:rPr>
          <w:rFonts w:ascii="Calibri" w:hAnsi="Calibri" w:eastAsia="Calibri" w:cs="Calibri"/>
          <w:noProof w:val="0"/>
          <w:color w:val="000000" w:themeColor="text1" w:themeTint="FF" w:themeShade="FF"/>
          <w:sz w:val="24"/>
          <w:szCs w:val="24"/>
          <w:lang w:val="en-US"/>
        </w:rPr>
        <w:t>Roskams, 2022).</w:t>
      </w:r>
      <w:r w:rsidRPr="71223609" w:rsidR="48085474">
        <w:rPr>
          <w:rFonts w:ascii="Calibri" w:hAnsi="Calibri" w:eastAsia="Calibri" w:cs="Calibri"/>
          <w:noProof w:val="0"/>
          <w:sz w:val="24"/>
          <w:szCs w:val="24"/>
          <w:lang w:val="en-US"/>
        </w:rPr>
        <w:t xml:space="preserve"> The uprise in population statistics within the local area of school X saw a 1.5% rise in ethnic minority groups, making it the largest increase of ethnic groups within the surrounding area (ONS, 2023). Due to the rise in ethnic minority groups, school X makes every effort to celebrate and appreciate cultures in accordance with the four learning purposes within Wales, particularly ‘creating ethically informed </w:t>
      </w:r>
      <w:r w:rsidRPr="71223609" w:rsidR="48085474">
        <w:rPr>
          <w:rFonts w:ascii="Calibri" w:hAnsi="Calibri" w:eastAsia="Calibri" w:cs="Calibri"/>
          <w:noProof w:val="0"/>
          <w:sz w:val="24"/>
          <w:szCs w:val="24"/>
          <w:lang w:val="en-US"/>
        </w:rPr>
        <w:t>citizens’</w:t>
      </w:r>
      <w:r w:rsidRPr="71223609" w:rsidR="48085474">
        <w:rPr>
          <w:rFonts w:ascii="Calibri" w:hAnsi="Calibri" w:eastAsia="Calibri" w:cs="Calibri"/>
          <w:noProof w:val="0"/>
          <w:sz w:val="24"/>
          <w:szCs w:val="24"/>
          <w:lang w:val="en-US"/>
        </w:rPr>
        <w:t>. Jermery Miles the Minister for Education and Welsh stated that “</w:t>
      </w:r>
      <w:r w:rsidRPr="71223609" w:rsidR="48085474">
        <w:rPr>
          <w:rFonts w:ascii="Calibri" w:hAnsi="Calibri" w:eastAsia="Calibri" w:cs="Calibri"/>
          <w:noProof w:val="0"/>
          <w:color w:val="1F1F1F"/>
          <w:sz w:val="24"/>
          <w:szCs w:val="24"/>
          <w:lang w:val="en-US"/>
        </w:rPr>
        <w:t xml:space="preserve">If we are to progress as a society, we must create an education system which broadens our understanding and knowledge of the many cultures which have built Wales’s, and the world’s, past and present” (Welsh Government, 2021). </w:t>
      </w:r>
      <w:r w:rsidRPr="71223609" w:rsidR="48085474">
        <w:rPr>
          <w:rFonts w:ascii="Calibri" w:hAnsi="Calibri" w:eastAsia="Calibri" w:cs="Calibri"/>
          <w:noProof w:val="0"/>
          <w:sz w:val="24"/>
          <w:szCs w:val="24"/>
          <w:lang w:val="en-US"/>
        </w:rPr>
        <w:t>This is an opportunity for learning within the community and education as it allows the children to be surrounded by a diverse, inclusive community as well as understanding and respecting the culture of others through educational trips and schooling lessons. Furthermore, school X is situated within a rural area and surrounded by a community that is diverse, inclusive and closely connected, meaning that there are many opportunities and challenges that arise as a result of the widespread differences within the socio- economic status’s of those living within the community. School X makes the upmost effort to engage with parents and the community in order to provide the children with a wide variety of learning experiences and counter any challenges present with stimulating and engaging opportunities. The surrounding area of school X has many local attractions that provide opportunity such as, a local church, farm and many local charities that allow the children to receive well rounded experiences that will allow them to engage with different cultures, respect differences and consolidate knowledge learnt within the classroom. The Council for Learning Outside the Classroom believes all children should receive the opportunity to learn outside the classroom walls as it’s extremely beneficial for learning and development (European Study Tours, 2021). Moreover, a challenge within the local community is that they are deprived of a community center. This challenge affected many local children's clubs and charities as they had no space for their activities or meetings to take place therefore, school X allows the local community to make use of the school hall. This challenge was countered with an opportunity that highly benefited the children and community as a whole, this is as it welcomed a sense of togetherness through ‘fun days’ within the school and after school clubs allowing children to build upon social and team working skills.</w:t>
      </w:r>
    </w:p>
    <w:p xmlns:wp14="http://schemas.microsoft.com/office/word/2010/wordml" w:rsidP="71223609" wp14:paraId="5C358E3A" wp14:textId="7282E2F2">
      <w:pPr>
        <w:spacing w:after="160" w:line="259" w:lineRule="auto"/>
        <w:jc w:val="left"/>
        <w:rPr>
          <w:rFonts w:ascii="Calibri" w:hAnsi="Calibri" w:eastAsia="Calibri" w:cs="Calibri"/>
          <w:noProof w:val="0"/>
          <w:sz w:val="24"/>
          <w:szCs w:val="24"/>
          <w:lang w:val="en-US"/>
        </w:rPr>
      </w:pPr>
      <w:r w:rsidRPr="71223609" w:rsidR="48085474">
        <w:rPr>
          <w:rFonts w:ascii="Calibri" w:hAnsi="Calibri" w:eastAsia="Calibri" w:cs="Calibri"/>
          <w:noProof w:val="0"/>
          <w:sz w:val="24"/>
          <w:szCs w:val="24"/>
          <w:lang w:val="en-US"/>
        </w:rPr>
        <w:t xml:space="preserve">There are currently 582 pupils within school X, within this number 6% are eligible for free school meals (FSM) which is greatly smaller than the national average of 19%, although the number of FSM is not considerably high within the school it’s still apparent that there are children within the community that are living within poverty (Estyn, 2018). Poverty is a challenge for those children who are eligible for FSM and has shown within research to negatively impact their education and contribute to the attainment gap. As the 2021 census revealed there was a population increase within the area of school X which resulted within a more diverse community surrounding the school, however the census did not show the increase in poverty levels and the Welsh attainment gap that affect many children within Wales. The Joseph Rowntree Foundation states that an estimated 17% of children are living within poverty when using free school meals (FSM) as an indicator. The educational achievements of these children are greatly lesser than those from more prosperous backgrounds, this shows a clear correlation between poverty and attainment levels. Poor education achievements of the children receiving FSM can be seen from as early as three and the standardized testing scores show them up to a year behind within their studies than those not receiving FSM </w:t>
      </w:r>
      <w:r w:rsidRPr="71223609" w:rsidR="48085474">
        <w:rPr>
          <w:rFonts w:ascii="Calibri" w:hAnsi="Calibri" w:eastAsia="Calibri" w:cs="Calibri"/>
          <w:noProof w:val="0"/>
          <w:color w:val="000000" w:themeColor="text1" w:themeTint="FF" w:themeShade="FF"/>
          <w:sz w:val="24"/>
          <w:szCs w:val="24"/>
          <w:lang w:val="en-US"/>
        </w:rPr>
        <w:t>(Egan, 2013)</w:t>
      </w:r>
      <w:r w:rsidRPr="71223609" w:rsidR="48085474">
        <w:rPr>
          <w:rFonts w:ascii="Calibri" w:hAnsi="Calibri" w:eastAsia="Calibri" w:cs="Calibri"/>
          <w:noProof w:val="0"/>
          <w:sz w:val="24"/>
          <w:szCs w:val="24"/>
          <w:lang w:val="en-US"/>
        </w:rPr>
        <w:t>. However, school X recognizes the challenges children living within poverty are facing and the connection between the rising poverty levels and poor educational performances and therefore provides FSM for all children from reception through to year 3. As well as this, children within nursery and year 4 are expected to soon be made eligible for this scheme. This provides all children with an equal opportunity of free meals within school hours as well as the school providing additional 1:1 learning sessions for the children that are seen to be underachieving, this demonstrates the school's passion for equity and equality for all.</w:t>
      </w:r>
    </w:p>
    <w:p xmlns:wp14="http://schemas.microsoft.com/office/word/2010/wordml" w:rsidP="71223609" wp14:paraId="4E235432" wp14:textId="37362B6F">
      <w:pPr>
        <w:spacing w:after="160" w:line="259" w:lineRule="auto"/>
        <w:jc w:val="left"/>
        <w:rPr>
          <w:rFonts w:ascii="Calibri" w:hAnsi="Calibri" w:eastAsia="Calibri" w:cs="Calibri"/>
          <w:noProof w:val="0"/>
          <w:sz w:val="24"/>
          <w:szCs w:val="24"/>
          <w:lang w:val="en-US"/>
        </w:rPr>
      </w:pPr>
      <w:r w:rsidRPr="71223609" w:rsidR="48085474">
        <w:rPr>
          <w:rFonts w:ascii="Calibri" w:hAnsi="Calibri" w:eastAsia="Calibri" w:cs="Calibri"/>
          <w:noProof w:val="0"/>
          <w:sz w:val="24"/>
          <w:szCs w:val="24"/>
          <w:lang w:val="en-US"/>
        </w:rPr>
        <w:t xml:space="preserve">Furthermore, although the number of children depending on FSM within school X is minimal at just 6% (Estyn, 2018), research and statistics state that 27.7% of the local population area were economically inactive in the year ending in June 2023, this is a higher figure than across the Wales and Great Britain national average (ONS, 2023). These statistics grow our understanding on the importance of local schemes and charities such as food banks. Many of these families may rely on support from foodbanks during their time of unemployment, specifically if they do not qualify for government claims or schemes such as FSM. Additionally, McKnight et al (2005, quoted in Cole, 2006, p. 204) stated that the association between income and attainment has increased, so that ‘young children with similar levels of competence diverge as they progress through school according to their socio- economic background’. This is a challenge for the local area as families living within poverty often radiate high levels of stress and disconnect, which has an overall impact on the child </w:t>
      </w:r>
      <w:r w:rsidRPr="71223609" w:rsidR="48085474">
        <w:rPr>
          <w:rFonts w:ascii="Calibri" w:hAnsi="Calibri" w:eastAsia="Calibri" w:cs="Calibri"/>
          <w:noProof w:val="0"/>
          <w:sz w:val="24"/>
          <w:szCs w:val="24"/>
          <w:lang w:val="en-US"/>
        </w:rPr>
        <w:t>as a whole as well as</w:t>
      </w:r>
      <w:r w:rsidRPr="71223609" w:rsidR="48085474">
        <w:rPr>
          <w:rFonts w:ascii="Calibri" w:hAnsi="Calibri" w:eastAsia="Calibri" w:cs="Calibri"/>
          <w:noProof w:val="0"/>
          <w:sz w:val="24"/>
          <w:szCs w:val="24"/>
          <w:lang w:val="en-US"/>
        </w:rPr>
        <w:t xml:space="preserve"> their education. Additionally, Bronfenbrenner's theory states how children's microsystem has a detrimental effect on their holistic wellbeing due to it withholding vital institutions and environments such as family, education and peers </w:t>
      </w:r>
      <w:r w:rsidRPr="71223609" w:rsidR="48085474">
        <w:rPr>
          <w:rFonts w:ascii="Calibri" w:hAnsi="Calibri" w:eastAsia="Calibri" w:cs="Calibri"/>
          <w:noProof w:val="0"/>
          <w:color w:val="000000" w:themeColor="text1" w:themeTint="FF" w:themeShade="FF"/>
          <w:sz w:val="24"/>
          <w:szCs w:val="24"/>
          <w:lang w:val="en-US"/>
        </w:rPr>
        <w:t>(Hartin, 2023)</w:t>
      </w:r>
      <w:r w:rsidRPr="71223609" w:rsidR="48085474">
        <w:rPr>
          <w:rFonts w:ascii="Calibri" w:hAnsi="Calibri" w:eastAsia="Calibri" w:cs="Calibri"/>
          <w:noProof w:val="0"/>
          <w:sz w:val="24"/>
          <w:szCs w:val="24"/>
          <w:lang w:val="en-US"/>
        </w:rPr>
        <w:t xml:space="preserve">. If a child has a poor home life due to poverty and potential hunger, their relationships with peers and their concentration levels within school will be severally affected. Research carried out by BERA surrounding food bank use in schools (2023) supports this by stating that unsubstantial nutrition can cause inadequate brain development and poor wellbeing for the child, as well as having an immediate impact on concentration and focus within school. Consequently, school X creates opportunities within their learning environment to educate and provide the children with the knowledge, understanding and support they require within this area. School X encourages the children to contribute to their local food bank through the school, canned and long-lasting foods are packed by the children and taken to the local food bank for the families in need within this area. </w:t>
      </w:r>
      <w:r w:rsidRPr="71223609" w:rsidR="48085474">
        <w:rPr>
          <w:rFonts w:ascii="Calibri" w:hAnsi="Calibri" w:eastAsia="Calibri" w:cs="Calibri"/>
          <w:noProof w:val="0"/>
          <w:sz w:val="24"/>
          <w:szCs w:val="24"/>
          <w:lang w:val="en-US"/>
        </w:rPr>
        <w:t>As well as this, families challenged by poverty are offered additional support and opportunities such as breakfast clubs.</w:t>
      </w:r>
      <w:r w:rsidRPr="71223609" w:rsidR="48085474">
        <w:rPr>
          <w:rFonts w:ascii="Calibri" w:hAnsi="Calibri" w:eastAsia="Calibri" w:cs="Calibri"/>
          <w:noProof w:val="0"/>
          <w:sz w:val="24"/>
          <w:szCs w:val="24"/>
          <w:lang w:val="en-US"/>
        </w:rPr>
        <w:t xml:space="preserve"> Moreover, </w:t>
      </w:r>
      <w:r w:rsidRPr="71223609" w:rsidR="48085474">
        <w:rPr>
          <w:rFonts w:ascii="Calibri" w:hAnsi="Calibri" w:eastAsia="Calibri" w:cs="Calibri"/>
          <w:noProof w:val="0"/>
          <w:sz w:val="24"/>
          <w:szCs w:val="24"/>
          <w:lang w:val="en-US"/>
        </w:rPr>
        <w:t>by the school</w:t>
      </w:r>
      <w:r w:rsidRPr="71223609" w:rsidR="48085474">
        <w:rPr>
          <w:rFonts w:ascii="Calibri" w:hAnsi="Calibri" w:eastAsia="Calibri" w:cs="Calibri"/>
          <w:noProof w:val="0"/>
          <w:sz w:val="24"/>
          <w:szCs w:val="24"/>
          <w:lang w:val="en-US"/>
        </w:rPr>
        <w:t xml:space="preserve"> providing an opportunity for learning within this area they are incorporating the Curriculum for Wales, Statements of What Matters code into everyday schooling. This is fundamental for education within Wales and the ‘Health and Wellbeing’ statement underpins the importance of children learning and promoting healthy behaviors such as a balanced diet and further understanding the need to care for their own mental and physical needs as well as to respect the circumstances of others (Welsh Government, 2021).</w:t>
      </w:r>
    </w:p>
    <w:p xmlns:wp14="http://schemas.microsoft.com/office/word/2010/wordml" w:rsidP="71223609" wp14:paraId="4791942D" wp14:textId="11531213">
      <w:pPr>
        <w:spacing w:after="160" w:line="259" w:lineRule="auto"/>
        <w:jc w:val="left"/>
        <w:rPr>
          <w:rFonts w:ascii="Calibri" w:hAnsi="Calibri" w:eastAsia="Calibri" w:cs="Calibri"/>
          <w:noProof w:val="0"/>
          <w:sz w:val="24"/>
          <w:szCs w:val="24"/>
          <w:lang w:val="en-US"/>
        </w:rPr>
      </w:pPr>
      <w:r w:rsidRPr="71223609" w:rsidR="48085474">
        <w:rPr>
          <w:rFonts w:ascii="Calibri" w:hAnsi="Calibri" w:eastAsia="Calibri" w:cs="Calibri"/>
          <w:noProof w:val="0"/>
          <w:sz w:val="24"/>
          <w:szCs w:val="24"/>
          <w:lang w:val="en-US"/>
        </w:rPr>
        <w:t xml:space="preserve">School X recognizes the need for children and parents to feel comfortable and secure when starting their schooling journey with them, this is due to research showing when children are settled and at ease within an environment, particularly school they are more confident to engage in learning and to feel in control of their daily activities (ECLKC, 2023). Moreover, for children to be engaged within steady daily routines when starting school parents must promote positive adult- child interactions, </w:t>
      </w:r>
      <w:r w:rsidRPr="71223609" w:rsidR="48085474">
        <w:rPr>
          <w:rFonts w:ascii="Calibri" w:hAnsi="Calibri" w:eastAsia="Calibri" w:cs="Calibri"/>
          <w:noProof w:val="0"/>
          <w:sz w:val="24"/>
          <w:szCs w:val="24"/>
          <w:lang w:val="en-US"/>
        </w:rPr>
        <w:t>as a result of</w:t>
      </w:r>
      <w:r w:rsidRPr="71223609" w:rsidR="48085474">
        <w:rPr>
          <w:rFonts w:ascii="Calibri" w:hAnsi="Calibri" w:eastAsia="Calibri" w:cs="Calibri"/>
          <w:noProof w:val="0"/>
          <w:sz w:val="24"/>
          <w:szCs w:val="24"/>
          <w:lang w:val="en-US"/>
        </w:rPr>
        <w:t xml:space="preserve"> this when children begin transitioning into </w:t>
      </w:r>
      <w:r w:rsidRPr="71223609" w:rsidR="48085474">
        <w:rPr>
          <w:rFonts w:ascii="Calibri" w:hAnsi="Calibri" w:eastAsia="Calibri" w:cs="Calibri"/>
          <w:noProof w:val="0"/>
          <w:sz w:val="24"/>
          <w:szCs w:val="24"/>
          <w:lang w:val="en-US"/>
        </w:rPr>
        <w:t>education</w:t>
      </w:r>
      <w:r w:rsidRPr="71223609" w:rsidR="48085474">
        <w:rPr>
          <w:rFonts w:ascii="Calibri" w:hAnsi="Calibri" w:eastAsia="Calibri" w:cs="Calibri"/>
          <w:noProof w:val="0"/>
          <w:sz w:val="24"/>
          <w:szCs w:val="24"/>
          <w:lang w:val="en-US"/>
        </w:rPr>
        <w:t xml:space="preserve"> they feel safe within the predicted environment and can develop relationships with those they </w:t>
      </w:r>
      <w:r w:rsidRPr="71223609" w:rsidR="48085474">
        <w:rPr>
          <w:rFonts w:ascii="Calibri" w:hAnsi="Calibri" w:eastAsia="Calibri" w:cs="Calibri"/>
          <w:noProof w:val="0"/>
          <w:sz w:val="24"/>
          <w:szCs w:val="24"/>
          <w:lang w:val="en-US"/>
        </w:rPr>
        <w:t>encounter</w:t>
      </w:r>
      <w:r w:rsidRPr="71223609" w:rsidR="48085474">
        <w:rPr>
          <w:rFonts w:ascii="Calibri" w:hAnsi="Calibri" w:eastAsia="Calibri" w:cs="Calibri"/>
          <w:noProof w:val="0"/>
          <w:sz w:val="24"/>
          <w:szCs w:val="24"/>
          <w:lang w:val="en-US"/>
        </w:rPr>
        <w:t xml:space="preserve">. School X continues to support this initiative as it links closely to one of the 12 pedagogical principles which are hugely vital for learning within Wales, this </w:t>
      </w:r>
      <w:r w:rsidRPr="71223609" w:rsidR="48085474">
        <w:rPr>
          <w:rFonts w:ascii="Calibri" w:hAnsi="Calibri" w:eastAsia="Calibri" w:cs="Calibri"/>
          <w:noProof w:val="0"/>
          <w:sz w:val="24"/>
          <w:szCs w:val="24"/>
          <w:lang w:val="en-US"/>
        </w:rPr>
        <w:t>particular principle</w:t>
      </w:r>
      <w:r w:rsidRPr="71223609" w:rsidR="48085474">
        <w:rPr>
          <w:rFonts w:ascii="Calibri" w:hAnsi="Calibri" w:eastAsia="Calibri" w:cs="Calibri"/>
          <w:noProof w:val="0"/>
          <w:sz w:val="24"/>
          <w:szCs w:val="24"/>
          <w:lang w:val="en-US"/>
        </w:rPr>
        <w:t xml:space="preserve"> states, ‘to support social and emotional development and positive relationships’ (Impact Wales, 2022). As well as this, building positive relationships with school staff encourage emotional and social development for the child and promotes feelings of belonging and self-confidence which will later allow them to </w:t>
      </w:r>
      <w:r w:rsidRPr="71223609" w:rsidR="48085474">
        <w:rPr>
          <w:rFonts w:ascii="Calibri" w:hAnsi="Calibri" w:eastAsia="Calibri" w:cs="Calibri"/>
          <w:noProof w:val="0"/>
          <w:sz w:val="24"/>
          <w:szCs w:val="24"/>
          <w:lang w:val="en-US"/>
        </w:rPr>
        <w:t>demonstrate</w:t>
      </w:r>
      <w:r w:rsidRPr="71223609" w:rsidR="48085474">
        <w:rPr>
          <w:rFonts w:ascii="Calibri" w:hAnsi="Calibri" w:eastAsia="Calibri" w:cs="Calibri"/>
          <w:noProof w:val="0"/>
          <w:sz w:val="24"/>
          <w:szCs w:val="24"/>
          <w:lang w:val="en-US"/>
        </w:rPr>
        <w:t xml:space="preserve"> emerging independence (ECLKC, 2023). Furthermore, school X encourages that prior to children enrolling into early years education parents/guardians should begin providing structure and consistency at home so that the child feels secure and ready to transition to school however, it is also fundamental that the child understands that not every day will always be the same. </w:t>
      </w:r>
      <w:r w:rsidRPr="71223609" w:rsidR="48085474">
        <w:rPr>
          <w:rFonts w:ascii="Calibri" w:hAnsi="Calibri" w:eastAsia="Calibri" w:cs="Calibri"/>
          <w:noProof w:val="0"/>
          <w:sz w:val="24"/>
          <w:szCs w:val="24"/>
          <w:lang w:val="en-US"/>
        </w:rPr>
        <w:t>By parents setting</w:t>
      </w:r>
      <w:r w:rsidRPr="71223609" w:rsidR="48085474">
        <w:rPr>
          <w:rFonts w:ascii="Calibri" w:hAnsi="Calibri" w:eastAsia="Calibri" w:cs="Calibri"/>
          <w:noProof w:val="0"/>
          <w:sz w:val="24"/>
          <w:szCs w:val="24"/>
          <w:lang w:val="en-US"/>
        </w:rPr>
        <w:t xml:space="preserve"> an expectation that occasionally routines will differ, it allows the child to adapt and develop emotional competency within this situation. This area of development is particularly important for children with </w:t>
      </w:r>
      <w:r w:rsidRPr="71223609" w:rsidR="48085474">
        <w:rPr>
          <w:rFonts w:ascii="Calibri" w:hAnsi="Calibri" w:eastAsia="Calibri" w:cs="Calibri"/>
          <w:noProof w:val="0"/>
          <w:sz w:val="24"/>
          <w:szCs w:val="24"/>
          <w:lang w:val="en-US"/>
        </w:rPr>
        <w:t>additional</w:t>
      </w:r>
      <w:r w:rsidRPr="71223609" w:rsidR="48085474">
        <w:rPr>
          <w:rFonts w:ascii="Calibri" w:hAnsi="Calibri" w:eastAsia="Calibri" w:cs="Calibri"/>
          <w:noProof w:val="0"/>
          <w:sz w:val="24"/>
          <w:szCs w:val="24"/>
          <w:lang w:val="en-US"/>
        </w:rPr>
        <w:t xml:space="preserve"> learning needs, a change of routine can induce anxiety and frustration therefore introducing flexible thinking, creating backup </w:t>
      </w:r>
      <w:r w:rsidRPr="71223609" w:rsidR="48085474">
        <w:rPr>
          <w:rFonts w:ascii="Calibri" w:hAnsi="Calibri" w:eastAsia="Calibri" w:cs="Calibri"/>
          <w:noProof w:val="0"/>
          <w:sz w:val="24"/>
          <w:szCs w:val="24"/>
          <w:lang w:val="en-US"/>
        </w:rPr>
        <w:t>plans</w:t>
      </w:r>
      <w:r w:rsidRPr="71223609" w:rsidR="48085474">
        <w:rPr>
          <w:rFonts w:ascii="Calibri" w:hAnsi="Calibri" w:eastAsia="Calibri" w:cs="Calibri"/>
          <w:noProof w:val="0"/>
          <w:sz w:val="24"/>
          <w:szCs w:val="24"/>
          <w:lang w:val="en-US"/>
        </w:rPr>
        <w:t xml:space="preserve"> and allowing choice in daily routines is vital </w:t>
      </w:r>
      <w:r w:rsidRPr="71223609" w:rsidR="48085474">
        <w:rPr>
          <w:rFonts w:ascii="Calibri" w:hAnsi="Calibri" w:eastAsia="Calibri" w:cs="Calibri"/>
          <w:noProof w:val="0"/>
          <w:color w:val="000000" w:themeColor="text1" w:themeTint="FF" w:themeShade="FF"/>
          <w:sz w:val="24"/>
          <w:szCs w:val="24"/>
          <w:lang w:val="en-US"/>
        </w:rPr>
        <w:t xml:space="preserve">(Fishman, 2021). However, a challenge of the community surrounding school X is that prior to the children starting nursery many parents are uneducated on the importance of structure and security as their children may not have attended creche or daycare, potentially due to the expenses surrounding childcare before nursery. Although poverty levels within the surrounding area of school X are low, there are still undoubtedly families struggling financially and are therefore supported by government funds, free school meals and free breakfast schemes when entering school. Consequently, due to the rate of poverty within the community not being significantly high, the local area is not eligible for the Flying Start </w:t>
      </w:r>
      <w:r w:rsidRPr="71223609" w:rsidR="48085474">
        <w:rPr>
          <w:rFonts w:ascii="Calibri" w:hAnsi="Calibri" w:eastAsia="Calibri" w:cs="Calibri"/>
          <w:noProof w:val="0"/>
          <w:color w:val="000000" w:themeColor="text1" w:themeTint="FF" w:themeShade="FF"/>
          <w:sz w:val="24"/>
          <w:szCs w:val="24"/>
          <w:lang w:val="en-US"/>
        </w:rPr>
        <w:t>Programme</w:t>
      </w:r>
      <w:r w:rsidRPr="71223609" w:rsidR="48085474">
        <w:rPr>
          <w:rFonts w:ascii="Calibri" w:hAnsi="Calibri" w:eastAsia="Calibri" w:cs="Calibri"/>
          <w:noProof w:val="0"/>
          <w:color w:val="000000" w:themeColor="text1" w:themeTint="FF" w:themeShade="FF"/>
          <w:sz w:val="24"/>
          <w:szCs w:val="24"/>
          <w:lang w:val="en-US"/>
        </w:rPr>
        <w:t xml:space="preserve">. Furthermore, Flying Start is a Welsh government funded </w:t>
      </w:r>
      <w:r w:rsidRPr="71223609" w:rsidR="48085474">
        <w:rPr>
          <w:rFonts w:ascii="Calibri" w:hAnsi="Calibri" w:eastAsia="Calibri" w:cs="Calibri"/>
          <w:noProof w:val="0"/>
          <w:color w:val="000000" w:themeColor="text1" w:themeTint="FF" w:themeShade="FF"/>
          <w:sz w:val="24"/>
          <w:szCs w:val="24"/>
          <w:lang w:val="en-US"/>
        </w:rPr>
        <w:t>programme</w:t>
      </w:r>
      <w:r w:rsidRPr="71223609" w:rsidR="48085474">
        <w:rPr>
          <w:rFonts w:ascii="Calibri" w:hAnsi="Calibri" w:eastAsia="Calibri" w:cs="Calibri"/>
          <w:noProof w:val="0"/>
          <w:color w:val="000000" w:themeColor="text1" w:themeTint="FF" w:themeShade="FF"/>
          <w:sz w:val="24"/>
          <w:szCs w:val="24"/>
          <w:lang w:val="en-US"/>
        </w:rPr>
        <w:t xml:space="preserve"> aimed at families and their children ages 0-3. This </w:t>
      </w:r>
      <w:r w:rsidRPr="71223609" w:rsidR="48085474">
        <w:rPr>
          <w:rFonts w:ascii="Calibri" w:hAnsi="Calibri" w:eastAsia="Calibri" w:cs="Calibri"/>
          <w:noProof w:val="0"/>
          <w:color w:val="000000" w:themeColor="text1" w:themeTint="FF" w:themeShade="FF"/>
          <w:sz w:val="24"/>
          <w:szCs w:val="24"/>
          <w:lang w:val="en-US"/>
        </w:rPr>
        <w:t>programme</w:t>
      </w:r>
      <w:r w:rsidRPr="71223609" w:rsidR="48085474">
        <w:rPr>
          <w:rFonts w:ascii="Calibri" w:hAnsi="Calibri" w:eastAsia="Calibri" w:cs="Calibri"/>
          <w:noProof w:val="0"/>
          <w:color w:val="000000" w:themeColor="text1" w:themeTint="FF" w:themeShade="FF"/>
          <w:sz w:val="24"/>
          <w:szCs w:val="24"/>
          <w:lang w:val="en-US"/>
        </w:rPr>
        <w:t xml:space="preserve"> provides support and free part time childcare for families prior to school as well as aiding language development in readiness for school (CBC, 2022). The local area not being eligible for this </w:t>
      </w:r>
      <w:r w:rsidRPr="71223609" w:rsidR="48085474">
        <w:rPr>
          <w:rFonts w:ascii="Calibri" w:hAnsi="Calibri" w:eastAsia="Calibri" w:cs="Calibri"/>
          <w:noProof w:val="0"/>
          <w:color w:val="000000" w:themeColor="text1" w:themeTint="FF" w:themeShade="FF"/>
          <w:sz w:val="24"/>
          <w:szCs w:val="24"/>
          <w:lang w:val="en-US"/>
        </w:rPr>
        <w:t>programme</w:t>
      </w:r>
      <w:r w:rsidRPr="71223609" w:rsidR="48085474">
        <w:rPr>
          <w:rFonts w:ascii="Calibri" w:hAnsi="Calibri" w:eastAsia="Calibri" w:cs="Calibri"/>
          <w:noProof w:val="0"/>
          <w:color w:val="000000" w:themeColor="text1" w:themeTint="FF" w:themeShade="FF"/>
          <w:sz w:val="24"/>
          <w:szCs w:val="24"/>
          <w:lang w:val="en-US"/>
        </w:rPr>
        <w:t xml:space="preserve"> is a challenge within the community as parents are deprived of parental support and pre-schooling development for their children. However, school X recognizes this struggle within the community and therefore makes every effort to create opportunities and make the transition for those starting school positive and seamless. </w:t>
      </w:r>
      <w:bookmarkStart w:name="_Int_Ts3J5CnF" w:id="1151060104"/>
      <w:r w:rsidRPr="71223609" w:rsidR="48085474">
        <w:rPr>
          <w:rFonts w:ascii="Calibri" w:hAnsi="Calibri" w:eastAsia="Calibri" w:cs="Calibri"/>
          <w:noProof w:val="0"/>
          <w:color w:val="000000" w:themeColor="text1" w:themeTint="FF" w:themeShade="FF"/>
          <w:sz w:val="24"/>
          <w:szCs w:val="24"/>
          <w:lang w:val="en-US"/>
        </w:rPr>
        <w:t>One effective strategy that is used is transition meetings, meetings are arranged for ALN students, and one-page profiles are often exchanged so that teachers can better understand the pupil and their needs.</w:t>
      </w:r>
      <w:bookmarkEnd w:id="1151060104"/>
      <w:r w:rsidRPr="71223609" w:rsidR="48085474">
        <w:rPr>
          <w:rFonts w:ascii="Calibri" w:hAnsi="Calibri" w:eastAsia="Calibri" w:cs="Calibri"/>
          <w:noProof w:val="0"/>
          <w:color w:val="000000" w:themeColor="text1" w:themeTint="FF" w:themeShade="FF"/>
          <w:sz w:val="24"/>
          <w:szCs w:val="24"/>
          <w:lang w:val="en-US"/>
        </w:rPr>
        <w:t xml:space="preserve"> School X sees it of </w:t>
      </w:r>
      <w:r w:rsidRPr="71223609" w:rsidR="48085474">
        <w:rPr>
          <w:rFonts w:ascii="Calibri" w:hAnsi="Calibri" w:eastAsia="Calibri" w:cs="Calibri"/>
          <w:noProof w:val="0"/>
          <w:color w:val="000000" w:themeColor="text1" w:themeTint="FF" w:themeShade="FF"/>
          <w:sz w:val="24"/>
          <w:szCs w:val="24"/>
          <w:lang w:val="en-US"/>
        </w:rPr>
        <w:t>great importance</w:t>
      </w:r>
      <w:r w:rsidRPr="71223609" w:rsidR="48085474">
        <w:rPr>
          <w:rFonts w:ascii="Calibri" w:hAnsi="Calibri" w:eastAsia="Calibri" w:cs="Calibri"/>
          <w:noProof w:val="0"/>
          <w:color w:val="000000" w:themeColor="text1" w:themeTint="FF" w:themeShade="FF"/>
          <w:sz w:val="24"/>
          <w:szCs w:val="24"/>
          <w:lang w:val="en-US"/>
        </w:rPr>
        <w:t xml:space="preserve"> that teachers understand the child, this is due to research states that when teachers are fully understanding of their students, particularly those with </w:t>
      </w:r>
      <w:r w:rsidRPr="71223609" w:rsidR="48085474">
        <w:rPr>
          <w:rFonts w:ascii="Calibri" w:hAnsi="Calibri" w:eastAsia="Calibri" w:cs="Calibri"/>
          <w:noProof w:val="0"/>
          <w:color w:val="000000" w:themeColor="text1" w:themeTint="FF" w:themeShade="FF"/>
          <w:sz w:val="24"/>
          <w:szCs w:val="24"/>
          <w:lang w:val="en-US"/>
        </w:rPr>
        <w:t>additional</w:t>
      </w:r>
      <w:r w:rsidRPr="71223609" w:rsidR="48085474">
        <w:rPr>
          <w:rFonts w:ascii="Calibri" w:hAnsi="Calibri" w:eastAsia="Calibri" w:cs="Calibri"/>
          <w:noProof w:val="0"/>
          <w:color w:val="000000" w:themeColor="text1" w:themeTint="FF" w:themeShade="FF"/>
          <w:sz w:val="24"/>
          <w:szCs w:val="24"/>
          <w:lang w:val="en-US"/>
        </w:rPr>
        <w:t xml:space="preserve"> learning needs it allows them to provide quality learning opportunities and the children will therefore make greater academic progress (Reach Out, 2021). As well as this, stay and play sessions are organized for new nursery children. </w:t>
      </w:r>
      <w:r w:rsidRPr="71223609" w:rsidR="48085474">
        <w:rPr>
          <w:rFonts w:ascii="Calibri" w:hAnsi="Calibri" w:eastAsia="Calibri" w:cs="Calibri"/>
          <w:noProof w:val="0"/>
          <w:color w:val="000000" w:themeColor="text1" w:themeTint="FF" w:themeShade="FF"/>
          <w:sz w:val="24"/>
          <w:szCs w:val="24"/>
          <w:lang w:val="en-US"/>
        </w:rPr>
        <w:t>T</w:t>
      </w:r>
      <w:r w:rsidRPr="71223609" w:rsidR="48085474">
        <w:rPr>
          <w:rFonts w:ascii="Calibri" w:hAnsi="Calibri" w:eastAsia="Calibri" w:cs="Calibri"/>
          <w:noProof w:val="0"/>
          <w:sz w:val="24"/>
          <w:szCs w:val="24"/>
          <w:lang w:val="en-US"/>
        </w:rPr>
        <w:t>hese sessions are not optional as they are hugely effective and beneficial for the children as it allows them to familiarize themselves with the environment and teachers as well as the other children, making the transition smooth and positive.</w:t>
      </w:r>
      <w:r w:rsidRPr="71223609" w:rsidR="48085474">
        <w:rPr>
          <w:rFonts w:ascii="Calibri" w:hAnsi="Calibri" w:eastAsia="Calibri" w:cs="Calibri"/>
          <w:noProof w:val="0"/>
          <w:sz w:val="24"/>
          <w:szCs w:val="24"/>
          <w:lang w:val="en-US"/>
        </w:rPr>
        <w:t xml:space="preserve"> School X lengthens the stay and play sessions over </w:t>
      </w:r>
      <w:r w:rsidRPr="71223609" w:rsidR="48085474">
        <w:rPr>
          <w:rFonts w:ascii="Calibri" w:hAnsi="Calibri" w:eastAsia="Calibri" w:cs="Calibri"/>
          <w:noProof w:val="0"/>
          <w:sz w:val="24"/>
          <w:szCs w:val="24"/>
          <w:lang w:val="en-US"/>
        </w:rPr>
        <w:t xml:space="preserve">a short </w:t>
      </w:r>
      <w:r w:rsidRPr="71223609" w:rsidR="48085474">
        <w:rPr>
          <w:rFonts w:ascii="Calibri" w:hAnsi="Calibri" w:eastAsia="Calibri" w:cs="Calibri"/>
          <w:noProof w:val="0"/>
          <w:sz w:val="24"/>
          <w:szCs w:val="24"/>
          <w:lang w:val="en-US"/>
        </w:rPr>
        <w:t>period</w:t>
      </w:r>
      <w:r w:rsidRPr="71223609" w:rsidR="48085474">
        <w:rPr>
          <w:rFonts w:ascii="Calibri" w:hAnsi="Calibri" w:eastAsia="Calibri" w:cs="Calibri"/>
          <w:noProof w:val="0"/>
          <w:sz w:val="24"/>
          <w:szCs w:val="24"/>
          <w:lang w:val="en-US"/>
        </w:rPr>
        <w:t xml:space="preserve"> of time, the lengthening of sessions ensures the teachers that the child is comfortable and able to manage a full day of school, the child's wellbeing is always at the center of this process. </w:t>
      </w:r>
      <w:r w:rsidRPr="71223609" w:rsidR="48085474">
        <w:rPr>
          <w:rFonts w:ascii="Calibri" w:hAnsi="Calibri" w:eastAsia="Calibri" w:cs="Calibri"/>
          <w:noProof w:val="0"/>
          <w:sz w:val="24"/>
          <w:szCs w:val="24"/>
          <w:lang w:val="en-US"/>
        </w:rPr>
        <w:t>The opportunities and strategies used by school X to counter community challenges allow parents and children to feel secure and at ease when entering their new routines.</w:t>
      </w:r>
    </w:p>
    <w:p xmlns:wp14="http://schemas.microsoft.com/office/word/2010/wordml" w:rsidP="71223609" wp14:paraId="71A55167" wp14:textId="579EE15E">
      <w:pPr>
        <w:spacing w:after="160" w:line="259" w:lineRule="auto"/>
        <w:rPr>
          <w:rFonts w:ascii="Calibri" w:hAnsi="Calibri" w:eastAsia="Calibri" w:cs="Calibri"/>
          <w:noProof w:val="0"/>
          <w:sz w:val="24"/>
          <w:szCs w:val="24"/>
          <w:lang w:val="en-US"/>
        </w:rPr>
      </w:pPr>
      <w:r w:rsidRPr="71223609" w:rsidR="48085474">
        <w:rPr>
          <w:rFonts w:ascii="Calibri" w:hAnsi="Calibri" w:eastAsia="Calibri" w:cs="Calibri"/>
          <w:noProof w:val="0"/>
          <w:sz w:val="24"/>
          <w:szCs w:val="24"/>
          <w:lang w:val="en-US"/>
        </w:rPr>
        <w:t xml:space="preserve">To </w:t>
      </w:r>
      <w:r w:rsidRPr="71223609" w:rsidR="48085474">
        <w:rPr>
          <w:rFonts w:ascii="Calibri" w:hAnsi="Calibri" w:eastAsia="Calibri" w:cs="Calibri"/>
          <w:noProof w:val="0"/>
          <w:sz w:val="24"/>
          <w:szCs w:val="24"/>
          <w:lang w:val="en-US"/>
        </w:rPr>
        <w:t>summarise</w:t>
      </w:r>
      <w:r w:rsidRPr="71223609" w:rsidR="48085474">
        <w:rPr>
          <w:rFonts w:ascii="Calibri" w:hAnsi="Calibri" w:eastAsia="Calibri" w:cs="Calibri"/>
          <w:noProof w:val="0"/>
          <w:sz w:val="24"/>
          <w:szCs w:val="24"/>
          <w:lang w:val="en-US"/>
        </w:rPr>
        <w:t xml:space="preserve">, through bridging and extensive research I have concluded that schools have an impact on the wider community. </w:t>
      </w:r>
      <w:r w:rsidRPr="71223609" w:rsidR="48085474">
        <w:rPr>
          <w:rFonts w:ascii="Calibri" w:hAnsi="Calibri" w:eastAsia="Calibri" w:cs="Calibri"/>
          <w:noProof w:val="0"/>
          <w:sz w:val="24"/>
          <w:szCs w:val="24"/>
          <w:lang w:val="en-US"/>
        </w:rPr>
        <w:t>I have learned that it is fundamental for schools to create close and trusting relationships with parents/guardians as well as provide opportunities for learning both inside and outside of the classroom.</w:t>
      </w:r>
      <w:r w:rsidRPr="71223609" w:rsidR="48085474">
        <w:rPr>
          <w:rFonts w:ascii="Calibri" w:hAnsi="Calibri" w:eastAsia="Calibri" w:cs="Calibri"/>
          <w:noProof w:val="0"/>
          <w:sz w:val="24"/>
          <w:szCs w:val="24"/>
          <w:lang w:val="en-US"/>
        </w:rPr>
        <w:t xml:space="preserve"> One strategy I found useful and effective during my bridging experience that I would like to use within the future of my teaching career is the </w:t>
      </w:r>
      <w:r w:rsidRPr="71223609" w:rsidR="48085474">
        <w:rPr>
          <w:rFonts w:ascii="Calibri" w:hAnsi="Calibri" w:eastAsia="Calibri" w:cs="Calibri"/>
          <w:noProof w:val="0"/>
          <w:sz w:val="24"/>
          <w:szCs w:val="24"/>
          <w:lang w:val="en-US"/>
        </w:rPr>
        <w:t>upmost</w:t>
      </w:r>
      <w:r w:rsidRPr="71223609" w:rsidR="48085474">
        <w:rPr>
          <w:rFonts w:ascii="Calibri" w:hAnsi="Calibri" w:eastAsia="Calibri" w:cs="Calibri"/>
          <w:noProof w:val="0"/>
          <w:sz w:val="24"/>
          <w:szCs w:val="24"/>
          <w:lang w:val="en-US"/>
        </w:rPr>
        <w:t xml:space="preserve"> effort made to understand the child’s needs and holistic wellbeing. School X prides themselves by holding transition meetings, stay and play sessions and welcome days all in readiness for the child to begin the schooling transition. </w:t>
      </w:r>
      <w:r w:rsidRPr="71223609" w:rsidR="48085474">
        <w:rPr>
          <w:rFonts w:ascii="Calibri" w:hAnsi="Calibri" w:eastAsia="Calibri" w:cs="Calibri"/>
          <w:noProof w:val="0"/>
          <w:sz w:val="24"/>
          <w:szCs w:val="24"/>
          <w:lang w:val="en-US"/>
        </w:rPr>
        <w:t>I would like to carry this out myself as I feel it brings comfort to the parents and allows the child to feel safe and secure prior to starting school, this will in turn reduce stress and anxiety and allow the transition to be positive.</w:t>
      </w:r>
      <w:r w:rsidRPr="71223609" w:rsidR="48085474">
        <w:rPr>
          <w:rFonts w:ascii="Calibri" w:hAnsi="Calibri" w:eastAsia="Calibri" w:cs="Calibri"/>
          <w:noProof w:val="0"/>
          <w:sz w:val="24"/>
          <w:szCs w:val="24"/>
          <w:lang w:val="en-US"/>
        </w:rPr>
        <w:t xml:space="preserve"> This </w:t>
      </w:r>
      <w:r w:rsidRPr="71223609" w:rsidR="0A30A48B">
        <w:rPr>
          <w:rFonts w:ascii="Calibri" w:hAnsi="Calibri" w:eastAsia="Calibri" w:cs="Calibri"/>
          <w:noProof w:val="0"/>
          <w:sz w:val="24"/>
          <w:szCs w:val="24"/>
          <w:lang w:val="en-US"/>
        </w:rPr>
        <w:t xml:space="preserve">strategy </w:t>
      </w:r>
      <w:r w:rsidRPr="71223609" w:rsidR="48085474">
        <w:rPr>
          <w:rFonts w:ascii="Calibri" w:hAnsi="Calibri" w:eastAsia="Calibri" w:cs="Calibri"/>
          <w:noProof w:val="0"/>
          <w:sz w:val="24"/>
          <w:szCs w:val="24"/>
          <w:lang w:val="en-US"/>
        </w:rPr>
        <w:t>refers to the QTS standard ‘Adapt teaching to respond to the strengths and needs of all pupils’ and will allow all children to be adequately taught in accordance with their specific needs and developmental stage (Department for Education, 2021). Overall, during my bridging days I have concluded that it is vital to provide effective and well-rounded learning experiences for pupils as well as ensure the academic and personal needs of themselves and their families are being cared for. This perspective on education ensures positive learning experiences and inclusivity for all, making for a better future within this profession.</w:t>
      </w:r>
    </w:p>
    <w:p xmlns:wp14="http://schemas.microsoft.com/office/word/2010/wordml" w:rsidP="71223609" wp14:paraId="5EBB7304" wp14:textId="4DD40696">
      <w:pPr>
        <w:pStyle w:val="Normal"/>
        <w:spacing w:after="160" w:line="259" w:lineRule="auto"/>
        <w:jc w:val="left"/>
        <w:rPr>
          <w:rFonts w:ascii="Calibri" w:hAnsi="Calibri" w:eastAsia="Calibri" w:cs="Calibri"/>
          <w:noProof w:val="0"/>
          <w:color w:val="000000" w:themeColor="text1" w:themeTint="FF" w:themeShade="FF"/>
          <w:sz w:val="24"/>
          <w:szCs w:val="24"/>
          <w:lang w:val="en-US"/>
        </w:rPr>
      </w:pPr>
    </w:p>
    <w:p xmlns:wp14="http://schemas.microsoft.com/office/word/2010/wordml" w:rsidP="71223609" wp14:paraId="237AD241" wp14:textId="5DD70DB2">
      <w:pPr>
        <w:spacing w:after="160" w:line="259" w:lineRule="auto"/>
        <w:jc w:val="left"/>
        <w:rPr>
          <w:rFonts w:ascii="Calibri" w:hAnsi="Calibri" w:eastAsia="Calibri" w:cs="Calibri"/>
          <w:noProof w:val="0"/>
          <w:sz w:val="24"/>
          <w:szCs w:val="24"/>
          <w:lang w:val="en-US"/>
        </w:rPr>
      </w:pPr>
    </w:p>
    <w:p xmlns:wp14="http://schemas.microsoft.com/office/word/2010/wordml" w:rsidP="71223609" wp14:paraId="772C6CFA" wp14:textId="21DD244B">
      <w:pPr>
        <w:spacing w:after="160" w:line="259" w:lineRule="auto"/>
        <w:jc w:val="left"/>
        <w:rPr>
          <w:rFonts w:ascii="Calibri" w:hAnsi="Calibri" w:eastAsia="Calibri" w:cs="Calibri"/>
          <w:noProof w:val="0"/>
          <w:sz w:val="24"/>
          <w:szCs w:val="24"/>
          <w:lang w:val="en-US"/>
        </w:rPr>
      </w:pPr>
    </w:p>
    <w:p xmlns:wp14="http://schemas.microsoft.com/office/word/2010/wordml" w:rsidP="71223609" wp14:paraId="5A1F9A04" wp14:textId="5E0D245B">
      <w:pPr>
        <w:spacing w:after="160" w:line="259" w:lineRule="auto"/>
        <w:jc w:val="left"/>
        <w:rPr>
          <w:rFonts w:ascii="Calibri" w:hAnsi="Calibri" w:eastAsia="Calibri" w:cs="Calibri"/>
          <w:noProof w:val="0"/>
          <w:sz w:val="24"/>
          <w:szCs w:val="24"/>
          <w:lang w:val="en-US"/>
        </w:rPr>
      </w:pPr>
    </w:p>
    <w:p xmlns:wp14="http://schemas.microsoft.com/office/word/2010/wordml" w:rsidP="71223609" wp14:paraId="64283EF7" wp14:textId="1D83B63B">
      <w:pPr>
        <w:pStyle w:val="Normal"/>
        <w:spacing w:after="160" w:line="259" w:lineRule="auto"/>
        <w:jc w:val="left"/>
        <w:rPr>
          <w:rFonts w:ascii="Calibri" w:hAnsi="Calibri" w:eastAsia="Calibri" w:cs="Calibri"/>
          <w:noProof w:val="0"/>
          <w:sz w:val="24"/>
          <w:szCs w:val="24"/>
          <w:lang w:val="en-US"/>
        </w:rPr>
      </w:pPr>
    </w:p>
    <w:p xmlns:wp14="http://schemas.microsoft.com/office/word/2010/wordml" w:rsidP="71223609" wp14:paraId="3957B649" wp14:textId="119B244D">
      <w:pPr>
        <w:spacing w:after="160" w:line="259" w:lineRule="auto"/>
        <w:ind w:left="567" w:hanging="567"/>
        <w:jc w:val="left"/>
        <w:rPr>
          <w:rFonts w:ascii="Calibri" w:hAnsi="Calibri" w:eastAsia="Calibri" w:cs="Calibri"/>
          <w:b w:val="1"/>
          <w:bCs w:val="1"/>
          <w:noProof w:val="0"/>
          <w:color w:val="000000" w:themeColor="text1" w:themeTint="FF" w:themeShade="FF"/>
          <w:sz w:val="24"/>
          <w:szCs w:val="24"/>
          <w:lang w:val="en-US"/>
        </w:rPr>
      </w:pPr>
      <w:r w:rsidRPr="71223609" w:rsidR="48085474">
        <w:rPr>
          <w:rFonts w:ascii="Calibri" w:hAnsi="Calibri" w:eastAsia="Calibri" w:cs="Calibri"/>
          <w:b w:val="1"/>
          <w:bCs w:val="1"/>
          <w:noProof w:val="0"/>
          <w:color w:val="000000" w:themeColor="text1" w:themeTint="FF" w:themeShade="FF"/>
          <w:sz w:val="24"/>
          <w:szCs w:val="24"/>
          <w:lang w:val="en-US"/>
        </w:rPr>
        <w:t>Reference list:</w:t>
      </w:r>
    </w:p>
    <w:p xmlns:wp14="http://schemas.microsoft.com/office/word/2010/wordml" w:rsidP="71223609" wp14:paraId="12E5B8FB" wp14:textId="119ACBB7">
      <w:pPr>
        <w:spacing w:after="160" w:line="259" w:lineRule="auto"/>
        <w:ind w:left="567" w:hanging="567"/>
        <w:jc w:val="left"/>
        <w:rPr>
          <w:rFonts w:ascii="Calibri" w:hAnsi="Calibri" w:eastAsia="Calibri" w:cs="Calibri"/>
          <w:noProof w:val="0"/>
          <w:color w:val="000000" w:themeColor="text1" w:themeTint="FF" w:themeShade="FF"/>
          <w:sz w:val="24"/>
          <w:szCs w:val="24"/>
          <w:lang w:val="en-US"/>
        </w:rPr>
      </w:pPr>
    </w:p>
    <w:p xmlns:wp14="http://schemas.microsoft.com/office/word/2010/wordml" w:rsidP="71223609" wp14:paraId="6402319D" wp14:textId="5648C6B8">
      <w:pPr>
        <w:spacing w:after="160" w:line="259" w:lineRule="auto"/>
        <w:jc w:val="left"/>
        <w:rPr>
          <w:rFonts w:ascii="Times New Roman" w:hAnsi="Times New Roman" w:eastAsia="Times New Roman" w:cs="Times New Roman"/>
          <w:noProof w:val="0"/>
          <w:color w:val="000000" w:themeColor="text1" w:themeTint="FF" w:themeShade="FF"/>
          <w:sz w:val="24"/>
          <w:szCs w:val="24"/>
          <w:lang w:val="en-US"/>
        </w:rPr>
      </w:pPr>
      <w:r w:rsidRPr="71223609" w:rsidR="48085474">
        <w:rPr>
          <w:rFonts w:ascii="Calibri" w:hAnsi="Calibri" w:eastAsia="Calibri" w:cs="Calibri"/>
          <w:noProof w:val="0"/>
          <w:color w:val="000000" w:themeColor="text1" w:themeTint="FF" w:themeShade="FF"/>
          <w:sz w:val="24"/>
          <w:szCs w:val="24"/>
          <w:lang w:val="en-US"/>
        </w:rPr>
        <w:t xml:space="preserve">BERA (2023)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Food banks in schools</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Food banks in schools, exploring the impact on children’s learning</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Available at: </w:t>
      </w:r>
      <w:hyperlink r:id="Rb3ee4502b1064af0">
        <w:r w:rsidRPr="71223609" w:rsidR="48085474">
          <w:rPr>
            <w:rStyle w:val="Hyperlink"/>
            <w:rFonts w:ascii="Calibri" w:hAnsi="Calibri" w:eastAsia="Calibri" w:cs="Calibri"/>
            <w:strike w:val="0"/>
            <w:dstrike w:val="0"/>
            <w:noProof w:val="0"/>
            <w:sz w:val="24"/>
            <w:szCs w:val="24"/>
            <w:lang w:val="en-US"/>
          </w:rPr>
          <w:t>https://www.bera.ac.uk/publication/food-banks-in-schools</w:t>
        </w:r>
      </w:hyperlink>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r>
        <w:br/>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(Accessed: 12 January 2024).  </w:t>
      </w:r>
    </w:p>
    <w:p xmlns:wp14="http://schemas.microsoft.com/office/word/2010/wordml" w:rsidP="71223609" wp14:paraId="7DDBAAEA" wp14:textId="7F386DBD">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37E724DA" wp14:textId="69218028">
      <w:pPr>
        <w:spacing w:after="160" w:line="259" w:lineRule="auto"/>
        <w:jc w:val="left"/>
        <w:rPr>
          <w:rFonts w:ascii="Calibri" w:hAnsi="Calibri" w:eastAsia="Calibri" w:cs="Calibri"/>
          <w:noProof w:val="0"/>
          <w:color w:val="000000" w:themeColor="text1" w:themeTint="FF" w:themeShade="FF"/>
          <w:sz w:val="24"/>
          <w:szCs w:val="24"/>
          <w:lang w:val="en-US"/>
        </w:rPr>
      </w:pPr>
      <w:r w:rsidRPr="71223609" w:rsidR="48085474">
        <w:rPr>
          <w:rFonts w:ascii="Calibri" w:hAnsi="Calibri" w:eastAsia="Calibri" w:cs="Calibri"/>
          <w:i w:val="1"/>
          <w:iCs w:val="1"/>
          <w:noProof w:val="0"/>
          <w:color w:val="FFFFFF" w:themeColor="background1" w:themeTint="FF" w:themeShade="FF"/>
          <w:sz w:val="24"/>
          <w:szCs w:val="24"/>
          <w:lang w:val="en-US"/>
        </w:rPr>
        <w:t>Bridgend’s</w:t>
      </w:r>
      <w:r w:rsidRPr="71223609" w:rsidR="48085474">
        <w:rPr>
          <w:rFonts w:ascii="Calibri" w:hAnsi="Calibri" w:eastAsia="Calibri" w:cs="Calibri"/>
          <w:i w:val="1"/>
          <w:iCs w:val="1"/>
          <w:noProof w:val="0"/>
          <w:color w:val="000000" w:themeColor="text1" w:themeTint="FF" w:themeShade="FF"/>
          <w:sz w:val="24"/>
          <w:szCs w:val="24"/>
          <w:lang w:val="en-US"/>
        </w:rPr>
        <w:t xml:space="preserve"> employment,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unemployment and economic inactivity</w:t>
      </w:r>
      <w:r w:rsidRPr="71223609" w:rsidR="48085474">
        <w:rPr>
          <w:rFonts w:ascii="Calibri" w:hAnsi="Calibri" w:eastAsia="Calibri" w:cs="Calibri"/>
          <w:noProof w:val="0"/>
          <w:color w:val="000000" w:themeColor="text1" w:themeTint="FF" w:themeShade="FF"/>
          <w:sz w:val="24"/>
          <w:szCs w:val="24"/>
          <w:lang w:val="en-US"/>
        </w:rPr>
        <w:t xml:space="preserve"> (2023) </w:t>
      </w:r>
      <w:r w:rsidRPr="71223609" w:rsidR="48085474">
        <w:rPr>
          <w:rFonts w:ascii="Calibri" w:hAnsi="Calibri" w:eastAsia="Calibri" w:cs="Calibri"/>
          <w:i w:val="1"/>
          <w:iCs w:val="1"/>
          <w:noProof w:val="0"/>
          <w:color w:val="000000" w:themeColor="text1" w:themeTint="FF" w:themeShade="FF"/>
          <w:sz w:val="24"/>
          <w:szCs w:val="24"/>
          <w:lang w:val="en-US"/>
        </w:rPr>
        <w:t xml:space="preserve">Employment,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unemployment and economic activity.</w:t>
      </w:r>
      <w:r w:rsidRPr="71223609" w:rsidR="48085474">
        <w:rPr>
          <w:rFonts w:ascii="Calibri" w:hAnsi="Calibri" w:eastAsia="Calibri" w:cs="Calibri"/>
          <w:noProof w:val="0"/>
          <w:color w:val="000000" w:themeColor="text1" w:themeTint="FF" w:themeShade="FF"/>
          <w:sz w:val="24"/>
          <w:szCs w:val="24"/>
          <w:lang w:val="en-US"/>
        </w:rPr>
        <w:t xml:space="preserve"> Available at:</w:t>
      </w:r>
      <w:r w:rsidRPr="71223609" w:rsidR="48085474">
        <w:rPr>
          <w:rFonts w:ascii="Calibri" w:hAnsi="Calibri" w:eastAsia="Calibri" w:cs="Calibri"/>
          <w:b w:val="1"/>
          <w:bCs w:val="1"/>
          <w:noProof w:val="0"/>
          <w:color w:val="000000" w:themeColor="text1" w:themeTint="FF" w:themeShade="FF"/>
          <w:sz w:val="24"/>
          <w:szCs w:val="24"/>
          <w:lang w:val="en-US"/>
        </w:rPr>
        <w:t xml:space="preserve"> </w:t>
      </w:r>
      <w:r w:rsidRPr="71223609" w:rsidR="48085474">
        <w:rPr>
          <w:rFonts w:ascii="Times New Roman" w:hAnsi="Times New Roman" w:eastAsia="Times New Roman" w:cs="Times New Roman"/>
          <w:b w:val="1"/>
          <w:bCs w:val="1"/>
          <w:noProof w:val="0"/>
          <w:color w:val="000000" w:themeColor="text1" w:themeTint="FF" w:themeShade="FF"/>
          <w:sz w:val="24"/>
          <w:szCs w:val="24"/>
          <w:lang w:val="en-US"/>
        </w:rPr>
        <w:t>URL removed for anonymity</w:t>
      </w:r>
      <w:r w:rsidRPr="71223609" w:rsidR="48085474">
        <w:rPr>
          <w:rFonts w:ascii="Calibri" w:hAnsi="Calibri" w:eastAsia="Calibri" w:cs="Calibri"/>
          <w:noProof w:val="0"/>
          <w:color w:val="000000" w:themeColor="text1" w:themeTint="FF" w:themeShade="FF"/>
          <w:sz w:val="24"/>
          <w:szCs w:val="24"/>
          <w:lang w:val="en-US"/>
        </w:rPr>
        <w:t xml:space="preserve"> (Accessed: 11 January 2024).  </w:t>
      </w:r>
    </w:p>
    <w:p xmlns:wp14="http://schemas.microsoft.com/office/word/2010/wordml" w:rsidP="71223609" wp14:paraId="15BF2637" wp14:textId="636DA1E7">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08757697" wp14:textId="346D3CBD">
      <w:pPr>
        <w:spacing w:after="160" w:line="259" w:lineRule="auto"/>
        <w:jc w:val="left"/>
        <w:rPr>
          <w:rFonts w:ascii="Times New Roman" w:hAnsi="Times New Roman" w:eastAsia="Times New Roman" w:cs="Times New Roman"/>
          <w:noProof w:val="0"/>
          <w:color w:val="000000" w:themeColor="text1" w:themeTint="FF" w:themeShade="FF"/>
          <w:sz w:val="24"/>
          <w:szCs w:val="24"/>
          <w:lang w:val="en-US"/>
        </w:rPr>
      </w:pPr>
      <w:r w:rsidRPr="71223609" w:rsidR="48085474">
        <w:rPr>
          <w:rFonts w:ascii="Calibri" w:hAnsi="Calibri" w:eastAsia="Calibri" w:cs="Calibri"/>
          <w:noProof w:val="0"/>
          <w:color w:val="000000" w:themeColor="text1" w:themeTint="FF" w:themeShade="FF"/>
          <w:sz w:val="24"/>
          <w:szCs w:val="24"/>
          <w:lang w:val="en-US"/>
        </w:rPr>
        <w:t xml:space="preserve">CBC, B. (2022)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Flying start</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Available at: </w:t>
      </w:r>
      <w:r w:rsidRPr="71223609" w:rsidR="48085474">
        <w:rPr>
          <w:rFonts w:ascii="Times New Roman" w:hAnsi="Times New Roman" w:eastAsia="Times New Roman" w:cs="Times New Roman"/>
          <w:b w:val="1"/>
          <w:bCs w:val="1"/>
          <w:noProof w:val="0"/>
          <w:color w:val="000000" w:themeColor="text1" w:themeTint="FF" w:themeShade="FF"/>
          <w:sz w:val="24"/>
          <w:szCs w:val="24"/>
          <w:lang w:val="en-US"/>
        </w:rPr>
        <w:t>URL removed for anonymity</w:t>
      </w:r>
      <w:r w:rsidRPr="71223609" w:rsidR="48085474">
        <w:rPr>
          <w:rFonts w:ascii="Calibri" w:hAnsi="Calibri" w:eastAsia="Calibri" w:cs="Calibri"/>
          <w:noProof w:val="0"/>
          <w:color w:val="000000" w:themeColor="text1" w:themeTint="FF" w:themeShade="FF"/>
          <w:sz w:val="24"/>
          <w:szCs w:val="24"/>
          <w:lang w:val="en-US"/>
        </w:rPr>
        <w:t xml:space="preserve"> </w:t>
      </w:r>
      <w:r w:rsidRPr="71223609" w:rsidR="48085474">
        <w:rPr>
          <w:rFonts w:ascii="Times New Roman" w:hAnsi="Times New Roman" w:eastAsia="Times New Roman" w:cs="Times New Roman"/>
          <w:noProof w:val="0"/>
          <w:color w:val="000000" w:themeColor="text1" w:themeTint="FF" w:themeShade="FF"/>
          <w:sz w:val="24"/>
          <w:szCs w:val="24"/>
          <w:lang w:val="en-US"/>
        </w:rPr>
        <w:t>(Accessed: 14 January 2024).</w:t>
      </w:r>
      <w:r w:rsidRPr="71223609" w:rsidR="48085474">
        <w:rPr>
          <w:rFonts w:ascii="Calibri" w:hAnsi="Calibri" w:eastAsia="Calibri" w:cs="Calibri"/>
          <w:noProof w:val="0"/>
          <w:color w:val="000000" w:themeColor="text1" w:themeTint="FF" w:themeShade="FF"/>
          <w:sz w:val="24"/>
          <w:szCs w:val="24"/>
          <w:lang w:val="en-US"/>
        </w:rPr>
        <w:t xml:space="preserve"> </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71223609" wp14:paraId="5183E9B5" wp14:textId="232E74E8">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7EB42CE5" wp14:textId="5E5BDDA0">
      <w:pPr>
        <w:spacing w:after="160" w:line="259" w:lineRule="auto"/>
        <w:jc w:val="left"/>
        <w:rPr>
          <w:rFonts w:ascii="Calibri" w:hAnsi="Calibri" w:eastAsia="Calibri" w:cs="Calibri"/>
          <w:noProof w:val="0"/>
          <w:color w:val="000000" w:themeColor="text1" w:themeTint="FF" w:themeShade="FF"/>
          <w:sz w:val="24"/>
          <w:szCs w:val="24"/>
          <w:lang w:val="en-US"/>
        </w:rPr>
      </w:pPr>
      <w:r w:rsidRPr="71223609" w:rsidR="48085474">
        <w:rPr>
          <w:rFonts w:ascii="Calibri" w:hAnsi="Calibri" w:eastAsia="Calibri" w:cs="Calibri"/>
          <w:noProof w:val="0"/>
          <w:color w:val="000000" w:themeColor="text1" w:themeTint="FF" w:themeShade="FF"/>
          <w:sz w:val="24"/>
          <w:szCs w:val="24"/>
          <w:lang w:val="en-US"/>
        </w:rPr>
        <w:t>Cole, M (2006) Education, Equality and Human Rights, Issues of Gender, ‘Race’, S</w:t>
      </w:r>
      <w:r w:rsidRPr="71223609" w:rsidR="48085474">
        <w:rPr>
          <w:rFonts w:ascii="Times New Roman" w:hAnsi="Times New Roman" w:eastAsia="Times New Roman" w:cs="Times New Roman"/>
          <w:noProof w:val="0"/>
          <w:color w:val="000000" w:themeColor="text1" w:themeTint="FF" w:themeShade="FF"/>
          <w:sz w:val="24"/>
          <w:szCs w:val="24"/>
          <w:lang w:val="en-US"/>
        </w:rPr>
        <w:t>exuality, Disability and Social Class. 2</w:t>
      </w:r>
      <w:r w:rsidRPr="71223609" w:rsidR="48085474">
        <w:rPr>
          <w:rFonts w:ascii="Calibri" w:hAnsi="Calibri" w:eastAsia="Calibri" w:cs="Calibri"/>
          <w:noProof w:val="0"/>
          <w:color w:val="000000" w:themeColor="text1" w:themeTint="FF" w:themeShade="FF"/>
          <w:sz w:val="24"/>
          <w:szCs w:val="24"/>
          <w:vertAlign w:val="superscript"/>
          <w:lang w:val="en-US"/>
        </w:rPr>
        <w:t>nd</w:t>
      </w:r>
      <w:r w:rsidRPr="71223609" w:rsidR="48085474">
        <w:rPr>
          <w:rFonts w:ascii="Calibri" w:hAnsi="Calibri" w:eastAsia="Calibri" w:cs="Calibri"/>
          <w:noProof w:val="0"/>
          <w:color w:val="000000" w:themeColor="text1" w:themeTint="FF" w:themeShade="FF"/>
          <w:sz w:val="24"/>
          <w:szCs w:val="24"/>
          <w:lang w:val="en-US"/>
        </w:rPr>
        <w:t xml:space="preserve"> rev. </w:t>
      </w:r>
      <w:r w:rsidRPr="71223609" w:rsidR="48085474">
        <w:rPr>
          <w:rFonts w:ascii="Times New Roman" w:hAnsi="Times New Roman" w:eastAsia="Times New Roman" w:cs="Times New Roman"/>
          <w:noProof w:val="0"/>
          <w:color w:val="000000" w:themeColor="text1" w:themeTint="FF" w:themeShade="FF"/>
          <w:sz w:val="24"/>
          <w:szCs w:val="24"/>
          <w:lang w:val="en-US"/>
        </w:rPr>
        <w:t>edn. Oxfordshire: Cornwell Press Ltd.</w:t>
      </w:r>
      <w:r w:rsidRPr="71223609" w:rsidR="48085474">
        <w:rPr>
          <w:rFonts w:ascii="Calibri" w:hAnsi="Calibri" w:eastAsia="Calibri" w:cs="Calibri"/>
          <w:noProof w:val="0"/>
          <w:color w:val="000000" w:themeColor="text1" w:themeTint="FF" w:themeShade="FF"/>
          <w:sz w:val="24"/>
          <w:szCs w:val="24"/>
          <w:lang w:val="en-US"/>
        </w:rPr>
        <w:t xml:space="preserve">  </w:t>
      </w:r>
    </w:p>
    <w:p xmlns:wp14="http://schemas.microsoft.com/office/word/2010/wordml" w:rsidP="71223609" wp14:paraId="496C5729" wp14:textId="1E1F97F6">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6B62A7AB" wp14:textId="138F6182">
      <w:pPr>
        <w:spacing w:after="160" w:line="259" w:lineRule="auto"/>
        <w:jc w:val="left"/>
        <w:rPr>
          <w:rFonts w:ascii="Times New Roman" w:hAnsi="Times New Roman" w:eastAsia="Times New Roman" w:cs="Times New Roman"/>
          <w:noProof w:val="0"/>
          <w:color w:val="000000" w:themeColor="text1" w:themeTint="FF" w:themeShade="FF"/>
          <w:sz w:val="24"/>
          <w:szCs w:val="24"/>
          <w:lang w:val="en-US"/>
        </w:rPr>
      </w:pPr>
      <w:r w:rsidRPr="71223609" w:rsidR="48085474">
        <w:rPr>
          <w:rFonts w:ascii="Calibri" w:hAnsi="Calibri" w:eastAsia="Calibri" w:cs="Calibri"/>
          <w:noProof w:val="0"/>
          <w:color w:val="000000" w:themeColor="text1" w:themeTint="FF" w:themeShade="FF"/>
          <w:sz w:val="24"/>
          <w:szCs w:val="24"/>
          <w:lang w:val="en-US"/>
        </w:rPr>
        <w:t xml:space="preserve">ECLKC, H.S. (2023)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The importance of schedules and routines</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Available at: </w:t>
      </w:r>
      <w:hyperlink w:anchor=":~:text=Just%20like%20adults%2C%20children%20feel,in%20control%20of%20their%20environment" r:id="R7b4a1e36e57d48b6">
        <w:r w:rsidRPr="71223609" w:rsidR="48085474">
          <w:rPr>
            <w:rStyle w:val="Hyperlink"/>
            <w:rFonts w:ascii="Calibri" w:hAnsi="Calibri" w:eastAsia="Calibri" w:cs="Calibri"/>
            <w:strike w:val="0"/>
            <w:dstrike w:val="0"/>
            <w:noProof w:val="0"/>
            <w:sz w:val="24"/>
            <w:szCs w:val="24"/>
            <w:lang w:val="en-US"/>
          </w:rPr>
          <w:t>https://eclkc.ohs.acf.hhs.gov/about-us/article/importance-schedules-routines#:~:text=Just%20like%20adults%2C%20children%20feel,in%20control%20of%20their%20environment</w:t>
        </w:r>
      </w:hyperlink>
      <w:r w:rsidRPr="71223609" w:rsidR="48085474">
        <w:rPr>
          <w:rFonts w:ascii="Calibri" w:hAnsi="Calibri" w:eastAsia="Calibri" w:cs="Calibri"/>
          <w:noProof w:val="0"/>
          <w:color w:val="000000" w:themeColor="text1" w:themeTint="FF" w:themeShade="FF"/>
          <w:sz w:val="24"/>
          <w:szCs w:val="24"/>
          <w:lang w:val="en-US"/>
        </w:rPr>
        <w:t xml:space="preserve"> (Accessed: 14 January 2024). </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71223609" wp14:paraId="5722E507" wp14:textId="1822DABB">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7F4485DB" wp14:textId="7397A5C2">
      <w:pPr>
        <w:spacing w:after="160" w:line="259" w:lineRule="auto"/>
        <w:jc w:val="left"/>
        <w:rPr>
          <w:rFonts w:ascii="Times New Roman" w:hAnsi="Times New Roman" w:eastAsia="Times New Roman" w:cs="Times New Roman"/>
          <w:noProof w:val="0"/>
          <w:color w:val="000000" w:themeColor="text1" w:themeTint="FF" w:themeShade="FF"/>
          <w:sz w:val="24"/>
          <w:szCs w:val="24"/>
          <w:lang w:val="en-US"/>
        </w:rPr>
      </w:pPr>
      <w:r w:rsidRPr="71223609" w:rsidR="48085474">
        <w:rPr>
          <w:rFonts w:ascii="Calibri" w:hAnsi="Calibri" w:eastAsia="Calibri" w:cs="Calibri"/>
          <w:noProof w:val="0"/>
          <w:color w:val="000000" w:themeColor="text1" w:themeTint="FF" w:themeShade="FF"/>
          <w:sz w:val="24"/>
          <w:szCs w:val="24"/>
          <w:lang w:val="en-US"/>
        </w:rPr>
        <w:t xml:space="preserve">Egan, D. (2013)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What is needed to end child poverty in Wales? (summary)</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r w:rsidRPr="71223609" w:rsidR="48085474">
        <w:rPr>
          <w:rFonts w:ascii="Calibri" w:hAnsi="Calibri" w:eastAsia="Calibri" w:cs="Calibri"/>
          <w:i w:val="1"/>
          <w:iCs w:val="1"/>
          <w:noProof w:val="0"/>
          <w:color w:val="000000" w:themeColor="text1" w:themeTint="FF" w:themeShade="FF"/>
          <w:sz w:val="24"/>
          <w:szCs w:val="24"/>
          <w:lang w:val="en-US"/>
        </w:rPr>
        <w:t xml:space="preserve">Poverty and low educational achievement in Wales: student,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family and community interventions</w:t>
      </w:r>
      <w:r w:rsidRPr="71223609" w:rsidR="48085474">
        <w:rPr>
          <w:rFonts w:ascii="Calibri" w:hAnsi="Calibri" w:eastAsia="Calibri" w:cs="Calibri"/>
          <w:noProof w:val="0"/>
          <w:color w:val="000000" w:themeColor="text1" w:themeTint="FF" w:themeShade="FF"/>
          <w:sz w:val="24"/>
          <w:szCs w:val="24"/>
          <w:lang w:val="en-US"/>
        </w:rPr>
        <w:t>. Available at:</w:t>
      </w:r>
      <w:hyperlink r:id="R58d82c0ae9d84fce">
        <w:r w:rsidRPr="71223609" w:rsidR="48085474">
          <w:rPr>
            <w:rStyle w:val="Hyperlink"/>
            <w:rFonts w:ascii="Calibri" w:hAnsi="Calibri" w:eastAsia="Calibri" w:cs="Calibri"/>
            <w:strike w:val="0"/>
            <w:dstrike w:val="0"/>
            <w:noProof w:val="0"/>
            <w:sz w:val="24"/>
            <w:szCs w:val="24"/>
            <w:lang w:val="en-US"/>
          </w:rPr>
          <w:t>https://www.jrf.org.uk/sites/default/files/migrated/migrated/files/end-child-poverty-wales-summary.pdf</w:t>
        </w:r>
      </w:hyperlink>
      <w:r w:rsidRPr="71223609" w:rsidR="48085474">
        <w:rPr>
          <w:rFonts w:ascii="Calibri" w:hAnsi="Calibri" w:eastAsia="Calibri" w:cs="Calibri"/>
          <w:noProof w:val="0"/>
          <w:color w:val="000000" w:themeColor="text1" w:themeTint="FF" w:themeShade="FF"/>
          <w:sz w:val="24"/>
          <w:szCs w:val="24"/>
          <w:lang w:val="en-US"/>
        </w:rPr>
        <w:t xml:space="preserve"> (Accessed: 11 January 2024). </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71223609" wp14:paraId="53C594FC" wp14:textId="728FF7B1">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782CE089" wp14:textId="2693ECFF">
      <w:pPr>
        <w:spacing w:after="160" w:line="259" w:lineRule="auto"/>
        <w:jc w:val="left"/>
        <w:rPr>
          <w:rFonts w:ascii="Times New Roman" w:hAnsi="Times New Roman" w:eastAsia="Times New Roman" w:cs="Times New Roman"/>
          <w:noProof w:val="0"/>
          <w:color w:val="000000" w:themeColor="text1" w:themeTint="FF" w:themeShade="FF"/>
          <w:sz w:val="24"/>
          <w:szCs w:val="24"/>
          <w:lang w:val="en-US"/>
        </w:rPr>
      </w:pPr>
      <w:r w:rsidRPr="71223609" w:rsidR="48085474">
        <w:rPr>
          <w:rFonts w:ascii="Calibri" w:hAnsi="Calibri" w:eastAsia="Calibri" w:cs="Calibri"/>
          <w:noProof w:val="0"/>
          <w:color w:val="000000" w:themeColor="text1" w:themeTint="FF" w:themeShade="FF"/>
          <w:sz w:val="24"/>
          <w:szCs w:val="24"/>
          <w:lang w:val="en-US"/>
        </w:rPr>
        <w:t xml:space="preserve">Fishman, J. (2021)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5 ways to help kids be flexible when plans change</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PBS</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Available at: </w:t>
      </w:r>
      <w:hyperlink r:id="R02e34c25c5c343a8">
        <w:r w:rsidRPr="71223609" w:rsidR="48085474">
          <w:rPr>
            <w:rStyle w:val="Hyperlink"/>
            <w:rFonts w:ascii="Calibri" w:hAnsi="Calibri" w:eastAsia="Calibri" w:cs="Calibri"/>
            <w:strike w:val="0"/>
            <w:dstrike w:val="0"/>
            <w:noProof w:val="0"/>
            <w:sz w:val="24"/>
            <w:szCs w:val="24"/>
            <w:lang w:val="en-US"/>
          </w:rPr>
          <w:t>https://www.pbs.org/parents/thrive/5-ways-to-help-kids-be-flexible-when-plans-change</w:t>
        </w:r>
      </w:hyperlink>
      <w:r w:rsidRPr="71223609" w:rsidR="48085474">
        <w:rPr>
          <w:rFonts w:ascii="Calibri" w:hAnsi="Calibri" w:eastAsia="Calibri" w:cs="Calibri"/>
          <w:noProof w:val="0"/>
          <w:color w:val="000000" w:themeColor="text1" w:themeTint="FF" w:themeShade="FF"/>
          <w:sz w:val="24"/>
          <w:szCs w:val="24"/>
          <w:lang w:val="en-US"/>
        </w:rPr>
        <w:t xml:space="preserve"> (Accessed: 14 January 2024). </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71223609" wp14:paraId="4B607D4D" wp14:textId="4535F42C">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4C2DC46C" wp14:textId="7CBACC9B">
      <w:pPr>
        <w:spacing w:after="160" w:line="259" w:lineRule="auto"/>
        <w:jc w:val="left"/>
        <w:rPr>
          <w:rFonts w:ascii="Times New Roman" w:hAnsi="Times New Roman" w:eastAsia="Times New Roman" w:cs="Times New Roman"/>
          <w:noProof w:val="0"/>
          <w:color w:val="000000" w:themeColor="text1" w:themeTint="FF" w:themeShade="FF"/>
          <w:sz w:val="24"/>
          <w:szCs w:val="24"/>
          <w:lang w:val="en-US"/>
        </w:rPr>
      </w:pPr>
      <w:r w:rsidRPr="71223609" w:rsidR="48085474">
        <w:rPr>
          <w:rFonts w:ascii="Calibri" w:hAnsi="Calibri" w:eastAsia="Calibri" w:cs="Calibri"/>
          <w:noProof w:val="0"/>
          <w:color w:val="000000" w:themeColor="text1" w:themeTint="FF" w:themeShade="FF"/>
          <w:sz w:val="24"/>
          <w:szCs w:val="24"/>
          <w:lang w:val="en-US"/>
        </w:rPr>
        <w:t xml:space="preserve">Government, W. (2021)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The curriculum for Wales – statements of what matters code</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The Curriculum for Wales, Statements of What Matters Code</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Available at: </w:t>
      </w:r>
      <w:hyperlink r:id="Rd36c15b72dab466a">
        <w:r w:rsidRPr="71223609" w:rsidR="48085474">
          <w:rPr>
            <w:rStyle w:val="Hyperlink"/>
            <w:rFonts w:ascii="Calibri" w:hAnsi="Calibri" w:eastAsia="Calibri" w:cs="Calibri"/>
            <w:strike w:val="0"/>
            <w:dstrike w:val="0"/>
            <w:noProof w:val="0"/>
            <w:sz w:val="24"/>
            <w:szCs w:val="24"/>
            <w:lang w:val="en-US"/>
          </w:rPr>
          <w:t>https://www.gov.wales/sites/default/files/publications/2021-11/curriculum-for-wales-statements-of-what-matters-code.pdf</w:t>
        </w:r>
      </w:hyperlink>
      <w:r w:rsidRPr="71223609" w:rsidR="48085474">
        <w:rPr>
          <w:rFonts w:ascii="Calibri" w:hAnsi="Calibri" w:eastAsia="Calibri" w:cs="Calibri"/>
          <w:noProof w:val="0"/>
          <w:color w:val="000000" w:themeColor="text1" w:themeTint="FF" w:themeShade="FF"/>
          <w:sz w:val="24"/>
          <w:szCs w:val="24"/>
          <w:lang w:val="en-US"/>
        </w:rPr>
        <w:t xml:space="preserve"> (Accessed: 12 January 2024). </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71223609" wp14:paraId="1DF56207" wp14:textId="43AE4EB9">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2B8897C2" wp14:textId="637F7496">
      <w:pPr>
        <w:spacing w:after="160" w:line="259" w:lineRule="auto"/>
        <w:jc w:val="left"/>
        <w:rPr>
          <w:rFonts w:ascii="Calibri" w:hAnsi="Calibri" w:eastAsia="Calibri" w:cs="Calibri"/>
          <w:noProof w:val="0"/>
          <w:color w:val="000000" w:themeColor="text1" w:themeTint="FF" w:themeShade="FF"/>
          <w:sz w:val="24"/>
          <w:szCs w:val="24"/>
          <w:lang w:val="en-US"/>
        </w:rPr>
      </w:pPr>
      <w:r w:rsidRPr="71223609" w:rsidR="48085474">
        <w:rPr>
          <w:rFonts w:ascii="Calibri" w:hAnsi="Calibri" w:eastAsia="Calibri" w:cs="Calibri"/>
          <w:noProof w:val="0"/>
          <w:color w:val="000000" w:themeColor="text1" w:themeTint="FF" w:themeShade="FF"/>
          <w:sz w:val="24"/>
          <w:szCs w:val="24"/>
          <w:lang w:val="en-US"/>
        </w:rPr>
        <w:t xml:space="preserve">Hartin, T. (2023) </w:t>
      </w:r>
      <w:r w:rsidRPr="71223609" w:rsidR="48085474">
        <w:rPr>
          <w:rFonts w:ascii="Calibri" w:hAnsi="Calibri" w:eastAsia="Calibri" w:cs="Calibri"/>
          <w:i w:val="1"/>
          <w:iCs w:val="1"/>
          <w:noProof w:val="0"/>
          <w:color w:val="000000" w:themeColor="text1" w:themeTint="FF" w:themeShade="FF"/>
          <w:sz w:val="24"/>
          <w:szCs w:val="24"/>
          <w:lang w:val="en-US"/>
        </w:rPr>
        <w:t>Bronfenbrenner’s microsystem theory | definition &amp; examples</w:t>
      </w:r>
      <w:r w:rsidRPr="71223609" w:rsidR="48085474">
        <w:rPr>
          <w:rFonts w:ascii="Calibri" w:hAnsi="Calibri" w:eastAsia="Calibri" w:cs="Calibri"/>
          <w:noProof w:val="0"/>
          <w:color w:val="000000" w:themeColor="text1" w:themeTint="FF" w:themeShade="FF"/>
          <w:sz w:val="24"/>
          <w:szCs w:val="24"/>
          <w:lang w:val="en-US"/>
        </w:rPr>
        <w:t xml:space="preserve">, </w:t>
      </w:r>
      <w:r w:rsidRPr="71223609" w:rsidR="48085474">
        <w:rPr>
          <w:rFonts w:ascii="Calibri" w:hAnsi="Calibri" w:eastAsia="Calibri" w:cs="Calibri"/>
          <w:i w:val="1"/>
          <w:iCs w:val="1"/>
          <w:noProof w:val="0"/>
          <w:color w:val="000000" w:themeColor="text1" w:themeTint="FF" w:themeShade="FF"/>
          <w:sz w:val="24"/>
          <w:szCs w:val="24"/>
          <w:lang w:val="en-US"/>
        </w:rPr>
        <w:t>Bronfenbrenners microsystem theory</w:t>
      </w:r>
      <w:r w:rsidRPr="71223609" w:rsidR="48085474">
        <w:rPr>
          <w:rFonts w:ascii="Calibri" w:hAnsi="Calibri" w:eastAsia="Calibri" w:cs="Calibri"/>
          <w:noProof w:val="0"/>
          <w:color w:val="000000" w:themeColor="text1" w:themeTint="FF" w:themeShade="FF"/>
          <w:sz w:val="24"/>
          <w:szCs w:val="24"/>
          <w:lang w:val="en-US"/>
        </w:rPr>
        <w:t xml:space="preserve">. Available at: </w:t>
      </w:r>
      <w:hyperlink r:id="R4c07db517d0e4fe8">
        <w:r w:rsidRPr="71223609" w:rsidR="48085474">
          <w:rPr>
            <w:rStyle w:val="Hyperlink"/>
            <w:rFonts w:ascii="Calibri" w:hAnsi="Calibri" w:eastAsia="Calibri" w:cs="Calibri"/>
            <w:strike w:val="0"/>
            <w:dstrike w:val="0"/>
            <w:noProof w:val="0"/>
            <w:sz w:val="24"/>
            <w:szCs w:val="24"/>
            <w:lang w:val="en-US"/>
          </w:rPr>
          <w:t>https://study.com/learn/lesson/brofenbrenner-microsystem-theory-examples.html</w:t>
        </w:r>
      </w:hyperlink>
      <w:r w:rsidRPr="71223609" w:rsidR="48085474">
        <w:rPr>
          <w:rFonts w:ascii="Calibri" w:hAnsi="Calibri" w:eastAsia="Calibri" w:cs="Calibri"/>
          <w:noProof w:val="0"/>
          <w:color w:val="000000" w:themeColor="text1" w:themeTint="FF" w:themeShade="FF"/>
          <w:sz w:val="24"/>
          <w:szCs w:val="24"/>
          <w:lang w:val="en-US"/>
        </w:rPr>
        <w:t xml:space="preserve"> (Accessed: 11 January 2024).  </w:t>
      </w:r>
    </w:p>
    <w:p xmlns:wp14="http://schemas.microsoft.com/office/word/2010/wordml" w:rsidP="71223609" wp14:paraId="2AEA55EE" wp14:textId="34D83613">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5713E2D4" wp14:textId="7F2147E0">
      <w:pPr>
        <w:spacing w:after="160" w:line="259" w:lineRule="auto"/>
        <w:jc w:val="left"/>
        <w:rPr>
          <w:rFonts w:ascii="Times New Roman" w:hAnsi="Times New Roman" w:eastAsia="Times New Roman" w:cs="Times New Roman"/>
          <w:noProof w:val="0"/>
          <w:color w:val="000000" w:themeColor="text1" w:themeTint="FF" w:themeShade="FF"/>
          <w:sz w:val="24"/>
          <w:szCs w:val="24"/>
          <w:lang w:val="en-US"/>
        </w:rPr>
      </w:pPr>
      <w:r w:rsidRPr="71223609" w:rsidR="48085474">
        <w:rPr>
          <w:rFonts w:ascii="Calibri" w:hAnsi="Calibri" w:eastAsia="Calibri" w:cs="Calibri"/>
          <w:i w:val="1"/>
          <w:iCs w:val="1"/>
          <w:noProof w:val="0"/>
          <w:color w:val="000000" w:themeColor="text1" w:themeTint="FF" w:themeShade="FF"/>
          <w:sz w:val="24"/>
          <w:szCs w:val="24"/>
          <w:lang w:val="en-US"/>
        </w:rPr>
        <w:t>Learning of black, Asian and minority ethnic histories included in New Welsh curriculum</w:t>
      </w:r>
      <w:r w:rsidRPr="71223609" w:rsidR="48085474">
        <w:rPr>
          <w:rFonts w:ascii="Calibri" w:hAnsi="Calibri" w:eastAsia="Calibri" w:cs="Calibri"/>
          <w:noProof w:val="0"/>
          <w:color w:val="000000" w:themeColor="text1" w:themeTint="FF" w:themeShade="FF"/>
          <w:sz w:val="24"/>
          <w:szCs w:val="24"/>
          <w:lang w:val="en-US"/>
        </w:rPr>
        <w:t xml:space="preserve"> (2021)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GOV.WALES</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Available at: </w:t>
      </w:r>
      <w:hyperlink w:anchor=":~:text=A%20new%20Curriculum%20framework%20has,and%20healthy%20and%20confident%20citizens" r:id="Rdf6977abc0b74f65">
        <w:r w:rsidRPr="71223609" w:rsidR="48085474">
          <w:rPr>
            <w:rStyle w:val="Hyperlink"/>
            <w:rFonts w:ascii="Calibri" w:hAnsi="Calibri" w:eastAsia="Calibri" w:cs="Calibri"/>
            <w:strike w:val="0"/>
            <w:dstrike w:val="0"/>
            <w:noProof w:val="0"/>
            <w:sz w:val="24"/>
            <w:szCs w:val="24"/>
            <w:lang w:val="en-US"/>
          </w:rPr>
          <w:t>https://www.gov.wales/learning-black-asian-and-minority-ethnic-histories-included-new-welsh-curriculum#:~:text=A%20new%20Curriculum%20framework%20has,and%20healthy%20and%20confident%20citizens</w:t>
        </w:r>
      </w:hyperlink>
      <w:r w:rsidRPr="71223609" w:rsidR="48085474">
        <w:rPr>
          <w:rFonts w:ascii="Calibri" w:hAnsi="Calibri" w:eastAsia="Calibri" w:cs="Calibri"/>
          <w:noProof w:val="0"/>
          <w:color w:val="000000" w:themeColor="text1" w:themeTint="FF" w:themeShade="FF"/>
          <w:sz w:val="24"/>
          <w:szCs w:val="24"/>
          <w:lang w:val="en-US"/>
        </w:rPr>
        <w:t xml:space="preserve">. (Accessed: 10 January 2024). </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71223609" wp14:paraId="2E2840D7" wp14:textId="63F6FC25">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227EA463" wp14:textId="422D8DA3">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Calibri" w:hAnsi="Calibri" w:eastAsia="Calibri" w:cs="Calibri"/>
          <w:noProof w:val="0"/>
          <w:color w:val="000000" w:themeColor="text1" w:themeTint="FF" w:themeShade="FF"/>
          <w:sz w:val="24"/>
          <w:szCs w:val="24"/>
          <w:lang w:val="en-US"/>
        </w:rPr>
        <w:t>Office for National Statistics (2023)</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 xml:space="preserve"> Census 2021</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How life has changed in: Census 2021</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Available at: </w:t>
      </w:r>
      <w:r w:rsidRPr="71223609" w:rsidR="48085474">
        <w:rPr>
          <w:rFonts w:ascii="Times New Roman" w:hAnsi="Times New Roman" w:eastAsia="Times New Roman" w:cs="Times New Roman"/>
          <w:b w:val="1"/>
          <w:bCs w:val="1"/>
          <w:noProof w:val="0"/>
          <w:color w:val="000000" w:themeColor="text1" w:themeTint="FF" w:themeShade="FF"/>
          <w:sz w:val="24"/>
          <w:szCs w:val="24"/>
          <w:lang w:val="en-US"/>
        </w:rPr>
        <w:t>URL removed for anonymity</w:t>
      </w:r>
      <w:r w:rsidRPr="71223609" w:rsidR="48085474">
        <w:rPr>
          <w:rFonts w:ascii="Calibri" w:hAnsi="Calibri" w:eastAsia="Calibri" w:cs="Calibri"/>
          <w:noProof w:val="0"/>
          <w:color w:val="000000" w:themeColor="text1" w:themeTint="FF" w:themeShade="FF"/>
          <w:sz w:val="24"/>
          <w:szCs w:val="24"/>
          <w:lang w:val="en-US"/>
        </w:rPr>
        <w:t xml:space="preserve"> </w:t>
      </w:r>
      <w:r w:rsidRPr="71223609" w:rsidR="48085474">
        <w:rPr>
          <w:rFonts w:ascii="Times New Roman" w:hAnsi="Times New Roman" w:eastAsia="Times New Roman" w:cs="Times New Roman"/>
          <w:noProof w:val="0"/>
          <w:color w:val="000000" w:themeColor="text1" w:themeTint="FF" w:themeShade="FF"/>
          <w:sz w:val="24"/>
          <w:szCs w:val="24"/>
          <w:lang w:val="en-US"/>
        </w:rPr>
        <w:t>(Accessed: 10 January 2024).</w:t>
      </w:r>
      <w:r w:rsidRPr="71223609" w:rsidR="48085474">
        <w:rPr>
          <w:rFonts w:ascii="Calibri" w:hAnsi="Calibri" w:eastAsia="Calibri" w:cs="Calibri"/>
          <w:noProof w:val="0"/>
          <w:color w:val="000000" w:themeColor="text1" w:themeTint="FF" w:themeShade="FF"/>
          <w:sz w:val="24"/>
          <w:szCs w:val="24"/>
          <w:lang w:val="en-US"/>
        </w:rPr>
        <w:t xml:space="preserve"> </w:t>
      </w: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2F73D623" wp14:textId="59708E42">
      <w:pPr>
        <w:spacing w:after="160" w:line="259" w:lineRule="auto"/>
        <w:jc w:val="left"/>
        <w:rPr>
          <w:rFonts w:ascii="Times New Roman" w:hAnsi="Times New Roman" w:eastAsia="Times New Roman" w:cs="Times New Roman"/>
          <w:noProof w:val="0"/>
          <w:color w:val="000000" w:themeColor="text1" w:themeTint="FF" w:themeShade="FF"/>
          <w:sz w:val="24"/>
          <w:szCs w:val="24"/>
          <w:lang w:val="en-US"/>
        </w:rPr>
      </w:pPr>
      <w:r w:rsidRPr="71223609" w:rsidR="48085474">
        <w:rPr>
          <w:rFonts w:ascii="Calibri" w:hAnsi="Calibri" w:eastAsia="Calibri" w:cs="Calibri"/>
          <w:i w:val="1"/>
          <w:iCs w:val="1"/>
          <w:noProof w:val="0"/>
          <w:color w:val="000000" w:themeColor="text1" w:themeTint="FF" w:themeShade="FF"/>
          <w:sz w:val="24"/>
          <w:szCs w:val="24"/>
          <w:lang w:val="en-US"/>
        </w:rPr>
        <w:t>Preparing for the Digital Competence Framework (DCF)</w:t>
      </w:r>
      <w:r w:rsidRPr="71223609" w:rsidR="48085474">
        <w:rPr>
          <w:rFonts w:ascii="Calibri" w:hAnsi="Calibri" w:eastAsia="Calibri" w:cs="Calibri"/>
          <w:noProof w:val="0"/>
          <w:color w:val="000000" w:themeColor="text1" w:themeTint="FF" w:themeShade="FF"/>
          <w:sz w:val="24"/>
          <w:szCs w:val="24"/>
          <w:lang w:val="en-US"/>
        </w:rPr>
        <w:t xml:space="preserve"> (2018)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ESTYN</w:t>
      </w:r>
      <w:r w:rsidRPr="71223609" w:rsidR="48085474">
        <w:rPr>
          <w:rFonts w:ascii="Times New Roman" w:hAnsi="Times New Roman" w:eastAsia="Times New Roman" w:cs="Times New Roman"/>
          <w:noProof w:val="0"/>
          <w:color w:val="000000" w:themeColor="text1" w:themeTint="FF" w:themeShade="FF"/>
          <w:sz w:val="24"/>
          <w:szCs w:val="24"/>
          <w:lang w:val="en-US"/>
        </w:rPr>
        <w:t>. Available at:</w:t>
      </w:r>
      <w:hyperlink r:id="R0e74aed70f3c4087">
        <w:r w:rsidRPr="71223609" w:rsidR="48085474">
          <w:rPr>
            <w:rStyle w:val="Hyperlink"/>
            <w:rFonts w:ascii="Calibri" w:hAnsi="Calibri" w:eastAsia="Calibri" w:cs="Calibri"/>
            <w:strike w:val="0"/>
            <w:dstrike w:val="0"/>
            <w:noProof w:val="0"/>
            <w:sz w:val="24"/>
            <w:szCs w:val="24"/>
            <w:lang w:val="en-US"/>
          </w:rPr>
          <w:t>https://www.estyn.gov.wales/system/files/2020-07/Preparing%2520for%2520the%2520DCF%2520eng.pdf</w:t>
        </w:r>
      </w:hyperlink>
      <w:r w:rsidRPr="71223609" w:rsidR="48085474">
        <w:rPr>
          <w:rFonts w:ascii="Calibri" w:hAnsi="Calibri" w:eastAsia="Calibri" w:cs="Calibri"/>
          <w:noProof w:val="0"/>
          <w:color w:val="000000" w:themeColor="text1" w:themeTint="FF" w:themeShade="FF"/>
          <w:sz w:val="24"/>
          <w:szCs w:val="24"/>
          <w:lang w:val="en-US"/>
        </w:rPr>
        <w:t xml:space="preserve"> (Accessed: 10 January 2024). </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71223609" wp14:paraId="501E754F" wp14:textId="5126DEF3">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34320717" wp14:textId="02DAAE22">
      <w:pPr>
        <w:spacing w:after="160" w:line="259" w:lineRule="auto"/>
        <w:jc w:val="left"/>
        <w:rPr>
          <w:rFonts w:ascii="Times New Roman" w:hAnsi="Times New Roman" w:eastAsia="Times New Roman" w:cs="Times New Roman"/>
          <w:noProof w:val="0"/>
          <w:color w:val="000000" w:themeColor="text1" w:themeTint="FF" w:themeShade="FF"/>
          <w:sz w:val="24"/>
          <w:szCs w:val="24"/>
          <w:lang w:val="en-US"/>
        </w:rPr>
      </w:pPr>
      <w:r w:rsidRPr="71223609" w:rsidR="48085474">
        <w:rPr>
          <w:rFonts w:ascii="Calibri" w:hAnsi="Calibri" w:eastAsia="Calibri" w:cs="Calibri"/>
          <w:noProof w:val="0"/>
          <w:color w:val="000000" w:themeColor="text1" w:themeTint="FF" w:themeShade="FF"/>
          <w:sz w:val="24"/>
          <w:szCs w:val="24"/>
          <w:lang w:val="en-US"/>
        </w:rPr>
        <w:t xml:space="preserve">Reach Out (2021) </w:t>
      </w:r>
      <w:r w:rsidRPr="71223609" w:rsidR="48085474">
        <w:rPr>
          <w:rFonts w:ascii="Calibri" w:hAnsi="Calibri" w:eastAsia="Calibri" w:cs="Calibri"/>
          <w:i w:val="1"/>
          <w:iCs w:val="1"/>
          <w:noProof w:val="0"/>
          <w:color w:val="000000" w:themeColor="text1" w:themeTint="FF" w:themeShade="FF"/>
          <w:sz w:val="24"/>
          <w:szCs w:val="24"/>
          <w:lang w:val="en-US"/>
        </w:rPr>
        <w:t xml:space="preserve">Why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it’s important to understand students’ needs and interests</w:t>
      </w:r>
      <w:r w:rsidRPr="71223609" w:rsidR="48085474">
        <w:rPr>
          <w:rFonts w:ascii="Calibri" w:hAnsi="Calibri" w:eastAsia="Calibri" w:cs="Calibri"/>
          <w:noProof w:val="0"/>
          <w:color w:val="000000" w:themeColor="text1" w:themeTint="FF" w:themeShade="FF"/>
          <w:sz w:val="24"/>
          <w:szCs w:val="24"/>
          <w:lang w:val="en-US"/>
        </w:rPr>
        <w:t xml:space="preserve">, </w:t>
      </w:r>
      <w:r w:rsidRPr="71223609" w:rsidR="48085474">
        <w:rPr>
          <w:rFonts w:ascii="Calibri" w:hAnsi="Calibri" w:eastAsia="Calibri" w:cs="Calibri"/>
          <w:i w:val="1"/>
          <w:iCs w:val="1"/>
          <w:noProof w:val="0"/>
          <w:color w:val="000000" w:themeColor="text1" w:themeTint="FF" w:themeShade="FF"/>
          <w:sz w:val="24"/>
          <w:szCs w:val="24"/>
          <w:lang w:val="en-US"/>
        </w:rPr>
        <w:t xml:space="preserve">Tips for teachers: How to get to know your students’ needs and interests |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ReachOut Schools</w:t>
      </w:r>
      <w:r w:rsidRPr="71223609" w:rsidR="48085474">
        <w:rPr>
          <w:rFonts w:ascii="Calibri" w:hAnsi="Calibri" w:eastAsia="Calibri" w:cs="Calibri"/>
          <w:noProof w:val="0"/>
          <w:color w:val="000000" w:themeColor="text1" w:themeTint="FF" w:themeShade="FF"/>
          <w:sz w:val="24"/>
          <w:szCs w:val="24"/>
          <w:lang w:val="en-US"/>
        </w:rPr>
        <w:t>. Available at:</w:t>
      </w:r>
      <w:hyperlink w:anchor=":~:text=Understanding%20your%20students%27%20interests%20will,engage%20with%20the%20learning%20process" r:id="R0b730f404bce46a9">
        <w:r w:rsidRPr="71223609" w:rsidR="48085474">
          <w:rPr>
            <w:rStyle w:val="Hyperlink"/>
            <w:rFonts w:ascii="Calibri" w:hAnsi="Calibri" w:eastAsia="Calibri" w:cs="Calibri"/>
            <w:strike w:val="0"/>
            <w:dstrike w:val="0"/>
            <w:noProof w:val="0"/>
            <w:sz w:val="24"/>
            <w:szCs w:val="24"/>
            <w:lang w:val="en-US"/>
          </w:rPr>
          <w:t>https://schools.au.reachout.com/articles/why-its-important-to-understand-student-needs-and-interests#:~:text=Understanding%20your%20students%27%20interests%20will,engage%20with%20the%20learning%20process</w:t>
        </w:r>
      </w:hyperlink>
      <w:r w:rsidRPr="71223609" w:rsidR="48085474">
        <w:rPr>
          <w:rFonts w:ascii="Calibri" w:hAnsi="Calibri" w:eastAsia="Calibri" w:cs="Calibri"/>
          <w:noProof w:val="0"/>
          <w:color w:val="000000" w:themeColor="text1" w:themeTint="FF" w:themeShade="FF"/>
          <w:sz w:val="24"/>
          <w:szCs w:val="24"/>
          <w:lang w:val="en-US"/>
        </w:rPr>
        <w:t xml:space="preserve">. (Accessed: 14 January 2024). </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71223609" wp14:paraId="3DBE68AE" wp14:textId="168FD944">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39DBD40A" wp14:textId="7E747EC0">
      <w:pPr>
        <w:spacing w:after="160" w:line="259" w:lineRule="auto"/>
        <w:jc w:val="left"/>
        <w:rPr>
          <w:rFonts w:ascii="Times New Roman" w:hAnsi="Times New Roman" w:eastAsia="Times New Roman" w:cs="Times New Roman"/>
          <w:noProof w:val="0"/>
          <w:color w:val="000000" w:themeColor="text1" w:themeTint="FF" w:themeShade="FF"/>
          <w:sz w:val="24"/>
          <w:szCs w:val="24"/>
          <w:lang w:val="en-US"/>
        </w:rPr>
      </w:pPr>
      <w:r w:rsidRPr="71223609" w:rsidR="48085474">
        <w:rPr>
          <w:rFonts w:ascii="Calibri" w:hAnsi="Calibri" w:eastAsia="Calibri" w:cs="Calibri"/>
          <w:noProof w:val="0"/>
          <w:color w:val="000000" w:themeColor="text1" w:themeTint="FF" w:themeShade="FF"/>
          <w:sz w:val="24"/>
          <w:szCs w:val="24"/>
          <w:lang w:val="en-US"/>
        </w:rPr>
        <w:t>Roskams</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M. (2022) </w:t>
      </w:r>
      <w:r w:rsidRPr="71223609" w:rsidR="48085474">
        <w:rPr>
          <w:rFonts w:ascii="Calibri" w:hAnsi="Calibri" w:eastAsia="Calibri" w:cs="Calibri"/>
          <w:i w:val="1"/>
          <w:iCs w:val="1"/>
          <w:noProof w:val="0"/>
          <w:color w:val="000000" w:themeColor="text1" w:themeTint="FF" w:themeShade="FF"/>
          <w:sz w:val="24"/>
          <w:szCs w:val="24"/>
          <w:lang w:val="en-US"/>
        </w:rPr>
        <w:t>Population and household estimates, Wales: Census 2021</w:t>
      </w:r>
      <w:r w:rsidRPr="71223609" w:rsidR="48085474">
        <w:rPr>
          <w:rFonts w:ascii="Calibri" w:hAnsi="Calibri" w:eastAsia="Calibri" w:cs="Calibri"/>
          <w:noProof w:val="0"/>
          <w:color w:val="000000" w:themeColor="text1" w:themeTint="FF" w:themeShade="FF"/>
          <w:sz w:val="24"/>
          <w:szCs w:val="24"/>
          <w:lang w:val="en-US"/>
        </w:rPr>
        <w:t xml:space="preserve">,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Population and household estimates, Wales - Office for National Statistics</w:t>
      </w:r>
      <w:r w:rsidRPr="71223609" w:rsidR="48085474">
        <w:rPr>
          <w:rFonts w:ascii="Times New Roman" w:hAnsi="Times New Roman" w:eastAsia="Times New Roman" w:cs="Times New Roman"/>
          <w:noProof w:val="0"/>
          <w:color w:val="000000" w:themeColor="text1" w:themeTint="FF" w:themeShade="FF"/>
          <w:sz w:val="24"/>
          <w:szCs w:val="24"/>
          <w:lang w:val="en-US"/>
        </w:rPr>
        <w:t>. Available at:</w:t>
      </w:r>
      <w:hyperlink w:anchor="main-points" r:id="R3b5b18ebb48c46d8">
        <w:r w:rsidRPr="71223609" w:rsidR="48085474">
          <w:rPr>
            <w:rStyle w:val="Hyperlink"/>
            <w:rFonts w:ascii="Calibri" w:hAnsi="Calibri" w:eastAsia="Calibri" w:cs="Calibri"/>
            <w:strike w:val="0"/>
            <w:dstrike w:val="0"/>
            <w:noProof w:val="0"/>
            <w:sz w:val="24"/>
            <w:szCs w:val="24"/>
            <w:lang w:val="en-US"/>
          </w:rPr>
          <w:t>https://www.ons.gov.uk/peoplepopulationandcommunity/populationandmigration/populationestimates/bulletins/populationandhouseholdestimateswales/census2021#main-points</w:t>
        </w:r>
      </w:hyperlink>
      <w:r w:rsidRPr="71223609" w:rsidR="48085474">
        <w:rPr>
          <w:rFonts w:ascii="Calibri" w:hAnsi="Calibri" w:eastAsia="Calibri" w:cs="Calibri"/>
          <w:noProof w:val="0"/>
          <w:color w:val="000000" w:themeColor="text1" w:themeTint="FF" w:themeShade="FF"/>
          <w:sz w:val="24"/>
          <w:szCs w:val="24"/>
          <w:lang w:val="en-US"/>
        </w:rPr>
        <w:t xml:space="preserve"> (Accessed: 10 January 2024). </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71223609" wp14:paraId="390AF4BC" wp14:textId="3A428CCB">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7F1E9FF8" wp14:textId="0E65C5B6">
      <w:pPr>
        <w:spacing w:after="160" w:line="259" w:lineRule="auto"/>
        <w:jc w:val="left"/>
        <w:rPr>
          <w:rFonts w:ascii="Times New Roman" w:hAnsi="Times New Roman" w:eastAsia="Times New Roman" w:cs="Times New Roman"/>
          <w:noProof w:val="0"/>
          <w:color w:val="000000" w:themeColor="text1" w:themeTint="FF" w:themeShade="FF"/>
          <w:sz w:val="24"/>
          <w:szCs w:val="24"/>
          <w:lang w:val="en-US"/>
        </w:rPr>
      </w:pPr>
      <w:r w:rsidRPr="71223609" w:rsidR="48085474">
        <w:rPr>
          <w:rFonts w:ascii="Calibri" w:hAnsi="Calibri" w:eastAsia="Calibri" w:cs="Calibri"/>
          <w:i w:val="1"/>
          <w:iCs w:val="1"/>
          <w:noProof w:val="0"/>
          <w:color w:val="000000" w:themeColor="text1" w:themeTint="FF" w:themeShade="FF"/>
          <w:sz w:val="24"/>
          <w:szCs w:val="24"/>
          <w:lang w:val="en-US"/>
        </w:rPr>
        <w:t>Teachers’ standards guidance - GOV.UK</w:t>
      </w:r>
      <w:r w:rsidRPr="71223609" w:rsidR="48085474">
        <w:rPr>
          <w:rFonts w:ascii="Calibri" w:hAnsi="Calibri" w:eastAsia="Calibri" w:cs="Calibri"/>
          <w:noProof w:val="0"/>
          <w:color w:val="000000" w:themeColor="text1" w:themeTint="FF" w:themeShade="FF"/>
          <w:sz w:val="24"/>
          <w:szCs w:val="24"/>
          <w:lang w:val="en-US"/>
        </w:rPr>
        <w:t xml:space="preserve"> (2021)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Teachers Standards</w:t>
      </w:r>
      <w:r w:rsidRPr="71223609" w:rsidR="48085474">
        <w:rPr>
          <w:rFonts w:ascii="Times New Roman" w:hAnsi="Times New Roman" w:eastAsia="Times New Roman" w:cs="Times New Roman"/>
          <w:noProof w:val="0"/>
          <w:color w:val="000000" w:themeColor="text1" w:themeTint="FF" w:themeShade="FF"/>
          <w:sz w:val="24"/>
          <w:szCs w:val="24"/>
          <w:lang w:val="en-US"/>
        </w:rPr>
        <w:t>. Available at:</w:t>
      </w:r>
      <w:hyperlink r:id="R0995a71678a84190">
        <w:r w:rsidRPr="71223609" w:rsidR="48085474">
          <w:rPr>
            <w:rStyle w:val="Hyperlink"/>
            <w:rFonts w:ascii="Calibri" w:hAnsi="Calibri" w:eastAsia="Calibri" w:cs="Calibri"/>
            <w:strike w:val="0"/>
            <w:dstrike w:val="0"/>
            <w:noProof w:val="0"/>
            <w:sz w:val="24"/>
            <w:szCs w:val="24"/>
            <w:lang w:val="en-US"/>
          </w:rPr>
          <w:t>https://assets.publishing.service.gov.uk/media/61b73d6c8fa8f50384489c9a/Teachers__Standards_Dec_2021.pdf</w:t>
        </w:r>
      </w:hyperlink>
      <w:r w:rsidRPr="71223609" w:rsidR="48085474">
        <w:rPr>
          <w:rFonts w:ascii="Calibri" w:hAnsi="Calibri" w:eastAsia="Calibri" w:cs="Calibri"/>
          <w:noProof w:val="0"/>
          <w:color w:val="000000" w:themeColor="text1" w:themeTint="FF" w:themeShade="FF"/>
          <w:sz w:val="24"/>
          <w:szCs w:val="24"/>
          <w:lang w:val="en-US"/>
        </w:rPr>
        <w:t xml:space="preserve"> (Accessed: 15 January 2024). </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71223609" wp14:paraId="23759503" wp14:textId="629157E1">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0C395C37" wp14:textId="03C248A6">
      <w:pPr>
        <w:spacing w:after="160" w:line="259" w:lineRule="auto"/>
        <w:jc w:val="left"/>
        <w:rPr>
          <w:rFonts w:ascii="Times New Roman" w:hAnsi="Times New Roman" w:eastAsia="Times New Roman" w:cs="Times New Roman"/>
          <w:noProof w:val="0"/>
          <w:color w:val="000000" w:themeColor="text1" w:themeTint="FF" w:themeShade="FF"/>
          <w:sz w:val="24"/>
          <w:szCs w:val="24"/>
          <w:lang w:val="en-US"/>
        </w:rPr>
      </w:pPr>
      <w:r w:rsidRPr="71223609" w:rsidR="48085474">
        <w:rPr>
          <w:rFonts w:ascii="Calibri" w:hAnsi="Calibri" w:eastAsia="Calibri" w:cs="Calibri"/>
          <w:noProof w:val="0"/>
          <w:color w:val="000000" w:themeColor="text1" w:themeTint="FF" w:themeShade="FF"/>
          <w:sz w:val="24"/>
          <w:szCs w:val="24"/>
          <w:lang w:val="en-US"/>
        </w:rPr>
        <w:t xml:space="preserve">Tours, E. (2021) </w:t>
      </w:r>
      <w:r w:rsidRPr="71223609" w:rsidR="48085474">
        <w:rPr>
          <w:rFonts w:ascii="Calibri" w:hAnsi="Calibri" w:eastAsia="Calibri" w:cs="Calibri"/>
          <w:i w:val="1"/>
          <w:iCs w:val="1"/>
          <w:noProof w:val="0"/>
          <w:color w:val="000000" w:themeColor="text1" w:themeTint="FF" w:themeShade="FF"/>
          <w:sz w:val="24"/>
          <w:szCs w:val="24"/>
          <w:lang w:val="en-US"/>
        </w:rPr>
        <w:t xml:space="preserve">Why are school trips important for </w:t>
      </w:r>
      <w:r w:rsidRPr="71223609" w:rsidR="48085474">
        <w:rPr>
          <w:rFonts w:ascii="Times New Roman" w:hAnsi="Times New Roman" w:eastAsia="Times New Roman" w:cs="Times New Roman"/>
          <w:i w:val="1"/>
          <w:iCs w:val="1"/>
          <w:noProof w:val="0"/>
          <w:color w:val="000000" w:themeColor="text1" w:themeTint="FF" w:themeShade="FF"/>
          <w:sz w:val="24"/>
          <w:szCs w:val="24"/>
          <w:lang w:val="en-US"/>
        </w:rPr>
        <w:t>students?</w:t>
      </w:r>
      <w:r w:rsidRPr="71223609" w:rsidR="48085474">
        <w:rPr>
          <w:rFonts w:ascii="Calibri" w:hAnsi="Calibri" w:eastAsia="Calibri" w:cs="Calibri"/>
          <w:noProof w:val="0"/>
          <w:color w:val="000000" w:themeColor="text1" w:themeTint="FF" w:themeShade="FF"/>
          <w:sz w:val="24"/>
          <w:szCs w:val="24"/>
          <w:lang w:val="en-US"/>
        </w:rPr>
        <w:t>,</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r w:rsidRPr="71223609" w:rsidR="48085474">
        <w:rPr>
          <w:rFonts w:ascii="Calibri" w:hAnsi="Calibri" w:eastAsia="Calibri" w:cs="Calibri"/>
          <w:i w:val="1"/>
          <w:iCs w:val="1"/>
          <w:noProof w:val="0"/>
          <w:color w:val="000000" w:themeColor="text1" w:themeTint="FF" w:themeShade="FF"/>
          <w:sz w:val="24"/>
          <w:szCs w:val="24"/>
          <w:lang w:val="en-US"/>
        </w:rPr>
        <w:t>European Study Tours</w:t>
      </w:r>
      <w:r w:rsidRPr="71223609" w:rsidR="48085474">
        <w:rPr>
          <w:rFonts w:ascii="Calibri" w:hAnsi="Calibri" w:eastAsia="Calibri" w:cs="Calibri"/>
          <w:noProof w:val="0"/>
          <w:color w:val="000000" w:themeColor="text1" w:themeTint="FF" w:themeShade="FF"/>
          <w:sz w:val="24"/>
          <w:szCs w:val="24"/>
          <w:lang w:val="en-US"/>
        </w:rPr>
        <w:t xml:space="preserve">. Available at: </w:t>
      </w:r>
      <w:hyperlink w:anchor=":~:text=It%20gives%20young%20people%20the,related%20to%20the%20real%20world" r:id="R69b6b35990894659">
        <w:r w:rsidRPr="71223609" w:rsidR="48085474">
          <w:rPr>
            <w:rStyle w:val="Hyperlink"/>
            <w:rFonts w:ascii="Calibri" w:hAnsi="Calibri" w:eastAsia="Calibri" w:cs="Calibri"/>
            <w:strike w:val="0"/>
            <w:dstrike w:val="0"/>
            <w:noProof w:val="0"/>
            <w:sz w:val="24"/>
            <w:szCs w:val="24"/>
            <w:lang w:val="en-US"/>
          </w:rPr>
          <w:t>https://www.euro-study-tours.co.uk/the-benefits-of-going-on-a-school-trip-1#:~:text=It%20gives%20young%20people%20the,related%20to%20the%20real%20world</w:t>
        </w:r>
      </w:hyperlink>
      <w:r w:rsidRPr="71223609" w:rsidR="48085474">
        <w:rPr>
          <w:rFonts w:ascii="Calibri" w:hAnsi="Calibri" w:eastAsia="Calibri" w:cs="Calibri"/>
          <w:noProof w:val="0"/>
          <w:color w:val="000000" w:themeColor="text1" w:themeTint="FF" w:themeShade="FF"/>
          <w:sz w:val="24"/>
          <w:szCs w:val="24"/>
          <w:lang w:val="en-US"/>
        </w:rPr>
        <w:t>. (Accessed: 10 January 2024).</w:t>
      </w:r>
      <w:r w:rsidRPr="71223609" w:rsidR="48085474">
        <w:rPr>
          <w:rFonts w:ascii="Times New Roman" w:hAnsi="Times New Roman" w:eastAsia="Times New Roman" w:cs="Times New Roman"/>
          <w:noProof w:val="0"/>
          <w:color w:val="000000" w:themeColor="text1" w:themeTint="FF" w:themeShade="FF"/>
          <w:sz w:val="24"/>
          <w:szCs w:val="24"/>
          <w:lang w:val="en-US"/>
        </w:rPr>
        <w:t xml:space="preserve"> </w:t>
      </w:r>
    </w:p>
    <w:p xmlns:wp14="http://schemas.microsoft.com/office/word/2010/wordml" w:rsidP="71223609" wp14:paraId="65C0EDEF" wp14:textId="6BABD493">
      <w:pPr>
        <w:spacing w:after="160" w:line="259" w:lineRule="auto"/>
        <w:jc w:val="left"/>
        <w:rPr>
          <w:rFonts w:ascii="Segoe UI" w:hAnsi="Segoe UI" w:eastAsia="Segoe UI" w:cs="Segoe UI"/>
          <w:noProof w:val="0"/>
          <w:color w:val="000000" w:themeColor="text1" w:themeTint="FF" w:themeShade="FF"/>
          <w:sz w:val="24"/>
          <w:szCs w:val="24"/>
          <w:lang w:val="en-US"/>
        </w:rPr>
      </w:pPr>
      <w:r w:rsidRPr="71223609" w:rsidR="48085474">
        <w:rPr>
          <w:rFonts w:ascii="Calibri" w:hAnsi="Calibri" w:eastAsia="Calibri" w:cs="Calibri"/>
          <w:noProof w:val="0"/>
          <w:color w:val="000000" w:themeColor="text1" w:themeTint="FF" w:themeShade="FF"/>
          <w:sz w:val="24"/>
          <w:szCs w:val="24"/>
          <w:lang w:val="en-US"/>
        </w:rPr>
        <w:t xml:space="preserve"> </w:t>
      </w:r>
      <w:r w:rsidRPr="71223609" w:rsidR="48085474">
        <w:rPr>
          <w:rFonts w:ascii="Segoe UI" w:hAnsi="Segoe UI" w:eastAsia="Segoe UI" w:cs="Segoe UI"/>
          <w:noProof w:val="0"/>
          <w:color w:val="000000" w:themeColor="text1" w:themeTint="FF" w:themeShade="FF"/>
          <w:sz w:val="24"/>
          <w:szCs w:val="24"/>
          <w:lang w:val="en-US"/>
        </w:rPr>
        <w:t xml:space="preserve"> </w:t>
      </w:r>
    </w:p>
    <w:p xmlns:wp14="http://schemas.microsoft.com/office/word/2010/wordml" w:rsidP="71223609" wp14:paraId="589D7B76" wp14:textId="04BA1272">
      <w:pPr>
        <w:spacing w:after="160" w:line="259" w:lineRule="auto"/>
        <w:jc w:val="left"/>
        <w:rPr>
          <w:rFonts w:ascii="Aptos" w:hAnsi="Aptos" w:eastAsia="Aptos" w:cs="Aptos"/>
          <w:noProof w:val="0"/>
          <w:color w:val="000000" w:themeColor="text1" w:themeTint="FF" w:themeShade="FF"/>
          <w:sz w:val="24"/>
          <w:szCs w:val="24"/>
          <w:lang w:val="en-US"/>
        </w:rPr>
      </w:pPr>
      <w:r w:rsidRPr="71223609" w:rsidR="48085474">
        <w:rPr>
          <w:rFonts w:ascii="Calibri" w:hAnsi="Calibri" w:eastAsia="Calibri" w:cs="Calibri"/>
          <w:noProof w:val="0"/>
          <w:color w:val="000000" w:themeColor="text1" w:themeTint="FF" w:themeShade="FF"/>
          <w:sz w:val="24"/>
          <w:szCs w:val="24"/>
          <w:lang w:val="en-US"/>
        </w:rPr>
        <w:t xml:space="preserve">Wales, I. (2022) </w:t>
      </w:r>
      <w:r w:rsidRPr="71223609" w:rsidR="48085474">
        <w:rPr>
          <w:rFonts w:ascii="Calibri" w:hAnsi="Calibri" w:eastAsia="Calibri" w:cs="Calibri"/>
          <w:i w:val="1"/>
          <w:iCs w:val="1"/>
          <w:noProof w:val="0"/>
          <w:color w:val="000000" w:themeColor="text1" w:themeTint="FF" w:themeShade="FF"/>
          <w:sz w:val="24"/>
          <w:szCs w:val="24"/>
          <w:lang w:val="en-US"/>
        </w:rPr>
        <w:t>What are the 12 pedagogical principles &amp; how to use them - impact Wales</w:t>
      </w:r>
      <w:r w:rsidRPr="71223609" w:rsidR="48085474">
        <w:rPr>
          <w:rFonts w:ascii="Calibri" w:hAnsi="Calibri" w:eastAsia="Calibri" w:cs="Calibri"/>
          <w:noProof w:val="0"/>
          <w:color w:val="000000" w:themeColor="text1" w:themeTint="FF" w:themeShade="FF"/>
          <w:sz w:val="24"/>
          <w:szCs w:val="24"/>
          <w:lang w:val="en-US"/>
        </w:rPr>
        <w:t xml:space="preserve">, </w:t>
      </w:r>
      <w:r w:rsidRPr="71223609" w:rsidR="48085474">
        <w:rPr>
          <w:rFonts w:ascii="Calibri" w:hAnsi="Calibri" w:eastAsia="Calibri" w:cs="Calibri"/>
          <w:i w:val="1"/>
          <w:iCs w:val="1"/>
          <w:noProof w:val="0"/>
          <w:color w:val="000000" w:themeColor="text1" w:themeTint="FF" w:themeShade="FF"/>
          <w:sz w:val="24"/>
          <w:szCs w:val="24"/>
          <w:lang w:val="en-US"/>
        </w:rPr>
        <w:t>What are the 12 pedagogical principles and how should you use them</w:t>
      </w:r>
      <w:r w:rsidRPr="71223609" w:rsidR="48085474">
        <w:rPr>
          <w:rFonts w:ascii="Calibri" w:hAnsi="Calibri" w:eastAsia="Calibri" w:cs="Calibri"/>
          <w:noProof w:val="0"/>
          <w:color w:val="000000" w:themeColor="text1" w:themeTint="FF" w:themeShade="FF"/>
          <w:sz w:val="24"/>
          <w:szCs w:val="24"/>
          <w:lang w:val="en-US"/>
        </w:rPr>
        <w:t xml:space="preserve">. Available at: </w:t>
      </w:r>
      <w:hyperlink r:id="Rfbea8e8bbd83400d">
        <w:r w:rsidRPr="71223609" w:rsidR="48085474">
          <w:rPr>
            <w:rStyle w:val="Hyperlink"/>
            <w:rFonts w:ascii="Calibri" w:hAnsi="Calibri" w:eastAsia="Calibri" w:cs="Calibri"/>
            <w:strike w:val="0"/>
            <w:dstrike w:val="0"/>
            <w:noProof w:val="0"/>
            <w:sz w:val="24"/>
            <w:szCs w:val="24"/>
            <w:lang w:val="en-US"/>
          </w:rPr>
          <w:t>https://www.impact.wales/news/12-pedagogical-principles/</w:t>
        </w:r>
      </w:hyperlink>
      <w:r w:rsidRPr="71223609" w:rsidR="48085474">
        <w:rPr>
          <w:rFonts w:ascii="Calibri" w:hAnsi="Calibri" w:eastAsia="Calibri" w:cs="Calibri"/>
          <w:noProof w:val="0"/>
          <w:color w:val="000000" w:themeColor="text1" w:themeTint="FF" w:themeShade="FF"/>
          <w:sz w:val="24"/>
          <w:szCs w:val="24"/>
          <w:lang w:val="en-US"/>
        </w:rPr>
        <w:t xml:space="preserve"> (Accessed: 14 January 2024). </w:t>
      </w:r>
      <w:r w:rsidRPr="71223609" w:rsidR="48085474">
        <w:rPr>
          <w:rFonts w:ascii="Segoe UI" w:hAnsi="Segoe UI" w:eastAsia="Segoe UI" w:cs="Segoe UI"/>
          <w:noProof w:val="0"/>
          <w:color w:val="000000" w:themeColor="text1" w:themeTint="FF" w:themeShade="FF"/>
          <w:sz w:val="24"/>
          <w:szCs w:val="24"/>
          <w:lang w:val="en-US"/>
        </w:rPr>
        <w:t xml:space="preserve"> </w:t>
      </w:r>
      <w:r w:rsidRPr="71223609" w:rsidR="48085474">
        <w:rPr>
          <w:rFonts w:ascii="Aptos" w:hAnsi="Aptos" w:eastAsia="Aptos" w:cs="Aptos"/>
          <w:noProof w:val="0"/>
          <w:color w:val="000000" w:themeColor="text1" w:themeTint="FF" w:themeShade="FF"/>
          <w:sz w:val="24"/>
          <w:szCs w:val="24"/>
          <w:lang w:val="en-US"/>
        </w:rPr>
        <w:t xml:space="preserve"> </w:t>
      </w:r>
    </w:p>
    <w:p xmlns:wp14="http://schemas.microsoft.com/office/word/2010/wordml" w:rsidP="71223609" wp14:paraId="776B0D77" wp14:textId="109BBE18">
      <w:pPr>
        <w:pStyle w:val="Normal"/>
        <w:spacing w:after="160" w:line="259" w:lineRule="auto"/>
        <w:jc w:val="left"/>
        <w:rPr>
          <w:rFonts w:ascii="Calibri" w:hAnsi="Calibri" w:eastAsia="Calibri" w:cs="Calibri"/>
          <w:noProof w:val="0"/>
          <w:sz w:val="24"/>
          <w:szCs w:val="24"/>
          <w:lang w:val="en-US"/>
        </w:rPr>
      </w:pPr>
    </w:p>
    <w:p xmlns:wp14="http://schemas.microsoft.com/office/word/2010/wordml" w:rsidP="71223609" wp14:paraId="40EBE593" wp14:textId="4B02031A">
      <w:pPr>
        <w:spacing w:after="160" w:line="259" w:lineRule="auto"/>
        <w:ind w:left="567" w:hanging="567"/>
        <w:jc w:val="left"/>
        <w:rPr>
          <w:rFonts w:ascii="Calibri" w:hAnsi="Calibri" w:eastAsia="Calibri" w:cs="Calibri"/>
          <w:noProof w:val="0"/>
          <w:color w:val="000000" w:themeColor="text1" w:themeTint="FF" w:themeShade="FF"/>
          <w:sz w:val="24"/>
          <w:szCs w:val="24"/>
          <w:lang w:val="en-US"/>
        </w:rPr>
      </w:pPr>
    </w:p>
    <w:p xmlns:wp14="http://schemas.microsoft.com/office/word/2010/wordml" w:rsidP="71223609" wp14:paraId="6B6CC108" wp14:textId="333C48CC">
      <w:pPr>
        <w:spacing w:after="160" w:line="259" w:lineRule="auto"/>
        <w:jc w:val="left"/>
        <w:rPr>
          <w:rFonts w:ascii="Calibri" w:hAnsi="Calibri" w:eastAsia="Calibri" w:cs="Calibri"/>
          <w:noProof w:val="0"/>
          <w:sz w:val="24"/>
          <w:szCs w:val="24"/>
          <w:lang w:val="en-US"/>
        </w:rPr>
      </w:pPr>
    </w:p>
    <w:p xmlns:wp14="http://schemas.microsoft.com/office/word/2010/wordml" w:rsidP="71223609" wp14:paraId="2C078E63" wp14:textId="7728CEF9">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sSVoklr1usIES" int2:id="LNjpNsvu">
      <int2:state int2:type="AugLoop_Text_Critique" int2:value="Rejected"/>
    </int2:textHash>
    <int2:bookmark int2:bookmarkName="_Int_Ts3J5CnF" int2:invalidationBookmarkName="" int2:hashCode="tEsnvhiAoSWni2" int2:id="zkCXwYgf">
      <int2:state int2:type="AugLoop_Text_Critique" int2:value="Rejected"/>
    </int2:bookmark>
    <int2:bookmark int2:bookmarkName="_Int_7wOFaYfh" int2:invalidationBookmarkName="" int2:hashCode="b/V0ObP2W/PsXa" int2:id="xTiFLkI6">
      <int2:state int2:type="AugLoop_Text_Critique" int2:value="Rejected"/>
    </int2:bookmark>
    <int2:bookmark int2:bookmarkName="_Int_L8k5531E" int2:invalidationBookmarkName="" int2:hashCode="oemJHVP2iXAOUb" int2:id="UKqxexjO">
      <int2:state int2:type="AugLoop_Text_Critique" int2:value="Rejected"/>
    </int2:bookmark>
    <int2:bookmark int2:bookmarkName="_Int_RueP1l5Y" int2:invalidationBookmarkName="" int2:hashCode="g+KOJfk17lYVpv" int2:id="8IkXNZSh">
      <int2:state int2:type="AugLoop_Text_Critique" int2:value="Rejected"/>
    </int2:bookmark>
    <int2:bookmark int2:bookmarkName="_Int_qv5RtiTs" int2:invalidationBookmarkName="" int2:hashCode="yBNQdZZ3Iz9LW8" int2:id="nTSdmXY8">
      <int2:state int2:type="AugLoop_Text_Critique" int2:value="Rejected"/>
    </int2:bookmark>
    <int2:bookmark int2:bookmarkName="_Int_u6O63FjN" int2:invalidationBookmarkName="" int2:hashCode="plT9beRzY4WLD7" int2:id="EEtQmFgG">
      <int2:state int2:type="AugLoop_Text_Critique" int2:value="Rejected"/>
    </int2:bookmark>
    <int2:bookmark int2:bookmarkName="_Int_wKS0g2p8" int2:invalidationBookmarkName="" int2:hashCode="bWb5ylLjJWdw3q" int2:id="BVzoG2rC">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F5AD11"/>
    <w:rsid w:val="01F04153"/>
    <w:rsid w:val="0A30A48B"/>
    <w:rsid w:val="0D6AD35F"/>
    <w:rsid w:val="19B28E68"/>
    <w:rsid w:val="1B294DD2"/>
    <w:rsid w:val="1FB4C911"/>
    <w:rsid w:val="22E51E5D"/>
    <w:rsid w:val="255AE744"/>
    <w:rsid w:val="26F6B7A5"/>
    <w:rsid w:val="27CF1409"/>
    <w:rsid w:val="2BCA28C8"/>
    <w:rsid w:val="2E0A6097"/>
    <w:rsid w:val="2E0A6097"/>
    <w:rsid w:val="2E7EFFE4"/>
    <w:rsid w:val="344A2F0E"/>
    <w:rsid w:val="3CA2EEB6"/>
    <w:rsid w:val="40DF8D42"/>
    <w:rsid w:val="427B5DA3"/>
    <w:rsid w:val="43E93463"/>
    <w:rsid w:val="43F34BFD"/>
    <w:rsid w:val="48085474"/>
    <w:rsid w:val="4A496524"/>
    <w:rsid w:val="4F84804D"/>
    <w:rsid w:val="5164B025"/>
    <w:rsid w:val="51EF02AA"/>
    <w:rsid w:val="538AD30B"/>
    <w:rsid w:val="5526A36C"/>
    <w:rsid w:val="567FDABE"/>
    <w:rsid w:val="598D7DEE"/>
    <w:rsid w:val="5B534BE1"/>
    <w:rsid w:val="6611D321"/>
    <w:rsid w:val="6758A0AC"/>
    <w:rsid w:val="6C2C11CF"/>
    <w:rsid w:val="6DF5AD11"/>
    <w:rsid w:val="71223609"/>
    <w:rsid w:val="7459D6CB"/>
    <w:rsid w:val="753E88FB"/>
    <w:rsid w:val="7A3A3243"/>
    <w:rsid w:val="7DE79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5AD11"/>
  <w15:chartTrackingRefBased/>
  <w15:docId w15:val="{D4C82F44-FFE8-42EB-BAFB-C9FE493B1E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era.ac.uk/publication/food-banks-in-schools" TargetMode="External" Id="Rb3ee4502b1064af0" /><Relationship Type="http://schemas.openxmlformats.org/officeDocument/2006/relationships/hyperlink" Target="https://eclkc.ohs.acf.hhs.gov/about-us/article/importance-schedules-routines" TargetMode="External" Id="R7b4a1e36e57d48b6" /><Relationship Type="http://schemas.openxmlformats.org/officeDocument/2006/relationships/hyperlink" Target="https://www.jrf.org.uk/sites/default/files/migrated/migrated/files/end-child-poverty-wales-summary.pdf" TargetMode="External" Id="R58d82c0ae9d84fce" /><Relationship Type="http://schemas.openxmlformats.org/officeDocument/2006/relationships/hyperlink" Target="https://www.pbs.org/parents/thrive/5-ways-to-help-kids-be-flexible-when-plans-change" TargetMode="External" Id="R02e34c25c5c343a8" /><Relationship Type="http://schemas.openxmlformats.org/officeDocument/2006/relationships/hyperlink" Target="https://www.gov.wales/sites/default/files/publications/2021-11/curriculum-for-wales-statements-of-what-matters-code.pdf" TargetMode="External" Id="Rd36c15b72dab466a" /><Relationship Type="http://schemas.openxmlformats.org/officeDocument/2006/relationships/hyperlink" Target="https://study.com/learn/lesson/brofenbrenner-microsystem-theory-examples.html" TargetMode="External" Id="R4c07db517d0e4fe8" /><Relationship Type="http://schemas.openxmlformats.org/officeDocument/2006/relationships/hyperlink" Target="https://www.gov.wales/learning-black-asian-and-minority-ethnic-histories-included-new-welsh-curriculum" TargetMode="External" Id="Rdf6977abc0b74f65" /><Relationship Type="http://schemas.openxmlformats.org/officeDocument/2006/relationships/hyperlink" Target="https://www.estyn.gov.wales/system/files/2020-07/Preparing%2520for%2520the%2520DCF%2520eng.pdf" TargetMode="External" Id="R0e74aed70f3c4087" /><Relationship Type="http://schemas.openxmlformats.org/officeDocument/2006/relationships/hyperlink" Target="https://schools.au.reachout.com/articles/why-its-important-to-understand-student-needs-and-interests" TargetMode="External" Id="R0b730f404bce46a9" /><Relationship Type="http://schemas.openxmlformats.org/officeDocument/2006/relationships/hyperlink" Target="https://www.ons.gov.uk/peoplepopulationandcommunity/populationandmigration/populationestimates/bulletins/populationandhouseholdestimateswales/census2021" TargetMode="External" Id="R3b5b18ebb48c46d8" /><Relationship Type="http://schemas.openxmlformats.org/officeDocument/2006/relationships/hyperlink" Target="https://assets.publishing.service.gov.uk/media/61b73d6c8fa8f50384489c9a/Teachers__Standards_Dec_2021.pdf" TargetMode="External" Id="R0995a71678a84190" /><Relationship Type="http://schemas.openxmlformats.org/officeDocument/2006/relationships/hyperlink" Target="https://www.euro-study-tours.co.uk/the-benefits-of-going-on-a-school-trip-1" TargetMode="External" Id="R69b6b35990894659" /><Relationship Type="http://schemas.openxmlformats.org/officeDocument/2006/relationships/hyperlink" Target="https://www.impact.wales/news/12-pedagogical-principles/" TargetMode="External" Id="Rfbea8e8bbd83400d" /><Relationship Type="http://schemas.microsoft.com/office/2020/10/relationships/intelligence" Target="intelligence2.xml" Id="R9ed6e626a8fc47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2024-01-15T18:19:54.8335344Z</dcterms:created>
  <dcterms:modified xsi:type="dcterms:W3CDTF">2024-01-15T18:59:05.7690866Z</dcterms:modified>
  <dc:creator>Ffion Rowe (2304979)</dc:creator>
  <lastModifiedBy>Ffion Rowe (2304979)</lastModifiedBy>
</coreProperties>
</file>