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B52BEC" w:rsidRPr="004D00CC" w:rsidP="004D00CC" w14:paraId="0834C5A3" w14:textId="77777777">
      <w:pPr>
        <w:pStyle w:val="Normal1"/>
        <w:spacing w:line="360" w:lineRule="auto"/>
        <w:jc w:val="both"/>
        <w:rPr>
          <w:rFonts w:ascii="Times New Roman" w:eastAsia="Times New Roman" w:hAnsi="Times New Roman" w:cs="Times New Roman"/>
          <w:b/>
          <w:sz w:val="24"/>
          <w:szCs w:val="24"/>
        </w:rPr>
      </w:pPr>
    </w:p>
    <w:p w:rsidR="00B52BEC" w:rsidRPr="004D00CC" w:rsidP="004D00CC" w14:paraId="6B8EBDD4" w14:textId="77777777">
      <w:pPr>
        <w:pStyle w:val="Normal1"/>
        <w:spacing w:line="360" w:lineRule="auto"/>
        <w:jc w:val="both"/>
        <w:rPr>
          <w:rFonts w:ascii="Times New Roman" w:eastAsia="Times New Roman" w:hAnsi="Times New Roman" w:cs="Times New Roman"/>
          <w:b/>
          <w:sz w:val="24"/>
          <w:szCs w:val="24"/>
        </w:rPr>
      </w:pPr>
    </w:p>
    <w:p w:rsidR="00B52BEC" w:rsidRPr="004D00CC" w:rsidP="004D00CC" w14:paraId="5E155005" w14:textId="77777777">
      <w:pPr>
        <w:pStyle w:val="Normal1"/>
        <w:spacing w:line="360" w:lineRule="auto"/>
        <w:jc w:val="both"/>
        <w:rPr>
          <w:rFonts w:ascii="Times New Roman" w:eastAsia="Times New Roman" w:hAnsi="Times New Roman" w:cs="Times New Roman"/>
          <w:b/>
          <w:sz w:val="24"/>
          <w:szCs w:val="24"/>
        </w:rPr>
      </w:pPr>
    </w:p>
    <w:p w:rsidR="00B52BEC" w:rsidRPr="004D00CC" w:rsidP="004D00CC" w14:paraId="72ABC022" w14:textId="77777777">
      <w:pPr>
        <w:pStyle w:val="Normal1"/>
        <w:spacing w:line="360" w:lineRule="auto"/>
        <w:jc w:val="both"/>
        <w:rPr>
          <w:rFonts w:ascii="Times New Roman" w:eastAsia="Times New Roman" w:hAnsi="Times New Roman" w:cs="Times New Roman"/>
          <w:b/>
          <w:sz w:val="24"/>
          <w:szCs w:val="24"/>
        </w:rPr>
      </w:pPr>
    </w:p>
    <w:p w:rsidR="00B52BEC" w:rsidRPr="004D00CC" w:rsidP="004D00CC" w14:paraId="41F6BCE8"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244240E7"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24B0292E"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5284907D"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40C19B03"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568D964F"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081EA7E6"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15172C48"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6E2B2A8C"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32C9606E" w14:textId="77777777">
      <w:pPr>
        <w:pStyle w:val="Normal1"/>
        <w:spacing w:line="360" w:lineRule="auto"/>
        <w:jc w:val="both"/>
        <w:rPr>
          <w:rFonts w:ascii="Times New Roman" w:eastAsia="Times New Roman" w:hAnsi="Times New Roman" w:cs="Times New Roman"/>
          <w:b/>
          <w:sz w:val="24"/>
          <w:szCs w:val="24"/>
        </w:rPr>
      </w:pPr>
    </w:p>
    <w:p w:rsidR="00A25D18" w:rsidRPr="004D00CC" w:rsidP="004D00CC" w14:paraId="7C3C01CD" w14:textId="77777777">
      <w:pPr>
        <w:pStyle w:val="Normal1"/>
        <w:spacing w:line="360" w:lineRule="auto"/>
        <w:jc w:val="both"/>
        <w:rPr>
          <w:rFonts w:ascii="Times New Roman" w:eastAsia="Times New Roman" w:hAnsi="Times New Roman" w:cs="Times New Roman"/>
          <w:b/>
          <w:sz w:val="24"/>
          <w:szCs w:val="24"/>
        </w:rPr>
      </w:pPr>
    </w:p>
    <w:p w:rsidR="00B52BEC" w:rsidRPr="004D00CC" w:rsidP="004D00CC" w14:paraId="31B9E121" w14:textId="77777777">
      <w:pPr>
        <w:pStyle w:val="Normal1"/>
        <w:spacing w:line="360" w:lineRule="auto"/>
        <w:jc w:val="center"/>
        <w:rPr>
          <w:rFonts w:ascii="Times New Roman" w:eastAsia="Times New Roman" w:hAnsi="Times New Roman" w:cs="Times New Roman"/>
          <w:b/>
          <w:sz w:val="40"/>
          <w:szCs w:val="40"/>
        </w:rPr>
      </w:pPr>
    </w:p>
    <w:p w:rsidR="00B52BEC" w:rsidRPr="004D00CC" w:rsidP="004D00CC" w14:paraId="42FE8874" w14:textId="77777777">
      <w:pPr>
        <w:pStyle w:val="Normal1"/>
        <w:spacing w:line="360" w:lineRule="auto"/>
        <w:jc w:val="center"/>
        <w:rPr>
          <w:rFonts w:ascii="Times New Roman" w:eastAsia="Times New Roman" w:hAnsi="Times New Roman" w:cs="Times New Roman"/>
          <w:b/>
          <w:sz w:val="32"/>
          <w:szCs w:val="32"/>
        </w:rPr>
      </w:pPr>
      <w:r w:rsidRPr="004D00CC">
        <w:rPr>
          <w:rFonts w:ascii="Times New Roman" w:eastAsia="Times New Roman" w:hAnsi="Times New Roman" w:cs="Times New Roman"/>
          <w:b/>
          <w:sz w:val="32"/>
          <w:szCs w:val="32"/>
        </w:rPr>
        <w:t>LEGAL PROCESS</w:t>
      </w:r>
      <w:r w:rsidRPr="004D00CC">
        <w:rPr>
          <w:rFonts w:ascii="Times New Roman" w:hAnsi="Times New Roman" w:cs="Times New Roman"/>
          <w:sz w:val="32"/>
          <w:szCs w:val="32"/>
        </w:rPr>
        <w:br w:type="page"/>
      </w:r>
    </w:p>
    <w:sdt>
      <w:sdtPr>
        <w:rPr>
          <w:rFonts w:ascii="Times New Roman" w:eastAsia="Arial" w:hAnsi="Times New Roman" w:cs="Times New Roman"/>
          <w:b w:val="0"/>
          <w:bCs w:val="0"/>
          <w:color w:val="auto"/>
          <w:sz w:val="22"/>
          <w:szCs w:val="22"/>
        </w:rPr>
        <w:id w:val="9836096"/>
        <w:docPartObj>
          <w:docPartGallery w:val="Table of Contents"/>
          <w:docPartUnique/>
        </w:docPartObj>
      </w:sdtPr>
      <w:sdtContent>
        <w:p w:rsidR="008500F9" w:rsidRPr="004D00CC" w:rsidP="004D00CC" w14:paraId="39C59F56" w14:textId="77777777">
          <w:pPr>
            <w:pStyle w:val="TOCHeading"/>
            <w:spacing w:line="360" w:lineRule="auto"/>
            <w:jc w:val="center"/>
            <w:rPr>
              <w:rFonts w:ascii="Times New Roman" w:hAnsi="Times New Roman" w:cs="Times New Roman"/>
              <w:sz w:val="24"/>
              <w:szCs w:val="24"/>
            </w:rPr>
          </w:pPr>
          <w:r w:rsidRPr="004D00CC">
            <w:rPr>
              <w:rFonts w:ascii="Times New Roman" w:hAnsi="Times New Roman" w:cs="Times New Roman"/>
              <w:color w:val="000000" w:themeColor="text1"/>
              <w:sz w:val="24"/>
              <w:szCs w:val="24"/>
            </w:rPr>
            <w:t>Table of Contents</w:t>
          </w:r>
        </w:p>
        <w:p w:rsidR="004D00CC" w:rsidRPr="004D00CC" w:rsidP="004D00CC" w14:paraId="028F3CB6" w14:textId="0C0DA520">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r w:rsidRPr="004D00CC">
            <w:rPr>
              <w:rFonts w:ascii="Times New Roman" w:hAnsi="Times New Roman" w:cs="Times New Roman"/>
              <w:sz w:val="24"/>
              <w:szCs w:val="24"/>
            </w:rPr>
            <w:fldChar w:fldCharType="begin"/>
          </w:r>
          <w:r w:rsidRPr="004D00CC" w:rsidR="008500F9">
            <w:rPr>
              <w:rFonts w:ascii="Times New Roman" w:hAnsi="Times New Roman" w:cs="Times New Roman"/>
              <w:sz w:val="24"/>
              <w:szCs w:val="24"/>
            </w:rPr>
            <w:instrText xml:space="preserve"> TOC \o "1-3" \h \z \u </w:instrText>
          </w:r>
          <w:r w:rsidRPr="004D00CC">
            <w:rPr>
              <w:rFonts w:ascii="Times New Roman" w:hAnsi="Times New Roman" w:cs="Times New Roman"/>
              <w:sz w:val="24"/>
              <w:szCs w:val="24"/>
            </w:rPr>
            <w:fldChar w:fldCharType="separate"/>
          </w:r>
          <w:hyperlink w:anchor="_Toc152003008" w:history="1">
            <w:r w:rsidRPr="004D00CC">
              <w:rPr>
                <w:rStyle w:val="Hyperlink"/>
                <w:rFonts w:ascii="Times New Roman" w:hAnsi="Times New Roman" w:cs="Times New Roman"/>
                <w:noProof/>
                <w:sz w:val="24"/>
                <w:szCs w:val="24"/>
              </w:rPr>
              <w:t>Explanation of Constitution</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_Toc152003008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3</w:t>
            </w:r>
            <w:r w:rsidRPr="004D00CC">
              <w:rPr>
                <w:rFonts w:ascii="Times New Roman" w:hAnsi="Times New Roman" w:cs="Times New Roman"/>
                <w:noProof/>
                <w:webHidden/>
                <w:sz w:val="24"/>
                <w:szCs w:val="24"/>
              </w:rPr>
              <w:fldChar w:fldCharType="end"/>
            </w:r>
          </w:hyperlink>
        </w:p>
        <w:p w:rsidR="004D00CC" w:rsidRPr="004D00CC" w:rsidP="004D00CC" w14:paraId="4C18CBBD" w14:textId="4DD27682">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09" w:history="1">
            <w:r w:rsidRPr="004D00CC">
              <w:rPr>
                <w:rStyle w:val="Hyperlink"/>
                <w:rFonts w:ascii="Times New Roman" w:hAnsi="Times New Roman" w:cs="Times New Roman"/>
                <w:noProof/>
                <w:sz w:val="24"/>
                <w:szCs w:val="24"/>
              </w:rPr>
              <w:t>The three key principles of a constitution</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_Toc152003009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4</w:t>
            </w:r>
            <w:r w:rsidRPr="004D00CC">
              <w:rPr>
                <w:rFonts w:ascii="Times New Roman" w:hAnsi="Times New Roman" w:cs="Times New Roman"/>
                <w:noProof/>
                <w:webHidden/>
                <w:sz w:val="24"/>
                <w:szCs w:val="24"/>
              </w:rPr>
              <w:fldChar w:fldCharType="end"/>
            </w:r>
          </w:hyperlink>
        </w:p>
        <w:p w:rsidR="004D00CC" w:rsidRPr="004D00CC" w:rsidP="004D00CC" w14:paraId="6E4CDF49" w14:textId="540A91AF">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0" w:history="1">
            <w:r w:rsidRPr="004D00CC">
              <w:rPr>
                <w:rStyle w:val="Hyperlink"/>
                <w:rFonts w:ascii="Times New Roman" w:hAnsi="Times New Roman" w:cs="Times New Roman"/>
                <w:noProof/>
                <w:sz w:val="24"/>
                <w:szCs w:val="24"/>
              </w:rPr>
              <w:t>Rule of Law</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_Toc152003010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5</w:t>
            </w:r>
            <w:r w:rsidRPr="004D00CC">
              <w:rPr>
                <w:rFonts w:ascii="Times New Roman" w:hAnsi="Times New Roman" w:cs="Times New Roman"/>
                <w:noProof/>
                <w:webHidden/>
                <w:sz w:val="24"/>
                <w:szCs w:val="24"/>
              </w:rPr>
              <w:fldChar w:fldCharType="end"/>
            </w:r>
          </w:hyperlink>
        </w:p>
        <w:p w:rsidR="004D00CC" w:rsidRPr="004D00CC" w:rsidP="004D00CC" w14:paraId="161EEB42" w14:textId="6BA43265">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1" w:history="1">
            <w:r w:rsidRPr="004D00CC">
              <w:rPr>
                <w:rStyle w:val="Hyperlink"/>
                <w:rFonts w:ascii="Times New Roman" w:hAnsi="Times New Roman" w:cs="Times New Roman"/>
                <w:noProof/>
                <w:sz w:val="24"/>
                <w:szCs w:val="24"/>
              </w:rPr>
              <w:t>A.V Dicey’s 3 principles of the rule of law</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_Toc152003011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5</w:t>
            </w:r>
            <w:r w:rsidRPr="004D00CC">
              <w:rPr>
                <w:rFonts w:ascii="Times New Roman" w:hAnsi="Times New Roman" w:cs="Times New Roman"/>
                <w:noProof/>
                <w:webHidden/>
                <w:sz w:val="24"/>
                <w:szCs w:val="24"/>
              </w:rPr>
              <w:fldChar w:fldCharType="end"/>
            </w:r>
          </w:hyperlink>
        </w:p>
        <w:p w:rsidR="004D00CC" w:rsidRPr="004D00CC" w:rsidP="004D00CC" w14:paraId="3B3400A5" w14:textId="7E4E51F8">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2" w:history="1">
            <w:r w:rsidRPr="004D00CC">
              <w:rPr>
                <w:rStyle w:val="Hyperlink"/>
                <w:rFonts w:ascii="Times New Roman" w:hAnsi="Times New Roman" w:cs="Times New Roman"/>
                <w:noProof/>
                <w:sz w:val="24"/>
                <w:szCs w:val="24"/>
              </w:rPr>
              <w:t>Relevance</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_Toc152003012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6</w:t>
            </w:r>
            <w:r w:rsidRPr="004D00CC">
              <w:rPr>
                <w:rFonts w:ascii="Times New Roman" w:hAnsi="Times New Roman" w:cs="Times New Roman"/>
                <w:noProof/>
                <w:webHidden/>
                <w:sz w:val="24"/>
                <w:szCs w:val="24"/>
              </w:rPr>
              <w:fldChar w:fldCharType="end"/>
            </w:r>
          </w:hyperlink>
        </w:p>
        <w:p w:rsidR="004D00CC" w:rsidRPr="004D00CC" w:rsidP="004D00CC" w14:paraId="55098039" w14:textId="611F1492">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3" w:history="1">
            <w:r w:rsidRPr="004D00CC">
              <w:rPr>
                <w:rStyle w:val="Hyperlink"/>
                <w:rFonts w:ascii="Times New Roman" w:hAnsi="Times New Roman" w:cs="Times New Roman"/>
                <w:noProof/>
                <w:sz w:val="24"/>
                <w:szCs w:val="24"/>
              </w:rPr>
              <w:t>Evidence</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_Toc152003013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7</w:t>
            </w:r>
            <w:r w:rsidRPr="004D00CC">
              <w:rPr>
                <w:rFonts w:ascii="Times New Roman" w:hAnsi="Times New Roman" w:cs="Times New Roman"/>
                <w:noProof/>
                <w:webHidden/>
                <w:sz w:val="24"/>
                <w:szCs w:val="24"/>
              </w:rPr>
              <w:fldChar w:fldCharType="end"/>
            </w:r>
          </w:hyperlink>
        </w:p>
        <w:p w:rsidR="004D00CC" w:rsidRPr="004D00CC" w:rsidP="004D00CC" w14:paraId="6888F314" w14:textId="5AFE794D">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4" w:history="1">
            <w:r w:rsidRPr="004D00CC">
              <w:rPr>
                <w:rStyle w:val="Hyperlink"/>
                <w:rFonts w:ascii="Times New Roman" w:hAnsi="Times New Roman" w:cs="Times New Roman"/>
                <w:noProof/>
                <w:sz w:val="24"/>
                <w:szCs w:val="24"/>
              </w:rPr>
              <w:t>Reform suggestions</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_Toc152003014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7</w:t>
            </w:r>
            <w:r w:rsidRPr="004D00CC">
              <w:rPr>
                <w:rFonts w:ascii="Times New Roman" w:hAnsi="Times New Roman" w:cs="Times New Roman"/>
                <w:noProof/>
                <w:webHidden/>
                <w:sz w:val="24"/>
                <w:szCs w:val="24"/>
              </w:rPr>
              <w:fldChar w:fldCharType="end"/>
            </w:r>
          </w:hyperlink>
        </w:p>
        <w:p w:rsidR="004D00CC" w:rsidRPr="004D00CC" w:rsidP="004D00CC" w14:paraId="68E24771" w14:textId="255779F9">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5" w:history="1">
            <w:r w:rsidRPr="004D00CC">
              <w:rPr>
                <w:rStyle w:val="Hyperlink"/>
                <w:rFonts w:ascii="Times New Roman" w:hAnsi="Times New Roman" w:cs="Times New Roman"/>
                <w:noProof/>
                <w:sz w:val="24"/>
                <w:szCs w:val="24"/>
              </w:rPr>
              <w:t>Summary</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_Toc152003015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8</w:t>
            </w:r>
            <w:r w:rsidRPr="004D00CC">
              <w:rPr>
                <w:rFonts w:ascii="Times New Roman" w:hAnsi="Times New Roman" w:cs="Times New Roman"/>
                <w:noProof/>
                <w:webHidden/>
                <w:sz w:val="24"/>
                <w:szCs w:val="24"/>
              </w:rPr>
              <w:fldChar w:fldCharType="end"/>
            </w:r>
          </w:hyperlink>
        </w:p>
        <w:p w:rsidR="004D00CC" w:rsidRPr="004D00CC" w:rsidP="004D00CC" w14:paraId="4BDB9995" w14:textId="2C982ED5">
          <w:pPr>
            <w:pStyle w:val="TOC1"/>
            <w:tabs>
              <w:tab w:val="right" w:leader="dot" w:pos="9350"/>
            </w:tabs>
            <w:spacing w:line="360" w:lineRule="auto"/>
            <w:rPr>
              <w:rFonts w:ascii="Times New Roman" w:hAnsi="Times New Roman" w:eastAsiaTheme="minorEastAsia" w:cs="Times New Roman"/>
              <w:noProof/>
              <w:kern w:val="2"/>
              <w:sz w:val="24"/>
              <w:szCs w:val="24"/>
              <w:lang w:eastAsia="zh-CN"/>
              <w14:ligatures w14:val="standardContextual"/>
            </w:rPr>
          </w:pPr>
          <w:hyperlink w:anchor="_Toc152003016" w:history="1">
            <w:r w:rsidRPr="004D00CC">
              <w:rPr>
                <w:rStyle w:val="Hyperlink"/>
                <w:rFonts w:ascii="Times New Roman" w:hAnsi="Times New Roman" w:cs="Times New Roman"/>
                <w:noProof/>
                <w:sz w:val="24"/>
                <w:szCs w:val="24"/>
              </w:rPr>
              <w:t>References</w:t>
            </w:r>
            <w:r w:rsidRPr="004D00CC">
              <w:rPr>
                <w:rFonts w:ascii="Times New Roman" w:hAnsi="Times New Roman" w:cs="Times New Roman"/>
                <w:noProof/>
                <w:webHidden/>
                <w:sz w:val="24"/>
                <w:szCs w:val="24"/>
              </w:rPr>
              <w:tab/>
            </w:r>
            <w:r w:rsidRPr="004D00CC">
              <w:rPr>
                <w:rFonts w:ascii="Times New Roman" w:hAnsi="Times New Roman" w:cs="Times New Roman"/>
                <w:noProof/>
                <w:webHidden/>
                <w:sz w:val="24"/>
                <w:szCs w:val="24"/>
              </w:rPr>
              <w:fldChar w:fldCharType="begin"/>
            </w:r>
            <w:r w:rsidRPr="004D00CC">
              <w:rPr>
                <w:rFonts w:ascii="Times New Roman" w:hAnsi="Times New Roman" w:cs="Times New Roman"/>
                <w:noProof/>
                <w:webHidden/>
                <w:sz w:val="24"/>
                <w:szCs w:val="24"/>
              </w:rPr>
              <w:instrText xml:space="preserve"> PAGEREF _Toc152003016 \h </w:instrText>
            </w:r>
            <w:r w:rsidRPr="004D00CC">
              <w:rPr>
                <w:rFonts w:ascii="Times New Roman" w:hAnsi="Times New Roman" w:cs="Times New Roman"/>
                <w:noProof/>
                <w:webHidden/>
                <w:sz w:val="24"/>
                <w:szCs w:val="24"/>
              </w:rPr>
              <w:fldChar w:fldCharType="separate"/>
            </w:r>
            <w:r w:rsidRPr="004D00CC">
              <w:rPr>
                <w:rFonts w:ascii="Times New Roman" w:hAnsi="Times New Roman" w:cs="Times New Roman"/>
                <w:noProof/>
                <w:webHidden/>
                <w:sz w:val="24"/>
                <w:szCs w:val="24"/>
              </w:rPr>
              <w:t>9</w:t>
            </w:r>
            <w:r w:rsidRPr="004D00CC">
              <w:rPr>
                <w:rFonts w:ascii="Times New Roman" w:hAnsi="Times New Roman" w:cs="Times New Roman"/>
                <w:noProof/>
                <w:webHidden/>
                <w:sz w:val="24"/>
                <w:szCs w:val="24"/>
              </w:rPr>
              <w:fldChar w:fldCharType="end"/>
            </w:r>
          </w:hyperlink>
        </w:p>
        <w:p w:rsidR="008500F9" w:rsidRPr="004D00CC" w:rsidP="004D00CC" w14:paraId="50CF7224" w14:textId="429FD9AC">
          <w:pPr>
            <w:spacing w:line="360" w:lineRule="auto"/>
            <w:jc w:val="both"/>
            <w:rPr>
              <w:rFonts w:ascii="Times New Roman" w:hAnsi="Times New Roman" w:cs="Times New Roman"/>
            </w:rPr>
          </w:pPr>
          <w:r w:rsidRPr="004D00CC">
            <w:rPr>
              <w:rFonts w:ascii="Times New Roman" w:hAnsi="Times New Roman" w:cs="Times New Roman"/>
              <w:sz w:val="24"/>
              <w:szCs w:val="24"/>
            </w:rPr>
            <w:fldChar w:fldCharType="end"/>
          </w:r>
        </w:p>
      </w:sdtContent>
    </w:sdt>
    <w:p w:rsidR="008500F9" w:rsidRPr="004D00CC" w:rsidP="004D00CC" w14:paraId="415AAC11" w14:textId="77777777">
      <w:pPr>
        <w:spacing w:line="360" w:lineRule="auto"/>
        <w:rPr>
          <w:rFonts w:ascii="Times New Roman" w:eastAsia="Times New Roman" w:hAnsi="Times New Roman" w:cs="Times New Roman"/>
          <w:b/>
          <w:sz w:val="24"/>
          <w:szCs w:val="24"/>
        </w:rPr>
      </w:pPr>
      <w:r w:rsidRPr="004D00CC">
        <w:rPr>
          <w:rFonts w:ascii="Times New Roman" w:eastAsia="Times New Roman" w:hAnsi="Times New Roman" w:cs="Times New Roman"/>
          <w:b/>
          <w:sz w:val="24"/>
          <w:szCs w:val="24"/>
        </w:rPr>
        <w:br w:type="page"/>
      </w:r>
    </w:p>
    <w:p w:rsidR="00B52BEC" w:rsidRPr="004D00CC" w:rsidP="004D00CC" w14:paraId="4E87D713" w14:textId="77777777">
      <w:pPr>
        <w:pStyle w:val="Heading1"/>
        <w:rPr>
          <w:rFonts w:cs="Times New Roman"/>
        </w:rPr>
      </w:pPr>
      <w:bookmarkStart w:id="0" w:name="_Toc152003008"/>
      <w:r w:rsidRPr="004D00CC">
        <w:rPr>
          <w:rFonts w:cs="Times New Roman"/>
        </w:rPr>
        <w:t>Explanation of constitution</w:t>
      </w:r>
      <w:bookmarkEnd w:id="0"/>
    </w:p>
    <w:p w:rsidR="00B52BEC" w:rsidRPr="004D00CC" w:rsidP="004D00CC" w14:paraId="4C52D802" w14:textId="20D6E567">
      <w:pPr>
        <w:pStyle w:val="Normal1"/>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 xml:space="preserve">A constitution is a basic constitutional document that creates the framework for government, defining its authorities and responsibilities as well as the rights and liberties of its citizens. It acts as the country's ultimate law, providing political structures with an environment for growth, management, and functioning. Written or unwritten, </w:t>
      </w:r>
      <w:r w:rsidRPr="004D00CC" w:rsidR="00A25D18">
        <w:rPr>
          <w:rFonts w:ascii="Times New Roman" w:eastAsia="Times New Roman" w:hAnsi="Times New Roman" w:cs="Times New Roman"/>
          <w:sz w:val="24"/>
          <w:szCs w:val="24"/>
        </w:rPr>
        <w:t>formal,</w:t>
      </w:r>
      <w:r w:rsidRPr="004D00CC">
        <w:rPr>
          <w:rFonts w:ascii="Times New Roman" w:eastAsia="Times New Roman" w:hAnsi="Times New Roman" w:cs="Times New Roman"/>
          <w:sz w:val="24"/>
          <w:szCs w:val="24"/>
        </w:rPr>
        <w:t xml:space="preserve"> or controlled, it may encompass a variety of documents and traditions. In countries such as the United States and Germany, the state's principles and regulations are set out in one complete document referred to as the written </w:t>
      </w:r>
      <w:r w:rsidRPr="004D00CC" w:rsidR="008500F9">
        <w:rPr>
          <w:rFonts w:ascii="Times New Roman" w:eastAsia="Times New Roman" w:hAnsi="Times New Roman" w:cs="Times New Roman"/>
          <w:sz w:val="24"/>
          <w:szCs w:val="24"/>
        </w:rPr>
        <w:t>constitution (</w:t>
      </w:r>
      <w:r w:rsidRPr="004D00CC">
        <w:rPr>
          <w:rFonts w:ascii="Times New Roman" w:eastAsia="Times New Roman" w:hAnsi="Times New Roman" w:cs="Times New Roman"/>
          <w:color w:val="222222"/>
          <w:sz w:val="24"/>
          <w:szCs w:val="24"/>
          <w:highlight w:val="white"/>
        </w:rPr>
        <w:t>Johnson, 2022)</w:t>
      </w:r>
      <w:r w:rsidRPr="004D00CC">
        <w:rPr>
          <w:rFonts w:ascii="Times New Roman" w:eastAsia="Times New Roman" w:hAnsi="Times New Roman" w:cs="Times New Roman"/>
          <w:sz w:val="24"/>
          <w:szCs w:val="24"/>
        </w:rPr>
        <w:t>. It typically includes provisions relating to individual rights, the division of authorities, including the processes for changing the Constitution overall. As observed in the United Kingdom, an unwritten constitution is formed by laws, common law, and traditions that define the duties of the various facets of government. A framework for government is nonetheless established through an unwritten constitution regardless of whether it cannot be found in a single document. An act of law essentially gives out the framework of the governing body and outlines the roles and responsibilities performed by its various divisions. It creates a structure that promotes transparency, accountability, and respect for laws and regulations by defining guidelines regarding the conduct of government workers.</w:t>
      </w:r>
    </w:p>
    <w:p w:rsidR="00A42B87" w:rsidRPr="004D00CC" w:rsidP="004D00CC" w14:paraId="213591FB" w14:textId="77777777">
      <w:pPr>
        <w:pStyle w:val="Normal1"/>
        <w:spacing w:line="360" w:lineRule="auto"/>
        <w:jc w:val="center"/>
        <w:rPr>
          <w:rFonts w:ascii="Times New Roman" w:eastAsia="Times New Roman" w:hAnsi="Times New Roman" w:cs="Times New Roman"/>
          <w:sz w:val="24"/>
          <w:szCs w:val="24"/>
        </w:rPr>
      </w:pPr>
      <w:r w:rsidRPr="004D00CC">
        <w:rPr>
          <w:rFonts w:ascii="Times New Roman" w:hAnsi="Times New Roman" w:cs="Times New Roman"/>
          <w:noProof/>
        </w:rPr>
        <w:drawing>
          <wp:inline distT="0" distB="0" distL="0" distR="0">
            <wp:extent cx="4486275" cy="2333283"/>
            <wp:effectExtent l="0" t="0" r="0" b="0"/>
            <wp:docPr id="1" name="Picture 1" descr="Constitutional Morality - Meaning, Significance and Scope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nstitutional Morality - Meaning, Significance and Scope - GeeksforGeeks"/>
                    <pic:cNvPicPr>
                      <a:picLocks noChangeAspect="1" noChangeArrowheads="1"/>
                    </pic:cNvPicPr>
                  </pic:nvPicPr>
                  <pic:blipFill>
                    <a:blip xmlns:r="http://schemas.openxmlformats.org/officeDocument/2006/relationships" r:embed="rId5"/>
                    <a:stretch>
                      <a:fillRect/>
                    </a:stretch>
                  </pic:blipFill>
                  <pic:spPr bwMode="auto">
                    <a:xfrm>
                      <a:off x="0" y="0"/>
                      <a:ext cx="4494650" cy="2337639"/>
                    </a:xfrm>
                    <a:prstGeom prst="rect">
                      <a:avLst/>
                    </a:prstGeom>
                    <a:noFill/>
                    <a:ln w="9525">
                      <a:noFill/>
                      <a:miter lim="800000"/>
                      <a:headEnd/>
                      <a:tailEnd/>
                    </a:ln>
                  </pic:spPr>
                </pic:pic>
              </a:graphicData>
            </a:graphic>
          </wp:inline>
        </w:drawing>
      </w:r>
    </w:p>
    <w:p w:rsidR="00377AA4" w:rsidRPr="004D00CC" w:rsidP="004D00CC" w14:paraId="1F2E0814" w14:textId="74D3099E">
      <w:pPr>
        <w:spacing w:line="360" w:lineRule="auto"/>
        <w:jc w:val="center"/>
        <w:rPr>
          <w:rFonts w:ascii="Times New Roman" w:hAnsi="Times New Roman" w:cs="Times New Roman"/>
          <w:b/>
          <w:bCs/>
          <w:sz w:val="24"/>
          <w:szCs w:val="24"/>
        </w:rPr>
      </w:pPr>
      <w:r w:rsidRPr="004D00CC">
        <w:rPr>
          <w:rFonts w:ascii="Times New Roman" w:hAnsi="Times New Roman" w:cs="Times New Roman"/>
          <w:b/>
          <w:bCs/>
          <w:sz w:val="24"/>
          <w:szCs w:val="24"/>
        </w:rPr>
        <w:t>Figure 1:</w:t>
      </w:r>
      <w:r w:rsidRPr="004D00CC">
        <w:rPr>
          <w:rFonts w:ascii="Times New Roman" w:hAnsi="Times New Roman" w:cs="Times New Roman"/>
          <w:b/>
          <w:bCs/>
          <w:sz w:val="24"/>
          <w:szCs w:val="24"/>
        </w:rPr>
        <w:t xml:space="preserve"> </w:t>
      </w:r>
      <w:r w:rsidRPr="004D00CC" w:rsidR="003C31E4">
        <w:rPr>
          <w:rFonts w:ascii="Times New Roman" w:hAnsi="Times New Roman" w:cs="Times New Roman"/>
          <w:b/>
          <w:bCs/>
          <w:sz w:val="24"/>
          <w:szCs w:val="24"/>
        </w:rPr>
        <w:t>Constitution morality</w:t>
      </w:r>
    </w:p>
    <w:p w:rsidR="00A42B87" w:rsidRPr="004D00CC" w:rsidP="004D00CC" w14:paraId="43F89C17" w14:textId="77777777">
      <w:pPr>
        <w:pStyle w:val="Normal1"/>
        <w:spacing w:line="360" w:lineRule="auto"/>
        <w:jc w:val="center"/>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 xml:space="preserve">(Source: </w:t>
      </w:r>
      <w:r w:rsidRPr="004D00CC">
        <w:rPr>
          <w:rFonts w:ascii="Times New Roman" w:eastAsia="Times New Roman" w:hAnsi="Times New Roman" w:cs="Times New Roman"/>
          <w:color w:val="222222"/>
          <w:sz w:val="24"/>
          <w:szCs w:val="24"/>
          <w:highlight w:val="white"/>
        </w:rPr>
        <w:t>Johnson, 2022</w:t>
      </w:r>
      <w:r w:rsidRPr="004D00CC">
        <w:rPr>
          <w:rFonts w:ascii="Times New Roman" w:eastAsia="Times New Roman" w:hAnsi="Times New Roman" w:cs="Times New Roman"/>
          <w:color w:val="222222"/>
          <w:sz w:val="24"/>
          <w:szCs w:val="24"/>
        </w:rPr>
        <w:t>)</w:t>
      </w:r>
    </w:p>
    <w:p w:rsidR="00B52BEC" w:rsidRPr="004D00CC" w:rsidP="004D00CC" w14:paraId="3388FA5E" w14:textId="77777777">
      <w:pPr>
        <w:pStyle w:val="Heading1"/>
        <w:rPr>
          <w:rFonts w:cs="Times New Roman"/>
        </w:rPr>
      </w:pPr>
      <w:bookmarkStart w:id="1" w:name="_Toc152003009"/>
      <w:r w:rsidRPr="004D00CC">
        <w:rPr>
          <w:rFonts w:cs="Times New Roman"/>
        </w:rPr>
        <w:t>The three key principles of a constitution</w:t>
      </w:r>
      <w:bookmarkEnd w:id="1"/>
    </w:p>
    <w:p w:rsidR="00B52BEC" w:rsidRPr="004D00CC" w:rsidP="004D00CC" w14:paraId="28F9C416" w14:textId="574315FF">
      <w:pPr>
        <w:pStyle w:val="Normal1"/>
        <w:spacing w:line="360" w:lineRule="auto"/>
        <w:jc w:val="both"/>
        <w:rPr>
          <w:rFonts w:ascii="Times New Roman" w:eastAsia="Times New Roman" w:hAnsi="Times New Roman" w:cs="Times New Roman"/>
          <w:bCs/>
          <w:color w:val="0E101A"/>
          <w:sz w:val="24"/>
          <w:szCs w:val="24"/>
        </w:rPr>
      </w:pPr>
      <w:r w:rsidRPr="004D00CC">
        <w:rPr>
          <w:rFonts w:ascii="Times New Roman" w:eastAsia="Times New Roman" w:hAnsi="Times New Roman" w:cs="Times New Roman"/>
          <w:bCs/>
          <w:color w:val="0E101A"/>
          <w:sz w:val="24"/>
          <w:szCs w:val="24"/>
        </w:rPr>
        <w:t xml:space="preserve">A constitution is believed to </w:t>
      </w:r>
      <w:r w:rsidRPr="004D00CC">
        <w:rPr>
          <w:rFonts w:ascii="Times New Roman" w:eastAsia="Times New Roman" w:hAnsi="Times New Roman" w:cs="Times New Roman"/>
          <w:bCs/>
          <w:color w:val="0E101A"/>
          <w:sz w:val="24"/>
          <w:szCs w:val="24"/>
        </w:rPr>
        <w:t>be a reflection of</w:t>
      </w:r>
      <w:r w:rsidRPr="004D00CC">
        <w:rPr>
          <w:rFonts w:ascii="Times New Roman" w:eastAsia="Times New Roman" w:hAnsi="Times New Roman" w:cs="Times New Roman"/>
          <w:bCs/>
          <w:color w:val="0E101A"/>
          <w:sz w:val="24"/>
          <w:szCs w:val="24"/>
        </w:rPr>
        <w:t xml:space="preserve"> the ideology that the respective country follows and abides by. Although diverse in many aspects subject to the different needs and ideologies of different countries, some of the principles are common in each constitution.</w:t>
      </w:r>
      <w:r w:rsidRPr="004D00CC">
        <w:rPr>
          <w:rFonts w:ascii="Times New Roman" w:eastAsia="Times New Roman" w:hAnsi="Times New Roman" w:cs="Times New Roman"/>
          <w:b/>
          <w:color w:val="0E101A"/>
          <w:sz w:val="24"/>
          <w:szCs w:val="24"/>
        </w:rPr>
        <w:t xml:space="preserve"> </w:t>
      </w:r>
      <w:r w:rsidRPr="004D00CC">
        <w:rPr>
          <w:rFonts w:ascii="Times New Roman" w:eastAsia="Times New Roman" w:hAnsi="Times New Roman" w:cs="Times New Roman"/>
          <w:bCs/>
          <w:color w:val="0E101A"/>
          <w:sz w:val="24"/>
          <w:szCs w:val="24"/>
        </w:rPr>
        <w:t>The primary concepts of a</w:t>
      </w:r>
      <w:r w:rsidRPr="004D00CC" w:rsidR="00130988">
        <w:rPr>
          <w:rFonts w:ascii="Times New Roman" w:eastAsia="Times New Roman" w:hAnsi="Times New Roman" w:cs="Times New Roman"/>
          <w:bCs/>
          <w:color w:val="0E101A"/>
          <w:sz w:val="24"/>
          <w:szCs w:val="24"/>
        </w:rPr>
        <w:t xml:space="preserve"> constitution</w:t>
      </w:r>
      <w:r w:rsidRPr="004D00CC">
        <w:rPr>
          <w:rFonts w:ascii="Times New Roman" w:eastAsia="Times New Roman" w:hAnsi="Times New Roman" w:cs="Times New Roman"/>
          <w:bCs/>
          <w:color w:val="0E101A"/>
          <w:sz w:val="24"/>
          <w:szCs w:val="24"/>
        </w:rPr>
        <w:t xml:space="preserve"> include</w:t>
      </w:r>
      <w:r w:rsidRPr="004D00CC" w:rsidR="00130988">
        <w:rPr>
          <w:rFonts w:ascii="Times New Roman" w:eastAsia="Times New Roman" w:hAnsi="Times New Roman" w:cs="Times New Roman"/>
          <w:bCs/>
          <w:color w:val="0E101A"/>
          <w:sz w:val="24"/>
          <w:szCs w:val="24"/>
        </w:rPr>
        <w:t>:</w:t>
      </w:r>
    </w:p>
    <w:p w:rsidR="00B52BEC" w:rsidRPr="004D00CC" w:rsidP="004D00CC" w14:paraId="10E454F7"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Separation of power:</w:t>
      </w:r>
      <w:r w:rsidRPr="004D00CC">
        <w:rPr>
          <w:rFonts w:ascii="Times New Roman" w:eastAsia="Times New Roman" w:hAnsi="Times New Roman" w:cs="Times New Roman"/>
          <w:color w:val="0E101A"/>
          <w:sz w:val="24"/>
          <w:szCs w:val="24"/>
        </w:rPr>
        <w:t xml:space="preserve"> The idea of separation of functions relates to the division of authority in government among different departments to prevent misuse of power. The three branches of government usually act independently from one another and each has different duties. The development of an order of balance and oversight helps prevent one department from dominating the others (</w:t>
      </w:r>
      <w:r w:rsidRPr="004D00CC">
        <w:rPr>
          <w:rFonts w:ascii="Times New Roman" w:eastAsia="Times New Roman" w:hAnsi="Times New Roman" w:cs="Times New Roman"/>
          <w:color w:val="222222"/>
          <w:sz w:val="24"/>
          <w:szCs w:val="24"/>
          <w:highlight w:val="white"/>
        </w:rPr>
        <w:t>Pech, 2022)</w:t>
      </w:r>
      <w:r w:rsidRPr="004D00CC">
        <w:rPr>
          <w:rFonts w:ascii="Times New Roman" w:eastAsia="Times New Roman" w:hAnsi="Times New Roman" w:cs="Times New Roman"/>
          <w:color w:val="0E101A"/>
          <w:sz w:val="24"/>
          <w:szCs w:val="24"/>
        </w:rPr>
        <w:t>.</w:t>
      </w:r>
    </w:p>
    <w:p w:rsidR="00B52BEC" w:rsidRPr="004D00CC" w:rsidP="004D00CC" w14:paraId="229C3A76"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Rule of Law:</w:t>
      </w:r>
      <w:r w:rsidRPr="004D00CC" w:rsidR="004C7490">
        <w:rPr>
          <w:rFonts w:ascii="Times New Roman" w:hAnsi="Times New Roman" w:cs="Times New Roman"/>
        </w:rPr>
        <w:t xml:space="preserve"> </w:t>
      </w:r>
      <w:r w:rsidRPr="004D00CC" w:rsidR="004C7490">
        <w:rPr>
          <w:rFonts w:ascii="Times New Roman" w:eastAsia="Times New Roman" w:hAnsi="Times New Roman" w:cs="Times New Roman"/>
          <w:color w:val="0E101A"/>
          <w:sz w:val="24"/>
          <w:szCs w:val="24"/>
        </w:rPr>
        <w:t>In accordance with the framework of the legal system, all people, irrespective of status or power, are governed by and bound by the rules of law.</w:t>
      </w:r>
      <w:r w:rsidRPr="004D00CC" w:rsidR="004C7490">
        <w:rPr>
          <w:rFonts w:ascii="Times New Roman" w:eastAsia="Times New Roman" w:hAnsi="Times New Roman" w:cs="Times New Roman"/>
          <w:b/>
          <w:color w:val="0E101A"/>
          <w:sz w:val="24"/>
          <w:szCs w:val="24"/>
        </w:rPr>
        <w:t xml:space="preserve"> </w:t>
      </w:r>
      <w:r w:rsidRPr="004D00CC">
        <w:rPr>
          <w:rFonts w:ascii="Times New Roman" w:eastAsia="Times New Roman" w:hAnsi="Times New Roman" w:cs="Times New Roman"/>
          <w:color w:val="0E101A"/>
          <w:sz w:val="24"/>
          <w:szCs w:val="24"/>
        </w:rPr>
        <w:t xml:space="preserve"> It suggests that laws respect basic liberties and are transparent, equal in application, and straightforward. In a system that involves depending on capricious or discretionary actions, the rule of law provides an environment in which legal options are predictable and based on established standards.</w:t>
      </w:r>
    </w:p>
    <w:p w:rsidR="00B52BEC" w:rsidRPr="004D00CC" w:rsidP="004D00CC" w14:paraId="5E7B7338"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Preservation of Personal Rights: </w:t>
      </w:r>
      <w:r w:rsidRPr="004D00CC">
        <w:rPr>
          <w:rFonts w:ascii="Times New Roman" w:eastAsia="Times New Roman" w:hAnsi="Times New Roman" w:cs="Times New Roman"/>
          <w:color w:val="0E101A"/>
          <w:sz w:val="24"/>
          <w:szCs w:val="24"/>
        </w:rPr>
        <w:t xml:space="preserve">Bills about rights or additional clauses that list and protect a person's basic rights and liberties frequently appear in constitutions. liberties are frequently acknowledged by constitutions as fundamental rights, stressing the importance of allowing individuals to express themselves, congregate for peace, and engage in their favourite religions without unjustified </w:t>
      </w:r>
      <w:r w:rsidRPr="004D00CC" w:rsidR="008500F9">
        <w:rPr>
          <w:rFonts w:ascii="Times New Roman" w:eastAsia="Times New Roman" w:hAnsi="Times New Roman" w:cs="Times New Roman"/>
          <w:color w:val="0E101A"/>
          <w:sz w:val="24"/>
          <w:szCs w:val="24"/>
        </w:rPr>
        <w:t>intervention. These</w:t>
      </w:r>
      <w:r w:rsidRPr="004D00CC">
        <w:rPr>
          <w:rFonts w:ascii="Times New Roman" w:eastAsia="Times New Roman" w:hAnsi="Times New Roman" w:cs="Times New Roman"/>
          <w:color w:val="0E101A"/>
          <w:sz w:val="24"/>
          <w:szCs w:val="24"/>
        </w:rPr>
        <w:t xml:space="preserve"> freedoms encourage plurality and diversity, each of which is necessary for a healthy democracy (</w:t>
      </w:r>
      <w:r w:rsidRPr="004D00CC">
        <w:rPr>
          <w:rFonts w:ascii="Times New Roman" w:eastAsia="Times New Roman" w:hAnsi="Times New Roman" w:cs="Times New Roman"/>
          <w:color w:val="222222"/>
          <w:sz w:val="24"/>
          <w:szCs w:val="24"/>
          <w:highlight w:val="white"/>
        </w:rPr>
        <w:t>Kelemen, 2019)</w:t>
      </w:r>
      <w:r w:rsidRPr="004D00CC">
        <w:rPr>
          <w:rFonts w:ascii="Times New Roman" w:eastAsia="Times New Roman" w:hAnsi="Times New Roman" w:cs="Times New Roman"/>
          <w:color w:val="0E101A"/>
          <w:sz w:val="24"/>
          <w:szCs w:val="24"/>
        </w:rPr>
        <w:t xml:space="preserve">. </w:t>
      </w:r>
    </w:p>
    <w:p w:rsidR="004C7490" w:rsidRPr="004D00CC" w:rsidP="004D00CC" w14:paraId="41000795"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noProof/>
          <w:color w:val="0E101A"/>
          <w:sz w:val="24"/>
          <w:szCs w:val="24"/>
        </w:rPr>
        <w:drawing>
          <wp:inline distT="0" distB="0" distL="0" distR="0">
            <wp:extent cx="5505450" cy="1714500"/>
            <wp:effectExtent l="76200" t="57150" r="7620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2D16CB" w:rsidRPr="004D00CC" w:rsidP="004D00CC" w14:paraId="392FA99C" w14:textId="77777777">
      <w:pPr>
        <w:pStyle w:val="Normal1"/>
        <w:spacing w:line="360" w:lineRule="auto"/>
        <w:jc w:val="center"/>
        <w:rPr>
          <w:rFonts w:ascii="Times New Roman" w:eastAsia="Times New Roman" w:hAnsi="Times New Roman" w:cs="Times New Roman"/>
          <w:b/>
          <w:bCs/>
          <w:color w:val="0E101A"/>
          <w:sz w:val="24"/>
          <w:szCs w:val="24"/>
        </w:rPr>
      </w:pPr>
      <w:r w:rsidRPr="004D00CC">
        <w:rPr>
          <w:rFonts w:ascii="Times New Roman" w:eastAsia="Times New Roman" w:hAnsi="Times New Roman" w:cs="Times New Roman"/>
          <w:b/>
          <w:bCs/>
          <w:color w:val="0E101A"/>
          <w:sz w:val="24"/>
          <w:szCs w:val="24"/>
        </w:rPr>
        <w:t>Figure 2:</w:t>
      </w:r>
      <w:r w:rsidRPr="004D00CC">
        <w:rPr>
          <w:rFonts w:ascii="Times New Roman" w:hAnsi="Times New Roman" w:cs="Times New Roman"/>
          <w:b/>
          <w:bCs/>
          <w:sz w:val="24"/>
          <w:szCs w:val="24"/>
        </w:rPr>
        <w:t xml:space="preserve"> Key principles of a constitution</w:t>
      </w:r>
    </w:p>
    <w:p w:rsidR="002D16CB" w:rsidRPr="004D00CC" w:rsidP="004D00CC" w14:paraId="748A8E46" w14:textId="0EFE767E">
      <w:pPr>
        <w:pStyle w:val="Normal1"/>
        <w:spacing w:line="360" w:lineRule="auto"/>
        <w:jc w:val="center"/>
        <w:rPr>
          <w:rFonts w:ascii="Times New Roman" w:eastAsia="Times New Roman" w:hAnsi="Times New Roman" w:cs="Times New Roman"/>
          <w:color w:val="0E101A"/>
          <w:sz w:val="24"/>
          <w:szCs w:val="24"/>
        </w:rPr>
      </w:pPr>
      <w:r w:rsidRPr="004D00CC">
        <w:rPr>
          <w:rFonts w:ascii="Times New Roman" w:eastAsia="Times New Roman" w:hAnsi="Times New Roman" w:cs="Times New Roman"/>
          <w:color w:val="0E101A"/>
          <w:sz w:val="24"/>
          <w:szCs w:val="24"/>
        </w:rPr>
        <w:t xml:space="preserve">(Source: </w:t>
      </w:r>
      <w:r w:rsidRPr="004D00CC" w:rsidR="00A25D18">
        <w:rPr>
          <w:rFonts w:ascii="Times New Roman" w:eastAsia="Times New Roman" w:hAnsi="Times New Roman" w:cs="Times New Roman"/>
          <w:color w:val="0E101A"/>
          <w:sz w:val="24"/>
          <w:szCs w:val="24"/>
        </w:rPr>
        <w:t>Self-created</w:t>
      </w:r>
      <w:r w:rsidRPr="004D00CC">
        <w:rPr>
          <w:rFonts w:ascii="Times New Roman" w:eastAsia="Times New Roman" w:hAnsi="Times New Roman" w:cs="Times New Roman"/>
          <w:color w:val="0E101A"/>
          <w:sz w:val="24"/>
          <w:szCs w:val="24"/>
        </w:rPr>
        <w:t>)</w:t>
      </w:r>
    </w:p>
    <w:p w:rsidR="00B52BEC" w:rsidRPr="004D00CC" w:rsidP="004D00CC" w14:paraId="02811403" w14:textId="4CCB8D65">
      <w:pPr>
        <w:pStyle w:val="Heading1"/>
        <w:rPr>
          <w:rFonts w:cs="Times New Roman"/>
        </w:rPr>
      </w:pPr>
      <w:bookmarkStart w:id="2" w:name="_Toc152003010"/>
      <w:r w:rsidRPr="004D00CC">
        <w:rPr>
          <w:rFonts w:cs="Times New Roman"/>
        </w:rPr>
        <w:t>Rule of Law</w:t>
      </w:r>
      <w:bookmarkEnd w:id="2"/>
    </w:p>
    <w:p w:rsidR="00B52BEC" w:rsidRPr="004D00CC" w:rsidP="004D00CC" w14:paraId="2CE95EE1" w14:textId="77777777">
      <w:pPr>
        <w:pStyle w:val="Normal1"/>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 xml:space="preserve">It has been proven true that laws perform an essential role in sustaining democracy by supporting the rule of law across arbitrary power. This idea holds that everybody is governed by the law and subject to it, even those within positions of leadership. It provides an environment whereby </w:t>
      </w:r>
      <w:r w:rsidRPr="004D00CC" w:rsidR="001716BA">
        <w:rPr>
          <w:rFonts w:ascii="Times New Roman" w:eastAsia="Times New Roman" w:hAnsi="Times New Roman" w:cs="Times New Roman"/>
          <w:sz w:val="24"/>
          <w:szCs w:val="24"/>
        </w:rPr>
        <w:t>the</w:t>
      </w:r>
      <w:r w:rsidRPr="004D00CC" w:rsidR="003E1A83">
        <w:rPr>
          <w:rFonts w:ascii="Times New Roman" w:eastAsia="Times New Roman" w:hAnsi="Times New Roman" w:cs="Times New Roman"/>
          <w:sz w:val="24"/>
          <w:szCs w:val="24"/>
        </w:rPr>
        <w:t xml:space="preserve"> </w:t>
      </w:r>
      <w:r w:rsidRPr="004D00CC">
        <w:rPr>
          <w:rFonts w:ascii="Times New Roman" w:eastAsia="Times New Roman" w:hAnsi="Times New Roman" w:cs="Times New Roman"/>
          <w:sz w:val="24"/>
          <w:szCs w:val="24"/>
        </w:rPr>
        <w:t xml:space="preserve">excessive influence is relegated to clear, foreseeable, and consistently applied laws. Fundamentally, democratic leadership depends on the rule of law, which guarantees an accountability-based system that emphasizes the protection of individual rights over arbitrary decision-making or unequal </w:t>
      </w:r>
      <w:r w:rsidRPr="004D00CC" w:rsidR="008500F9">
        <w:rPr>
          <w:rFonts w:ascii="Times New Roman" w:eastAsia="Times New Roman" w:hAnsi="Times New Roman" w:cs="Times New Roman"/>
          <w:sz w:val="24"/>
          <w:szCs w:val="24"/>
        </w:rPr>
        <w:t>authority (</w:t>
      </w:r>
      <w:r w:rsidRPr="004D00CC">
        <w:rPr>
          <w:rFonts w:ascii="Times New Roman" w:eastAsia="Times New Roman" w:hAnsi="Times New Roman" w:cs="Times New Roman"/>
          <w:color w:val="222222"/>
          <w:sz w:val="24"/>
          <w:szCs w:val="24"/>
          <w:highlight w:val="white"/>
        </w:rPr>
        <w:t>Krygier, 2022)</w:t>
      </w:r>
      <w:r w:rsidRPr="004D00CC">
        <w:rPr>
          <w:rFonts w:ascii="Times New Roman" w:eastAsia="Times New Roman" w:hAnsi="Times New Roman" w:cs="Times New Roman"/>
          <w:sz w:val="24"/>
          <w:szCs w:val="24"/>
        </w:rPr>
        <w:t>.</w:t>
      </w:r>
    </w:p>
    <w:p w:rsidR="00B52BEC" w:rsidRPr="004D00CC" w:rsidP="004D00CC" w14:paraId="0FE9A287" w14:textId="77777777">
      <w:pPr>
        <w:pStyle w:val="Normal1"/>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 xml:space="preserve">The three primary elements of the system of law are equality, fairness, and legality. The law suggests no one has power over the rule of law and all actions must be allowed with the law. The tenet of equal treatment before the law ensures that everyone is protected by identical legal safeguards and consequences, irrespective of their place in life. Justice is an essential component, stressing the need for fair, open, or established-principles legal processes. The principle of law promotes an environment in which decisions are made by set regulations, thus serving both an argument against authoritarianism and arbitrary decisions. It provides a structure that governs interactions, protects private liberties, and maintains the distribution of power within established limits it promotes an orderly and just </w:t>
      </w:r>
      <w:r w:rsidRPr="004D00CC" w:rsidR="008500F9">
        <w:rPr>
          <w:rFonts w:ascii="Times New Roman" w:eastAsia="Times New Roman" w:hAnsi="Times New Roman" w:cs="Times New Roman"/>
          <w:sz w:val="24"/>
          <w:szCs w:val="24"/>
        </w:rPr>
        <w:t>community (</w:t>
      </w:r>
      <w:r w:rsidRPr="004D00CC">
        <w:rPr>
          <w:rFonts w:ascii="Times New Roman" w:eastAsia="Times New Roman" w:hAnsi="Times New Roman" w:cs="Times New Roman"/>
          <w:color w:val="222222"/>
          <w:sz w:val="24"/>
          <w:szCs w:val="24"/>
          <w:highlight w:val="white"/>
        </w:rPr>
        <w:t>Sajan, 2023)</w:t>
      </w:r>
      <w:r w:rsidRPr="004D00CC">
        <w:rPr>
          <w:rFonts w:ascii="Times New Roman" w:eastAsia="Times New Roman" w:hAnsi="Times New Roman" w:cs="Times New Roman"/>
          <w:sz w:val="24"/>
          <w:szCs w:val="24"/>
        </w:rPr>
        <w:t xml:space="preserve">. Fundamental freedoms </w:t>
      </w:r>
      <w:r w:rsidRPr="004D00CC">
        <w:rPr>
          <w:rFonts w:ascii="Times New Roman" w:eastAsia="Times New Roman" w:hAnsi="Times New Roman" w:cs="Times New Roman"/>
          <w:sz w:val="24"/>
          <w:szCs w:val="24"/>
        </w:rPr>
        <w:t>have to</w:t>
      </w:r>
      <w:r w:rsidRPr="004D00CC">
        <w:rPr>
          <w:rFonts w:ascii="Times New Roman" w:eastAsia="Times New Roman" w:hAnsi="Times New Roman" w:cs="Times New Roman"/>
          <w:sz w:val="24"/>
          <w:szCs w:val="24"/>
        </w:rPr>
        <w:t xml:space="preserve"> be safeguarded, and a democratic system depends primarily on the rule of law.</w:t>
      </w:r>
    </w:p>
    <w:p w:rsidR="00B52BEC" w:rsidRPr="004D00CC" w:rsidP="004D00CC" w14:paraId="110CD5C9" w14:textId="77777777">
      <w:pPr>
        <w:pStyle w:val="Heading1"/>
        <w:rPr>
          <w:rFonts w:cs="Times New Roman"/>
        </w:rPr>
      </w:pPr>
      <w:bookmarkStart w:id="3" w:name="_Toc152003011"/>
      <w:r w:rsidRPr="004D00CC">
        <w:rPr>
          <w:rFonts w:cs="Times New Roman"/>
        </w:rPr>
        <w:t>A.V Dicey’s 3 principles of the rule of law</w:t>
      </w:r>
      <w:bookmarkEnd w:id="3"/>
    </w:p>
    <w:p w:rsidR="00B52BEC" w:rsidRPr="004D00CC" w:rsidP="004D00CC" w14:paraId="34723119"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color w:val="0E101A"/>
          <w:sz w:val="24"/>
          <w:szCs w:val="24"/>
        </w:rPr>
        <w:t>The end of the 19th-century study "Introduction to a Study of the Laws of the Constitution" by renowned legal scholar Albert Venn Dicey established the three basic principles of the rule of law. The theoretical basis for understanding the rule of law in a democratic setting is offered by these principles:</w:t>
      </w:r>
    </w:p>
    <w:p w:rsidR="00B52BEC" w:rsidRPr="004D00CC" w:rsidP="004D00CC" w14:paraId="1BD264F3" w14:textId="7DF8A6EE">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Supreme Authority of Law: </w:t>
      </w:r>
      <w:r w:rsidRPr="004D00CC">
        <w:rPr>
          <w:rFonts w:ascii="Times New Roman" w:eastAsia="Times New Roman" w:hAnsi="Times New Roman" w:cs="Times New Roman"/>
          <w:color w:val="0E101A"/>
          <w:sz w:val="24"/>
          <w:szCs w:val="24"/>
        </w:rPr>
        <w:t xml:space="preserve">Dicey emphasized every individual is bound by the law, even public servants. </w:t>
      </w:r>
      <w:r w:rsidRPr="004D00CC" w:rsidR="00A25D18">
        <w:rPr>
          <w:rFonts w:ascii="Times New Roman" w:eastAsia="Times New Roman" w:hAnsi="Times New Roman" w:cs="Times New Roman"/>
          <w:color w:val="0E101A"/>
          <w:sz w:val="24"/>
          <w:szCs w:val="24"/>
        </w:rPr>
        <w:t>These principals stress</w:t>
      </w:r>
      <w:r w:rsidRPr="004D00CC">
        <w:rPr>
          <w:rFonts w:ascii="Times New Roman" w:eastAsia="Times New Roman" w:hAnsi="Times New Roman" w:cs="Times New Roman"/>
          <w:color w:val="0E101A"/>
          <w:sz w:val="24"/>
          <w:szCs w:val="24"/>
        </w:rPr>
        <w:t xml:space="preserve"> that each person is bound by the same set of regulations, regardless of their position in life, and that legislation is the final authority (</w:t>
      </w:r>
      <w:r w:rsidRPr="004D00CC">
        <w:rPr>
          <w:rFonts w:ascii="Times New Roman" w:eastAsia="Times New Roman" w:hAnsi="Times New Roman" w:cs="Times New Roman"/>
          <w:color w:val="222222"/>
          <w:sz w:val="24"/>
          <w:szCs w:val="24"/>
          <w:highlight w:val="white"/>
        </w:rPr>
        <w:t>S</w:t>
      </w:r>
      <w:r w:rsidRPr="004D00CC" w:rsidR="00E16A39">
        <w:rPr>
          <w:rFonts w:ascii="Times New Roman" w:eastAsia="Times New Roman" w:hAnsi="Times New Roman" w:cs="Times New Roman"/>
          <w:color w:val="222222"/>
          <w:sz w:val="24"/>
          <w:szCs w:val="24"/>
          <w:highlight w:val="white"/>
        </w:rPr>
        <w:t>hakkarwar</w:t>
      </w:r>
      <w:r w:rsidRPr="004D00CC" w:rsidR="00E16A39">
        <w:rPr>
          <w:rFonts w:ascii="Times New Roman" w:eastAsia="Times New Roman" w:hAnsi="Times New Roman" w:cs="Times New Roman"/>
          <w:color w:val="222222"/>
          <w:sz w:val="24"/>
          <w:szCs w:val="24"/>
          <w:highlight w:val="white"/>
        </w:rPr>
        <w:t>, 20</w:t>
      </w:r>
      <w:r w:rsidRPr="004D00CC">
        <w:rPr>
          <w:rFonts w:ascii="Times New Roman" w:eastAsia="Times New Roman" w:hAnsi="Times New Roman" w:cs="Times New Roman"/>
          <w:color w:val="222222"/>
          <w:sz w:val="24"/>
          <w:szCs w:val="24"/>
          <w:highlight w:val="white"/>
        </w:rPr>
        <w:t>20</w:t>
      </w:r>
      <w:r w:rsidRPr="004D00CC">
        <w:rPr>
          <w:rFonts w:ascii="Times New Roman" w:eastAsia="Times New Roman" w:hAnsi="Times New Roman" w:cs="Times New Roman"/>
          <w:color w:val="0E101A"/>
          <w:sz w:val="24"/>
          <w:szCs w:val="24"/>
        </w:rPr>
        <w:t>. Ensuring that government actions are punished by law serves to avoid the capricious or arbitrary use of control.</w:t>
      </w:r>
    </w:p>
    <w:p w:rsidR="00B52BEC" w:rsidRPr="004D00CC" w:rsidP="004D00CC" w14:paraId="71778216" w14:textId="45F498F1">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Equality Before the Law: </w:t>
      </w:r>
      <w:r w:rsidRPr="004D00CC" w:rsidR="00A25D18">
        <w:rPr>
          <w:rFonts w:ascii="Times New Roman" w:eastAsia="Times New Roman" w:hAnsi="Times New Roman" w:cs="Times New Roman"/>
          <w:color w:val="0E101A"/>
          <w:sz w:val="24"/>
          <w:szCs w:val="24"/>
        </w:rPr>
        <w:t>To this</w:t>
      </w:r>
      <w:r w:rsidRPr="004D00CC">
        <w:rPr>
          <w:rFonts w:ascii="Times New Roman" w:eastAsia="Times New Roman" w:hAnsi="Times New Roman" w:cs="Times New Roman"/>
          <w:color w:val="0E101A"/>
          <w:sz w:val="24"/>
          <w:szCs w:val="24"/>
        </w:rPr>
        <w:t xml:space="preserve"> concept, everybody has equal status in their view of the law. It implies that no specific individual or organization should be given extra rights and exemptions. The law fosters fairness and forbids discrimination by imposing identical rules for all parties.</w:t>
      </w:r>
    </w:p>
    <w:p w:rsidR="00B52BEC" w:rsidRPr="004D00CC" w:rsidP="004D00CC" w14:paraId="10C66E98"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Legal Spirit Predominance: </w:t>
      </w:r>
      <w:r w:rsidRPr="004D00CC">
        <w:rPr>
          <w:rFonts w:ascii="Times New Roman" w:eastAsia="Times New Roman" w:hAnsi="Times New Roman" w:cs="Times New Roman"/>
          <w:color w:val="0E101A"/>
          <w:sz w:val="24"/>
          <w:szCs w:val="24"/>
        </w:rPr>
        <w:t>Dicey stressed the importance of legal viewpoints in both the public and government sectors. This entails following recognized legal procedures, respecting legal tenets, and protecting individual liberties (</w:t>
      </w:r>
      <w:r w:rsidRPr="004D00CC">
        <w:rPr>
          <w:rFonts w:ascii="Times New Roman" w:eastAsia="Times New Roman" w:hAnsi="Times New Roman" w:cs="Times New Roman"/>
          <w:color w:val="222222"/>
          <w:sz w:val="24"/>
          <w:szCs w:val="24"/>
          <w:highlight w:val="white"/>
        </w:rPr>
        <w:t>SINGH, 2020)</w:t>
      </w:r>
      <w:r w:rsidRPr="004D00CC">
        <w:rPr>
          <w:rFonts w:ascii="Times New Roman" w:eastAsia="Times New Roman" w:hAnsi="Times New Roman" w:cs="Times New Roman"/>
          <w:color w:val="0E101A"/>
          <w:sz w:val="24"/>
          <w:szCs w:val="24"/>
        </w:rPr>
        <w:t>. The legal spirit makes sure that the rule of law serves as the foundation for national governance as opposed to just being a formalized idea.</w:t>
      </w:r>
    </w:p>
    <w:p w:rsidR="00B52BEC" w:rsidRPr="004D00CC" w:rsidP="004D00CC" w14:paraId="278D8693"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color w:val="0E101A"/>
          <w:sz w:val="24"/>
          <w:szCs w:val="24"/>
        </w:rPr>
        <w:t>Dicey's view of the rule of law relies on these ideas, that highlight the importance of equality, principles of law, and the surrender of power to a system of law. Although additional complexity may be contributed by contemporary interpretations, Dicey's concepts remain to have a major effect on the way people discuss the rule of law.</w:t>
      </w:r>
    </w:p>
    <w:p w:rsidR="00B52BEC" w:rsidRPr="004D00CC" w:rsidP="004D00CC" w14:paraId="01DD75A4" w14:textId="77777777">
      <w:pPr>
        <w:pStyle w:val="Heading1"/>
        <w:rPr>
          <w:rFonts w:cs="Times New Roman"/>
        </w:rPr>
      </w:pPr>
      <w:bookmarkStart w:id="4" w:name="_Toc152003012"/>
      <w:r w:rsidRPr="004D00CC">
        <w:rPr>
          <w:rFonts w:cs="Times New Roman"/>
        </w:rPr>
        <w:t>Relevance</w:t>
      </w:r>
      <w:bookmarkEnd w:id="4"/>
    </w:p>
    <w:p w:rsidR="00B52BEC" w:rsidRPr="004D00CC" w:rsidP="004D00CC" w14:paraId="27F6BC5E" w14:textId="77777777">
      <w:pPr>
        <w:pStyle w:val="Normal1"/>
        <w:numPr>
          <w:ilvl w:val="0"/>
          <w:numId w:val="1"/>
        </w:numPr>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Dicey's views regarding the rule of law remain essential in modern political and legal discourse. These concepts remain important currently despite the development of legal frameworks and the complex nature of contemporary government.</w:t>
      </w:r>
    </w:p>
    <w:p w:rsidR="00B52BEC" w:rsidRPr="004D00CC" w:rsidP="004D00CC" w14:paraId="3FA526EF" w14:textId="77777777">
      <w:pPr>
        <w:pStyle w:val="Normal1"/>
        <w:numPr>
          <w:ilvl w:val="0"/>
          <w:numId w:val="1"/>
        </w:numPr>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Firstly, the "Supremacy of Law" concept addresses issues associated with authority misuse (</w:t>
      </w:r>
      <w:r w:rsidRPr="004D00CC">
        <w:rPr>
          <w:rFonts w:ascii="Times New Roman" w:eastAsia="Times New Roman" w:hAnsi="Times New Roman" w:cs="Times New Roman"/>
          <w:color w:val="222222"/>
          <w:sz w:val="24"/>
          <w:szCs w:val="24"/>
          <w:highlight w:val="white"/>
        </w:rPr>
        <w:t>М</w:t>
      </w:r>
      <w:r w:rsidRPr="004D00CC" w:rsidR="00E16A39">
        <w:rPr>
          <w:rFonts w:ascii="Times New Roman" w:eastAsia="Times New Roman" w:hAnsi="Times New Roman" w:cs="Times New Roman"/>
          <w:color w:val="222222"/>
          <w:sz w:val="24"/>
          <w:szCs w:val="24"/>
          <w:highlight w:val="white"/>
        </w:rPr>
        <w:t>ихайлов</w:t>
      </w:r>
      <w:r w:rsidRPr="004D00CC" w:rsidR="00E16A39">
        <w:rPr>
          <w:rFonts w:ascii="Times New Roman" w:eastAsia="Times New Roman" w:hAnsi="Times New Roman" w:cs="Times New Roman"/>
          <w:color w:val="222222"/>
          <w:sz w:val="24"/>
          <w:szCs w:val="24"/>
          <w:highlight w:val="white"/>
        </w:rPr>
        <w:t>, 2</w:t>
      </w:r>
      <w:r w:rsidRPr="004D00CC">
        <w:rPr>
          <w:rFonts w:ascii="Times New Roman" w:eastAsia="Times New Roman" w:hAnsi="Times New Roman" w:cs="Times New Roman"/>
          <w:color w:val="222222"/>
          <w:sz w:val="24"/>
          <w:szCs w:val="24"/>
          <w:highlight w:val="white"/>
        </w:rPr>
        <w:t>023)</w:t>
      </w:r>
      <w:r w:rsidRPr="004D00CC">
        <w:rPr>
          <w:rFonts w:ascii="Times New Roman" w:eastAsia="Times New Roman" w:hAnsi="Times New Roman" w:cs="Times New Roman"/>
          <w:sz w:val="24"/>
          <w:szCs w:val="24"/>
        </w:rPr>
        <w:t>. It corresponds with the present scenario, and advocates for legislative limits on the conduct of the government particularly because of problems like executive overreach or authoritarian tendencies.</w:t>
      </w:r>
    </w:p>
    <w:p w:rsidR="00B52BEC" w:rsidRPr="004D00CC" w:rsidP="004D00CC" w14:paraId="3DD385ED" w14:textId="77777777">
      <w:pPr>
        <w:pStyle w:val="Normal1"/>
        <w:numPr>
          <w:ilvl w:val="0"/>
          <w:numId w:val="1"/>
        </w:numPr>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Second, the commitment to fairness and nondiscrimination is highlighted by the "Equality Before the Law" concept. This concept maintains an indicator for assessing the reliability of legal systems in an era when public standards for justice and equality were important.</w:t>
      </w:r>
    </w:p>
    <w:p w:rsidR="00B52BEC" w:rsidRPr="004D00CC" w:rsidP="004D00CC" w14:paraId="76C5AC89" w14:textId="77777777">
      <w:pPr>
        <w:pStyle w:val="Normal1"/>
        <w:numPr>
          <w:ilvl w:val="0"/>
          <w:numId w:val="1"/>
        </w:numPr>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Finally, conforming to legal rules and values is highlighted by the "Predominance of Legal Spirit" foundation. The legitimacy and effectiveness of legal systems in modern administration keep relying on preserving the rule of law, protecting individual rights, and developing a legal mindset among both people and the government (</w:t>
      </w:r>
      <w:r w:rsidRPr="004D00CC">
        <w:rPr>
          <w:rFonts w:ascii="Times New Roman" w:eastAsia="Times New Roman" w:hAnsi="Times New Roman" w:cs="Times New Roman"/>
          <w:color w:val="222222"/>
          <w:sz w:val="24"/>
          <w:szCs w:val="24"/>
          <w:highlight w:val="white"/>
        </w:rPr>
        <w:t>Munir, 2023)</w:t>
      </w:r>
      <w:r w:rsidRPr="004D00CC">
        <w:rPr>
          <w:rFonts w:ascii="Times New Roman" w:eastAsia="Times New Roman" w:hAnsi="Times New Roman" w:cs="Times New Roman"/>
          <w:sz w:val="24"/>
          <w:szCs w:val="24"/>
        </w:rPr>
        <w:t>.</w:t>
      </w:r>
    </w:p>
    <w:p w:rsidR="00B52BEC" w:rsidRPr="004D00CC" w:rsidP="004D00CC" w14:paraId="18790300" w14:textId="77777777">
      <w:pPr>
        <w:pStyle w:val="Normal1"/>
        <w:numPr>
          <w:ilvl w:val="0"/>
          <w:numId w:val="1"/>
        </w:numPr>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Although implementations and interpretations could shift, Dicey's fundamental concepts remain relevant and offer a permanent basis for assessing the soundness and validity of the legal and political systems in the twenty-first century.</w:t>
      </w:r>
    </w:p>
    <w:p w:rsidR="00B52BEC" w:rsidRPr="004D00CC" w:rsidP="004D00CC" w14:paraId="7574DAF5" w14:textId="77777777">
      <w:pPr>
        <w:pStyle w:val="Heading1"/>
        <w:rPr>
          <w:rFonts w:cs="Times New Roman"/>
        </w:rPr>
      </w:pPr>
      <w:bookmarkStart w:id="5" w:name="_Toc152003013"/>
      <w:r w:rsidRPr="004D00CC">
        <w:rPr>
          <w:rFonts w:cs="Times New Roman"/>
        </w:rPr>
        <w:t>Evidence</w:t>
      </w:r>
      <w:bookmarkEnd w:id="5"/>
    </w:p>
    <w:p w:rsidR="00B52BEC" w:rsidRPr="004D00CC" w:rsidP="004D00CC" w14:paraId="1F00DF8B" w14:textId="542A795B">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Legal Precedents: </w:t>
      </w:r>
      <w:r w:rsidRPr="004D00CC">
        <w:rPr>
          <w:rFonts w:ascii="Times New Roman" w:eastAsia="Times New Roman" w:hAnsi="Times New Roman" w:cs="Times New Roman"/>
          <w:color w:val="0E101A"/>
          <w:sz w:val="24"/>
          <w:szCs w:val="24"/>
        </w:rPr>
        <w:t>The absolute authority of law can be seen by the continuous application of legal precedents</w:t>
      </w:r>
      <w:r w:rsidRPr="004D00CC" w:rsidR="00A25D18">
        <w:rPr>
          <w:rFonts w:ascii="Times New Roman" w:eastAsia="Times New Roman" w:hAnsi="Times New Roman" w:cs="Times New Roman"/>
          <w:color w:val="0E101A"/>
          <w:sz w:val="24"/>
          <w:szCs w:val="24"/>
        </w:rPr>
        <w:t xml:space="preserve"> (</w:t>
      </w:r>
      <w:r w:rsidRPr="004D00CC" w:rsidR="00A25D18">
        <w:rPr>
          <w:rFonts w:ascii="Times New Roman" w:eastAsia="Times New Roman" w:hAnsi="Times New Roman" w:cs="Times New Roman"/>
          <w:color w:val="222222"/>
          <w:sz w:val="24"/>
          <w:szCs w:val="24"/>
          <w:highlight w:val="white"/>
        </w:rPr>
        <w:t>Cane, 2022</w:t>
      </w:r>
      <w:r w:rsidRPr="004D00CC" w:rsidR="00A25D18">
        <w:rPr>
          <w:rFonts w:ascii="Times New Roman" w:eastAsia="Times New Roman" w:hAnsi="Times New Roman" w:cs="Times New Roman"/>
          <w:color w:val="0E101A"/>
          <w:sz w:val="24"/>
          <w:szCs w:val="24"/>
        </w:rPr>
        <w:t>)</w:t>
      </w:r>
      <w:r w:rsidRPr="004D00CC">
        <w:rPr>
          <w:rFonts w:ascii="Times New Roman" w:eastAsia="Times New Roman" w:hAnsi="Times New Roman" w:cs="Times New Roman"/>
          <w:color w:val="0E101A"/>
          <w:sz w:val="24"/>
          <w:szCs w:val="24"/>
        </w:rPr>
        <w:t>. The rule of law gets a boost when judgments are made based on recognized legal tenets rather than on personal views.</w:t>
      </w:r>
      <w:r w:rsidRPr="004D00CC" w:rsidR="00A25742">
        <w:rPr>
          <w:rFonts w:ascii="Times New Roman" w:eastAsia="Times New Roman" w:hAnsi="Times New Roman" w:cs="Times New Roman"/>
          <w:color w:val="0E101A"/>
          <w:sz w:val="24"/>
          <w:szCs w:val="24"/>
        </w:rPr>
        <w:t xml:space="preserve"> In </w:t>
      </w:r>
      <w:r w:rsidRPr="004D00CC" w:rsidR="00A25742">
        <w:rPr>
          <w:rFonts w:ascii="Times New Roman" w:eastAsia="Times New Roman" w:hAnsi="Times New Roman" w:cs="Times New Roman"/>
          <w:b/>
          <w:bCs/>
          <w:i/>
          <w:iCs/>
          <w:color w:val="0E101A"/>
          <w:sz w:val="24"/>
          <w:szCs w:val="24"/>
        </w:rPr>
        <w:t xml:space="preserve">Entick v Carrington </w:t>
      </w:r>
      <w:r w:rsidRPr="004D00CC" w:rsidR="00A25742">
        <w:rPr>
          <w:rFonts w:ascii="Times New Roman" w:eastAsia="Times New Roman" w:hAnsi="Times New Roman" w:cs="Times New Roman"/>
          <w:b/>
          <w:bCs/>
          <w:i/>
          <w:iCs/>
          <w:color w:val="0E101A"/>
          <w:sz w:val="24"/>
          <w:szCs w:val="24"/>
        </w:rPr>
        <w:t>[</w:t>
      </w:r>
      <w:r w:rsidRPr="004D00CC" w:rsidR="00A25742">
        <w:rPr>
          <w:rFonts w:ascii="Times New Roman" w:eastAsia="Times New Roman" w:hAnsi="Times New Roman" w:cs="Times New Roman"/>
          <w:b/>
          <w:bCs/>
          <w:i/>
          <w:iCs/>
          <w:color w:val="0E101A"/>
          <w:sz w:val="24"/>
          <w:szCs w:val="24"/>
        </w:rPr>
        <w:t>1765</w:t>
      </w:r>
      <w:r w:rsidRPr="004D00CC" w:rsidR="00A25742">
        <w:rPr>
          <w:rFonts w:ascii="Times New Roman" w:eastAsia="Times New Roman" w:hAnsi="Times New Roman" w:cs="Times New Roman"/>
          <w:b/>
          <w:bCs/>
          <w:i/>
          <w:iCs/>
          <w:color w:val="0E101A"/>
          <w:sz w:val="24"/>
          <w:szCs w:val="24"/>
        </w:rPr>
        <w:t>]</w:t>
      </w:r>
      <w:r w:rsidRPr="004D00CC" w:rsidR="00A25742">
        <w:rPr>
          <w:rFonts w:ascii="Times New Roman" w:eastAsia="Times New Roman" w:hAnsi="Times New Roman" w:cs="Times New Roman"/>
          <w:color w:val="0E101A"/>
          <w:sz w:val="24"/>
          <w:szCs w:val="24"/>
        </w:rPr>
        <w:t xml:space="preserve"> the rule of law was discussed and considered by the authorities and it was established that even police officers who are holding a position of authority in the state are not exempt from this rule and they need to abide by the regulations of law. It was specified that prior lawful authority is needed to be provided by the police to enter an individual’s property.  </w:t>
      </w:r>
    </w:p>
    <w:p w:rsidR="00B52BEC" w:rsidRPr="004D00CC" w:rsidP="004D00CC" w14:paraId="7F8C98C1"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Cases of Discrimination:</w:t>
      </w:r>
      <w:r w:rsidRPr="004D00CC">
        <w:rPr>
          <w:rFonts w:ascii="Times New Roman" w:eastAsia="Times New Roman" w:hAnsi="Times New Roman" w:cs="Times New Roman"/>
          <w:color w:val="0E101A"/>
          <w:sz w:val="24"/>
          <w:szCs w:val="24"/>
        </w:rPr>
        <w:t xml:space="preserve"> Cases in which legal frameworks address and resolve unlawful discrimination or maintain the idea that everyone is equal before the law demonstrate a system's commitment to the basic tenets of the rule of law.</w:t>
      </w:r>
    </w:p>
    <w:p w:rsidR="00B52BEC" w:rsidRPr="004D00CC" w:rsidP="004D00CC" w14:paraId="4FCD2C55" w14:textId="0F5F376E">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Government Accountability:</w:t>
      </w:r>
      <w:r w:rsidRPr="004D00CC">
        <w:rPr>
          <w:rFonts w:ascii="Times New Roman" w:eastAsia="Times New Roman" w:hAnsi="Times New Roman" w:cs="Times New Roman"/>
          <w:color w:val="0E101A"/>
          <w:sz w:val="24"/>
          <w:szCs w:val="24"/>
        </w:rPr>
        <w:t xml:space="preserve"> In the rule of law, government operations </w:t>
      </w:r>
      <w:r w:rsidRPr="004D00CC">
        <w:rPr>
          <w:rFonts w:ascii="Times New Roman" w:eastAsia="Times New Roman" w:hAnsi="Times New Roman" w:cs="Times New Roman"/>
          <w:color w:val="0E101A"/>
          <w:sz w:val="24"/>
          <w:szCs w:val="24"/>
        </w:rPr>
        <w:t>have to</w:t>
      </w:r>
      <w:r w:rsidRPr="004D00CC">
        <w:rPr>
          <w:rFonts w:ascii="Times New Roman" w:eastAsia="Times New Roman" w:hAnsi="Times New Roman" w:cs="Times New Roman"/>
          <w:color w:val="0E101A"/>
          <w:sz w:val="24"/>
          <w:szCs w:val="24"/>
        </w:rPr>
        <w:t xml:space="preserve"> be examined by the courts. The notion that no one stands above the law is strengthened by proof that public servants are held accountable for acts that violate legal norms.</w:t>
      </w:r>
      <w:r w:rsidRPr="004D00CC" w:rsidR="00A25742">
        <w:rPr>
          <w:rFonts w:ascii="Times New Roman" w:eastAsia="Times New Roman" w:hAnsi="Times New Roman" w:cs="Times New Roman"/>
          <w:color w:val="0E101A"/>
          <w:sz w:val="24"/>
          <w:szCs w:val="24"/>
        </w:rPr>
        <w:t xml:space="preserve"> In </w:t>
      </w:r>
      <w:r w:rsidRPr="004D00CC" w:rsidR="00A25742">
        <w:rPr>
          <w:rFonts w:ascii="Times New Roman" w:eastAsia="Times New Roman" w:hAnsi="Times New Roman" w:cs="Times New Roman"/>
          <w:b/>
          <w:bCs/>
          <w:i/>
          <w:iCs/>
          <w:color w:val="0E101A"/>
          <w:sz w:val="24"/>
          <w:szCs w:val="24"/>
        </w:rPr>
        <w:t>M v Home Office [1994]</w:t>
      </w:r>
      <w:r w:rsidRPr="004D00CC" w:rsidR="00A25742">
        <w:rPr>
          <w:rFonts w:ascii="Times New Roman" w:eastAsia="Times New Roman" w:hAnsi="Times New Roman" w:cs="Times New Roman"/>
          <w:color w:val="0E101A"/>
          <w:sz w:val="24"/>
          <w:szCs w:val="24"/>
        </w:rPr>
        <w:t xml:space="preserve">, </w:t>
      </w:r>
      <w:r w:rsidRPr="004D00CC" w:rsidR="000F2C43">
        <w:rPr>
          <w:rFonts w:ascii="Times New Roman" w:eastAsia="Times New Roman" w:hAnsi="Times New Roman" w:cs="Times New Roman"/>
          <w:color w:val="0E101A"/>
          <w:sz w:val="24"/>
          <w:szCs w:val="24"/>
        </w:rPr>
        <w:t xml:space="preserve">there was an issue related to the decision made by the Home Secretary </w:t>
      </w:r>
      <w:r w:rsidRPr="004D00CC" w:rsidR="000F2C43">
        <w:rPr>
          <w:rFonts w:ascii="Times New Roman" w:eastAsia="Times New Roman" w:hAnsi="Times New Roman" w:cs="Times New Roman"/>
          <w:color w:val="0E101A"/>
          <w:sz w:val="24"/>
          <w:szCs w:val="24"/>
        </w:rPr>
        <w:t>Kenneth Baker,</w:t>
      </w:r>
      <w:r w:rsidRPr="004D00CC" w:rsidR="000F2C43">
        <w:rPr>
          <w:rFonts w:ascii="Times New Roman" w:eastAsia="Times New Roman" w:hAnsi="Times New Roman" w:cs="Times New Roman"/>
          <w:color w:val="0E101A"/>
          <w:sz w:val="24"/>
          <w:szCs w:val="24"/>
        </w:rPr>
        <w:t xml:space="preserve"> related to crown immunity. The course of the trial allowed the authority to decide that although the Crown cannot be held liable for any form of tort committed, a minister acting on behalf of the Crown can. This specifies that even authoritative positions like that of the Home Minister are not exempt from the law and that the rule of law in the UK is applicable to every individual.</w:t>
      </w:r>
    </w:p>
    <w:p w:rsidR="00B52BEC" w:rsidRPr="004D00CC" w:rsidP="004D00CC" w14:paraId="0D2A9B6A" w14:textId="3BB1ED41">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Public Trust:</w:t>
      </w:r>
      <w:r w:rsidRPr="004D00CC">
        <w:rPr>
          <w:rFonts w:ascii="Times New Roman" w:eastAsia="Times New Roman" w:hAnsi="Times New Roman" w:cs="Times New Roman"/>
          <w:color w:val="0E101A"/>
          <w:sz w:val="24"/>
          <w:szCs w:val="24"/>
        </w:rPr>
        <w:t xml:space="preserve"> The level of trust that the general population has in legal institutions is a good indicator of the prevalent legal spirit</w:t>
      </w:r>
      <w:r w:rsidRPr="004D00CC" w:rsidR="00A25D18">
        <w:rPr>
          <w:rFonts w:ascii="Times New Roman" w:eastAsia="Times New Roman" w:hAnsi="Times New Roman" w:cs="Times New Roman"/>
          <w:color w:val="0E101A"/>
          <w:sz w:val="24"/>
          <w:szCs w:val="24"/>
        </w:rPr>
        <w:t xml:space="preserve"> (</w:t>
      </w:r>
      <w:r w:rsidRPr="004D00CC" w:rsidR="00A25D18">
        <w:rPr>
          <w:rFonts w:ascii="Times New Roman" w:eastAsia="Times New Roman" w:hAnsi="Times New Roman" w:cs="Times New Roman"/>
          <w:color w:val="222222"/>
          <w:sz w:val="24"/>
          <w:szCs w:val="24"/>
          <w:highlight w:val="white"/>
        </w:rPr>
        <w:t xml:space="preserve">Dhivya and </w:t>
      </w:r>
      <w:r w:rsidRPr="004D00CC" w:rsidR="00A25D18">
        <w:rPr>
          <w:rFonts w:ascii="Times New Roman" w:eastAsia="Times New Roman" w:hAnsi="Times New Roman" w:cs="Times New Roman"/>
          <w:color w:val="222222"/>
          <w:sz w:val="24"/>
          <w:szCs w:val="24"/>
          <w:highlight w:val="white"/>
        </w:rPr>
        <w:t>Radhajayasheela</w:t>
      </w:r>
      <w:r w:rsidRPr="004D00CC" w:rsidR="00A25D18">
        <w:rPr>
          <w:rFonts w:ascii="Times New Roman" w:eastAsia="Times New Roman" w:hAnsi="Times New Roman" w:cs="Times New Roman"/>
          <w:color w:val="222222"/>
          <w:sz w:val="24"/>
          <w:szCs w:val="24"/>
          <w:highlight w:val="white"/>
        </w:rPr>
        <w:t>, 2022)</w:t>
      </w:r>
      <w:r w:rsidRPr="004D00CC">
        <w:rPr>
          <w:rFonts w:ascii="Times New Roman" w:eastAsia="Times New Roman" w:hAnsi="Times New Roman" w:cs="Times New Roman"/>
          <w:color w:val="0E101A"/>
          <w:sz w:val="24"/>
          <w:szCs w:val="24"/>
        </w:rPr>
        <w:t>. If cons</w:t>
      </w:r>
      <w:r w:rsidRPr="004D00CC" w:rsidR="00E16A39">
        <w:rPr>
          <w:rFonts w:ascii="Times New Roman" w:eastAsia="Times New Roman" w:hAnsi="Times New Roman" w:cs="Times New Roman"/>
          <w:color w:val="0E101A"/>
          <w:sz w:val="24"/>
          <w:szCs w:val="24"/>
        </w:rPr>
        <w:t>umers think the legal system is</w:t>
      </w:r>
      <w:r w:rsidRPr="004D00CC">
        <w:rPr>
          <w:rFonts w:ascii="Times New Roman" w:eastAsia="Times New Roman" w:hAnsi="Times New Roman" w:cs="Times New Roman"/>
          <w:color w:val="0E101A"/>
          <w:sz w:val="24"/>
          <w:szCs w:val="24"/>
        </w:rPr>
        <w:t xml:space="preserve"> successful, it indicates that it is a general legal mindset in the neighbourhood.</w:t>
      </w:r>
    </w:p>
    <w:p w:rsidR="00B52BEC" w:rsidRPr="004D00CC" w:rsidP="004D00CC" w14:paraId="74FFB5B8" w14:textId="77777777">
      <w:pPr>
        <w:pStyle w:val="Heading1"/>
        <w:rPr>
          <w:rFonts w:cs="Times New Roman"/>
        </w:rPr>
      </w:pPr>
      <w:bookmarkStart w:id="6" w:name="_Toc152003014"/>
      <w:r w:rsidRPr="004D00CC">
        <w:rPr>
          <w:rFonts w:cs="Times New Roman"/>
        </w:rPr>
        <w:t>Reform suggestions</w:t>
      </w:r>
      <w:bookmarkEnd w:id="6"/>
    </w:p>
    <w:p w:rsidR="00B52BEC" w:rsidRPr="004D00CC" w:rsidP="004D00CC" w14:paraId="10EB3A80" w14:textId="335EFE36">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Judicial Separation: </w:t>
      </w:r>
      <w:r w:rsidRPr="004D00CC">
        <w:rPr>
          <w:rFonts w:ascii="Times New Roman" w:eastAsia="Times New Roman" w:hAnsi="Times New Roman" w:cs="Times New Roman"/>
          <w:color w:val="0E101A"/>
          <w:sz w:val="24"/>
          <w:szCs w:val="24"/>
        </w:rPr>
        <w:t>The effective functioning of the court system depends on the judiciary along with other departments of the government remaining distinctly apart</w:t>
      </w:r>
      <w:r w:rsidRPr="004D00CC" w:rsidR="00E16A39">
        <w:rPr>
          <w:rFonts w:ascii="Times New Roman" w:eastAsia="Times New Roman" w:hAnsi="Times New Roman" w:cs="Times New Roman"/>
          <w:color w:val="0E101A"/>
          <w:sz w:val="24"/>
          <w:szCs w:val="24"/>
        </w:rPr>
        <w:t xml:space="preserve">. </w:t>
      </w:r>
      <w:r w:rsidRPr="004D00CC">
        <w:rPr>
          <w:rFonts w:ascii="Times New Roman" w:eastAsia="Times New Roman" w:hAnsi="Times New Roman" w:cs="Times New Roman"/>
          <w:color w:val="0E101A"/>
          <w:sz w:val="24"/>
          <w:szCs w:val="24"/>
        </w:rPr>
        <w:t xml:space="preserve">Judges may safeguard the rule of law by applying and interpreting the law under its principles and </w:t>
      </w:r>
      <w:r w:rsidRPr="004D00CC">
        <w:rPr>
          <w:rFonts w:ascii="Times New Roman" w:eastAsia="Times New Roman" w:hAnsi="Times New Roman" w:cs="Times New Roman"/>
          <w:color w:val="0E101A"/>
          <w:sz w:val="24"/>
          <w:szCs w:val="24"/>
        </w:rPr>
        <w:t>established rules of law when they have protection from outside influences</w:t>
      </w:r>
      <w:r w:rsidRPr="004D00CC" w:rsidR="00A25D18">
        <w:rPr>
          <w:rFonts w:ascii="Times New Roman" w:eastAsia="Times New Roman" w:hAnsi="Times New Roman" w:cs="Times New Roman"/>
          <w:color w:val="0E101A"/>
          <w:sz w:val="24"/>
          <w:szCs w:val="24"/>
        </w:rPr>
        <w:t xml:space="preserve"> (</w:t>
      </w:r>
      <w:r w:rsidRPr="004D00CC" w:rsidR="00A25D18">
        <w:rPr>
          <w:rFonts w:ascii="Times New Roman" w:eastAsia="Times New Roman" w:hAnsi="Times New Roman" w:cs="Times New Roman"/>
          <w:color w:val="222222"/>
          <w:sz w:val="24"/>
          <w:szCs w:val="24"/>
          <w:highlight w:val="white"/>
        </w:rPr>
        <w:t>Sonthalia</w:t>
      </w:r>
      <w:r w:rsidRPr="004D00CC" w:rsidR="00A25D18">
        <w:rPr>
          <w:rFonts w:ascii="Times New Roman" w:eastAsia="Times New Roman" w:hAnsi="Times New Roman" w:cs="Times New Roman"/>
          <w:color w:val="222222"/>
          <w:sz w:val="24"/>
          <w:szCs w:val="24"/>
          <w:highlight w:val="white"/>
        </w:rPr>
        <w:t>, 2021</w:t>
      </w:r>
      <w:r w:rsidRPr="004D00CC" w:rsidR="00A25D18">
        <w:rPr>
          <w:rFonts w:ascii="Times New Roman" w:eastAsia="Times New Roman" w:hAnsi="Times New Roman" w:cs="Times New Roman"/>
          <w:color w:val="0E101A"/>
          <w:sz w:val="24"/>
          <w:szCs w:val="24"/>
        </w:rPr>
        <w:t>)</w:t>
      </w:r>
      <w:r w:rsidRPr="004D00CC">
        <w:rPr>
          <w:rFonts w:ascii="Times New Roman" w:eastAsia="Times New Roman" w:hAnsi="Times New Roman" w:cs="Times New Roman"/>
          <w:color w:val="0E101A"/>
          <w:sz w:val="24"/>
          <w:szCs w:val="24"/>
        </w:rPr>
        <w:t>. The public's confidence in the legal system is contingent upon this separation because it shows that judgments are reached impartially and independently.</w:t>
      </w:r>
    </w:p>
    <w:p w:rsidR="00B52BEC" w:rsidRPr="004D00CC" w:rsidP="004D00CC" w14:paraId="2B2FEE48" w14:textId="6E7EED58">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Accessibility to Justice:</w:t>
      </w:r>
      <w:r w:rsidRPr="004D00CC">
        <w:rPr>
          <w:rFonts w:ascii="Times New Roman" w:eastAsia="Times New Roman" w:hAnsi="Times New Roman" w:cs="Times New Roman"/>
          <w:color w:val="0E101A"/>
          <w:sz w:val="24"/>
          <w:szCs w:val="24"/>
        </w:rPr>
        <w:t xml:space="preserve"> Enhancing the accessibility of justice is an essential factor in upholding the legal perfection of equal opportunity. Improving access to legal help and representation makes it simpler for people to comprehend the legal system and guarantees that all individuals have the right to fairness compared to it is a privilege for a chosen few</w:t>
      </w:r>
      <w:r w:rsidRPr="004D00CC" w:rsidR="00A25D18">
        <w:rPr>
          <w:rFonts w:ascii="Times New Roman" w:eastAsia="Times New Roman" w:hAnsi="Times New Roman" w:cs="Times New Roman"/>
          <w:color w:val="0E101A"/>
          <w:sz w:val="24"/>
          <w:szCs w:val="24"/>
        </w:rPr>
        <w:t xml:space="preserve"> (</w:t>
      </w:r>
      <w:r w:rsidRPr="004D00CC" w:rsidR="00A25D18">
        <w:rPr>
          <w:rFonts w:ascii="Times New Roman" w:eastAsia="Times New Roman" w:hAnsi="Times New Roman" w:cs="Times New Roman"/>
          <w:color w:val="222222"/>
          <w:sz w:val="24"/>
          <w:szCs w:val="24"/>
          <w:highlight w:val="white"/>
        </w:rPr>
        <w:t>Prasetyoningsih</w:t>
      </w:r>
      <w:r w:rsidRPr="004D00CC" w:rsidR="00A25D18">
        <w:rPr>
          <w:rFonts w:ascii="Times New Roman" w:eastAsia="Times New Roman" w:hAnsi="Times New Roman" w:cs="Times New Roman"/>
          <w:color w:val="222222"/>
          <w:sz w:val="24"/>
          <w:szCs w:val="24"/>
          <w:highlight w:val="white"/>
        </w:rPr>
        <w:t>, 2020</w:t>
      </w:r>
      <w:r w:rsidRPr="004D00CC" w:rsidR="00A25D18">
        <w:rPr>
          <w:rFonts w:ascii="Times New Roman" w:eastAsia="Times New Roman" w:hAnsi="Times New Roman" w:cs="Times New Roman"/>
          <w:color w:val="0E101A"/>
          <w:sz w:val="24"/>
          <w:szCs w:val="24"/>
        </w:rPr>
        <w:t>)</w:t>
      </w:r>
      <w:r w:rsidRPr="004D00CC">
        <w:rPr>
          <w:rFonts w:ascii="Times New Roman" w:eastAsia="Times New Roman" w:hAnsi="Times New Roman" w:cs="Times New Roman"/>
          <w:color w:val="0E101A"/>
          <w:sz w:val="24"/>
          <w:szCs w:val="24"/>
        </w:rPr>
        <w:t>. It serves to ensure that there is an equitable legal system that respects the democratic ideals of equal protection under the law.</w:t>
      </w:r>
    </w:p>
    <w:p w:rsidR="00B52BEC" w:rsidRPr="004D00CC" w:rsidP="004D00CC" w14:paraId="68D51952"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Legal Education:</w:t>
      </w:r>
      <w:r w:rsidRPr="004D00CC">
        <w:rPr>
          <w:rFonts w:ascii="Times New Roman" w:eastAsia="Times New Roman" w:hAnsi="Times New Roman" w:cs="Times New Roman"/>
          <w:color w:val="0E101A"/>
          <w:sz w:val="24"/>
          <w:szCs w:val="24"/>
        </w:rPr>
        <w:t xml:space="preserve"> Increasing the public's understanding of and education concerning the law develops a legal spirit that allows people to understand and use their legal rights.</w:t>
      </w:r>
    </w:p>
    <w:p w:rsidR="00B52BEC" w:rsidRPr="004D00CC" w:rsidP="004D00CC" w14:paraId="52393E79" w14:textId="65458840">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b/>
          <w:color w:val="0E101A"/>
          <w:sz w:val="24"/>
          <w:szCs w:val="24"/>
        </w:rPr>
        <w:t xml:space="preserve">Adaptation to Technological advances: </w:t>
      </w:r>
      <w:r w:rsidRPr="004D00CC">
        <w:rPr>
          <w:rFonts w:ascii="Times New Roman" w:eastAsia="Times New Roman" w:hAnsi="Times New Roman" w:cs="Times New Roman"/>
          <w:color w:val="0E101A"/>
          <w:sz w:val="24"/>
          <w:szCs w:val="24"/>
        </w:rPr>
        <w:t>To ensure that legal frameworks can successfully regulate novel forms of activity while valuing established principles, reforms must tackle the issues brought forward by advances in technology.</w:t>
      </w:r>
    </w:p>
    <w:p w:rsidR="00B52BEC" w:rsidRPr="004D00CC" w:rsidP="004D00CC" w14:paraId="791E8012" w14:textId="77777777">
      <w:pPr>
        <w:pStyle w:val="Heading1"/>
        <w:rPr>
          <w:rFonts w:cs="Times New Roman"/>
        </w:rPr>
      </w:pPr>
      <w:bookmarkStart w:id="7" w:name="_Toc152003015"/>
      <w:r w:rsidRPr="004D00CC">
        <w:rPr>
          <w:rFonts w:cs="Times New Roman"/>
        </w:rPr>
        <w:t>Summary</w:t>
      </w:r>
      <w:bookmarkEnd w:id="7"/>
    </w:p>
    <w:p w:rsidR="00B52BEC" w:rsidRPr="004D00CC" w:rsidP="004D00CC" w14:paraId="222423C2" w14:textId="77777777">
      <w:pPr>
        <w:pStyle w:val="Normal1"/>
        <w:spacing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sz w:val="24"/>
          <w:szCs w:val="24"/>
        </w:rPr>
        <w:t>The research project examines the continued applicability of A.V. Dicey's rule of law ideas, putting a special focus on separation of powers and justice accessibility. It emphasizes the significance they play in maintaining equal treatment, impartiality, and justice throughout legal systems all of which are crucial for preserving the rule of the law in contemporary society.</w:t>
      </w:r>
    </w:p>
    <w:p w:rsidR="00B52BEC" w:rsidRPr="004D00CC" w:rsidP="004D00CC" w14:paraId="5F7C8EA2" w14:textId="77777777">
      <w:pPr>
        <w:pStyle w:val="Normal1"/>
        <w:spacing w:line="360" w:lineRule="auto"/>
        <w:jc w:val="both"/>
        <w:rPr>
          <w:rFonts w:ascii="Times New Roman" w:eastAsia="Times New Roman" w:hAnsi="Times New Roman" w:cs="Times New Roman"/>
          <w:b/>
          <w:sz w:val="24"/>
          <w:szCs w:val="24"/>
        </w:rPr>
      </w:pPr>
      <w:r w:rsidRPr="004D00CC">
        <w:rPr>
          <w:rFonts w:ascii="Times New Roman" w:hAnsi="Times New Roman" w:cs="Times New Roman"/>
        </w:rPr>
        <w:br w:type="page"/>
      </w:r>
    </w:p>
    <w:p w:rsidR="00B52BEC" w:rsidRPr="004D00CC" w:rsidP="004D00CC" w14:paraId="4878CFCB" w14:textId="77777777">
      <w:pPr>
        <w:pStyle w:val="Heading1"/>
        <w:rPr>
          <w:rFonts w:cs="Times New Roman"/>
        </w:rPr>
      </w:pPr>
      <w:bookmarkStart w:id="8" w:name="_Toc152003016"/>
      <w:r w:rsidRPr="004D00CC">
        <w:rPr>
          <w:rFonts w:cs="Times New Roman"/>
        </w:rPr>
        <w:t>References</w:t>
      </w:r>
      <w:bookmarkEnd w:id="8"/>
    </w:p>
    <w:p w:rsidR="00A25D18" w:rsidRPr="004D00CC" w:rsidP="004D00CC" w14:paraId="30561F9C"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Cane, P., 2022. AV Dicey as legal theorist. </w:t>
      </w:r>
      <w:r w:rsidRPr="004D00CC">
        <w:rPr>
          <w:rFonts w:ascii="Times New Roman" w:eastAsia="Times New Roman" w:hAnsi="Times New Roman" w:cs="Times New Roman"/>
          <w:i/>
          <w:sz w:val="24"/>
          <w:szCs w:val="24"/>
        </w:rPr>
        <w:t>MODERN LAW REVIEW</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85</w:t>
      </w:r>
      <w:r w:rsidRPr="004D00CC">
        <w:rPr>
          <w:rFonts w:ascii="Times New Roman" w:eastAsia="Times New Roman" w:hAnsi="Times New Roman" w:cs="Times New Roman"/>
          <w:sz w:val="24"/>
          <w:szCs w:val="24"/>
        </w:rPr>
        <w:t>(1), pp.247-267.</w:t>
      </w:r>
    </w:p>
    <w:p w:rsidR="00A25D18" w:rsidRPr="004D00CC" w:rsidP="004D00CC" w14:paraId="730768AE"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Dhivya, R. and </w:t>
      </w:r>
      <w:r w:rsidRPr="004D00CC">
        <w:rPr>
          <w:rFonts w:ascii="Times New Roman" w:eastAsia="Times New Roman" w:hAnsi="Times New Roman" w:cs="Times New Roman"/>
          <w:color w:val="222222"/>
          <w:sz w:val="24"/>
          <w:szCs w:val="24"/>
          <w:highlight w:val="white"/>
        </w:rPr>
        <w:t>Radhajayasheela</w:t>
      </w:r>
      <w:r w:rsidRPr="004D00CC">
        <w:rPr>
          <w:rFonts w:ascii="Times New Roman" w:eastAsia="Times New Roman" w:hAnsi="Times New Roman" w:cs="Times New Roman"/>
          <w:color w:val="222222"/>
          <w:sz w:val="24"/>
          <w:szCs w:val="24"/>
          <w:highlight w:val="white"/>
        </w:rPr>
        <w:t xml:space="preserve">, P.S., 2022. Rule of Law and Access to Justice: The Constitutional Perspective. </w:t>
      </w:r>
      <w:r w:rsidRPr="004D00CC">
        <w:rPr>
          <w:rFonts w:ascii="Times New Roman" w:eastAsia="Times New Roman" w:hAnsi="Times New Roman" w:cs="Times New Roman"/>
          <w:i/>
          <w:sz w:val="24"/>
          <w:szCs w:val="24"/>
        </w:rPr>
        <w:t xml:space="preserve">Issue 2 Indian JL &amp; Legal </w:t>
      </w:r>
      <w:r w:rsidRPr="004D00CC">
        <w:rPr>
          <w:rFonts w:ascii="Times New Roman" w:eastAsia="Times New Roman" w:hAnsi="Times New Roman" w:cs="Times New Roman"/>
          <w:i/>
          <w:sz w:val="24"/>
          <w:szCs w:val="24"/>
        </w:rPr>
        <w:t>Rsch</w:t>
      </w:r>
      <w:r w:rsidRPr="004D00CC">
        <w:rPr>
          <w:rFonts w:ascii="Times New Roman" w:eastAsia="Times New Roman" w:hAnsi="Times New Roman" w:cs="Times New Roman"/>
          <w:i/>
          <w:sz w:val="24"/>
          <w:szCs w:val="24"/>
        </w:rPr>
        <w:t>.</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4</w:t>
      </w:r>
      <w:r w:rsidRPr="004D00CC">
        <w:rPr>
          <w:rFonts w:ascii="Times New Roman" w:eastAsia="Times New Roman" w:hAnsi="Times New Roman" w:cs="Times New Roman"/>
          <w:sz w:val="24"/>
          <w:szCs w:val="24"/>
        </w:rPr>
        <w:t>, p.1.</w:t>
      </w:r>
    </w:p>
    <w:p w:rsidR="00A25D18" w:rsidRPr="004D00CC" w:rsidP="004D00CC" w14:paraId="7E47C036"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Johnson, R., 2022. Dobbs v. Jackson and the Revival of the States' Rights Constitution. </w:t>
      </w:r>
      <w:r w:rsidRPr="004D00CC">
        <w:rPr>
          <w:rFonts w:ascii="Times New Roman" w:eastAsia="Times New Roman" w:hAnsi="Times New Roman" w:cs="Times New Roman"/>
          <w:i/>
          <w:sz w:val="24"/>
          <w:szCs w:val="24"/>
        </w:rPr>
        <w:t>The Political Quarterly</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93</w:t>
      </w:r>
      <w:r w:rsidRPr="004D00CC">
        <w:rPr>
          <w:rFonts w:ascii="Times New Roman" w:eastAsia="Times New Roman" w:hAnsi="Times New Roman" w:cs="Times New Roman"/>
          <w:sz w:val="24"/>
          <w:szCs w:val="24"/>
        </w:rPr>
        <w:t>(4), pp.612-619.</w:t>
      </w:r>
    </w:p>
    <w:p w:rsidR="00A25D18" w:rsidRPr="004D00CC" w:rsidP="004D00CC" w14:paraId="21A5D221"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Kelemen, R.D., 2019. Is differentiation possible in rule of </w:t>
      </w:r>
      <w:r w:rsidRPr="004D00CC">
        <w:rPr>
          <w:rFonts w:ascii="Times New Roman" w:eastAsia="Times New Roman" w:hAnsi="Times New Roman" w:cs="Times New Roman"/>
          <w:color w:val="222222"/>
          <w:sz w:val="24"/>
          <w:szCs w:val="24"/>
          <w:highlight w:val="white"/>
        </w:rPr>
        <w:t>law?.</w:t>
      </w:r>
      <w:r w:rsidRPr="004D00CC">
        <w:rPr>
          <w:rFonts w:ascii="Times New Roman" w:eastAsia="Times New Roman" w:hAnsi="Times New Roman" w:cs="Times New Roman"/>
          <w:color w:val="222222"/>
          <w:sz w:val="24"/>
          <w:szCs w:val="24"/>
          <w:highlight w:val="white"/>
        </w:rPr>
        <w:t xml:space="preserve"> </w:t>
      </w:r>
      <w:r w:rsidRPr="004D00CC">
        <w:rPr>
          <w:rFonts w:ascii="Times New Roman" w:eastAsia="Times New Roman" w:hAnsi="Times New Roman" w:cs="Times New Roman"/>
          <w:i/>
          <w:sz w:val="24"/>
          <w:szCs w:val="24"/>
        </w:rPr>
        <w:t>Comparative European Politics</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17</w:t>
      </w:r>
      <w:r w:rsidRPr="004D00CC">
        <w:rPr>
          <w:rFonts w:ascii="Times New Roman" w:eastAsia="Times New Roman" w:hAnsi="Times New Roman" w:cs="Times New Roman"/>
          <w:sz w:val="24"/>
          <w:szCs w:val="24"/>
        </w:rPr>
        <w:t>, pp.246-260.</w:t>
      </w:r>
    </w:p>
    <w:p w:rsidR="00A25D18" w:rsidRPr="004D00CC" w:rsidP="004D00CC" w14:paraId="717AEEDD"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Krygier, M., 2019. </w:t>
      </w:r>
      <w:r w:rsidRPr="004D00CC">
        <w:rPr>
          <w:rFonts w:ascii="Times New Roman" w:eastAsia="Times New Roman" w:hAnsi="Times New Roman" w:cs="Times New Roman"/>
          <w:color w:val="222222"/>
          <w:sz w:val="24"/>
          <w:szCs w:val="24"/>
          <w:highlight w:val="white"/>
        </w:rPr>
        <w:t>What's</w:t>
      </w:r>
      <w:r w:rsidRPr="004D00CC">
        <w:rPr>
          <w:rFonts w:ascii="Times New Roman" w:eastAsia="Times New Roman" w:hAnsi="Times New Roman" w:cs="Times New Roman"/>
          <w:color w:val="222222"/>
          <w:sz w:val="24"/>
          <w:szCs w:val="24"/>
          <w:highlight w:val="white"/>
        </w:rPr>
        <w:t xml:space="preserve"> the Point of the Rule of Law. </w:t>
      </w:r>
      <w:r w:rsidRPr="004D00CC">
        <w:rPr>
          <w:rFonts w:ascii="Times New Roman" w:eastAsia="Times New Roman" w:hAnsi="Times New Roman" w:cs="Times New Roman"/>
          <w:i/>
          <w:sz w:val="24"/>
          <w:szCs w:val="24"/>
        </w:rPr>
        <w:t>Buff. L. Rev.</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67</w:t>
      </w:r>
      <w:r w:rsidRPr="004D00CC">
        <w:rPr>
          <w:rFonts w:ascii="Times New Roman" w:eastAsia="Times New Roman" w:hAnsi="Times New Roman" w:cs="Times New Roman"/>
          <w:sz w:val="24"/>
          <w:szCs w:val="24"/>
        </w:rPr>
        <w:t>, p.743.</w:t>
      </w:r>
    </w:p>
    <w:p w:rsidR="00A25D18" w:rsidRPr="004D00CC" w:rsidP="004D00CC" w14:paraId="142A7AF1"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Munir, A.I., 2023. The Exposition of the Rule of Law of Some Selected Philosophers of the 20th and 21st Centuries: An Overview. </w:t>
      </w:r>
      <w:r w:rsidRPr="004D00CC">
        <w:rPr>
          <w:rFonts w:ascii="Times New Roman" w:eastAsia="Times New Roman" w:hAnsi="Times New Roman" w:cs="Times New Roman"/>
          <w:i/>
          <w:sz w:val="24"/>
          <w:szCs w:val="24"/>
        </w:rPr>
        <w:t>Available at SSRN 4609067</w:t>
      </w:r>
      <w:r w:rsidRPr="004D00CC">
        <w:rPr>
          <w:rFonts w:ascii="Times New Roman" w:eastAsia="Times New Roman" w:hAnsi="Times New Roman" w:cs="Times New Roman"/>
          <w:sz w:val="24"/>
          <w:szCs w:val="24"/>
        </w:rPr>
        <w:t>.</w:t>
      </w:r>
    </w:p>
    <w:p w:rsidR="00A25D18" w:rsidRPr="004D00CC" w:rsidP="004D00CC" w14:paraId="3CBB1D55"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Pech, L., 2022. The Rule of Law as a well-established and well-defined principle of EU law. </w:t>
      </w:r>
      <w:r w:rsidRPr="004D00CC">
        <w:rPr>
          <w:rFonts w:ascii="Times New Roman" w:eastAsia="Times New Roman" w:hAnsi="Times New Roman" w:cs="Times New Roman"/>
          <w:i/>
          <w:sz w:val="24"/>
          <w:szCs w:val="24"/>
        </w:rPr>
        <w:t>Hague Journal on the Rule of Law</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14</w:t>
      </w:r>
      <w:r w:rsidRPr="004D00CC">
        <w:rPr>
          <w:rFonts w:ascii="Times New Roman" w:eastAsia="Times New Roman" w:hAnsi="Times New Roman" w:cs="Times New Roman"/>
          <w:sz w:val="24"/>
          <w:szCs w:val="24"/>
        </w:rPr>
        <w:t>(2-3), pp.107-138.</w:t>
      </w:r>
    </w:p>
    <w:p w:rsidR="00A25D18" w:rsidRPr="004D00CC" w:rsidP="004D00CC" w14:paraId="71611F0A"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Prasetyoningsih</w:t>
      </w:r>
      <w:r w:rsidRPr="004D00CC">
        <w:rPr>
          <w:rFonts w:ascii="Times New Roman" w:eastAsia="Times New Roman" w:hAnsi="Times New Roman" w:cs="Times New Roman"/>
          <w:color w:val="222222"/>
          <w:sz w:val="24"/>
          <w:szCs w:val="24"/>
          <w:highlight w:val="white"/>
        </w:rPr>
        <w:t xml:space="preserve">, N., 2020. Substance of Ideas in Several Rule of Law Concepts. </w:t>
      </w:r>
      <w:r w:rsidRPr="004D00CC">
        <w:rPr>
          <w:rFonts w:ascii="Times New Roman" w:eastAsia="Times New Roman" w:hAnsi="Times New Roman" w:cs="Times New Roman"/>
          <w:i/>
          <w:sz w:val="24"/>
          <w:szCs w:val="24"/>
        </w:rPr>
        <w:t>NuraniHukum</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3</w:t>
      </w:r>
      <w:r w:rsidRPr="004D00CC">
        <w:rPr>
          <w:rFonts w:ascii="Times New Roman" w:eastAsia="Times New Roman" w:hAnsi="Times New Roman" w:cs="Times New Roman"/>
          <w:sz w:val="24"/>
          <w:szCs w:val="24"/>
        </w:rPr>
        <w:t>, p.59.</w:t>
      </w:r>
    </w:p>
    <w:p w:rsidR="00A25D18" w:rsidRPr="004D00CC" w:rsidP="004D00CC" w14:paraId="35F0C8AE"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Sajan, A., 2023. Rule of Law: A Comparative Perspective. </w:t>
      </w:r>
      <w:r w:rsidRPr="004D00CC">
        <w:rPr>
          <w:rFonts w:ascii="Times New Roman" w:eastAsia="Times New Roman" w:hAnsi="Times New Roman" w:cs="Times New Roman"/>
          <w:i/>
          <w:sz w:val="24"/>
          <w:szCs w:val="24"/>
        </w:rPr>
        <w:t xml:space="preserve">Issue 2 Indian JL &amp; Legal </w:t>
      </w:r>
      <w:r w:rsidRPr="004D00CC">
        <w:rPr>
          <w:rFonts w:ascii="Times New Roman" w:eastAsia="Times New Roman" w:hAnsi="Times New Roman" w:cs="Times New Roman"/>
          <w:i/>
          <w:sz w:val="24"/>
          <w:szCs w:val="24"/>
        </w:rPr>
        <w:t>Rsch</w:t>
      </w:r>
      <w:r w:rsidRPr="004D00CC">
        <w:rPr>
          <w:rFonts w:ascii="Times New Roman" w:eastAsia="Times New Roman" w:hAnsi="Times New Roman" w:cs="Times New Roman"/>
          <w:i/>
          <w:sz w:val="24"/>
          <w:szCs w:val="24"/>
        </w:rPr>
        <w:t>.</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5</w:t>
      </w:r>
      <w:r w:rsidRPr="004D00CC">
        <w:rPr>
          <w:rFonts w:ascii="Times New Roman" w:eastAsia="Times New Roman" w:hAnsi="Times New Roman" w:cs="Times New Roman"/>
          <w:sz w:val="24"/>
          <w:szCs w:val="24"/>
        </w:rPr>
        <w:t>, p.1.</w:t>
      </w:r>
    </w:p>
    <w:p w:rsidR="00A25D18" w:rsidRPr="004D00CC" w:rsidP="004D00CC" w14:paraId="714F9366"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Shakkarwar</w:t>
      </w:r>
      <w:r w:rsidRPr="004D00CC">
        <w:rPr>
          <w:rFonts w:ascii="Times New Roman" w:eastAsia="Times New Roman" w:hAnsi="Times New Roman" w:cs="Times New Roman"/>
          <w:color w:val="222222"/>
          <w:sz w:val="24"/>
          <w:szCs w:val="24"/>
          <w:highlight w:val="white"/>
        </w:rPr>
        <w:t xml:space="preserve">, K.A., 2022. Evolving Contours of Rule of Law in the Connected Society: At a Turning </w:t>
      </w:r>
      <w:r w:rsidRPr="004D00CC">
        <w:rPr>
          <w:rFonts w:ascii="Times New Roman" w:eastAsia="Times New Roman" w:hAnsi="Times New Roman" w:cs="Times New Roman"/>
          <w:color w:val="222222"/>
          <w:sz w:val="24"/>
          <w:szCs w:val="24"/>
          <w:highlight w:val="white"/>
        </w:rPr>
        <w:t>Point?.</w:t>
      </w:r>
      <w:r w:rsidRPr="004D00CC">
        <w:rPr>
          <w:rFonts w:ascii="Times New Roman" w:eastAsia="Times New Roman" w:hAnsi="Times New Roman" w:cs="Times New Roman"/>
          <w:color w:val="222222"/>
          <w:sz w:val="24"/>
          <w:szCs w:val="24"/>
          <w:highlight w:val="white"/>
        </w:rPr>
        <w:t xml:space="preserve"> </w:t>
      </w:r>
      <w:r w:rsidRPr="004D00CC">
        <w:rPr>
          <w:rFonts w:ascii="Times New Roman" w:eastAsia="Times New Roman" w:hAnsi="Times New Roman" w:cs="Times New Roman"/>
          <w:i/>
          <w:sz w:val="24"/>
          <w:szCs w:val="24"/>
        </w:rPr>
        <w:t xml:space="preserve">Part 1 Indian J. Integrated </w:t>
      </w:r>
      <w:r w:rsidRPr="004D00CC">
        <w:rPr>
          <w:rFonts w:ascii="Times New Roman" w:eastAsia="Times New Roman" w:hAnsi="Times New Roman" w:cs="Times New Roman"/>
          <w:i/>
          <w:sz w:val="24"/>
          <w:szCs w:val="24"/>
        </w:rPr>
        <w:t>Rsch</w:t>
      </w:r>
      <w:r w:rsidRPr="004D00CC">
        <w:rPr>
          <w:rFonts w:ascii="Times New Roman" w:eastAsia="Times New Roman" w:hAnsi="Times New Roman" w:cs="Times New Roman"/>
          <w:i/>
          <w:sz w:val="24"/>
          <w:szCs w:val="24"/>
        </w:rPr>
        <w:t>. L.</w:t>
      </w:r>
      <w:r w:rsidRPr="004D00CC">
        <w:rPr>
          <w:rFonts w:ascii="Times New Roman" w:eastAsia="Times New Roman" w:hAnsi="Times New Roman" w:cs="Times New Roman"/>
          <w:sz w:val="24"/>
          <w:szCs w:val="24"/>
        </w:rPr>
        <w:t xml:space="preserve">, </w:t>
      </w:r>
      <w:r w:rsidRPr="004D00CC">
        <w:rPr>
          <w:rFonts w:ascii="Times New Roman" w:eastAsia="Times New Roman" w:hAnsi="Times New Roman" w:cs="Times New Roman"/>
          <w:i/>
          <w:sz w:val="24"/>
          <w:szCs w:val="24"/>
        </w:rPr>
        <w:t>2</w:t>
      </w:r>
      <w:r w:rsidRPr="004D00CC">
        <w:rPr>
          <w:rFonts w:ascii="Times New Roman" w:eastAsia="Times New Roman" w:hAnsi="Times New Roman" w:cs="Times New Roman"/>
          <w:sz w:val="24"/>
          <w:szCs w:val="24"/>
        </w:rPr>
        <w:t>, p.1.</w:t>
      </w:r>
    </w:p>
    <w:p w:rsidR="00A25D18" w:rsidRPr="004D00CC" w:rsidP="004D00CC" w14:paraId="14D6A83E"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 xml:space="preserve">SINGH, A.P., 2020. Dicey’s Rule of Law: Perspectives and Relevance to a Just Legal Order. </w:t>
      </w:r>
      <w:r w:rsidRPr="004D00CC">
        <w:rPr>
          <w:rFonts w:ascii="Times New Roman" w:eastAsia="Times New Roman" w:hAnsi="Times New Roman" w:cs="Times New Roman"/>
          <w:i/>
          <w:sz w:val="24"/>
          <w:szCs w:val="24"/>
        </w:rPr>
        <w:t>Editorial Boards</w:t>
      </w:r>
      <w:r w:rsidRPr="004D00CC">
        <w:rPr>
          <w:rFonts w:ascii="Times New Roman" w:eastAsia="Times New Roman" w:hAnsi="Times New Roman" w:cs="Times New Roman"/>
          <w:sz w:val="24"/>
          <w:szCs w:val="24"/>
        </w:rPr>
        <w:t>, p.11.</w:t>
      </w:r>
    </w:p>
    <w:p w:rsidR="00A25D18" w:rsidRPr="004D00CC" w:rsidP="004D00CC" w14:paraId="0A01137D"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Sonthalia</w:t>
      </w:r>
      <w:r w:rsidRPr="004D00CC">
        <w:rPr>
          <w:rFonts w:ascii="Times New Roman" w:eastAsia="Times New Roman" w:hAnsi="Times New Roman" w:cs="Times New Roman"/>
          <w:color w:val="222222"/>
          <w:sz w:val="24"/>
          <w:szCs w:val="24"/>
          <w:highlight w:val="white"/>
        </w:rPr>
        <w:t xml:space="preserve">, S., 2021. Concept of Rule of Law </w:t>
      </w:r>
      <w:r w:rsidRPr="004D00CC">
        <w:rPr>
          <w:rFonts w:ascii="Times New Roman" w:eastAsia="Times New Roman" w:hAnsi="Times New Roman" w:cs="Times New Roman"/>
          <w:color w:val="222222"/>
          <w:sz w:val="24"/>
          <w:szCs w:val="24"/>
          <w:highlight w:val="white"/>
        </w:rPr>
        <w:t>with Regard to</w:t>
      </w:r>
      <w:r w:rsidRPr="004D00CC">
        <w:rPr>
          <w:rFonts w:ascii="Times New Roman" w:eastAsia="Times New Roman" w:hAnsi="Times New Roman" w:cs="Times New Roman"/>
          <w:color w:val="222222"/>
          <w:sz w:val="24"/>
          <w:szCs w:val="24"/>
          <w:highlight w:val="white"/>
        </w:rPr>
        <w:t xml:space="preserve"> Supreme Court Judgment. </w:t>
      </w:r>
      <w:r w:rsidRPr="004D00CC">
        <w:rPr>
          <w:rFonts w:ascii="Times New Roman" w:eastAsia="Times New Roman" w:hAnsi="Times New Roman" w:cs="Times New Roman"/>
          <w:i/>
          <w:sz w:val="24"/>
          <w:szCs w:val="24"/>
        </w:rPr>
        <w:t>Available at SSRN 3861020</w:t>
      </w:r>
      <w:r w:rsidRPr="004D00CC">
        <w:rPr>
          <w:rFonts w:ascii="Times New Roman" w:eastAsia="Times New Roman" w:hAnsi="Times New Roman" w:cs="Times New Roman"/>
          <w:sz w:val="24"/>
          <w:szCs w:val="24"/>
        </w:rPr>
        <w:t>.</w:t>
      </w:r>
    </w:p>
    <w:p w:rsidR="00A25D18" w:rsidRPr="004D00CC" w:rsidP="004D00CC" w14:paraId="66556864" w14:textId="77777777">
      <w:pPr>
        <w:pStyle w:val="Normal1"/>
        <w:spacing w:before="240" w:after="240" w:line="360" w:lineRule="auto"/>
        <w:jc w:val="both"/>
        <w:rPr>
          <w:rFonts w:ascii="Times New Roman" w:eastAsia="Times New Roman" w:hAnsi="Times New Roman" w:cs="Times New Roman"/>
          <w:sz w:val="24"/>
          <w:szCs w:val="24"/>
        </w:rPr>
      </w:pPr>
      <w:r w:rsidRPr="004D00CC">
        <w:rPr>
          <w:rFonts w:ascii="Times New Roman" w:eastAsia="Times New Roman" w:hAnsi="Times New Roman" w:cs="Times New Roman"/>
          <w:color w:val="222222"/>
          <w:sz w:val="24"/>
          <w:szCs w:val="24"/>
          <w:highlight w:val="white"/>
        </w:rPr>
        <w:t>Михайлов</w:t>
      </w:r>
      <w:r w:rsidRPr="004D00CC">
        <w:rPr>
          <w:rFonts w:ascii="Times New Roman" w:eastAsia="Times New Roman" w:hAnsi="Times New Roman" w:cs="Times New Roman"/>
          <w:color w:val="222222"/>
          <w:sz w:val="24"/>
          <w:szCs w:val="24"/>
          <w:highlight w:val="white"/>
        </w:rPr>
        <w:t xml:space="preserve">, А.М., 2023. Understanding the Rule of Law in Joseph Raz's Positivist Doctrine. </w:t>
      </w:r>
      <w:r w:rsidRPr="004D00CC">
        <w:rPr>
          <w:rFonts w:ascii="Times New Roman" w:eastAsia="Times New Roman" w:hAnsi="Times New Roman" w:cs="Times New Roman"/>
          <w:i/>
          <w:sz w:val="24"/>
          <w:szCs w:val="24"/>
        </w:rPr>
        <w:t>Политика</w:t>
      </w:r>
      <w:r w:rsidRPr="004D00CC">
        <w:rPr>
          <w:rFonts w:ascii="Times New Roman" w:eastAsia="Times New Roman" w:hAnsi="Times New Roman" w:cs="Times New Roman"/>
          <w:i/>
          <w:sz w:val="24"/>
          <w:szCs w:val="24"/>
        </w:rPr>
        <w:t xml:space="preserve"> и </w:t>
      </w:r>
      <w:r w:rsidRPr="004D00CC">
        <w:rPr>
          <w:rFonts w:ascii="Times New Roman" w:eastAsia="Times New Roman" w:hAnsi="Times New Roman" w:cs="Times New Roman"/>
          <w:i/>
          <w:sz w:val="24"/>
          <w:szCs w:val="24"/>
        </w:rPr>
        <w:t>общество</w:t>
      </w:r>
      <w:r w:rsidRPr="004D00CC">
        <w:rPr>
          <w:rFonts w:ascii="Times New Roman" w:eastAsia="Times New Roman" w:hAnsi="Times New Roman" w:cs="Times New Roman"/>
          <w:sz w:val="24"/>
          <w:szCs w:val="24"/>
        </w:rPr>
        <w:t>, (1), pp.33-45.</w:t>
      </w:r>
    </w:p>
    <w:p w:rsidR="00A25742" w:rsidRPr="004D00CC" w:rsidP="004D00CC" w14:paraId="20BB4135" w14:textId="6193DC0F">
      <w:pPr>
        <w:pStyle w:val="Normal1"/>
        <w:spacing w:before="240" w:after="240" w:line="360" w:lineRule="auto"/>
        <w:jc w:val="both"/>
        <w:rPr>
          <w:rFonts w:ascii="Times New Roman" w:eastAsia="Times New Roman" w:hAnsi="Times New Roman" w:cs="Times New Roman"/>
          <w:b/>
          <w:bCs/>
          <w:sz w:val="24"/>
          <w:szCs w:val="24"/>
        </w:rPr>
      </w:pPr>
      <w:r w:rsidRPr="004D00CC">
        <w:rPr>
          <w:rFonts w:ascii="Times New Roman" w:eastAsia="Times New Roman" w:hAnsi="Times New Roman" w:cs="Times New Roman"/>
          <w:b/>
          <w:bCs/>
          <w:sz w:val="24"/>
          <w:szCs w:val="24"/>
        </w:rPr>
        <w:t>Case Laws</w:t>
      </w:r>
    </w:p>
    <w:p w:rsidR="00A25742" w:rsidRPr="004D00CC" w:rsidP="004D00CC" w14:paraId="541674EE"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color w:val="0E101A"/>
          <w:sz w:val="24"/>
          <w:szCs w:val="24"/>
        </w:rPr>
        <w:t>Entick v Carrington [1765] 19 St Tr 1030</w:t>
      </w:r>
    </w:p>
    <w:p w:rsidR="00A25742" w:rsidRPr="004D00CC" w:rsidP="004D00CC" w14:paraId="3CC4DB96" w14:textId="77777777">
      <w:pPr>
        <w:pStyle w:val="Normal1"/>
        <w:spacing w:line="360" w:lineRule="auto"/>
        <w:jc w:val="both"/>
        <w:rPr>
          <w:rFonts w:ascii="Times New Roman" w:eastAsia="Times New Roman" w:hAnsi="Times New Roman" w:cs="Times New Roman"/>
          <w:color w:val="0E101A"/>
          <w:sz w:val="24"/>
          <w:szCs w:val="24"/>
        </w:rPr>
      </w:pPr>
      <w:r w:rsidRPr="004D00CC">
        <w:rPr>
          <w:rFonts w:ascii="Times New Roman" w:eastAsia="Times New Roman" w:hAnsi="Times New Roman" w:cs="Times New Roman"/>
          <w:color w:val="0E101A"/>
          <w:sz w:val="24"/>
          <w:szCs w:val="24"/>
        </w:rPr>
        <w:t>M v Home Office [1994] 1 AC 377</w:t>
      </w:r>
    </w:p>
    <w:p w:rsidR="00A25742" w:rsidRPr="004D00CC" w:rsidP="004D00CC" w14:paraId="2AE5FC8D" w14:textId="77777777">
      <w:pPr>
        <w:pStyle w:val="Normal1"/>
        <w:spacing w:before="240" w:after="240" w:line="360" w:lineRule="auto"/>
        <w:jc w:val="both"/>
        <w:rPr>
          <w:rFonts w:ascii="Times New Roman" w:eastAsia="Times New Roman" w:hAnsi="Times New Roman" w:cs="Times New Roman"/>
          <w:sz w:val="24"/>
          <w:szCs w:val="24"/>
        </w:rPr>
      </w:pPr>
    </w:p>
    <w:sectPr w:rsidSect="008500F9">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id w:val="9836094"/>
      <w:docPartObj>
        <w:docPartGallery w:val="Page Numbers (Bottom of Page)"/>
        <w:docPartUnique/>
      </w:docPartObj>
    </w:sdtPr>
    <w:sdtContent>
      <w:p w:rsidR="008500F9" w14:paraId="562EDB98" w14:textId="77777777">
        <w:pPr>
          <w:pStyle w:val="Footer"/>
          <w:jc w:val="right"/>
        </w:pPr>
        <w:r w:rsidRPr="008500F9">
          <w:rPr>
            <w:rFonts w:ascii="Times New Roman" w:hAnsi="Times New Roman" w:cs="Times New Roman"/>
            <w:sz w:val="20"/>
            <w:szCs w:val="20"/>
          </w:rPr>
          <w:fldChar w:fldCharType="begin"/>
        </w:r>
        <w:r w:rsidRPr="008500F9">
          <w:rPr>
            <w:rFonts w:ascii="Times New Roman" w:hAnsi="Times New Roman" w:cs="Times New Roman"/>
            <w:sz w:val="20"/>
            <w:szCs w:val="20"/>
          </w:rPr>
          <w:instrText xml:space="preserve"> PAGE   \* MERGEFORMAT </w:instrText>
        </w:r>
        <w:r w:rsidRPr="008500F9">
          <w:rPr>
            <w:rFonts w:ascii="Times New Roman" w:hAnsi="Times New Roman" w:cs="Times New Roman"/>
            <w:sz w:val="20"/>
            <w:szCs w:val="20"/>
          </w:rPr>
          <w:fldChar w:fldCharType="separate"/>
        </w:r>
        <w:r w:rsidR="006843B4">
          <w:rPr>
            <w:rFonts w:ascii="Times New Roman" w:hAnsi="Times New Roman" w:cs="Times New Roman"/>
            <w:noProof/>
            <w:sz w:val="20"/>
            <w:szCs w:val="20"/>
          </w:rPr>
          <w:t>9</w:t>
        </w:r>
        <w:r w:rsidRPr="008500F9">
          <w:rPr>
            <w:rFonts w:ascii="Times New Roman" w:hAnsi="Times New Roman" w:cs="Times New Roman"/>
            <w:sz w:val="20"/>
            <w:szCs w:val="20"/>
          </w:rPr>
          <w:fldChar w:fldCharType="end"/>
        </w:r>
      </w:p>
    </w:sdtContent>
  </w:sdt>
  <w:p w:rsidR="008500F9" w14:paraId="5EAB4BEE"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60530AC1"/>
    <w:multiLevelType w:val="hybridMultilevel"/>
    <w:tmpl w:val="9A1C947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590698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BEC"/>
    <w:rsid w:val="00085236"/>
    <w:rsid w:val="000A0CDA"/>
    <w:rsid w:val="000E2471"/>
    <w:rsid w:val="000F2C43"/>
    <w:rsid w:val="00130988"/>
    <w:rsid w:val="001569B5"/>
    <w:rsid w:val="001716BA"/>
    <w:rsid w:val="002D16CB"/>
    <w:rsid w:val="00323844"/>
    <w:rsid w:val="003304C3"/>
    <w:rsid w:val="00377AA4"/>
    <w:rsid w:val="003C31E4"/>
    <w:rsid w:val="003D4BE9"/>
    <w:rsid w:val="003E1A83"/>
    <w:rsid w:val="004002B4"/>
    <w:rsid w:val="00495900"/>
    <w:rsid w:val="004C7490"/>
    <w:rsid w:val="004D00CC"/>
    <w:rsid w:val="00542C31"/>
    <w:rsid w:val="005C4F8D"/>
    <w:rsid w:val="006843B4"/>
    <w:rsid w:val="00726C2D"/>
    <w:rsid w:val="007975B3"/>
    <w:rsid w:val="007F6C98"/>
    <w:rsid w:val="008500F9"/>
    <w:rsid w:val="00855747"/>
    <w:rsid w:val="00855F16"/>
    <w:rsid w:val="008F3961"/>
    <w:rsid w:val="00A25742"/>
    <w:rsid w:val="00A25D18"/>
    <w:rsid w:val="00A42B87"/>
    <w:rsid w:val="00B52BEC"/>
    <w:rsid w:val="00B53C8E"/>
    <w:rsid w:val="00C0063F"/>
    <w:rsid w:val="00D16E9A"/>
    <w:rsid w:val="00D35690"/>
    <w:rsid w:val="00D67CC2"/>
    <w:rsid w:val="00E148EC"/>
    <w:rsid w:val="00E16A39"/>
    <w:rsid w:val="00F24E1F"/>
  </w:rsids>
  <m:mathPr>
    <m:mathFont m:val="Cambria Math"/>
    <m:smallFrac/>
  </m:mathPr>
  <w:themeFontLang w:val="en-US" w:eastAsia="zh-CN"/>
  <w:clrSchemeMapping w:bg1="light1" w:t1="dark1" w:bg2="light2" w:t2="dark2" w:accent1="accent1" w:accent2="accent2" w:accent3="accent3" w:accent4="accent4" w:accent5="accent5" w:accent6="accent6" w:hyperlink="hyperlink" w:followedHyperlink="followedHyperlink"/>
  <w14:docId w14:val="6A8751DF"/>
  <w15:docId w15:val="{387F4E46-0FF9-420F-B58D-63C15E53C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7CC2"/>
  </w:style>
  <w:style w:type="paragraph" w:styleId="Heading1">
    <w:name w:val="heading 1"/>
    <w:basedOn w:val="Normal1"/>
    <w:next w:val="Normal1"/>
    <w:rsid w:val="008500F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B52BEC"/>
    <w:pPr>
      <w:keepNext/>
      <w:keepLines/>
      <w:spacing w:before="360" w:after="120"/>
      <w:outlineLvl w:val="1"/>
    </w:pPr>
    <w:rPr>
      <w:sz w:val="32"/>
      <w:szCs w:val="32"/>
    </w:rPr>
  </w:style>
  <w:style w:type="paragraph" w:styleId="Heading3">
    <w:name w:val="heading 3"/>
    <w:basedOn w:val="Normal1"/>
    <w:next w:val="Normal1"/>
    <w:rsid w:val="00B52BEC"/>
    <w:pPr>
      <w:keepNext/>
      <w:keepLines/>
      <w:spacing w:before="320" w:after="80"/>
      <w:outlineLvl w:val="2"/>
    </w:pPr>
    <w:rPr>
      <w:color w:val="434343"/>
      <w:sz w:val="28"/>
      <w:szCs w:val="28"/>
    </w:rPr>
  </w:style>
  <w:style w:type="paragraph" w:styleId="Heading4">
    <w:name w:val="heading 4"/>
    <w:basedOn w:val="Normal1"/>
    <w:next w:val="Normal1"/>
    <w:rsid w:val="00B52BEC"/>
    <w:pPr>
      <w:keepNext/>
      <w:keepLines/>
      <w:spacing w:before="280" w:after="80"/>
      <w:outlineLvl w:val="3"/>
    </w:pPr>
    <w:rPr>
      <w:color w:val="666666"/>
      <w:sz w:val="24"/>
      <w:szCs w:val="24"/>
    </w:rPr>
  </w:style>
  <w:style w:type="paragraph" w:styleId="Heading5">
    <w:name w:val="heading 5"/>
    <w:basedOn w:val="Normal1"/>
    <w:next w:val="Normal1"/>
    <w:rsid w:val="00B52BEC"/>
    <w:pPr>
      <w:keepNext/>
      <w:keepLines/>
      <w:spacing w:before="240" w:after="80"/>
      <w:outlineLvl w:val="4"/>
    </w:pPr>
    <w:rPr>
      <w:color w:val="666666"/>
    </w:rPr>
  </w:style>
  <w:style w:type="paragraph" w:styleId="Heading6">
    <w:name w:val="heading 6"/>
    <w:basedOn w:val="Normal1"/>
    <w:next w:val="Normal1"/>
    <w:rsid w:val="00B52BE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52BEC"/>
  </w:style>
  <w:style w:type="paragraph" w:styleId="Title">
    <w:name w:val="Title"/>
    <w:basedOn w:val="Normal1"/>
    <w:next w:val="Normal1"/>
    <w:rsid w:val="00B52BEC"/>
    <w:pPr>
      <w:keepNext/>
      <w:keepLines/>
      <w:spacing w:after="60"/>
    </w:pPr>
    <w:rPr>
      <w:sz w:val="52"/>
      <w:szCs w:val="52"/>
    </w:rPr>
  </w:style>
  <w:style w:type="paragraph" w:styleId="Subtitle">
    <w:name w:val="Subtitle"/>
    <w:basedOn w:val="Normal1"/>
    <w:next w:val="Normal1"/>
    <w:rsid w:val="00B52BEC"/>
    <w:pPr>
      <w:keepNext/>
      <w:keepLines/>
      <w:spacing w:after="320"/>
    </w:pPr>
    <w:rPr>
      <w:color w:val="666666"/>
      <w:sz w:val="30"/>
      <w:szCs w:val="30"/>
    </w:rPr>
  </w:style>
  <w:style w:type="paragraph" w:styleId="Header">
    <w:name w:val="header"/>
    <w:basedOn w:val="Normal"/>
    <w:link w:val="HeaderChar"/>
    <w:uiPriority w:val="99"/>
    <w:semiHidden/>
    <w:unhideWhenUsed/>
    <w:rsid w:val="008500F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500F9"/>
  </w:style>
  <w:style w:type="paragraph" w:styleId="Footer">
    <w:name w:val="footer"/>
    <w:basedOn w:val="Normal"/>
    <w:link w:val="FooterChar"/>
    <w:uiPriority w:val="99"/>
    <w:unhideWhenUsed/>
    <w:rsid w:val="008500F9"/>
    <w:pPr>
      <w:tabs>
        <w:tab w:val="center" w:pos="4680"/>
        <w:tab w:val="right" w:pos="9360"/>
      </w:tabs>
      <w:spacing w:line="240" w:lineRule="auto"/>
    </w:pPr>
  </w:style>
  <w:style w:type="character" w:customStyle="1" w:styleId="FooterChar">
    <w:name w:val="Footer Char"/>
    <w:basedOn w:val="DefaultParagraphFont"/>
    <w:link w:val="Footer"/>
    <w:uiPriority w:val="99"/>
    <w:rsid w:val="008500F9"/>
  </w:style>
  <w:style w:type="paragraph" w:styleId="TOCHeading">
    <w:name w:val="TOC Heading"/>
    <w:basedOn w:val="Heading1"/>
    <w:next w:val="Normal"/>
    <w:uiPriority w:val="39"/>
    <w:semiHidden/>
    <w:unhideWhenUsed/>
    <w:qFormat/>
    <w:rsid w:val="008500F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500F9"/>
    <w:pPr>
      <w:spacing w:after="100"/>
    </w:pPr>
  </w:style>
  <w:style w:type="character" w:styleId="Hyperlink">
    <w:name w:val="Hyperlink"/>
    <w:basedOn w:val="DefaultParagraphFont"/>
    <w:uiPriority w:val="99"/>
    <w:unhideWhenUsed/>
    <w:rsid w:val="008500F9"/>
    <w:rPr>
      <w:color w:val="0000FF" w:themeColor="hyperlink"/>
      <w:u w:val="single"/>
    </w:rPr>
  </w:style>
  <w:style w:type="paragraph" w:styleId="BalloonText">
    <w:name w:val="Balloon Text"/>
    <w:basedOn w:val="Normal"/>
    <w:link w:val="BalloonTextChar"/>
    <w:uiPriority w:val="99"/>
    <w:semiHidden/>
    <w:unhideWhenUsed/>
    <w:rsid w:val="008500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0F9"/>
    <w:rPr>
      <w:rFonts w:ascii="Tahoma" w:hAnsi="Tahoma" w:cs="Tahoma"/>
      <w:sz w:val="16"/>
      <w:szCs w:val="16"/>
    </w:rPr>
  </w:style>
  <w:style w:type="character" w:styleId="CommentReference">
    <w:name w:val="annotation reference"/>
    <w:basedOn w:val="DefaultParagraphFont"/>
    <w:uiPriority w:val="99"/>
    <w:semiHidden/>
    <w:unhideWhenUsed/>
    <w:rsid w:val="000E2471"/>
    <w:rPr>
      <w:sz w:val="16"/>
      <w:szCs w:val="16"/>
    </w:rPr>
  </w:style>
  <w:style w:type="paragraph" w:styleId="CommentText">
    <w:name w:val="annotation text"/>
    <w:basedOn w:val="Normal"/>
    <w:link w:val="CommentTextChar"/>
    <w:uiPriority w:val="99"/>
    <w:unhideWhenUsed/>
    <w:rsid w:val="000E2471"/>
    <w:pPr>
      <w:spacing w:line="240" w:lineRule="auto"/>
    </w:pPr>
    <w:rPr>
      <w:sz w:val="20"/>
      <w:szCs w:val="20"/>
    </w:rPr>
  </w:style>
  <w:style w:type="character" w:customStyle="1" w:styleId="CommentTextChar">
    <w:name w:val="Comment Text Char"/>
    <w:basedOn w:val="DefaultParagraphFont"/>
    <w:link w:val="CommentText"/>
    <w:uiPriority w:val="99"/>
    <w:rsid w:val="000E2471"/>
    <w:rPr>
      <w:sz w:val="20"/>
      <w:szCs w:val="20"/>
    </w:rPr>
  </w:style>
  <w:style w:type="paragraph" w:styleId="CommentSubject">
    <w:name w:val="annotation subject"/>
    <w:basedOn w:val="CommentText"/>
    <w:next w:val="CommentText"/>
    <w:link w:val="CommentSubjectChar"/>
    <w:uiPriority w:val="99"/>
    <w:semiHidden/>
    <w:unhideWhenUsed/>
    <w:rsid w:val="000E2471"/>
    <w:rPr>
      <w:b/>
      <w:bCs/>
    </w:rPr>
  </w:style>
  <w:style w:type="character" w:customStyle="1" w:styleId="CommentSubjectChar">
    <w:name w:val="Comment Subject Char"/>
    <w:basedOn w:val="CommentTextChar"/>
    <w:link w:val="CommentSubject"/>
    <w:uiPriority w:val="99"/>
    <w:semiHidden/>
    <w:rsid w:val="000E247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diagramColors" Target="diagrams/colors1.xml" /><Relationship Id="rId11" Type="http://schemas.openxmlformats.org/officeDocument/2006/relationships/footer" Target="footer1.xml" /><Relationship Id="rId12" Type="http://schemas.openxmlformats.org/officeDocument/2006/relationships/theme" Target="theme/theme1.xml" /><Relationship Id="rId13" Type="http://schemas.openxmlformats.org/officeDocument/2006/relationships/numbering" Target="numbering.xml" /><Relationship Id="rId14"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microsoft.com/office/2007/relationships/diagramDrawing" Target="diagrams/drawing1.xml" /><Relationship Id="rId7" Type="http://schemas.openxmlformats.org/officeDocument/2006/relationships/diagramData" Target="diagrams/data1.xml" /><Relationship Id="rId8" Type="http://schemas.openxmlformats.org/officeDocument/2006/relationships/diagramLayout" Target="diagrams/layout1.xml" /><Relationship Id="rId9" Type="http://schemas.openxmlformats.org/officeDocument/2006/relationships/diagramQuickStyle" Target="diagrams/quickStyle1.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693FED-919E-4E74-A465-65BEED914D2C}" type="doc">
      <dgm:prSet loTypeId="urn:microsoft.com/office/officeart/2005/8/layout/list1" loCatId="list" qsTypeId="urn:microsoft.com/office/officeart/2005/8/quickstyle/3d1" qsCatId="3D" csTypeId="urn:microsoft.com/office/officeart/2005/8/colors/colorful3" csCatId="colorful" phldr="1"/>
      <dgm:spPr/>
      <dgm:t>
        <a:bodyPr/>
        <a:lstStyle/>
        <a:p>
          <a:endParaRPr lang="en-US"/>
        </a:p>
      </dgm:t>
    </dgm:pt>
    <dgm:pt modelId="{5454E25F-A7EE-48B6-9989-1AFC5246C4C8}">
      <dgm:prSet phldrT="[Text]" custT="1"/>
      <dgm:spPr/>
      <dgm:t>
        <a:bodyPr/>
        <a:lstStyle/>
        <a:p>
          <a:pPr algn="ctr"/>
          <a:r>
            <a:rPr lang="en-US" sz="1200" b="1">
              <a:solidFill>
                <a:sysClr val="windowText" lastClr="000000"/>
              </a:solidFill>
              <a:latin typeface="Times New Roman" pitchFamily="18" charset="0"/>
              <a:cs typeface="Times New Roman" pitchFamily="18" charset="0"/>
            </a:rPr>
            <a:t>Separation of power</a:t>
          </a:r>
          <a:endParaRPr lang="en-US" sz="1200">
            <a:solidFill>
              <a:sysClr val="windowText" lastClr="000000"/>
            </a:solidFill>
            <a:latin typeface="Times New Roman" pitchFamily="18" charset="0"/>
            <a:cs typeface="Times New Roman" pitchFamily="18" charset="0"/>
          </a:endParaRPr>
        </a:p>
      </dgm:t>
    </dgm:pt>
    <dgm:pt modelId="{8E65EDF5-F2E4-4837-AF5C-967459FC10B4}" type="parTrans" cxnId="{1DC082B1-DF80-4156-BAB5-25AA6B86C8C7}">
      <dgm:prSet/>
      <dgm:spPr/>
      <dgm:t>
        <a:bodyPr/>
        <a:lstStyle/>
        <a:p>
          <a:pPr algn="ctr"/>
          <a:endParaRPr lang="en-US"/>
        </a:p>
      </dgm:t>
    </dgm:pt>
    <dgm:pt modelId="{9F881CA5-28BB-42D8-B8EF-E996C8BE0621}" type="sibTrans" cxnId="{1DC082B1-DF80-4156-BAB5-25AA6B86C8C7}">
      <dgm:prSet/>
      <dgm:spPr/>
      <dgm:t>
        <a:bodyPr/>
        <a:lstStyle/>
        <a:p>
          <a:pPr algn="ctr"/>
          <a:endParaRPr lang="en-US"/>
        </a:p>
      </dgm:t>
    </dgm:pt>
    <dgm:pt modelId="{51F42A89-21DC-4828-B208-FFD6F75040A6}">
      <dgm:prSet custT="1"/>
      <dgm:spPr/>
      <dgm:t>
        <a:bodyPr/>
        <a:lstStyle/>
        <a:p>
          <a:pPr algn="ctr"/>
          <a:r>
            <a:rPr lang="en-US" sz="1200" b="1">
              <a:solidFill>
                <a:sysClr val="windowText" lastClr="000000"/>
              </a:solidFill>
              <a:latin typeface="Times New Roman" pitchFamily="18" charset="0"/>
              <a:cs typeface="Times New Roman" pitchFamily="18" charset="0"/>
            </a:rPr>
            <a:t>Rule of Law</a:t>
          </a:r>
          <a:endParaRPr lang="en-US" sz="1200">
            <a:solidFill>
              <a:sysClr val="windowText" lastClr="000000"/>
            </a:solidFill>
            <a:latin typeface="Times New Roman" pitchFamily="18" charset="0"/>
            <a:cs typeface="Times New Roman" pitchFamily="18" charset="0"/>
          </a:endParaRPr>
        </a:p>
      </dgm:t>
    </dgm:pt>
    <dgm:pt modelId="{EDD7B2FC-FCC5-4927-9030-1FCD96D50901}" type="parTrans" cxnId="{474B3959-D8D5-45D4-9123-EAAF67136CD1}">
      <dgm:prSet/>
      <dgm:spPr/>
      <dgm:t>
        <a:bodyPr/>
        <a:lstStyle/>
        <a:p>
          <a:pPr algn="ctr"/>
          <a:endParaRPr lang="en-US"/>
        </a:p>
      </dgm:t>
    </dgm:pt>
    <dgm:pt modelId="{4235C6D9-D763-4F2E-B0FC-C4743B665706}" type="sibTrans" cxnId="{474B3959-D8D5-45D4-9123-EAAF67136CD1}">
      <dgm:prSet/>
      <dgm:spPr/>
      <dgm:t>
        <a:bodyPr/>
        <a:lstStyle/>
        <a:p>
          <a:pPr algn="ctr"/>
          <a:endParaRPr lang="en-US"/>
        </a:p>
      </dgm:t>
    </dgm:pt>
    <dgm:pt modelId="{DBADA0FB-D861-4134-84C7-7BE64B5661C1}">
      <dgm:prSet custT="1"/>
      <dgm:spPr/>
      <dgm:t>
        <a:bodyPr/>
        <a:lstStyle/>
        <a:p>
          <a:pPr algn="ctr"/>
          <a:r>
            <a:rPr lang="en-US" sz="1200" b="1">
              <a:solidFill>
                <a:sysClr val="windowText" lastClr="000000"/>
              </a:solidFill>
              <a:latin typeface="Times New Roman" pitchFamily="18" charset="0"/>
              <a:cs typeface="Times New Roman" pitchFamily="18" charset="0"/>
            </a:rPr>
            <a:t>Preservation of Personal Rights</a:t>
          </a:r>
          <a:endParaRPr lang="en-US" sz="1200">
            <a:solidFill>
              <a:sysClr val="windowText" lastClr="000000"/>
            </a:solidFill>
            <a:latin typeface="Times New Roman" pitchFamily="18" charset="0"/>
            <a:cs typeface="Times New Roman" pitchFamily="18" charset="0"/>
          </a:endParaRPr>
        </a:p>
      </dgm:t>
    </dgm:pt>
    <dgm:pt modelId="{ABD03DBC-A3EA-426C-805B-50844E8E6806}" type="parTrans" cxnId="{D1E6B887-176B-41A6-90C6-5626B33CB87E}">
      <dgm:prSet/>
      <dgm:spPr/>
      <dgm:t>
        <a:bodyPr/>
        <a:lstStyle/>
        <a:p>
          <a:pPr algn="ctr"/>
          <a:endParaRPr lang="en-US"/>
        </a:p>
      </dgm:t>
    </dgm:pt>
    <dgm:pt modelId="{159C838E-E249-4661-9B97-DBA8A4ED986C}" type="sibTrans" cxnId="{D1E6B887-176B-41A6-90C6-5626B33CB87E}">
      <dgm:prSet/>
      <dgm:spPr/>
      <dgm:t>
        <a:bodyPr/>
        <a:lstStyle/>
        <a:p>
          <a:pPr algn="ctr"/>
          <a:endParaRPr lang="en-US"/>
        </a:p>
      </dgm:t>
    </dgm:pt>
    <dgm:pt modelId="{DFD30231-8A59-408B-B16E-744355767F57}" type="pres">
      <dgm:prSet presAssocID="{51693FED-919E-4E74-A465-65BEED914D2C}" presName="linear" presStyleCnt="0">
        <dgm:presLayoutVars>
          <dgm:dir val="norm"/>
          <dgm:animLvl val="lvl"/>
          <dgm:resizeHandles val="exact"/>
        </dgm:presLayoutVars>
      </dgm:prSet>
      <dgm:spPr/>
    </dgm:pt>
    <dgm:pt modelId="{AF6A9ED9-52DA-4F17-AFB2-C78A5427D5F9}" type="pres">
      <dgm:prSet presAssocID="{5454E25F-A7EE-48B6-9989-1AFC5246C4C8}" presName="parentLin" presStyleCnt="0"/>
      <dgm:spPr/>
    </dgm:pt>
    <dgm:pt modelId="{12BE486A-2939-4A1C-8C8F-F167B548256B}" type="pres">
      <dgm:prSet presAssocID="{5454E25F-A7EE-48B6-9989-1AFC5246C4C8}" presName="parentLeftMargin" presStyleLbl="node1" presStyleIdx="0" presStyleCnt="3"/>
      <dgm:spPr/>
    </dgm:pt>
    <dgm:pt modelId="{070A589F-D552-49AA-9FA8-C21C80E6E173}" type="pres">
      <dgm:prSet presAssocID="{5454E25F-A7EE-48B6-9989-1AFC5246C4C8}" presName="parentText" presStyleLbl="node1" presStyleIdx="0" presStyleCnt="3">
        <dgm:presLayoutVars>
          <dgm:chMax val="0"/>
          <dgm:bulletEnabled val="1"/>
        </dgm:presLayoutVars>
      </dgm:prSet>
      <dgm:spPr/>
    </dgm:pt>
    <dgm:pt modelId="{D2C1B508-0C64-4832-BD45-A9E8DAE156B8}" type="pres">
      <dgm:prSet presAssocID="{5454E25F-A7EE-48B6-9989-1AFC5246C4C8}" presName="negativeSpace" presStyleCnt="0"/>
      <dgm:spPr/>
    </dgm:pt>
    <dgm:pt modelId="{ED597B9F-6402-45BB-ABA3-AFD008B9B4AA}" type="pres">
      <dgm:prSet presAssocID="{5454E25F-A7EE-48B6-9989-1AFC5246C4C8}" presName="childText" presStyleLbl="conFgAcc1" presStyleIdx="0" presStyleCnt="3">
        <dgm:presLayoutVars>
          <dgm:bulletEnabled val="1"/>
        </dgm:presLayoutVars>
      </dgm:prSet>
      <dgm:spPr/>
    </dgm:pt>
    <dgm:pt modelId="{582C4A77-E4DE-4124-8226-E8B9B5D07F70}" type="pres">
      <dgm:prSet presAssocID="{9F881CA5-28BB-42D8-B8EF-E996C8BE0621}" presName="spaceBetweenRectangles" presStyleCnt="0"/>
      <dgm:spPr/>
    </dgm:pt>
    <dgm:pt modelId="{31EFFE50-CFB0-4644-B506-193E74E0E33F}" type="pres">
      <dgm:prSet presAssocID="{51F42A89-21DC-4828-B208-FFD6F75040A6}" presName="parentLin" presStyleCnt="0"/>
      <dgm:spPr/>
    </dgm:pt>
    <dgm:pt modelId="{B57C5519-4214-4CB8-B2B6-92A852FD77A3}" type="pres">
      <dgm:prSet presAssocID="{51F42A89-21DC-4828-B208-FFD6F75040A6}" presName="parentLeftMargin" presStyleLbl="node1" presStyleIdx="0" presStyleCnt="3"/>
      <dgm:spPr/>
    </dgm:pt>
    <dgm:pt modelId="{7F071A83-506C-44A6-AEA0-6308939CD2EA}" type="pres">
      <dgm:prSet presAssocID="{51F42A89-21DC-4828-B208-FFD6F75040A6}" presName="parentText" presStyleLbl="node1" presStyleIdx="1" presStyleCnt="3">
        <dgm:presLayoutVars>
          <dgm:chMax val="0"/>
          <dgm:bulletEnabled val="1"/>
        </dgm:presLayoutVars>
      </dgm:prSet>
      <dgm:spPr/>
    </dgm:pt>
    <dgm:pt modelId="{FFA495DB-9F4B-4D63-BB1E-B86AB8E11B8F}" type="pres">
      <dgm:prSet presAssocID="{51F42A89-21DC-4828-B208-FFD6F75040A6}" presName="negativeSpace" presStyleCnt="0"/>
      <dgm:spPr/>
    </dgm:pt>
    <dgm:pt modelId="{94ED257B-BDBD-4F99-B643-FFD7D10E4376}" type="pres">
      <dgm:prSet presAssocID="{51F42A89-21DC-4828-B208-FFD6F75040A6}" presName="childText" presStyleLbl="conFgAcc1" presStyleIdx="1" presStyleCnt="3">
        <dgm:presLayoutVars>
          <dgm:bulletEnabled val="1"/>
        </dgm:presLayoutVars>
      </dgm:prSet>
      <dgm:spPr/>
    </dgm:pt>
    <dgm:pt modelId="{31C557B4-5B4E-4DF4-B50C-DFD0658AAF62}" type="pres">
      <dgm:prSet presAssocID="{4235C6D9-D763-4F2E-B0FC-C4743B665706}" presName="spaceBetweenRectangles" presStyleCnt="0"/>
      <dgm:spPr/>
    </dgm:pt>
    <dgm:pt modelId="{4AE9B406-C443-4A2E-984E-E8883E5A05FD}" type="pres">
      <dgm:prSet presAssocID="{DBADA0FB-D861-4134-84C7-7BE64B5661C1}" presName="parentLin" presStyleCnt="0"/>
      <dgm:spPr/>
    </dgm:pt>
    <dgm:pt modelId="{495759D0-1C2E-4548-A08A-920AD3F8052C}" type="pres">
      <dgm:prSet presAssocID="{DBADA0FB-D861-4134-84C7-7BE64B5661C1}" presName="parentLeftMargin" presStyleLbl="node1" presStyleIdx="1" presStyleCnt="3"/>
      <dgm:spPr/>
    </dgm:pt>
    <dgm:pt modelId="{5CF7AD3C-3C93-4BB0-82E7-112B0C14D672}" type="pres">
      <dgm:prSet presAssocID="{DBADA0FB-D861-4134-84C7-7BE64B5661C1}" presName="parentText" presStyleLbl="node1" presStyleIdx="2" presStyleCnt="3">
        <dgm:presLayoutVars>
          <dgm:chMax val="0"/>
          <dgm:bulletEnabled val="1"/>
        </dgm:presLayoutVars>
      </dgm:prSet>
      <dgm:spPr/>
    </dgm:pt>
    <dgm:pt modelId="{DE6E693C-7AC3-4252-9845-EEA2117522E3}" type="pres">
      <dgm:prSet presAssocID="{DBADA0FB-D861-4134-84C7-7BE64B5661C1}" presName="negativeSpace" presStyleCnt="0"/>
      <dgm:spPr/>
    </dgm:pt>
    <dgm:pt modelId="{8582D0F2-9866-4D46-8296-F933CC912A27}" type="pres">
      <dgm:prSet presAssocID="{DBADA0FB-D861-4134-84C7-7BE64B5661C1}" presName="childText" presStyleLbl="conFgAcc1" presStyleIdx="2" presStyleCnt="3">
        <dgm:presLayoutVars>
          <dgm:bulletEnabled val="1"/>
        </dgm:presLayoutVars>
      </dgm:prSet>
      <dgm:spPr/>
    </dgm:pt>
  </dgm:ptLst>
  <dgm:cxnLst>
    <dgm:cxn modelId="{E52CAF15-2906-4325-89C6-540E14EEA4CE}" type="presOf" srcId="{51F42A89-21DC-4828-B208-FFD6F75040A6}" destId="{7F071A83-506C-44A6-AEA0-6308939CD2EA}" srcOrd="1" destOrd="0" presId="urn:microsoft.com/office/officeart/2005/8/layout/list1"/>
    <dgm:cxn modelId="{BB97812A-ACCE-4310-A707-4E328B9529A8}" type="presOf" srcId="{5454E25F-A7EE-48B6-9989-1AFC5246C4C8}" destId="{070A589F-D552-49AA-9FA8-C21C80E6E173}" srcOrd="1" destOrd="0" presId="urn:microsoft.com/office/officeart/2005/8/layout/list1"/>
    <dgm:cxn modelId="{17E40C36-7775-4337-86A7-6609742AA657}" type="presOf" srcId="{5454E25F-A7EE-48B6-9989-1AFC5246C4C8}" destId="{12BE486A-2939-4A1C-8C8F-F167B548256B}" srcOrd="0" destOrd="0" presId="urn:microsoft.com/office/officeart/2005/8/layout/list1"/>
    <dgm:cxn modelId="{474B3959-D8D5-45D4-9123-EAAF67136CD1}" srcId="{51693FED-919E-4E74-A465-65BEED914D2C}" destId="{51F42A89-21DC-4828-B208-FFD6F75040A6}" srcOrd="1" destOrd="0" parTransId="{EDD7B2FC-FCC5-4927-9030-1FCD96D50901}" sibTransId="{4235C6D9-D763-4F2E-B0FC-C4743B665706}"/>
    <dgm:cxn modelId="{D1E6B887-176B-41A6-90C6-5626B33CB87E}" srcId="{51693FED-919E-4E74-A465-65BEED914D2C}" destId="{DBADA0FB-D861-4134-84C7-7BE64B5661C1}" srcOrd="2" destOrd="0" parTransId="{ABD03DBC-A3EA-426C-805B-50844E8E6806}" sibTransId="{159C838E-E249-4661-9B97-DBA8A4ED986C}"/>
    <dgm:cxn modelId="{E2520C92-BA7C-48F4-A5C6-D3CB0C7829BB}" type="presOf" srcId="{51F42A89-21DC-4828-B208-FFD6F75040A6}" destId="{B57C5519-4214-4CB8-B2B6-92A852FD77A3}" srcOrd="0" destOrd="0" presId="urn:microsoft.com/office/officeart/2005/8/layout/list1"/>
    <dgm:cxn modelId="{1DC082B1-DF80-4156-BAB5-25AA6B86C8C7}" srcId="{51693FED-919E-4E74-A465-65BEED914D2C}" destId="{5454E25F-A7EE-48B6-9989-1AFC5246C4C8}" srcOrd="0" destOrd="0" parTransId="{8E65EDF5-F2E4-4837-AF5C-967459FC10B4}" sibTransId="{9F881CA5-28BB-42D8-B8EF-E996C8BE0621}"/>
    <dgm:cxn modelId="{3FFA22C7-FCE4-441D-B0F2-7D4C32940E0B}" type="presOf" srcId="{DBADA0FB-D861-4134-84C7-7BE64B5661C1}" destId="{5CF7AD3C-3C93-4BB0-82E7-112B0C14D672}" srcOrd="1" destOrd="0" presId="urn:microsoft.com/office/officeart/2005/8/layout/list1"/>
    <dgm:cxn modelId="{E14ED0C9-3E87-4D51-9034-367622F8F386}" type="presOf" srcId="{DBADA0FB-D861-4134-84C7-7BE64B5661C1}" destId="{495759D0-1C2E-4548-A08A-920AD3F8052C}" srcOrd="0" destOrd="0" presId="urn:microsoft.com/office/officeart/2005/8/layout/list1"/>
    <dgm:cxn modelId="{606A35F6-E86B-49E4-83ED-C5D5FB717169}" type="presOf" srcId="{51693FED-919E-4E74-A465-65BEED914D2C}" destId="{DFD30231-8A59-408B-B16E-744355767F57}" srcOrd="0" destOrd="0" presId="urn:microsoft.com/office/officeart/2005/8/layout/list1"/>
    <dgm:cxn modelId="{F642F992-7C54-4DEF-A5DA-87F9CDCDE45B}" type="presParOf" srcId="{DFD30231-8A59-408B-B16E-744355767F57}" destId="{AF6A9ED9-52DA-4F17-AFB2-C78A5427D5F9}" srcOrd="0" destOrd="0" presId="urn:microsoft.com/office/officeart/2005/8/layout/list1"/>
    <dgm:cxn modelId="{7B777062-B0B4-49C0-A2EE-37531CD0EB0B}" type="presParOf" srcId="{AF6A9ED9-52DA-4F17-AFB2-C78A5427D5F9}" destId="{12BE486A-2939-4A1C-8C8F-F167B548256B}" srcOrd="0" destOrd="0" presId="urn:microsoft.com/office/officeart/2005/8/layout/list1"/>
    <dgm:cxn modelId="{C784403F-A53B-43EF-B1B9-18A37408BD22}" type="presParOf" srcId="{AF6A9ED9-52DA-4F17-AFB2-C78A5427D5F9}" destId="{070A589F-D552-49AA-9FA8-C21C80E6E173}" srcOrd="1" destOrd="0" presId="urn:microsoft.com/office/officeart/2005/8/layout/list1"/>
    <dgm:cxn modelId="{98BABE69-548C-4095-A961-E4C316F300C8}" type="presParOf" srcId="{DFD30231-8A59-408B-B16E-744355767F57}" destId="{D2C1B508-0C64-4832-BD45-A9E8DAE156B8}" srcOrd="1" destOrd="0" presId="urn:microsoft.com/office/officeart/2005/8/layout/list1"/>
    <dgm:cxn modelId="{031DA3F3-68C3-4217-BA99-AE640A0A5341}" type="presParOf" srcId="{DFD30231-8A59-408B-B16E-744355767F57}" destId="{ED597B9F-6402-45BB-ABA3-AFD008B9B4AA}" srcOrd="2" destOrd="0" presId="urn:microsoft.com/office/officeart/2005/8/layout/list1"/>
    <dgm:cxn modelId="{C3353682-A862-4BC8-B18A-DECFA61649D7}" type="presParOf" srcId="{DFD30231-8A59-408B-B16E-744355767F57}" destId="{582C4A77-E4DE-4124-8226-E8B9B5D07F70}" srcOrd="3" destOrd="0" presId="urn:microsoft.com/office/officeart/2005/8/layout/list1"/>
    <dgm:cxn modelId="{63A5D4F3-438F-4F96-BB32-8B1268A89012}" type="presParOf" srcId="{DFD30231-8A59-408B-B16E-744355767F57}" destId="{31EFFE50-CFB0-4644-B506-193E74E0E33F}" srcOrd="4" destOrd="0" presId="urn:microsoft.com/office/officeart/2005/8/layout/list1"/>
    <dgm:cxn modelId="{EC1E9EAB-57BB-4236-99FD-AC3ED22EAFDD}" type="presParOf" srcId="{31EFFE50-CFB0-4644-B506-193E74E0E33F}" destId="{B57C5519-4214-4CB8-B2B6-92A852FD77A3}" srcOrd="0" destOrd="0" presId="urn:microsoft.com/office/officeart/2005/8/layout/list1"/>
    <dgm:cxn modelId="{67DDD53D-E1F9-4B27-BD2E-FDA6139FBED5}" type="presParOf" srcId="{31EFFE50-CFB0-4644-B506-193E74E0E33F}" destId="{7F071A83-506C-44A6-AEA0-6308939CD2EA}" srcOrd="1" destOrd="0" presId="urn:microsoft.com/office/officeart/2005/8/layout/list1"/>
    <dgm:cxn modelId="{71BC7CEB-DDD8-4EF3-8A12-D8DEF190E6AA}" type="presParOf" srcId="{DFD30231-8A59-408B-B16E-744355767F57}" destId="{FFA495DB-9F4B-4D63-BB1E-B86AB8E11B8F}" srcOrd="5" destOrd="0" presId="urn:microsoft.com/office/officeart/2005/8/layout/list1"/>
    <dgm:cxn modelId="{71F6A22A-FEE2-4DEE-9D3A-07BD0E4AE32C}" type="presParOf" srcId="{DFD30231-8A59-408B-B16E-744355767F57}" destId="{94ED257B-BDBD-4F99-B643-FFD7D10E4376}" srcOrd="6" destOrd="0" presId="urn:microsoft.com/office/officeart/2005/8/layout/list1"/>
    <dgm:cxn modelId="{90169F2D-A827-4E9C-9200-D83FD0D6EBB7}" type="presParOf" srcId="{DFD30231-8A59-408B-B16E-744355767F57}" destId="{31C557B4-5B4E-4DF4-B50C-DFD0658AAF62}" srcOrd="7" destOrd="0" presId="urn:microsoft.com/office/officeart/2005/8/layout/list1"/>
    <dgm:cxn modelId="{BDA8EAB8-CBFC-4F7E-89EA-78EA50DA181E}" type="presParOf" srcId="{DFD30231-8A59-408B-B16E-744355767F57}" destId="{4AE9B406-C443-4A2E-984E-E8883E5A05FD}" srcOrd="8" destOrd="0" presId="urn:microsoft.com/office/officeart/2005/8/layout/list1"/>
    <dgm:cxn modelId="{55294261-C6AB-4989-A38F-1C57E69A96B4}" type="presParOf" srcId="{4AE9B406-C443-4A2E-984E-E8883E5A05FD}" destId="{495759D0-1C2E-4548-A08A-920AD3F8052C}" srcOrd="0" destOrd="0" presId="urn:microsoft.com/office/officeart/2005/8/layout/list1"/>
    <dgm:cxn modelId="{44FCDB73-ACC6-4232-A8B4-BB39B953BD75}" type="presParOf" srcId="{4AE9B406-C443-4A2E-984E-E8883E5A05FD}" destId="{5CF7AD3C-3C93-4BB0-82E7-112B0C14D672}" srcOrd="1" destOrd="0" presId="urn:microsoft.com/office/officeart/2005/8/layout/list1"/>
    <dgm:cxn modelId="{0BB96FDE-5CF6-4820-A244-813C99938EE0}" type="presParOf" srcId="{DFD30231-8A59-408B-B16E-744355767F57}" destId="{DE6E693C-7AC3-4252-9845-EEA2117522E3}" srcOrd="9" destOrd="0" presId="urn:microsoft.com/office/officeart/2005/8/layout/list1"/>
    <dgm:cxn modelId="{55408821-96F4-4973-A950-E725405C82FD}" type="presParOf" srcId="{DFD30231-8A59-408B-B16E-744355767F57}" destId="{8582D0F2-9866-4D46-8296-F933CC912A27}" srcOrd="10" destOrd="0" presId="urn:microsoft.com/office/officeart/2005/8/layout/list1"/>
  </dgm:cxnLst>
  <dgm:bg/>
  <dgm:whole/>
  <dgm:extLst>
    <a:ext xmlns:a="http://schemas.openxmlformats.org/drawingml/2006/main" uri="http://schemas.microsoft.com/office/drawing/2008/diagram">
      <dsp:dataModelExt xmlns:dsp="http://schemas.microsoft.com/office/drawing/2008/diagram" minVer="http://schemas.openxmlformats.org/drawingml/2006/diagram" relId="rId6"/>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597B9F-6402-45BB-ABA3-AFD008B9B4AA}">
      <dsp:nvSpPr>
        <dsp:cNvPr id="0" name=""/>
        <dsp:cNvSpPr/>
      </dsp:nvSpPr>
      <dsp:spPr>
        <a:xfrm>
          <a:off x="0" y="199709"/>
          <a:ext cx="5505450" cy="327600"/>
        </a:xfrm>
        <a:prstGeom prst="rect">
          <a:avLst/>
        </a:prstGeom>
        <a:solidFill>
          <a:schemeClr val="lt1">
            <a:alpha val="90000"/>
            <a:hueOff val="0"/>
            <a:satOff val="0"/>
            <a:lumOff val="0"/>
            <a:alphaOff val="0"/>
          </a:schemeClr>
        </a:solidFill>
        <a:ln w="9525">
          <a:solidFill>
            <a:schemeClr val="accent3">
              <a:hueOff val="0"/>
              <a:satOff val="0"/>
              <a:lumOff val="0"/>
              <a:alphaOff val="0"/>
            </a:schemeClr>
          </a:solidFill>
          <a:prstDash val="solid"/>
        </a:ln>
        <a:effectLst>
          <a:outerShdw blurRad="40000" dist="23000" dir="5400000" sx="100000" sy="100000" kx="0" ky="0" algn="b" rotWithShape="0">
            <a:srgbClr val="000000">
              <a:alpha val="35000"/>
            </a:srgbClr>
          </a:outerShdw>
        </a:effectLst>
        <a:scene3d>
          <a:camera prst="orthographicFront"/>
          <a:lightRig rig="flat" dir="t"/>
        </a:scene3d>
        <a:sp3d extrusionH="12700" prstMaterial="plastic" z="190500">
          <a:bevelT w="50800" h="50800" prst="circle"/>
        </a:sp3d>
      </dsp:spPr>
      <dsp:style>
        <a:lnRef idx="1">
          <a:scrgbClr r="0" g="0" b="0"/>
        </a:lnRef>
        <a:fillRef idx="1">
          <a:scrgbClr r="0" g="0" b="0"/>
        </a:fillRef>
        <a:effectRef idx="2">
          <a:scrgbClr r="0" g="0" b="0"/>
        </a:effectRef>
        <a:fontRef idx="minor"/>
      </dsp:style>
    </dsp:sp>
    <dsp:sp modelId="{070A589F-D552-49AA-9FA8-C21C80E6E173}">
      <dsp:nvSpPr>
        <dsp:cNvPr id="0" name=""/>
        <dsp:cNvSpPr/>
      </dsp:nvSpPr>
      <dsp:spPr>
        <a:xfrm>
          <a:off x="275272" y="7829"/>
          <a:ext cx="3853815" cy="38376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sx="100000" sy="100000" kx="0" ky="0" algn="b" rotWithShape="0">
            <a:srgbClr val="000000">
              <a:alpha val="35000"/>
            </a:srgbClr>
          </a:outerShdw>
        </a:effectLst>
        <a:scene3d>
          <a:camera prst="orthographicFront"/>
          <a:lightRig rig="flat" dir="t"/>
        </a:scene3d>
        <a:sp3d prstMaterial="plastic">
          <a:bevelT w="120900" h="88900" prst="circle"/>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665" tIns="0" rIns="145665" bIns="0" numCol="1" spcCol="1270" anchor="ctr" anchorCtr="0"/>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Separation of power</a:t>
          </a:r>
          <a:endParaRPr lang="en-US" sz="1200" kern="1200">
            <a:solidFill>
              <a:sysClr val="windowText" lastClr="000000"/>
            </a:solidFill>
            <a:latin typeface="Times New Roman" pitchFamily="18" charset="0"/>
            <a:cs typeface="Times New Roman" pitchFamily="18" charset="0"/>
          </a:endParaRPr>
        </a:p>
      </dsp:txBody>
      <dsp:txXfrm>
        <a:off x="294006" y="26563"/>
        <a:ext cx="3816347" cy="346292"/>
      </dsp:txXfrm>
    </dsp:sp>
    <dsp:sp modelId="{94ED257B-BDBD-4F99-B643-FFD7D10E4376}">
      <dsp:nvSpPr>
        <dsp:cNvPr id="0" name=""/>
        <dsp:cNvSpPr/>
      </dsp:nvSpPr>
      <dsp:spPr>
        <a:xfrm>
          <a:off x="0" y="789389"/>
          <a:ext cx="5505450" cy="327600"/>
        </a:xfrm>
        <a:prstGeom prst="rect">
          <a:avLst/>
        </a:prstGeom>
        <a:solidFill>
          <a:schemeClr val="lt1">
            <a:alpha val="90000"/>
            <a:hueOff val="0"/>
            <a:satOff val="0"/>
            <a:lumOff val="0"/>
            <a:alphaOff val="0"/>
          </a:schemeClr>
        </a:solidFill>
        <a:ln w="9525">
          <a:solidFill>
            <a:schemeClr val="accent3">
              <a:hueOff val="5625132"/>
              <a:satOff val="-8440"/>
              <a:lumOff val="-1373"/>
              <a:alphaOff val="0"/>
            </a:schemeClr>
          </a:solidFill>
          <a:prstDash val="solid"/>
        </a:ln>
        <a:effectLst>
          <a:outerShdw blurRad="40000" dist="23000" dir="5400000" sx="100000" sy="100000" kx="0" ky="0" algn="b" rotWithShape="0">
            <a:srgbClr val="000000">
              <a:alpha val="35000"/>
            </a:srgbClr>
          </a:outerShdw>
        </a:effectLst>
        <a:scene3d>
          <a:camera prst="orthographicFront"/>
          <a:lightRig rig="flat" dir="t"/>
        </a:scene3d>
        <a:sp3d extrusionH="12700" prstMaterial="plastic" z="190500">
          <a:bevelT w="50800" h="50800" prst="circle"/>
        </a:sp3d>
      </dsp:spPr>
      <dsp:style>
        <a:lnRef idx="1">
          <a:scrgbClr r="0" g="0" b="0"/>
        </a:lnRef>
        <a:fillRef idx="1">
          <a:scrgbClr r="0" g="0" b="0"/>
        </a:fillRef>
        <a:effectRef idx="2">
          <a:scrgbClr r="0" g="0" b="0"/>
        </a:effectRef>
        <a:fontRef idx="minor"/>
      </dsp:style>
    </dsp:sp>
    <dsp:sp modelId="{7F071A83-506C-44A6-AEA0-6308939CD2EA}">
      <dsp:nvSpPr>
        <dsp:cNvPr id="0" name=""/>
        <dsp:cNvSpPr/>
      </dsp:nvSpPr>
      <dsp:spPr>
        <a:xfrm>
          <a:off x="275272" y="597510"/>
          <a:ext cx="3853815" cy="383760"/>
        </a:xfrm>
        <a:prstGeom prst="roundRect">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a:noFill/>
        </a:ln>
        <a:effectLst>
          <a:outerShdw blurRad="40000" dist="23000" dir="5400000" sx="100000" sy="100000" kx="0" ky="0" algn="b" rotWithShape="0">
            <a:srgbClr val="000000">
              <a:alpha val="35000"/>
            </a:srgbClr>
          </a:outerShdw>
        </a:effectLst>
        <a:scene3d>
          <a:camera prst="orthographicFront"/>
          <a:lightRig rig="flat" dir="t"/>
        </a:scene3d>
        <a:sp3d prstMaterial="plastic">
          <a:bevelT w="120900" h="88900" prst="circle"/>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665" tIns="0" rIns="145665" bIns="0" numCol="1" spcCol="1270" anchor="ctr" anchorCtr="0"/>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Rule of Law</a:t>
          </a:r>
          <a:endParaRPr lang="en-US" sz="1200" kern="1200">
            <a:solidFill>
              <a:sysClr val="windowText" lastClr="000000"/>
            </a:solidFill>
            <a:latin typeface="Times New Roman" pitchFamily="18" charset="0"/>
            <a:cs typeface="Times New Roman" pitchFamily="18" charset="0"/>
          </a:endParaRPr>
        </a:p>
      </dsp:txBody>
      <dsp:txXfrm>
        <a:off x="294006" y="616244"/>
        <a:ext cx="3816347" cy="346292"/>
      </dsp:txXfrm>
    </dsp:sp>
    <dsp:sp modelId="{8582D0F2-9866-4D46-8296-F933CC912A27}">
      <dsp:nvSpPr>
        <dsp:cNvPr id="0" name=""/>
        <dsp:cNvSpPr/>
      </dsp:nvSpPr>
      <dsp:spPr>
        <a:xfrm>
          <a:off x="0" y="1379070"/>
          <a:ext cx="5505450" cy="327600"/>
        </a:xfrm>
        <a:prstGeom prst="rect">
          <a:avLst/>
        </a:prstGeom>
        <a:solidFill>
          <a:schemeClr val="lt1">
            <a:alpha val="90000"/>
            <a:hueOff val="0"/>
            <a:satOff val="0"/>
            <a:lumOff val="0"/>
            <a:alphaOff val="0"/>
          </a:schemeClr>
        </a:solidFill>
        <a:ln w="9525">
          <a:solidFill>
            <a:schemeClr val="accent3">
              <a:hueOff val="11250264"/>
              <a:satOff val="-16880"/>
              <a:lumOff val="-2745"/>
              <a:alphaOff val="0"/>
            </a:schemeClr>
          </a:solidFill>
          <a:prstDash val="solid"/>
        </a:ln>
        <a:effectLst>
          <a:outerShdw blurRad="40000" dist="23000" dir="5400000" sx="100000" sy="100000" kx="0" ky="0" algn="b" rotWithShape="0">
            <a:srgbClr val="000000">
              <a:alpha val="35000"/>
            </a:srgbClr>
          </a:outerShdw>
        </a:effectLst>
        <a:scene3d>
          <a:camera prst="orthographicFront"/>
          <a:lightRig rig="flat" dir="t"/>
        </a:scene3d>
        <a:sp3d extrusionH="12700" prstMaterial="plastic" z="190500">
          <a:bevelT w="50800" h="50800" prst="circle"/>
        </a:sp3d>
      </dsp:spPr>
      <dsp:style>
        <a:lnRef idx="1">
          <a:scrgbClr r="0" g="0" b="0"/>
        </a:lnRef>
        <a:fillRef idx="1">
          <a:scrgbClr r="0" g="0" b="0"/>
        </a:fillRef>
        <a:effectRef idx="2">
          <a:scrgbClr r="0" g="0" b="0"/>
        </a:effectRef>
        <a:fontRef idx="minor"/>
      </dsp:style>
    </dsp:sp>
    <dsp:sp modelId="{5CF7AD3C-3C93-4BB0-82E7-112B0C14D672}">
      <dsp:nvSpPr>
        <dsp:cNvPr id="0" name=""/>
        <dsp:cNvSpPr/>
      </dsp:nvSpPr>
      <dsp:spPr>
        <a:xfrm>
          <a:off x="275272" y="1187190"/>
          <a:ext cx="3853815" cy="383760"/>
        </a:xfrm>
        <a:prstGeom prst="roundRect">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sx="100000" sy="100000" kx="0" ky="0" algn="b" rotWithShape="0">
            <a:srgbClr val="000000">
              <a:alpha val="35000"/>
            </a:srgbClr>
          </a:outerShdw>
        </a:effectLst>
        <a:scene3d>
          <a:camera prst="orthographicFront"/>
          <a:lightRig rig="flat" dir="t"/>
        </a:scene3d>
        <a:sp3d prstMaterial="plastic">
          <a:bevelT w="120900" h="88900" prst="circle"/>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665" tIns="0" rIns="145665" bIns="0" numCol="1" spcCol="1270" anchor="ctr" anchorCtr="0"/>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Preservation of Personal Rights</a:t>
          </a:r>
          <a:endParaRPr lang="en-US" sz="1200" kern="1200">
            <a:solidFill>
              <a:sysClr val="windowText" lastClr="000000"/>
            </a:solidFill>
            <a:latin typeface="Times New Roman" pitchFamily="18" charset="0"/>
            <a:cs typeface="Times New Roman" pitchFamily="18" charset="0"/>
          </a:endParaRPr>
        </a:p>
      </dsp:txBody>
      <dsp:txXfrm>
        <a:off x="294006" y="1205924"/>
        <a:ext cx="3816347"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val="norm"/>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bevelT w="120900" h="88900" prst="circle"/>
      <dgm: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bevelT w="120900" h="88900" prst="circle"/>
      <dgm: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prstMaterial="plastic" z="127000">
      <dgm:bevelT w="88900" h="88900" prst="circle"/>
      <dgm: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bevelT w="88900" h="88900" prst="circle"/>
      <dgm: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prstMaterial="plastic" z="-190500">
      <dgm:bevelT w="88900" h="88900" prst="circle"/>
      <dgm: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prstMaterial="plastic" z="-80000">
      <dgm:bevelT w="50800" h="50800" prst="circle"/>
      <dgm: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prstMaterial="plastic" z="127000">
      <dgm:bevelT w="50800" h="50800" prst="circle"/>
      <dgm: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prstMaterial="plastic" z="-190500">
      <dgm:bevelT w="50800" h="50800" prst="circle"/>
      <dgm: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prstMaterial="matte" z="-4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z="127000"/>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prstMaterial="plastic" z="-100000">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prstMaterial="plastic" z="-60000">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prstMaterial="plastic" z="-60000">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prstMaterial="plastic" z="-60000">
      <dgm:bevelT w="120900" h="88900" prst="circle"/>
      <dgm: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bevelT w="50800" h="50800" prst="circle"/>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bevelT w="50800" h="50800" prst="circle"/>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bevelT w="50800" h="50800" prst="circle"/>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bevelT w="50800" h="50800" prst="circle"/>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extrusionH="12700" prstMaterial="plastic" z="190500">
      <dgm:bevelT w="50800" h="50800" prst="circle"/>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extrusionH="12700" prstMaterial="plastic" z="-190500">
      <dgm:bevelT w="50800" h="50800" prst="circle"/>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extrusionH="12700" prstMaterial="plastic" z="-190500">
      <dgm:bevelT w="50800" h="50800" prst="circle"/>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extrusionH="12700" prstMaterial="matte" z="-190500"/>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plastic" z="190500">
      <dgm:bevelT w="120900" h="88900" prst="circle"/>
      <dgm: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21BDC9D-0047-4A95-B862-77E020AAF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10</Pages>
  <Words>2139</Words>
  <Characters>12196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20</cp:revision>
  <dcterms:created xsi:type="dcterms:W3CDTF">2023-11-25T08:18:00Z</dcterms:created>
  <dcterms:modified xsi:type="dcterms:W3CDTF">2023-11-27T13:13:00Z</dcterms:modified>
</cp:coreProperties>
</file>