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C1D65" w:rsidR="0011705D" w:rsidP="05B1E48A" w:rsidRDefault="3C6829AA" w14:paraId="201E5568" w14:textId="2287640A">
      <w:pPr>
        <w:pStyle w:val="Normal"/>
        <w:rPr>
          <w:rFonts w:ascii="Arial Nova" w:hAnsi="Arial Nova" w:eastAsia="Arial Nova" w:cs="Arial Nova"/>
          <w:i w:val="1"/>
          <w:iCs w:val="1"/>
          <w:sz w:val="22"/>
          <w:szCs w:val="22"/>
        </w:rPr>
      </w:pPr>
      <w:r w:rsidR="60459017">
        <w:drawing>
          <wp:inline wp14:editId="4E34419D" wp14:anchorId="53EC07C1">
            <wp:extent cx="2619375" cy="1171575"/>
            <wp:effectExtent l="0" t="0" r="0" b="0"/>
            <wp:docPr id="993304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3304912" name="Picture 993304912"/>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Pr="000C1D65" w:rsidR="0011705D" w:rsidP="05B1E48A" w:rsidRDefault="0011705D" w14:paraId="2685CDBE" w14:textId="243F5471">
      <w:pPr>
        <w:spacing w:line="360" w:lineRule="auto"/>
        <w:rPr>
          <w:rFonts w:ascii="Arial Nova" w:hAnsi="Arial Nova" w:eastAsia="Arial Nova" w:cs="Arial Nova"/>
          <w:i w:val="1"/>
          <w:iCs w:val="1"/>
          <w:sz w:val="22"/>
          <w:szCs w:val="22"/>
          <w:lang w:val="en-US"/>
        </w:rPr>
      </w:pPr>
    </w:p>
    <w:p w:rsidRPr="000C1D65" w:rsidR="0011705D" w:rsidP="05B1E48A" w:rsidRDefault="0011705D" w14:paraId="4ADFD44C" w14:textId="02334DCC">
      <w:pPr>
        <w:spacing w:line="360" w:lineRule="auto"/>
        <w:rPr>
          <w:rFonts w:ascii="Arial Nova" w:hAnsi="Arial Nova" w:eastAsia="Arial Nova" w:cs="Arial Nova"/>
          <w:i w:val="1"/>
          <w:iCs w:val="1"/>
          <w:sz w:val="22"/>
          <w:szCs w:val="22"/>
          <w:lang w:val="en-US"/>
        </w:rPr>
      </w:pPr>
    </w:p>
    <w:p w:rsidRPr="000C1D65" w:rsidR="0011705D" w:rsidP="05B1E48A" w:rsidRDefault="0011705D" w14:paraId="5074A56C" w14:textId="471B96E8">
      <w:pPr>
        <w:spacing w:line="360" w:lineRule="auto"/>
        <w:rPr>
          <w:rFonts w:ascii="Arial Nova" w:hAnsi="Arial Nova" w:eastAsia="Arial Nova" w:cs="Arial Nova"/>
          <w:i w:val="1"/>
          <w:iCs w:val="1"/>
          <w:sz w:val="22"/>
          <w:szCs w:val="22"/>
          <w:lang w:val="en-US"/>
        </w:rPr>
      </w:pPr>
    </w:p>
    <w:p w:rsidRPr="000C1D65" w:rsidR="0011705D" w:rsidP="05B1E48A" w:rsidRDefault="0011705D" w14:paraId="55E0A784" w14:textId="5E06D19F">
      <w:pPr>
        <w:spacing w:line="360" w:lineRule="auto"/>
        <w:rPr>
          <w:rFonts w:ascii="Arial Nova" w:hAnsi="Arial Nova" w:eastAsia="Arial Nova" w:cs="Arial Nova"/>
          <w:i w:val="1"/>
          <w:iCs w:val="1"/>
          <w:sz w:val="22"/>
          <w:szCs w:val="22"/>
          <w:lang w:val="en-US"/>
        </w:rPr>
      </w:pPr>
    </w:p>
    <w:p w:rsidRPr="000C1D65" w:rsidR="0011705D" w:rsidP="05B1E48A" w:rsidRDefault="1978205A" w14:paraId="3B7AB11F" w14:textId="434B26A4">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3498BD5D">
        <w:rPr>
          <w:rFonts w:ascii="Arial Nova" w:hAnsi="Arial Nova" w:eastAsia="Arial Nova" w:cs="Arial Nova"/>
          <w:b w:val="1"/>
          <w:bCs w:val="1"/>
          <w:i w:val="1"/>
          <w:iCs w:val="1"/>
          <w:sz w:val="22"/>
          <w:szCs w:val="22"/>
          <w:lang w:val="en-US"/>
        </w:rPr>
        <w:t>Name</w:t>
      </w:r>
      <w:r w:rsidRPr="05B1E48A" w:rsidR="3498BD5D">
        <w:rPr>
          <w:rFonts w:ascii="Arial Nova" w:hAnsi="Arial Nova" w:eastAsia="Arial Nova" w:cs="Arial Nova"/>
          <w:i w:val="1"/>
          <w:iCs w:val="1"/>
          <w:sz w:val="22"/>
          <w:szCs w:val="22"/>
          <w:lang w:val="en-US"/>
        </w:rPr>
        <w:t xml:space="preserve"> :Gisele Bon </w:t>
      </w:r>
      <w:r w:rsidRPr="05B1E48A" w:rsidR="3498BD5D">
        <w:rPr>
          <w:rFonts w:ascii="Arial Nova" w:hAnsi="Arial Nova" w:eastAsia="Arial Nova" w:cs="Arial Nova"/>
          <w:i w:val="1"/>
          <w:iCs w:val="1"/>
          <w:sz w:val="22"/>
          <w:szCs w:val="22"/>
          <w:lang w:val="en-US"/>
        </w:rPr>
        <w:t>Bendo</w:t>
      </w:r>
      <w:r w:rsidRPr="05B1E48A" w:rsidR="3498BD5D">
        <w:rPr>
          <w:rFonts w:ascii="Arial Nova" w:hAnsi="Arial Nova" w:eastAsia="Arial Nova" w:cs="Arial Nova"/>
          <w:i w:val="1"/>
          <w:iCs w:val="1"/>
          <w:sz w:val="22"/>
          <w:szCs w:val="22"/>
          <w:lang w:val="en-US"/>
        </w:rPr>
        <w:t xml:space="preserve"> </w:t>
      </w:r>
    </w:p>
    <w:p w:rsidRPr="000C1D65" w:rsidR="0011705D" w:rsidP="05B1E48A" w:rsidRDefault="1978205A" w14:paraId="0042DB4E" w14:textId="3BF7BA2A">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3498BD5D">
        <w:rPr>
          <w:rFonts w:ascii="Arial Nova" w:hAnsi="Arial Nova" w:eastAsia="Arial Nova" w:cs="Arial Nova"/>
          <w:b w:val="1"/>
          <w:bCs w:val="1"/>
          <w:i w:val="1"/>
          <w:iCs w:val="1"/>
          <w:sz w:val="22"/>
          <w:szCs w:val="22"/>
          <w:lang w:val="en-US"/>
        </w:rPr>
        <w:t>Student ID</w:t>
      </w:r>
      <w:r w:rsidRPr="05B1E48A" w:rsidR="3498BD5D">
        <w:rPr>
          <w:rFonts w:ascii="Arial Nova" w:hAnsi="Arial Nova" w:eastAsia="Arial Nova" w:cs="Arial Nova"/>
          <w:i w:val="1"/>
          <w:iCs w:val="1"/>
          <w:sz w:val="22"/>
          <w:szCs w:val="22"/>
          <w:lang w:val="en-US"/>
        </w:rPr>
        <w:t>: 2535564</w:t>
      </w:r>
    </w:p>
    <w:p w:rsidRPr="000C1D65" w:rsidR="0011705D" w:rsidP="05B1E48A" w:rsidRDefault="1978205A" w14:paraId="0917F39B" w14:textId="312469A7">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3498BD5D">
        <w:rPr>
          <w:rFonts w:ascii="Arial Nova" w:hAnsi="Arial Nova" w:eastAsia="Arial Nova" w:cs="Arial Nova"/>
          <w:b w:val="1"/>
          <w:bCs w:val="1"/>
          <w:i w:val="1"/>
          <w:iCs w:val="1"/>
          <w:sz w:val="22"/>
          <w:szCs w:val="22"/>
          <w:lang w:val="en-US"/>
        </w:rPr>
        <w:t>Module Code</w:t>
      </w:r>
      <w:r w:rsidRPr="05B1E48A" w:rsidR="3498BD5D">
        <w:rPr>
          <w:rFonts w:ascii="Arial Nova" w:hAnsi="Arial Nova" w:eastAsia="Arial Nova" w:cs="Arial Nova"/>
          <w:i w:val="1"/>
          <w:iCs w:val="1"/>
          <w:sz w:val="22"/>
          <w:szCs w:val="22"/>
          <w:lang w:val="en-US"/>
        </w:rPr>
        <w:t>:LCHS4001</w:t>
      </w:r>
    </w:p>
    <w:p w:rsidRPr="000C1D65" w:rsidR="0011705D" w:rsidP="05B1E48A" w:rsidRDefault="1978205A" w14:paraId="357E43BF" w14:textId="40375EA4">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3498BD5D">
        <w:rPr>
          <w:rFonts w:ascii="Arial Nova" w:hAnsi="Arial Nova" w:eastAsia="Arial Nova" w:cs="Arial Nova"/>
          <w:b w:val="1"/>
          <w:bCs w:val="1"/>
          <w:i w:val="1"/>
          <w:iCs w:val="1"/>
          <w:sz w:val="22"/>
          <w:szCs w:val="22"/>
          <w:lang w:val="en-US"/>
        </w:rPr>
        <w:t>Module:</w:t>
      </w:r>
      <w:r w:rsidRPr="05B1E48A" w:rsidR="3498BD5D">
        <w:rPr>
          <w:rFonts w:ascii="Arial Nova" w:hAnsi="Arial Nova" w:eastAsia="Arial Nova" w:cs="Arial Nova"/>
          <w:i w:val="1"/>
          <w:iCs w:val="1"/>
          <w:sz w:val="22"/>
          <w:szCs w:val="22"/>
          <w:lang w:val="en-US"/>
        </w:rPr>
        <w:t xml:space="preserve"> Academic and Employability Skills</w:t>
      </w:r>
    </w:p>
    <w:p w:rsidRPr="000C1D65" w:rsidR="0011705D" w:rsidP="05B1E48A" w:rsidRDefault="1978205A" w14:paraId="4FFF85B3" w14:textId="590056D1">
      <w:pPr>
        <w:pStyle w:val="ListParagraph"/>
        <w:numPr>
          <w:ilvl w:val="0"/>
          <w:numId w:val="2"/>
        </w:numPr>
        <w:spacing w:line="360" w:lineRule="auto"/>
        <w:rPr>
          <w:rFonts w:ascii="Arial Nova" w:hAnsi="Arial Nova" w:eastAsia="Arial Nova" w:cs="Arial Nova"/>
          <w:i w:val="1"/>
          <w:iCs w:val="1"/>
          <w:color w:val="000000" w:themeColor="text1"/>
          <w:sz w:val="22"/>
          <w:szCs w:val="22"/>
          <w:lang w:val="en-US"/>
        </w:rPr>
      </w:pPr>
      <w:r w:rsidRPr="05B1E48A" w:rsidR="3498BD5D">
        <w:rPr>
          <w:rFonts w:ascii="Arial Nova" w:hAnsi="Arial Nova" w:eastAsia="Arial Nova" w:cs="Arial Nova"/>
          <w:b w:val="1"/>
          <w:bCs w:val="1"/>
          <w:i w:val="1"/>
          <w:iCs w:val="1"/>
          <w:sz w:val="22"/>
          <w:szCs w:val="22"/>
          <w:lang w:val="en-US"/>
        </w:rPr>
        <w:t>Lecturer</w:t>
      </w:r>
      <w:r w:rsidRPr="05B1E48A" w:rsidR="3498BD5D">
        <w:rPr>
          <w:rFonts w:ascii="Arial Nova" w:hAnsi="Arial Nova" w:eastAsia="Arial Nova" w:cs="Arial Nova"/>
          <w:i w:val="1"/>
          <w:iCs w:val="1"/>
          <w:sz w:val="22"/>
          <w:szCs w:val="22"/>
          <w:lang w:val="en-US"/>
        </w:rPr>
        <w:t>:Wenli Wu</w:t>
      </w:r>
    </w:p>
    <w:p w:rsidRPr="000C1D65" w:rsidR="0011705D" w:rsidP="05B1E48A" w:rsidRDefault="0011705D" w14:paraId="43727E63" w14:textId="01A939AB">
      <w:pPr>
        <w:spacing w:line="360" w:lineRule="auto"/>
        <w:rPr>
          <w:rFonts w:ascii="Arial Nova" w:hAnsi="Arial Nova" w:eastAsia="Arial Nova" w:cs="Arial Nova"/>
          <w:i w:val="1"/>
          <w:iCs w:val="1"/>
          <w:sz w:val="22"/>
          <w:szCs w:val="22"/>
          <w:lang w:val="en-US"/>
        </w:rPr>
      </w:pPr>
    </w:p>
    <w:p w:rsidRPr="000C1D65" w:rsidR="0011705D" w:rsidP="05B1E48A" w:rsidRDefault="0011705D" w14:paraId="781A648A" w14:textId="5C70BD47">
      <w:pPr>
        <w:spacing w:line="360" w:lineRule="auto"/>
        <w:rPr>
          <w:rFonts w:ascii="Arial Nova" w:hAnsi="Arial Nova" w:eastAsia="Arial Nova" w:cs="Arial Nova"/>
          <w:i w:val="1"/>
          <w:iCs w:val="1"/>
          <w:sz w:val="22"/>
          <w:szCs w:val="22"/>
        </w:rPr>
      </w:pPr>
    </w:p>
    <w:p w:rsidRPr="000C1D65" w:rsidR="0011705D" w:rsidP="05B1E48A" w:rsidRDefault="0011705D" w14:paraId="5E466D4A" w14:textId="776A377B">
      <w:pPr>
        <w:spacing w:line="360" w:lineRule="auto"/>
        <w:rPr>
          <w:rFonts w:ascii="Arial Nova" w:hAnsi="Arial Nova" w:eastAsia="Arial Nova" w:cs="Arial Nova"/>
          <w:i w:val="1"/>
          <w:iCs w:val="1"/>
          <w:sz w:val="22"/>
          <w:szCs w:val="22"/>
        </w:rPr>
      </w:pPr>
    </w:p>
    <w:p w:rsidRPr="000C1D65" w:rsidR="0011705D" w:rsidP="05B1E48A" w:rsidRDefault="0011705D" w14:paraId="58EC2D76" w14:textId="5A50162C">
      <w:pPr>
        <w:spacing w:line="360" w:lineRule="auto"/>
        <w:rPr>
          <w:rFonts w:ascii="Arial Nova" w:hAnsi="Arial Nova" w:eastAsia="Arial Nova" w:cs="Arial Nova"/>
          <w:i w:val="1"/>
          <w:iCs w:val="1"/>
          <w:sz w:val="22"/>
          <w:szCs w:val="22"/>
        </w:rPr>
      </w:pPr>
    </w:p>
    <w:p w:rsidRPr="000C1D65" w:rsidR="0011705D" w:rsidP="05B1E48A" w:rsidRDefault="0011705D" w14:paraId="1900D6E7" w14:textId="39B1347A">
      <w:pPr>
        <w:spacing w:line="360" w:lineRule="auto"/>
        <w:rPr>
          <w:rFonts w:ascii="Arial Nova" w:hAnsi="Arial Nova" w:eastAsia="Arial Nova" w:cs="Arial Nova"/>
          <w:i w:val="1"/>
          <w:iCs w:val="1"/>
          <w:sz w:val="22"/>
          <w:szCs w:val="22"/>
        </w:rPr>
      </w:pPr>
    </w:p>
    <w:p w:rsidRPr="000C1D65" w:rsidR="0011705D" w:rsidP="05B1E48A" w:rsidRDefault="0011705D" w14:paraId="788C2CE2" w14:textId="07B24894">
      <w:pPr>
        <w:spacing w:line="360" w:lineRule="auto"/>
        <w:rPr>
          <w:rFonts w:ascii="Arial Nova" w:hAnsi="Arial Nova" w:eastAsia="Arial Nova" w:cs="Arial Nova"/>
          <w:i w:val="1"/>
          <w:iCs w:val="1"/>
          <w:sz w:val="22"/>
          <w:szCs w:val="22"/>
        </w:rPr>
      </w:pPr>
    </w:p>
    <w:p w:rsidRPr="000C1D65" w:rsidR="0011705D" w:rsidP="05B1E48A" w:rsidRDefault="0011705D" w14:paraId="1D80814A" w14:textId="32EC5802">
      <w:pPr>
        <w:spacing w:line="360" w:lineRule="auto"/>
        <w:rPr>
          <w:rFonts w:ascii="Arial Nova" w:hAnsi="Arial Nova" w:eastAsia="Arial Nova" w:cs="Arial Nova"/>
          <w:i w:val="1"/>
          <w:iCs w:val="1"/>
          <w:sz w:val="22"/>
          <w:szCs w:val="22"/>
        </w:rPr>
      </w:pPr>
    </w:p>
    <w:p w:rsidRPr="000C1D65" w:rsidR="0011705D" w:rsidP="05B1E48A" w:rsidRDefault="0011705D" w14:paraId="394248D2" w14:textId="52747038">
      <w:pPr>
        <w:spacing w:line="360" w:lineRule="auto"/>
        <w:rPr>
          <w:rFonts w:ascii="Arial Nova" w:hAnsi="Arial Nova" w:eastAsia="Arial Nova" w:cs="Arial Nova"/>
          <w:i w:val="1"/>
          <w:iCs w:val="1"/>
          <w:sz w:val="22"/>
          <w:szCs w:val="22"/>
        </w:rPr>
      </w:pPr>
    </w:p>
    <w:p w:rsidRPr="000C1D65" w:rsidR="0011705D" w:rsidP="05B1E48A" w:rsidRDefault="0011705D" w14:paraId="1220B71A" w14:textId="6B65E0A5">
      <w:pPr>
        <w:spacing w:line="360" w:lineRule="auto"/>
        <w:rPr>
          <w:rFonts w:ascii="Arial Nova" w:hAnsi="Arial Nova" w:eastAsia="Arial Nova" w:cs="Arial Nova"/>
          <w:i w:val="1"/>
          <w:iCs w:val="1"/>
          <w:sz w:val="22"/>
          <w:szCs w:val="22"/>
        </w:rPr>
      </w:pPr>
    </w:p>
    <w:p w:rsidRPr="000C1D65" w:rsidR="0011705D" w:rsidP="05B1E48A" w:rsidRDefault="0011705D" w14:paraId="057027D0" w14:textId="4A8957C0">
      <w:pPr>
        <w:spacing w:line="360" w:lineRule="auto"/>
        <w:rPr>
          <w:rFonts w:ascii="Arial Nova" w:hAnsi="Arial Nova" w:eastAsia="Arial Nova" w:cs="Arial Nova"/>
          <w:i w:val="1"/>
          <w:iCs w:val="1"/>
          <w:sz w:val="22"/>
          <w:szCs w:val="22"/>
        </w:rPr>
      </w:pPr>
    </w:p>
    <w:p w:rsidRPr="000C1D65" w:rsidR="0011705D" w:rsidP="05B1E48A" w:rsidRDefault="0011705D" w14:paraId="5E14044A" w14:textId="78779EE2">
      <w:pPr>
        <w:spacing w:line="360" w:lineRule="auto"/>
        <w:rPr>
          <w:rFonts w:ascii="Arial Nova" w:hAnsi="Arial Nova" w:eastAsia="Arial Nova" w:cs="Arial Nova"/>
          <w:i w:val="1"/>
          <w:iCs w:val="1"/>
          <w:sz w:val="22"/>
          <w:szCs w:val="22"/>
        </w:rPr>
      </w:pPr>
    </w:p>
    <w:p w:rsidRPr="000C1D65" w:rsidR="0011705D" w:rsidP="05B1E48A" w:rsidRDefault="0011705D" w14:paraId="33690E37" w14:textId="2D286850">
      <w:pPr>
        <w:spacing w:line="360" w:lineRule="auto"/>
        <w:rPr>
          <w:rFonts w:ascii="Arial Nova" w:hAnsi="Arial Nova" w:eastAsia="Arial Nova" w:cs="Arial Nova"/>
          <w:sz w:val="22"/>
          <w:szCs w:val="22"/>
        </w:rPr>
      </w:pPr>
    </w:p>
    <w:p w:rsidRPr="000C1D65" w:rsidR="0011705D" w:rsidP="05B1E48A" w:rsidRDefault="0011705D" w14:paraId="2DF67B8B" w14:textId="1D8B9844">
      <w:pPr>
        <w:spacing w:line="360" w:lineRule="auto"/>
        <w:rPr>
          <w:rFonts w:ascii="Arial Nova" w:hAnsi="Arial Nova" w:eastAsia="Arial Nova" w:cs="Arial Nova"/>
          <w:i w:val="1"/>
          <w:iCs w:val="1"/>
          <w:sz w:val="22"/>
          <w:szCs w:val="22"/>
        </w:rPr>
      </w:pPr>
    </w:p>
    <w:p w:rsidRPr="000C1D65" w:rsidR="0011705D" w:rsidP="05B1E48A" w:rsidRDefault="0011705D" w14:paraId="4EF796C4" w14:textId="75316193">
      <w:pPr>
        <w:spacing w:line="360" w:lineRule="auto"/>
        <w:rPr>
          <w:rFonts w:ascii="Arial Nova" w:hAnsi="Arial Nova" w:eastAsia="Arial Nova" w:cs="Arial Nova"/>
          <w:i w:val="1"/>
          <w:iCs w:val="1"/>
          <w:sz w:val="22"/>
          <w:szCs w:val="22"/>
        </w:rPr>
      </w:pPr>
    </w:p>
    <w:p w:rsidRPr="000C1D65" w:rsidR="0011705D" w:rsidP="05B1E48A" w:rsidRDefault="0011705D" w14:paraId="74A54B4B" w14:textId="0FF4F952">
      <w:pPr>
        <w:spacing w:line="360" w:lineRule="auto"/>
        <w:rPr>
          <w:rFonts w:ascii="Arial Nova" w:hAnsi="Arial Nova" w:eastAsia="Arial Nova" w:cs="Arial Nova"/>
          <w:i w:val="1"/>
          <w:iCs w:val="1"/>
          <w:sz w:val="22"/>
          <w:szCs w:val="22"/>
        </w:rPr>
      </w:pPr>
    </w:p>
    <w:p w:rsidRPr="000C1D65" w:rsidR="0011705D" w:rsidP="05B1E48A" w:rsidRDefault="0011705D" w14:paraId="27AABBAF" w14:textId="65515C88">
      <w:pPr>
        <w:spacing w:line="360" w:lineRule="auto"/>
        <w:rPr>
          <w:rFonts w:ascii="Arial Nova" w:hAnsi="Arial Nova" w:eastAsia="Arial Nova" w:cs="Arial Nova"/>
          <w:i w:val="1"/>
          <w:iCs w:val="1"/>
          <w:sz w:val="22"/>
          <w:szCs w:val="22"/>
        </w:rPr>
      </w:pPr>
    </w:p>
    <w:p w:rsidRPr="000C1D65" w:rsidR="0011705D" w:rsidP="05B1E48A" w:rsidRDefault="0011705D" w14:paraId="12C76D44" w14:textId="3A63C652">
      <w:pPr>
        <w:spacing w:line="360" w:lineRule="auto"/>
        <w:rPr>
          <w:rFonts w:ascii="Arial Nova" w:hAnsi="Arial Nova" w:eastAsia="Arial Nova" w:cs="Arial Nova"/>
          <w:i w:val="1"/>
          <w:iCs w:val="1"/>
          <w:sz w:val="22"/>
          <w:szCs w:val="22"/>
        </w:rPr>
      </w:pPr>
    </w:p>
    <w:p w:rsidRPr="000C1D65" w:rsidR="0011705D" w:rsidP="05B1E48A" w:rsidRDefault="0A8F2103" w14:paraId="74EB2270" w14:textId="34593389">
      <w:pPr>
        <w:pStyle w:val="ListParagraph"/>
        <w:numPr>
          <w:ilvl w:val="0"/>
          <w:numId w:val="2"/>
        </w:numPr>
        <w:spacing w:line="360" w:lineRule="auto"/>
        <w:rPr>
          <w:rFonts w:ascii="Arial Nova" w:hAnsi="Arial Nova" w:eastAsia="Arial Nova" w:cs="Arial Nova"/>
          <w:b w:val="1"/>
          <w:bCs w:val="1"/>
          <w:i w:val="1"/>
          <w:iCs w:val="1"/>
          <w:color w:val="000000" w:themeColor="text1"/>
          <w:sz w:val="22"/>
          <w:szCs w:val="22"/>
        </w:rPr>
      </w:pPr>
      <w:r w:rsidRPr="05B1E48A" w:rsidR="71268B00">
        <w:rPr>
          <w:rFonts w:ascii="Arial Nova" w:hAnsi="Arial Nova" w:eastAsia="Arial Nova" w:cs="Arial Nova"/>
          <w:b w:val="1"/>
          <w:bCs w:val="1"/>
          <w:i w:val="1"/>
          <w:iCs w:val="1"/>
          <w:sz w:val="22"/>
          <w:szCs w:val="22"/>
        </w:rPr>
        <w:t xml:space="preserve">Task 3 </w:t>
      </w:r>
    </w:p>
    <w:p w:rsidRPr="000C1D65" w:rsidR="0011705D" w:rsidP="05B1E48A" w:rsidRDefault="262D71C6" w14:paraId="50FB4E7B" w14:textId="2576D6CA">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b w:val="1"/>
          <w:bCs w:val="1"/>
          <w:i w:val="1"/>
          <w:iCs w:val="1"/>
          <w:sz w:val="22"/>
          <w:szCs w:val="22"/>
        </w:rPr>
        <w:t>The Role of the Therapist in Health and Social Care: Core Competencies and Professional Development</w:t>
      </w:r>
    </w:p>
    <w:p w:rsidRPr="000C1D65" w:rsidR="0011705D" w:rsidP="05B1E48A" w:rsidRDefault="262D71C6" w14:paraId="20B95375" w14:textId="412BF55A">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I</w:t>
      </w:r>
      <w:r w:rsidRPr="05B1E48A" w:rsidR="2C42296C">
        <w:rPr>
          <w:rFonts w:ascii="Arial Nova" w:hAnsi="Arial Nova" w:eastAsia="Arial Nova" w:cs="Arial Nova"/>
          <w:b w:val="1"/>
          <w:bCs w:val="1"/>
          <w:i w:val="1"/>
          <w:iCs w:val="1"/>
          <w:sz w:val="22"/>
          <w:szCs w:val="22"/>
        </w:rPr>
        <w:t>ntroduction</w:t>
      </w:r>
    </w:p>
    <w:p w:rsidRPr="000C1D65" w:rsidR="0011705D" w:rsidP="05B1E48A" w:rsidRDefault="262D71C6" w14:paraId="737867A3" w14:textId="7F3C2CEE">
      <w:pPr>
        <w:pStyle w:val="ListParagraph"/>
        <w:numPr>
          <w:ilvl w:val="0"/>
          <w:numId w:val="2"/>
        </w:numPr>
        <w:spacing w:line="360" w:lineRule="auto"/>
        <w:rPr>
          <w:rFonts w:ascii="Arial Nova" w:hAnsi="Arial Nova" w:eastAsia="Arial Nova" w:cs="Arial Nova"/>
          <w:i w:val="1"/>
          <w:iCs w:val="1"/>
          <w:color w:val="000000" w:themeColor="text1"/>
          <w:sz w:val="22"/>
          <w:szCs w:val="22"/>
          <w:lang w:val="en-US"/>
        </w:rPr>
      </w:pPr>
      <w:r w:rsidRPr="05B1E48A" w:rsidR="2C42296C">
        <w:rPr>
          <w:rFonts w:ascii="Arial Nova" w:hAnsi="Arial Nova" w:eastAsia="Arial Nova" w:cs="Arial Nova"/>
          <w:i w:val="1"/>
          <w:iCs w:val="1"/>
          <w:sz w:val="22"/>
          <w:szCs w:val="22"/>
          <w:lang w:val="en-US"/>
        </w:rPr>
        <w:t>Mental wellbeing is increasingly recognised as a foundational element of holistic health. The World Health Organization (2022) estimates that mental health conditions affect hundreds of millions of people globally, placing sustained pressure on health and social care systems. In England, approximately five million individuals accessed NHS-funded mental health services in 2022–2023, a figure that reflects growing demand for specialist therapeutic intervention (NHS England, 2024). Therapists fulfil a critical function within this landscape, supporting service users to navigate emotional, psychological and behavioural challenges. Drawing on evidence-based practice, they enable individuals to examine their experiences, thoughts and feelings, while developing adaptive strategies to facilitate recovery. Ultimately, high-quality therapeutic practice advances mental wellbeing, enhances social functioning and improves overall quality of life. This report examines the professional role of the therapist, analyses essential skills required for effective practice, and evaluates structured approaches to strengthening these capabilities within the profession.</w:t>
      </w:r>
    </w:p>
    <w:p w:rsidRPr="000C1D65" w:rsidR="0011705D" w:rsidP="05B1E48A" w:rsidRDefault="262D71C6" w14:paraId="472775BE" w14:textId="3F25E3D3">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b w:val="1"/>
          <w:bCs w:val="1"/>
          <w:i w:val="1"/>
          <w:iCs w:val="1"/>
          <w:sz w:val="22"/>
          <w:szCs w:val="22"/>
        </w:rPr>
        <w:t>Role of the Therapist:</w:t>
      </w:r>
      <w:r w:rsidRPr="05B1E48A" w:rsidR="2C42296C">
        <w:rPr>
          <w:rFonts w:ascii="Arial Nova" w:hAnsi="Arial Nova" w:eastAsia="Arial Nova" w:cs="Arial Nova"/>
          <w:i w:val="1"/>
          <w:iCs w:val="1"/>
          <w:sz w:val="22"/>
          <w:szCs w:val="22"/>
        </w:rPr>
        <w:t xml:space="preserve"> Core Functions and Professional Context</w:t>
      </w:r>
    </w:p>
    <w:p w:rsidRPr="000C1D65" w:rsidR="0011705D" w:rsidP="05B1E48A" w:rsidRDefault="262D71C6" w14:paraId="042E7C89" w14:textId="0B073F88">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A therapist is a qualified practitioner who delivers specialist psychological and emotional support to those experiencing mental health difficulties or significant life transitions. Practice occurs across diverse settings including acute hospitals, community services, educational institutions, rehabilitation facilities and independent practice (NHS Health Careers, 2025), addressing conditions such as anxiety, depression, post-traumatic stress, substance use disorders and relational conflict.</w:t>
      </w:r>
    </w:p>
    <w:p w:rsidRPr="000C1D65" w:rsidR="0011705D" w:rsidP="05B1E48A" w:rsidRDefault="262D71C6" w14:paraId="36683ACD" w14:textId="79E7B746">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Central to the role is collaborative assessment: therapists work in partnership with service users to identify needs, define priorities and agree therapeutic goals, before selecting appropriate interventions aligned with individual circumstances and empirical evidence (McPherson et al., 2020). Modalities may include cognitive behavioural therapy, person-centred practice or psychodynamic approaches, tailored to support improved coping, emotional regulation and self-awareness. Equally fundamental is adherence to ethical and professional standards: practice must be governed by clear boundaries, confidentiality protocols and respect for autonomy, all of which underpin the trust essential to a productive therapeutic alliance. Therapists also operate as integral members of multidisciplinary teams, collaborating with psychiatrists, psychologists, social workers and nursing staff to deliver coordinated, holistic care. Through these activities, therapists make a substantial contribution to person-centred service delivery and long-term recovery outcomes.</w:t>
      </w:r>
    </w:p>
    <w:p w:rsidRPr="000C1D65" w:rsidR="0011705D" w:rsidP="05B1E48A" w:rsidRDefault="262D71C6" w14:paraId="67BD0B69" w14:textId="20644E92">
      <w:pPr>
        <w:pStyle w:val="ListParagraph"/>
        <w:numPr>
          <w:ilvl w:val="0"/>
          <w:numId w:val="2"/>
        </w:numPr>
        <w:spacing w:line="360" w:lineRule="auto"/>
        <w:rPr>
          <w:rFonts w:ascii="Arial Nova" w:hAnsi="Arial Nova" w:eastAsia="Arial Nova" w:cs="Arial Nova"/>
          <w:i w:val="1"/>
          <w:iCs w:val="1"/>
          <w:sz w:val="22"/>
          <w:szCs w:val="22"/>
        </w:rPr>
      </w:pPr>
      <w:r w:rsidRPr="05B1E48A" w:rsidR="2C42296C">
        <w:rPr>
          <w:rFonts w:ascii="Arial Nova" w:hAnsi="Arial Nova" w:eastAsia="Arial Nova" w:cs="Arial Nova"/>
          <w:i w:val="1"/>
          <w:iCs w:val="1"/>
          <w:sz w:val="22"/>
          <w:szCs w:val="22"/>
        </w:rPr>
        <w:t>Essential Skills for Effective Therapeutic Practice</w:t>
      </w:r>
    </w:p>
    <w:p w:rsidRPr="000C1D65" w:rsidR="0011705D" w:rsidP="05B1E48A" w:rsidRDefault="262D71C6" w14:paraId="38CACADB" w14:textId="3B570220">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Communication</w:t>
      </w:r>
    </w:p>
    <w:p w:rsidRPr="000C1D65" w:rsidR="0011705D" w:rsidP="05B1E48A" w:rsidRDefault="262D71C6" w14:paraId="560C963E" w14:textId="347ACD25">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Communication constitutes the bedrock of safe, effective therapeutic work. It encompasses both verbal and non-verbal proficiency: active listening, sensitive questioning, clear explanation, appropriate tone, posture and eye contact. Through skilled communication, therapists establish rapport, gather relevant information, articulate therapeutic processes and negotiate shared objectives. For example, a therapist supporting an individual experiencing acute anxiety may use measured, accessible communication to explain coping frameworks, encourage participation and reduce distress, thereby facilitating more rapid progress. Conversely, inadequate communication can erode trust, disempower service users, impede recovery and undermine self-efficacy. As such, communication is not merely a functional skill but a core clinical competency.</w:t>
      </w:r>
    </w:p>
    <w:p w:rsidRPr="000C1D65" w:rsidR="0011705D" w:rsidP="05B1E48A" w:rsidRDefault="262D71C6" w14:paraId="276E40C8" w14:textId="1C70E546">
      <w:pPr>
        <w:pStyle w:val="ListParagraph"/>
        <w:numPr>
          <w:ilvl w:val="0"/>
          <w:numId w:val="2"/>
        </w:numPr>
        <w:spacing w:line="360" w:lineRule="auto"/>
        <w:rPr>
          <w:rFonts w:ascii="Arial Nova" w:hAnsi="Arial Nova" w:eastAsia="Arial Nova" w:cs="Arial Nova"/>
          <w:b w:val="1"/>
          <w:bCs w:val="1"/>
          <w:i w:val="1"/>
          <w:iCs w:val="1"/>
          <w:color w:val="000000" w:themeColor="text1"/>
          <w:sz w:val="22"/>
          <w:szCs w:val="22"/>
        </w:rPr>
      </w:pPr>
      <w:r w:rsidRPr="05B1E48A" w:rsidR="2C42296C">
        <w:rPr>
          <w:rFonts w:ascii="Arial Nova" w:hAnsi="Arial Nova" w:eastAsia="Arial Nova" w:cs="Arial Nova"/>
          <w:b w:val="1"/>
          <w:bCs w:val="1"/>
          <w:i w:val="1"/>
          <w:iCs w:val="1"/>
          <w:sz w:val="22"/>
          <w:szCs w:val="22"/>
        </w:rPr>
        <w:t>Empathy</w:t>
      </w:r>
    </w:p>
    <w:p w:rsidRPr="000C1D65" w:rsidR="0011705D" w:rsidP="05B1E48A" w:rsidRDefault="262D71C6" w14:paraId="0DE2FEFD" w14:textId="3E66664B">
      <w:pPr>
        <w:pStyle w:val="ListParagraph"/>
        <w:numPr>
          <w:ilvl w:val="0"/>
          <w:numId w:val="2"/>
        </w:numPr>
        <w:spacing w:line="360" w:lineRule="auto"/>
        <w:rPr>
          <w:rFonts w:ascii="Arial Nova" w:hAnsi="Arial Nova" w:eastAsia="Arial Nova" w:cs="Arial Nova"/>
          <w:i w:val="1"/>
          <w:iCs w:val="1"/>
          <w:color w:val="000000" w:themeColor="text1"/>
          <w:sz w:val="22"/>
          <w:szCs w:val="22"/>
          <w:lang w:val="en-US"/>
        </w:rPr>
      </w:pPr>
      <w:r w:rsidRPr="05B1E48A" w:rsidR="2C42296C">
        <w:rPr>
          <w:rFonts w:ascii="Arial Nova" w:hAnsi="Arial Nova" w:eastAsia="Arial Nova" w:cs="Arial Nova"/>
          <w:i w:val="1"/>
          <w:iCs w:val="1"/>
          <w:sz w:val="22"/>
          <w:szCs w:val="22"/>
          <w:lang w:val="en-US"/>
        </w:rPr>
        <w:t>Empathy – the capacity to comprehend, validate and respond appropriately to another’s perspective and emotional experience – is central to compassionate, person-centred care (Moudatsou et al., 2020). When service users perceive their experiences as understood and respected, they are more likely to engage openly with therapeutic work and commit to agreed interventions. For instance, a therapist supporting survivors of trauma demonstrates empathy through validation, safety-building and non-judgement, fostering the trust required for meaningful engagement. However, empathy must be balanced with professional objectivity: excessive emotional involvement risks compromising clinical judgement and personal wellbeing. Maintaining this distinction enables practitioners to deliver care that is both compassionate and ethically sound.</w:t>
      </w:r>
    </w:p>
    <w:p w:rsidRPr="000C1D65" w:rsidR="0011705D" w:rsidP="05B1E48A" w:rsidRDefault="262D71C6" w14:paraId="196FE1F1" w14:textId="399C0B5B">
      <w:pPr>
        <w:pStyle w:val="ListParagraph"/>
        <w:numPr>
          <w:ilvl w:val="0"/>
          <w:numId w:val="2"/>
        </w:numPr>
        <w:spacing w:line="360" w:lineRule="auto"/>
        <w:rPr>
          <w:rFonts w:ascii="Arial Nova" w:hAnsi="Arial Nova" w:eastAsia="Arial Nova" w:cs="Arial Nova"/>
          <w:b w:val="1"/>
          <w:bCs w:val="1"/>
          <w:i w:val="1"/>
          <w:iCs w:val="1"/>
          <w:color w:val="000000" w:themeColor="text1"/>
          <w:sz w:val="22"/>
          <w:szCs w:val="22"/>
        </w:rPr>
      </w:pPr>
      <w:r w:rsidRPr="05B1E48A" w:rsidR="2C42296C">
        <w:rPr>
          <w:rFonts w:ascii="Arial Nova" w:hAnsi="Arial Nova" w:eastAsia="Arial Nova" w:cs="Arial Nova"/>
          <w:b w:val="1"/>
          <w:bCs w:val="1"/>
          <w:i w:val="1"/>
          <w:iCs w:val="1"/>
          <w:sz w:val="22"/>
          <w:szCs w:val="22"/>
        </w:rPr>
        <w:t>Emotional Resilience</w:t>
      </w:r>
    </w:p>
    <w:p w:rsidRPr="000C1D65" w:rsidR="0011705D" w:rsidP="05B1E48A" w:rsidRDefault="262D71C6" w14:paraId="2131B6C8" w14:textId="28FCCE56">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Emotional resilience refers to the ability to manage stress, adapt to challenging circumstances and uphold professional standards within emotionally demanding contexts. Therapists regularly engage with accounts of trauma, loss, abuse and acute distress, a workload intensified by rising service demand (NHS England, 2024). Resilience allows practitioners to remain consistent, calm and compassionate without becoming overwhelmed, preserving both service quality and their own psychological health. For example, a therapist working with multiple individuals affected by domestic violence must sustain focus and empathy across sessions while safeguarding personal wellbeing. Without this capability, professionals face elevated risk of burnout, compassion fatigue and diminished clinical effectiveness, all of which negatively impact service delivery. Resilience is therefore essential to sustainable, high-quality practice.</w:t>
      </w:r>
    </w:p>
    <w:p w:rsidRPr="000C1D65" w:rsidR="0011705D" w:rsidP="05B1E48A" w:rsidRDefault="262D71C6" w14:paraId="39506AE5" w14:textId="195CD6A1">
      <w:pPr>
        <w:pStyle w:val="ListParagraph"/>
        <w:numPr>
          <w:ilvl w:val="0"/>
          <w:numId w:val="2"/>
        </w:numPr>
        <w:spacing w:line="360" w:lineRule="auto"/>
        <w:rPr>
          <w:rFonts w:ascii="Arial Nova" w:hAnsi="Arial Nova" w:eastAsia="Arial Nova" w:cs="Arial Nova"/>
          <w:i w:val="1"/>
          <w:iCs w:val="1"/>
          <w:sz w:val="22"/>
          <w:szCs w:val="22"/>
        </w:rPr>
      </w:pPr>
      <w:r w:rsidRPr="05B1E48A" w:rsidR="2C42296C">
        <w:rPr>
          <w:rFonts w:ascii="Arial Nova" w:hAnsi="Arial Nova" w:eastAsia="Arial Nova" w:cs="Arial Nova"/>
          <w:i w:val="1"/>
          <w:iCs w:val="1"/>
          <w:sz w:val="22"/>
          <w:szCs w:val="22"/>
        </w:rPr>
        <w:t>Strategies for Professional Development</w:t>
      </w:r>
    </w:p>
    <w:p w:rsidRPr="000C1D65" w:rsidR="0011705D" w:rsidP="05B1E48A" w:rsidRDefault="262D71C6" w14:paraId="651021F3" w14:textId="53B2BA49">
      <w:pPr>
        <w:pStyle w:val="ListParagraph"/>
        <w:numPr>
          <w:ilvl w:val="0"/>
          <w:numId w:val="2"/>
        </w:numPr>
        <w:spacing w:line="360" w:lineRule="auto"/>
        <w:rPr>
          <w:rFonts w:ascii="Arial Nova" w:hAnsi="Arial Nova" w:eastAsia="Arial Nova" w:cs="Arial Nova"/>
          <w:b w:val="1"/>
          <w:bCs w:val="1"/>
          <w:i w:val="1"/>
          <w:iCs w:val="1"/>
          <w:sz w:val="22"/>
          <w:szCs w:val="22"/>
        </w:rPr>
      </w:pPr>
      <w:r w:rsidRPr="05B1E48A" w:rsidR="2C42296C">
        <w:rPr>
          <w:rFonts w:ascii="Arial Nova" w:hAnsi="Arial Nova" w:eastAsia="Arial Nova" w:cs="Arial Nova"/>
          <w:b w:val="1"/>
          <w:bCs w:val="1"/>
          <w:i w:val="1"/>
          <w:iCs w:val="1"/>
          <w:sz w:val="22"/>
          <w:szCs w:val="22"/>
        </w:rPr>
        <w:t>Reflective Practice</w:t>
      </w:r>
    </w:p>
    <w:p w:rsidRPr="000C1D65" w:rsidR="0011705D" w:rsidP="05B1E48A" w:rsidRDefault="262D71C6" w14:paraId="0CFFF71B" w14:textId="1E480043">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Reflective practice is widely established as a primary mechanism for enhancing professional competence, aligning with Schön’s conceptualisation of reflection-in-action (critical review during practice) and reflection-on-action (systematic review following events) (Mohamed et al., 2022). For therapists, this involves structured review of interactions, identification of strengths and areas for development, and consideration of alternative approaches. For example, following a session marked by limited engagement, reflection may prompt adjustment of questioning style or pacing in future work. It also deepens empathic awareness by encouraging examination of personal assumptions and biases. As a cyclical, iterative process, reflection supports lifelong learning, strengthens clinical reasoning and ensures alignment with professional and ethical standards.</w:t>
      </w:r>
    </w:p>
    <w:p w:rsidRPr="000C1D65" w:rsidR="0011705D" w:rsidP="05B1E48A" w:rsidRDefault="262D71C6" w14:paraId="37BD861F" w14:textId="039B0F97">
      <w:pPr>
        <w:pStyle w:val="ListParagraph"/>
        <w:numPr>
          <w:ilvl w:val="0"/>
          <w:numId w:val="2"/>
        </w:numPr>
        <w:spacing w:line="360" w:lineRule="auto"/>
        <w:rPr>
          <w:rFonts w:ascii="Arial Nova" w:hAnsi="Arial Nova" w:eastAsia="Arial Nova" w:cs="Arial Nova"/>
          <w:b w:val="0"/>
          <w:bCs w:val="0"/>
          <w:i w:val="1"/>
          <w:iCs w:val="1"/>
          <w:color w:val="000000" w:themeColor="text1"/>
          <w:sz w:val="22"/>
          <w:szCs w:val="22"/>
        </w:rPr>
      </w:pPr>
      <w:r w:rsidRPr="05B1E48A" w:rsidR="2C42296C">
        <w:rPr>
          <w:rFonts w:ascii="Arial Nova" w:hAnsi="Arial Nova" w:eastAsia="Arial Nova" w:cs="Arial Nova"/>
          <w:b w:val="0"/>
          <w:bCs w:val="0"/>
          <w:i w:val="1"/>
          <w:iCs w:val="1"/>
          <w:sz w:val="22"/>
          <w:szCs w:val="22"/>
        </w:rPr>
        <w:t>Peer Mentoring and Structured Feedback</w:t>
      </w:r>
    </w:p>
    <w:p w:rsidRPr="000C1D65" w:rsidR="0011705D" w:rsidP="05B1E48A" w:rsidRDefault="262D71C6" w14:paraId="7DD462AB" w14:textId="1ACE9246">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Formal peer support, supervision and constructive feedback provide valuable opportunities for professional growth. Colleagues and senior practitioners can offer alternative perspectives, confirm effective practice and highlight areas requiring further development. For example, feedback regarding responses to expressions of grief or conflict may refine communication and empathic skill. Mentoring also builds professional confidence, enhances collaborative working and supports navigation of complex ethical or clinical dilemmas. For early-career practitioners in particular, this shared learning reduces professional isolation and accelerates acquisition of advanced capabilities, directly improving service quality.</w:t>
      </w:r>
    </w:p>
    <w:p w:rsidRPr="000C1D65" w:rsidR="0011705D" w:rsidP="05B1E48A" w:rsidRDefault="262D71C6" w14:paraId="24CF4DC6" w14:textId="3DBB011E">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Specialist Training and Continuing Professional Development</w:t>
      </w:r>
    </w:p>
    <w:p w:rsidRPr="000C1D65" w:rsidR="0011705D" w:rsidP="05B1E48A" w:rsidRDefault="262D71C6" w14:paraId="71EAE302" w14:textId="327D2520">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Ongoing access to accredited training, workshops and updated guidance ensures practice remains aligned with emerging evidence and evolving service requirements. Specialist provision can expand therapeutic knowledge, introduce evidence-based interventions and strengthen core competencies such as communication and risk assessment. It also supports emotional resilience through structured instruction in stress management and self-care, reducing vulnerability to burnout. For instance, targeted training in trauma-informed practice enhances capacity to support affected groups while protecting practitioner wellbeing. Continuous development is therefore essential to maintaining high standards, adapting to changing need and ensuring care remains safe, effective and person-centred.</w:t>
      </w:r>
    </w:p>
    <w:p w:rsidRPr="000C1D65" w:rsidR="0011705D" w:rsidP="05B1E48A" w:rsidRDefault="262D71C6" w14:paraId="54C6410D" w14:textId="0340D364">
      <w:pPr>
        <w:pStyle w:val="Normal"/>
        <w:rPr>
          <w:rFonts w:ascii="Arial Nova" w:hAnsi="Arial Nova" w:eastAsia="Arial Nova" w:cs="Arial Nova"/>
          <w:i w:val="1"/>
          <w:iCs w:val="1"/>
          <w:color w:val="000000" w:themeColor="text1" w:themeTint="FF" w:themeShade="FF"/>
          <w:sz w:val="22"/>
          <w:szCs w:val="22"/>
        </w:rPr>
      </w:pPr>
      <w:r w:rsidRPr="05B1E48A" w:rsidR="2C42296C">
        <w:rPr>
          <w:rFonts w:ascii="Arial Nova" w:hAnsi="Arial Nova" w:eastAsia="Arial Nova" w:cs="Arial Nova"/>
          <w:b w:val="1"/>
          <w:bCs w:val="1"/>
          <w:sz w:val="22"/>
          <w:szCs w:val="22"/>
        </w:rPr>
        <w:t>Conclusion</w:t>
      </w:r>
    </w:p>
    <w:p w:rsidRPr="000C1D65" w:rsidR="0011705D" w:rsidP="05B1E48A" w:rsidRDefault="262D71C6" w14:paraId="6F3E5575" w14:textId="24E18FF6">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Therapists are indispensable members of health and social care teams, delivering specialist support that enables individuals to recover, build resilience and enhance quality of life. Their role encompasses assessment, evidence-based intervention, ethical governance and collaborative working within integrated care networks. Three competencies are foundational to effective practice: clear, sensitive communication; balanced, professional empathy; and robust emotional resilience. These capabilities may be systematically strengthened through structured reflective practice, peer mentoring and feedback, and targeted continuing professional development. As demand for mental health services continues to rise, sustained investment in these areas will be essential to delivering safe, compassionate and effective care for all service users.</w:t>
      </w:r>
    </w:p>
    <w:p w:rsidRPr="000C1D65" w:rsidR="0011705D" w:rsidP="05B1E48A" w:rsidRDefault="0011705D" w14:paraId="02072BEA" w14:textId="662F60A4">
      <w:pPr>
        <w:spacing w:line="360" w:lineRule="auto"/>
        <w:rPr>
          <w:rFonts w:ascii="Arial Nova" w:hAnsi="Arial Nova" w:eastAsia="Arial Nova" w:cs="Arial Nova"/>
          <w:i w:val="1"/>
          <w:iCs w:val="1"/>
          <w:sz w:val="22"/>
          <w:szCs w:val="22"/>
        </w:rPr>
      </w:pPr>
    </w:p>
    <w:p w:rsidRPr="000C1D65" w:rsidR="0011705D" w:rsidP="05B1E48A" w:rsidRDefault="262D71C6" w14:paraId="5F9281FF" w14:textId="7DC76F04">
      <w:pPr>
        <w:pStyle w:val="ListParagraph"/>
        <w:numPr>
          <w:ilvl w:val="0"/>
          <w:numId w:val="2"/>
        </w:numPr>
        <w:spacing w:line="360" w:lineRule="auto"/>
        <w:rPr>
          <w:rFonts w:ascii="Arial Nova" w:hAnsi="Arial Nova" w:eastAsia="Arial Nova" w:cs="Arial Nova"/>
          <w:b w:val="1"/>
          <w:bCs w:val="1"/>
          <w:i w:val="1"/>
          <w:iCs w:val="1"/>
          <w:color w:val="000000" w:themeColor="text1"/>
          <w:sz w:val="22"/>
          <w:szCs w:val="22"/>
        </w:rPr>
      </w:pPr>
      <w:r w:rsidRPr="05B1E48A" w:rsidR="2C42296C">
        <w:rPr>
          <w:rFonts w:ascii="Arial Nova" w:hAnsi="Arial Nova" w:eastAsia="Arial Nova" w:cs="Arial Nova"/>
          <w:b w:val="1"/>
          <w:bCs w:val="1"/>
          <w:i w:val="1"/>
          <w:iCs w:val="1"/>
          <w:sz w:val="22"/>
          <w:szCs w:val="22"/>
        </w:rPr>
        <w:t>References</w:t>
      </w:r>
    </w:p>
    <w:p w:rsidRPr="000C1D65" w:rsidR="0011705D" w:rsidP="05B1E48A" w:rsidRDefault="262D71C6" w14:paraId="5AE48A06" w14:textId="1E106013">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McNulty, J.P. and Politis, Y. (2023). ‘Empathy, emotional intelligence and interprofessional skills in healthcare education’. Journal of Medical Imaging and Radiation Sciences, 54(2), pp. 238–246. Available at: </w:t>
      </w:r>
      <w:hyperlink r:id="R5d69742347984ce4">
        <w:r w:rsidRPr="05B1E48A" w:rsidR="2C42296C">
          <w:rPr>
            <w:rStyle w:val="Hyperlink"/>
            <w:rFonts w:ascii="Arial Nova" w:hAnsi="Arial Nova" w:eastAsia="Arial Nova" w:cs="Arial Nova"/>
            <w:i w:val="1"/>
            <w:iCs w:val="1"/>
            <w:sz w:val="22"/>
            <w:szCs w:val="22"/>
          </w:rPr>
          <w:t>https://www.sciencedirect.com/science/article/pii/S1939865423000450</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1162F390" w14:textId="16F4FC69">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McPherson, S., Wicks, C. and Tercelli, I. (2020). ‘Patient experiences of psychological therapy for depression: a qualitative metasynthesis’. BMC Psychiatry, 20(1), p. 313. Available at: </w:t>
      </w:r>
      <w:hyperlink r:id="R5c399bfa63244d7f">
        <w:r w:rsidRPr="05B1E48A" w:rsidR="2C42296C">
          <w:rPr>
            <w:rStyle w:val="Hyperlink"/>
            <w:rFonts w:ascii="Arial Nova" w:hAnsi="Arial Nova" w:eastAsia="Arial Nova" w:cs="Arial Nova"/>
            <w:i w:val="1"/>
            <w:iCs w:val="1"/>
            <w:sz w:val="22"/>
            <w:szCs w:val="22"/>
          </w:rPr>
          <w:t>https://link.springer.com/content/pdf/10.1186/s12888-020-02682-1.pdf</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644B2DAD" w14:textId="7A1BB8DE">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Mohamed, M., Rashid, R.A. and Alqaryouti, M.H. (2022). ‘Conceptualising the complexity of reflective practice in education’. Frontiers in Psychology, 13, p. 1008234. Available at: </w:t>
      </w:r>
      <w:hyperlink r:id="Rb89803aed1434b74">
        <w:r w:rsidRPr="05B1E48A" w:rsidR="2C42296C">
          <w:rPr>
            <w:rStyle w:val="Hyperlink"/>
            <w:rFonts w:ascii="Arial Nova" w:hAnsi="Arial Nova" w:eastAsia="Arial Nova" w:cs="Arial Nova"/>
            <w:i w:val="1"/>
            <w:iCs w:val="1"/>
            <w:sz w:val="22"/>
            <w:szCs w:val="22"/>
          </w:rPr>
          <w:t>https://www.frontiersin.org/journals/psychology/articles/10.3389/fpsyg.2022.1008234/pdf</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1F42A8D6" w14:textId="026715F6">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Moudatsou, M., Stavropoulou, A., Philalithis, A. and Koukouli, S. (2020). ‘The role of empathy in health and social care professionals’. Healthcare, 8(1), p. 26. Available at: </w:t>
      </w:r>
      <w:hyperlink r:id="R576bcc046d6b4edf">
        <w:r w:rsidRPr="05B1E48A" w:rsidR="2C42296C">
          <w:rPr>
            <w:rStyle w:val="Hyperlink"/>
            <w:rFonts w:ascii="Arial Nova" w:hAnsi="Arial Nova" w:eastAsia="Arial Nova" w:cs="Arial Nova"/>
            <w:i w:val="1"/>
            <w:iCs w:val="1"/>
            <w:sz w:val="22"/>
            <w:szCs w:val="22"/>
          </w:rPr>
          <w:t>https://www.mdpi.com/2227-9032/8/1/26</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47DB0FA2" w14:textId="3E366A2F">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NHS England (2024). Monthly operational statistics – April 2024. Available at: </w:t>
      </w:r>
      <w:hyperlink r:id="R4260728c4d934e07">
        <w:r w:rsidRPr="05B1E48A" w:rsidR="2C42296C">
          <w:rPr>
            <w:rStyle w:val="Hyperlink"/>
            <w:rFonts w:ascii="Arial Nova" w:hAnsi="Arial Nova" w:eastAsia="Arial Nova" w:cs="Arial Nova"/>
            <w:i w:val="1"/>
            <w:iCs w:val="1"/>
            <w:sz w:val="22"/>
            <w:szCs w:val="22"/>
          </w:rPr>
          <w:t>https://www.england.nhs.uk/long-read/monthly-operational-statistics-april-2024/</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25FB3527" w14:textId="60569D45">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NHS Health Careers (2025). Psychological Therapist. Available at: </w:t>
      </w:r>
      <w:hyperlink r:id="Rc19522912bfc4bc7">
        <w:r w:rsidRPr="05B1E48A" w:rsidR="2C42296C">
          <w:rPr>
            <w:rStyle w:val="Hyperlink"/>
            <w:rFonts w:ascii="Arial Nova" w:hAnsi="Arial Nova" w:eastAsia="Arial Nova" w:cs="Arial Nova"/>
            <w:i w:val="1"/>
            <w:iCs w:val="1"/>
            <w:sz w:val="22"/>
            <w:szCs w:val="22"/>
          </w:rPr>
          <w:t>https://www.healthcareers.nhs.uk/explore-roles/psychological-therapies/roles/psychological-therapist</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262D71C6" w14:paraId="2CEB24CD" w14:textId="747AE258">
      <w:pPr>
        <w:pStyle w:val="ListParagraph"/>
        <w:numPr>
          <w:ilvl w:val="0"/>
          <w:numId w:val="2"/>
        </w:numPr>
        <w:spacing w:line="360" w:lineRule="auto"/>
        <w:rPr>
          <w:rFonts w:ascii="Arial Nova" w:hAnsi="Arial Nova" w:eastAsia="Arial Nova" w:cs="Arial Nova"/>
          <w:i w:val="1"/>
          <w:iCs w:val="1"/>
          <w:color w:val="000000" w:themeColor="text1"/>
          <w:sz w:val="22"/>
          <w:szCs w:val="22"/>
        </w:rPr>
      </w:pPr>
      <w:r w:rsidRPr="05B1E48A" w:rsidR="2C42296C">
        <w:rPr>
          <w:rFonts w:ascii="Arial Nova" w:hAnsi="Arial Nova" w:eastAsia="Arial Nova" w:cs="Arial Nova"/>
          <w:i w:val="1"/>
          <w:iCs w:val="1"/>
          <w:sz w:val="22"/>
          <w:szCs w:val="22"/>
        </w:rPr>
        <w:t xml:space="preserve">World Health Organization (2022). Transforming mental health for all. Available at: </w:t>
      </w:r>
      <w:hyperlink r:id="Rf1fb1a0491254c78">
        <w:r w:rsidRPr="05B1E48A" w:rsidR="2C42296C">
          <w:rPr>
            <w:rStyle w:val="Hyperlink"/>
            <w:rFonts w:ascii="Arial Nova" w:hAnsi="Arial Nova" w:eastAsia="Arial Nova" w:cs="Arial Nova"/>
            <w:i w:val="1"/>
            <w:iCs w:val="1"/>
            <w:sz w:val="22"/>
            <w:szCs w:val="22"/>
          </w:rPr>
          <w:t>https://www.who.int/teams/mental-health-and-substance-use/world-mental-health-report</w:t>
        </w:r>
      </w:hyperlink>
      <w:r w:rsidRPr="05B1E48A" w:rsidR="2C42296C">
        <w:rPr>
          <w:rFonts w:ascii="Arial Nova" w:hAnsi="Arial Nova" w:eastAsia="Arial Nova" w:cs="Arial Nova"/>
          <w:i w:val="1"/>
          <w:iCs w:val="1"/>
          <w:sz w:val="22"/>
          <w:szCs w:val="22"/>
        </w:rPr>
        <w:t xml:space="preserve"> (Accessed: 9 June 2026).</w:t>
      </w:r>
    </w:p>
    <w:p w:rsidRPr="000C1D65" w:rsidR="0011705D" w:rsidP="05B1E48A" w:rsidRDefault="0011705D" w14:paraId="6CF78F6E" w14:textId="0426711E">
      <w:pPr>
        <w:spacing w:line="360" w:lineRule="auto"/>
        <w:rPr>
          <w:rFonts w:ascii="Arial Nova" w:hAnsi="Arial Nova" w:eastAsia="Arial Nova" w:cs="Arial Nova"/>
          <w:i w:val="1"/>
          <w:iCs w:val="1"/>
          <w:sz w:val="22"/>
          <w:szCs w:val="22"/>
        </w:rPr>
      </w:pPr>
    </w:p>
    <w:p w:rsidRPr="000C1D65" w:rsidR="0011705D" w:rsidP="05B1E48A" w:rsidRDefault="0011705D" w14:paraId="1E207724" w14:textId="316011EA">
      <w:pPr>
        <w:spacing w:line="360" w:lineRule="auto"/>
        <w:rPr>
          <w:rFonts w:ascii="Arial Nova" w:hAnsi="Arial Nova" w:eastAsia="Arial Nova" w:cs="Arial Nova"/>
          <w:sz w:val="22"/>
          <w:szCs w:val="22"/>
        </w:rPr>
      </w:pPr>
    </w:p>
    <w:sectPr w:rsidRPr="000C1D65" w:rsidR="0011705D">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2C50" w:rsidRDefault="00942C50" w14:paraId="3B0D9F7C" w14:textId="77777777">
      <w:pPr>
        <w:spacing w:after="0" w:line="240" w:lineRule="auto"/>
      </w:pPr>
      <w:r>
        <w:separator/>
      </w:r>
    </w:p>
  </w:endnote>
  <w:endnote w:type="continuationSeparator" w:id="0">
    <w:p w:rsidR="00942C50" w:rsidRDefault="00942C50" w14:paraId="2AAF9DE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8C9D166" w:rsidTr="05B1E48A" w14:paraId="60BF6EC8" w14:textId="77777777">
      <w:trPr>
        <w:trHeight w:val="300"/>
      </w:trPr>
      <w:tc>
        <w:tcPr>
          <w:tcW w:w="3005" w:type="dxa"/>
          <w:tcMar/>
        </w:tcPr>
        <w:p w:rsidR="48C9D166" w:rsidP="48C9D166" w:rsidRDefault="48C9D166" w14:paraId="39245BFF" w14:textId="43C69870">
          <w:pPr>
            <w:pStyle w:val="Header"/>
            <w:ind w:left="-115"/>
          </w:pPr>
        </w:p>
      </w:tc>
      <w:tc>
        <w:tcPr>
          <w:tcW w:w="3005" w:type="dxa"/>
          <w:tcMar/>
        </w:tcPr>
        <w:p w:rsidR="48C9D166" w:rsidP="48C9D166" w:rsidRDefault="48C9D166" w14:paraId="000E6F62" w14:textId="491EFECC">
          <w:pPr>
            <w:pStyle w:val="Header"/>
            <w:jc w:val="center"/>
          </w:pPr>
          <w:r>
            <w:fldChar w:fldCharType="begin"/>
          </w:r>
          <w:r>
            <w:instrText xml:space="preserve">PAGE</w:instrText>
          </w:r>
          <w:r>
            <w:fldChar w:fldCharType="separate"/>
          </w:r>
          <w:r>
            <w:fldChar w:fldCharType="end"/>
          </w:r>
        </w:p>
      </w:tc>
      <w:tc>
        <w:tcPr>
          <w:tcW w:w="3005" w:type="dxa"/>
          <w:tcMar/>
        </w:tcPr>
        <w:p w:rsidR="48C9D166" w:rsidP="48C9D166" w:rsidRDefault="48C9D166" w14:paraId="08A53BD5" w14:textId="70827B7D">
          <w:pPr>
            <w:pStyle w:val="Header"/>
            <w:ind w:right="-115"/>
            <w:jc w:val="right"/>
          </w:pPr>
        </w:p>
      </w:tc>
    </w:tr>
  </w:tbl>
  <w:p w:rsidR="48C9D166" w:rsidP="48C9D166" w:rsidRDefault="48C9D166" w14:paraId="3D488681" w14:textId="4FD76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2C50" w:rsidRDefault="00942C50" w14:paraId="2857EAFC" w14:textId="77777777">
      <w:pPr>
        <w:spacing w:after="0" w:line="240" w:lineRule="auto"/>
      </w:pPr>
      <w:r>
        <w:separator/>
      </w:r>
    </w:p>
  </w:footnote>
  <w:footnote w:type="continuationSeparator" w:id="0">
    <w:p w:rsidR="00942C50" w:rsidRDefault="00942C50" w14:paraId="28C0DFB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8C9D166" w:rsidTr="48C9D166" w14:paraId="0AFEBA32" w14:textId="77777777">
      <w:trPr>
        <w:trHeight w:val="300"/>
      </w:trPr>
      <w:tc>
        <w:tcPr>
          <w:tcW w:w="3005" w:type="dxa"/>
        </w:tcPr>
        <w:p w:rsidR="48C9D166" w:rsidP="48C9D166" w:rsidRDefault="48C9D166" w14:paraId="799547A6" w14:textId="563FFE6E">
          <w:pPr>
            <w:pStyle w:val="Header"/>
            <w:ind w:left="-115"/>
          </w:pPr>
        </w:p>
      </w:tc>
      <w:tc>
        <w:tcPr>
          <w:tcW w:w="3005" w:type="dxa"/>
        </w:tcPr>
        <w:p w:rsidR="48C9D166" w:rsidP="48C9D166" w:rsidRDefault="48C9D166" w14:paraId="66741D87" w14:textId="0EA865E1">
          <w:pPr>
            <w:pStyle w:val="Header"/>
            <w:jc w:val="center"/>
          </w:pPr>
        </w:p>
      </w:tc>
      <w:tc>
        <w:tcPr>
          <w:tcW w:w="3005" w:type="dxa"/>
        </w:tcPr>
        <w:p w:rsidR="48C9D166" w:rsidP="48C9D166" w:rsidRDefault="48C9D166" w14:paraId="06BB798F" w14:textId="1F40CB43">
          <w:pPr>
            <w:pStyle w:val="Header"/>
            <w:ind w:right="-115"/>
            <w:jc w:val="right"/>
          </w:pPr>
        </w:p>
      </w:tc>
    </w:tr>
  </w:tbl>
  <w:p w:rsidR="48C9D166" w:rsidP="48C9D166" w:rsidRDefault="48C9D166" w14:paraId="5F8EB41F" w14:textId="404E3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615F6"/>
    <w:multiLevelType w:val="hybridMultilevel"/>
    <w:tmpl w:val="51AEF98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39FDD34"/>
    <w:multiLevelType w:val="hybridMultilevel"/>
    <w:tmpl w:val="FFFFFFFF"/>
    <w:lvl w:ilvl="0" w:tplc="480203F4">
      <w:start w:val="1"/>
      <w:numFmt w:val="bullet"/>
      <w:lvlText w:val=""/>
      <w:lvlJc w:val="left"/>
      <w:pPr>
        <w:ind w:left="720" w:hanging="360"/>
      </w:pPr>
      <w:rPr>
        <w:rFonts w:hint="default" w:ascii="Symbol" w:hAnsi="Symbol"/>
      </w:rPr>
    </w:lvl>
    <w:lvl w:ilvl="1" w:tplc="0DCC8AF8">
      <w:start w:val="1"/>
      <w:numFmt w:val="bullet"/>
      <w:lvlText w:val="o"/>
      <w:lvlJc w:val="left"/>
      <w:pPr>
        <w:ind w:left="1440" w:hanging="360"/>
      </w:pPr>
      <w:rPr>
        <w:rFonts w:hint="default" w:ascii="Courier New" w:hAnsi="Courier New"/>
      </w:rPr>
    </w:lvl>
    <w:lvl w:ilvl="2" w:tplc="DC08C172">
      <w:start w:val="1"/>
      <w:numFmt w:val="bullet"/>
      <w:lvlText w:val=""/>
      <w:lvlJc w:val="left"/>
      <w:pPr>
        <w:ind w:left="2160" w:hanging="360"/>
      </w:pPr>
      <w:rPr>
        <w:rFonts w:hint="default" w:ascii="Wingdings" w:hAnsi="Wingdings"/>
      </w:rPr>
    </w:lvl>
    <w:lvl w:ilvl="3" w:tplc="CF9AE4E6">
      <w:start w:val="1"/>
      <w:numFmt w:val="bullet"/>
      <w:lvlText w:val=""/>
      <w:lvlJc w:val="left"/>
      <w:pPr>
        <w:ind w:left="2880" w:hanging="360"/>
      </w:pPr>
      <w:rPr>
        <w:rFonts w:hint="default" w:ascii="Symbol" w:hAnsi="Symbol"/>
      </w:rPr>
    </w:lvl>
    <w:lvl w:ilvl="4" w:tplc="0952ED90">
      <w:start w:val="1"/>
      <w:numFmt w:val="bullet"/>
      <w:lvlText w:val="o"/>
      <w:lvlJc w:val="left"/>
      <w:pPr>
        <w:ind w:left="3600" w:hanging="360"/>
      </w:pPr>
      <w:rPr>
        <w:rFonts w:hint="default" w:ascii="Courier New" w:hAnsi="Courier New"/>
      </w:rPr>
    </w:lvl>
    <w:lvl w:ilvl="5" w:tplc="598486CA">
      <w:start w:val="1"/>
      <w:numFmt w:val="bullet"/>
      <w:lvlText w:val=""/>
      <w:lvlJc w:val="left"/>
      <w:pPr>
        <w:ind w:left="4320" w:hanging="360"/>
      </w:pPr>
      <w:rPr>
        <w:rFonts w:hint="default" w:ascii="Wingdings" w:hAnsi="Wingdings"/>
      </w:rPr>
    </w:lvl>
    <w:lvl w:ilvl="6" w:tplc="98EE909A">
      <w:start w:val="1"/>
      <w:numFmt w:val="bullet"/>
      <w:lvlText w:val=""/>
      <w:lvlJc w:val="left"/>
      <w:pPr>
        <w:ind w:left="5040" w:hanging="360"/>
      </w:pPr>
      <w:rPr>
        <w:rFonts w:hint="default" w:ascii="Symbol" w:hAnsi="Symbol"/>
      </w:rPr>
    </w:lvl>
    <w:lvl w:ilvl="7" w:tplc="F732D6C6">
      <w:start w:val="1"/>
      <w:numFmt w:val="bullet"/>
      <w:lvlText w:val="o"/>
      <w:lvlJc w:val="left"/>
      <w:pPr>
        <w:ind w:left="5760" w:hanging="360"/>
      </w:pPr>
      <w:rPr>
        <w:rFonts w:hint="default" w:ascii="Courier New" w:hAnsi="Courier New"/>
      </w:rPr>
    </w:lvl>
    <w:lvl w:ilvl="8" w:tplc="1C1829A4">
      <w:start w:val="1"/>
      <w:numFmt w:val="bullet"/>
      <w:lvlText w:val=""/>
      <w:lvlJc w:val="left"/>
      <w:pPr>
        <w:ind w:left="6480" w:hanging="360"/>
      </w:pPr>
      <w:rPr>
        <w:rFonts w:hint="default" w:ascii="Wingdings" w:hAnsi="Wingdings"/>
      </w:rPr>
    </w:lvl>
  </w:abstractNum>
  <w:num w:numId="1" w16cid:durableId="1760173116">
    <w:abstractNumId w:val="1"/>
  </w:num>
  <w:num w:numId="2" w16cid:durableId="1541236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7"/>
  <w:proofState w:spelling="clean" w:grammar="dirty"/>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4AB1D1"/>
    <w:rsid w:val="000B35AD"/>
    <w:rsid w:val="000C1D65"/>
    <w:rsid w:val="0011705D"/>
    <w:rsid w:val="0024936E"/>
    <w:rsid w:val="007A2910"/>
    <w:rsid w:val="007A4FA6"/>
    <w:rsid w:val="00901C40"/>
    <w:rsid w:val="00942C50"/>
    <w:rsid w:val="00DB01F3"/>
    <w:rsid w:val="00EBD82A"/>
    <w:rsid w:val="02B7605E"/>
    <w:rsid w:val="045C5F53"/>
    <w:rsid w:val="0577E647"/>
    <w:rsid w:val="05B1E48A"/>
    <w:rsid w:val="076875EA"/>
    <w:rsid w:val="08407B8E"/>
    <w:rsid w:val="09300D9D"/>
    <w:rsid w:val="0A605590"/>
    <w:rsid w:val="0A8F2103"/>
    <w:rsid w:val="0CB23BAB"/>
    <w:rsid w:val="0F6B212F"/>
    <w:rsid w:val="10846163"/>
    <w:rsid w:val="10CFA571"/>
    <w:rsid w:val="1209E780"/>
    <w:rsid w:val="12BB6A82"/>
    <w:rsid w:val="138D37C7"/>
    <w:rsid w:val="164CDBC3"/>
    <w:rsid w:val="16953E78"/>
    <w:rsid w:val="1897A24E"/>
    <w:rsid w:val="19248684"/>
    <w:rsid w:val="1978205A"/>
    <w:rsid w:val="19DC64B8"/>
    <w:rsid w:val="1BBC88F6"/>
    <w:rsid w:val="1C52FEFA"/>
    <w:rsid w:val="1CAEDB22"/>
    <w:rsid w:val="1D656EE2"/>
    <w:rsid w:val="1DDD2824"/>
    <w:rsid w:val="1F4B87A1"/>
    <w:rsid w:val="1F8D3EFE"/>
    <w:rsid w:val="1FAED501"/>
    <w:rsid w:val="1FD28368"/>
    <w:rsid w:val="20F2087F"/>
    <w:rsid w:val="21E06FD3"/>
    <w:rsid w:val="22AE9AEA"/>
    <w:rsid w:val="262D71C6"/>
    <w:rsid w:val="28B96F1E"/>
    <w:rsid w:val="2AD0FA9C"/>
    <w:rsid w:val="2BFEE9F4"/>
    <w:rsid w:val="2C42296C"/>
    <w:rsid w:val="2C771134"/>
    <w:rsid w:val="2EDC80F9"/>
    <w:rsid w:val="301CF3EE"/>
    <w:rsid w:val="3061E2FF"/>
    <w:rsid w:val="3498BD5D"/>
    <w:rsid w:val="36A613D4"/>
    <w:rsid w:val="3BDB80B9"/>
    <w:rsid w:val="3C6829AA"/>
    <w:rsid w:val="3CE18CCD"/>
    <w:rsid w:val="3D19FB85"/>
    <w:rsid w:val="3D672962"/>
    <w:rsid w:val="3E292725"/>
    <w:rsid w:val="3EDDDDF7"/>
    <w:rsid w:val="410F109C"/>
    <w:rsid w:val="42E7F0FE"/>
    <w:rsid w:val="43E128A1"/>
    <w:rsid w:val="454AEA7B"/>
    <w:rsid w:val="4842F832"/>
    <w:rsid w:val="486932E3"/>
    <w:rsid w:val="48C9D166"/>
    <w:rsid w:val="49228E77"/>
    <w:rsid w:val="4948A16E"/>
    <w:rsid w:val="4A4C9A6C"/>
    <w:rsid w:val="4C6CCBDD"/>
    <w:rsid w:val="4CF0F10B"/>
    <w:rsid w:val="4D4AB1D1"/>
    <w:rsid w:val="50262673"/>
    <w:rsid w:val="502D9413"/>
    <w:rsid w:val="50C1B85D"/>
    <w:rsid w:val="50DE19D4"/>
    <w:rsid w:val="5292B106"/>
    <w:rsid w:val="56B9B9FD"/>
    <w:rsid w:val="572ED627"/>
    <w:rsid w:val="57EE3DCC"/>
    <w:rsid w:val="59CE78DE"/>
    <w:rsid w:val="5B1CF923"/>
    <w:rsid w:val="5B5159B3"/>
    <w:rsid w:val="5C48DC66"/>
    <w:rsid w:val="5F4268A7"/>
    <w:rsid w:val="60045464"/>
    <w:rsid w:val="60459017"/>
    <w:rsid w:val="60E02901"/>
    <w:rsid w:val="61386440"/>
    <w:rsid w:val="61AB50D2"/>
    <w:rsid w:val="640367AE"/>
    <w:rsid w:val="6552E056"/>
    <w:rsid w:val="65C237D3"/>
    <w:rsid w:val="67A2AD5C"/>
    <w:rsid w:val="6A9FA266"/>
    <w:rsid w:val="6D767FF9"/>
    <w:rsid w:val="6DA3B677"/>
    <w:rsid w:val="6E4B37CB"/>
    <w:rsid w:val="6F4C7384"/>
    <w:rsid w:val="6F948ABA"/>
    <w:rsid w:val="700FC3A2"/>
    <w:rsid w:val="70ADC8F4"/>
    <w:rsid w:val="71268B00"/>
    <w:rsid w:val="71483688"/>
    <w:rsid w:val="745CED6F"/>
    <w:rsid w:val="78124EF8"/>
    <w:rsid w:val="79E9FDFD"/>
    <w:rsid w:val="7CDA37E3"/>
    <w:rsid w:val="7DCCE7F7"/>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3E9C7"/>
  <w15:chartTrackingRefBased/>
  <w15:docId w15:val="{E2BE4CA5-0B8F-406B-97D2-FC7FE0BC8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pt-BR"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8C9D16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8C9D16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48C9D166"/>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0045464"/>
    <w:rPr>
      <w:color w:val="467886"/>
      <w:u w:val="single"/>
    </w:rPr>
  </w:style>
  <w:style w:type="paragraph" w:styleId="ListParagraph">
    <w:name w:val="List Paragraph"/>
    <w:basedOn w:val="Normal"/>
    <w:uiPriority w:val="34"/>
    <w:qFormat/>
    <w:rsid w:val="48C9D166"/>
    <w:pPr>
      <w:ind w:left="720"/>
      <w:contextualSpacing/>
    </w:pPr>
  </w:style>
  <w:style w:type="paragraph" w:styleId="Header">
    <w:name w:val="header"/>
    <w:basedOn w:val="Normal"/>
    <w:uiPriority w:val="99"/>
    <w:unhideWhenUsed/>
    <w:rsid w:val="48C9D166"/>
    <w:pPr>
      <w:tabs>
        <w:tab w:val="center" w:pos="4680"/>
        <w:tab w:val="right" w:pos="9360"/>
      </w:tabs>
      <w:spacing w:after="0" w:line="240" w:lineRule="auto"/>
    </w:pPr>
  </w:style>
  <w:style w:type="paragraph" w:styleId="Footer">
    <w:name w:val="footer"/>
    <w:basedOn w:val="Normal"/>
    <w:uiPriority w:val="99"/>
    <w:unhideWhenUsed/>
    <w:rsid w:val="48C9D16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webSettings" Target="webSettings.xml" Id="rId4" /><Relationship Type="http://schemas.openxmlformats.org/officeDocument/2006/relationships/hyperlink" Target="https://sg-link.byteoversea.com/?target=https%3A%2F%2Fwww.sciencedirect.com%2Fscience%2Farticle%2Fpii%2FS1939865423000450&amp;scene=im&amp;aid=495671&amp;lang=pt-BR" TargetMode="External" Id="R5d69742347984ce4" /><Relationship Type="http://schemas.openxmlformats.org/officeDocument/2006/relationships/hyperlink" Target="https://sg-link.byteoversea.com/?target=https%3A%2F%2Flink.springer.com%2Fcontent%2Fpdf%2F10.1186%2Fs12888-020-02682-1.pdf&amp;scene=im&amp;aid=495671&amp;lang=pt-BR" TargetMode="External" Id="R5c399bfa63244d7f" /><Relationship Type="http://schemas.openxmlformats.org/officeDocument/2006/relationships/hyperlink" Target="https://sg-link.byteoversea.com/?target=https%3A%2F%2Fwww.frontiersin.org%2Fjournals%2Fpsychology%2Farticles%2F10.3389%2Ffpsyg.2022.1008234%2Fpdf&amp;scene=im&amp;aid=495671&amp;lang=pt-BR" TargetMode="External" Id="Rb89803aed1434b74" /><Relationship Type="http://schemas.openxmlformats.org/officeDocument/2006/relationships/hyperlink" Target="https://sg-link.byteoversea.com/?target=https%3A%2F%2Fwww.mdpi.com%2F2227-9032%2F8%2F1%2F26&amp;scene=im&amp;aid=495671&amp;lang=pt-BR" TargetMode="External" Id="R576bcc046d6b4edf" /><Relationship Type="http://schemas.openxmlformats.org/officeDocument/2006/relationships/hyperlink" Target="https://sg-link.byteoversea.com/?target=https%3A%2F%2Fwww.england.nhs.uk%2Flong-read%2Fmonthly-operational-statistics-april-2024%2F&amp;scene=im&amp;aid=495671&amp;lang=pt-BR" TargetMode="External" Id="R4260728c4d934e07" /><Relationship Type="http://schemas.openxmlformats.org/officeDocument/2006/relationships/hyperlink" Target="https://sg-link.byteoversea.com/?target=https%3A%2F%2Fwww.healthcareers.nhs.uk%2Fexplore-roles%2Fpsychological-therapies%2Froles%2Fpsychological-therapist&amp;scene=im&amp;aid=495671&amp;lang=pt-BR" TargetMode="External" Id="Rc19522912bfc4bc7" /><Relationship Type="http://schemas.openxmlformats.org/officeDocument/2006/relationships/hyperlink" Target="https://sg-link.byteoversea.com/?target=https%3A%2F%2Fwww.who.int%2Fteams%2Fmental-health-and-substance-use%2Fworld-mental-health-report&amp;scene=im&amp;aid=495671&amp;lang=pt-BR" TargetMode="External" Id="Rf1fb1a0491254c7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Gisele Bon Bendo (2535564)</dc:creator>
  <keywords/>
  <dc:description/>
  <lastModifiedBy>Gisele Bon Bendo (2535564)</lastModifiedBy>
  <revision>6</revision>
  <dcterms:created xsi:type="dcterms:W3CDTF">2026-07-11T15:15:00.0000000Z</dcterms:created>
  <dcterms:modified xsi:type="dcterms:W3CDTF">2026-07-24T07:59:36.7339564Z</dcterms:modified>
</coreProperties>
</file>