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82062" w14:textId="77777777" w:rsidR="00693E1A" w:rsidRDefault="00693E1A" w:rsidP="00693E1A">
      <w:pPr>
        <w:jc w:val="center"/>
        <w:rPr>
          <w:rFonts w:ascii="Times New Roman" w:hAnsi="Times New Roman" w:cs="Times New Roman"/>
          <w:b/>
          <w:bCs/>
          <w:sz w:val="24"/>
          <w:szCs w:val="24"/>
        </w:rPr>
      </w:pPr>
    </w:p>
    <w:p w14:paraId="6698242B" w14:textId="77777777" w:rsidR="00693E1A" w:rsidRDefault="00693E1A" w:rsidP="00693E1A">
      <w:pPr>
        <w:jc w:val="center"/>
        <w:rPr>
          <w:rFonts w:ascii="Times New Roman" w:hAnsi="Times New Roman" w:cs="Times New Roman"/>
          <w:b/>
          <w:bCs/>
          <w:sz w:val="24"/>
          <w:szCs w:val="24"/>
        </w:rPr>
      </w:pPr>
    </w:p>
    <w:p w14:paraId="3389566A" w14:textId="77777777" w:rsidR="00693E1A" w:rsidRDefault="00693E1A" w:rsidP="00693E1A">
      <w:pPr>
        <w:jc w:val="center"/>
        <w:rPr>
          <w:rFonts w:ascii="Times New Roman" w:hAnsi="Times New Roman" w:cs="Times New Roman"/>
          <w:b/>
          <w:bCs/>
          <w:sz w:val="24"/>
          <w:szCs w:val="24"/>
        </w:rPr>
      </w:pPr>
    </w:p>
    <w:p w14:paraId="3CF04393" w14:textId="77777777" w:rsidR="00693E1A" w:rsidRDefault="00693E1A" w:rsidP="00693E1A">
      <w:pPr>
        <w:jc w:val="center"/>
        <w:rPr>
          <w:rFonts w:ascii="Times New Roman" w:hAnsi="Times New Roman" w:cs="Times New Roman"/>
          <w:b/>
          <w:bCs/>
          <w:sz w:val="24"/>
          <w:szCs w:val="24"/>
        </w:rPr>
      </w:pPr>
    </w:p>
    <w:p w14:paraId="5AE77855" w14:textId="77777777" w:rsidR="00693E1A" w:rsidRDefault="00693E1A" w:rsidP="00693E1A">
      <w:pPr>
        <w:jc w:val="center"/>
        <w:rPr>
          <w:rFonts w:ascii="Times New Roman" w:hAnsi="Times New Roman" w:cs="Times New Roman"/>
          <w:b/>
          <w:bCs/>
          <w:sz w:val="24"/>
          <w:szCs w:val="24"/>
        </w:rPr>
      </w:pPr>
    </w:p>
    <w:p w14:paraId="0D7FBE53" w14:textId="77777777" w:rsidR="00693E1A" w:rsidRDefault="00693E1A" w:rsidP="00693E1A">
      <w:pPr>
        <w:jc w:val="center"/>
        <w:rPr>
          <w:rFonts w:ascii="Times New Roman" w:hAnsi="Times New Roman" w:cs="Times New Roman"/>
          <w:b/>
          <w:bCs/>
          <w:sz w:val="24"/>
          <w:szCs w:val="24"/>
        </w:rPr>
      </w:pPr>
    </w:p>
    <w:p w14:paraId="5C523165" w14:textId="77777777" w:rsidR="00693E1A" w:rsidRDefault="00693E1A" w:rsidP="00693E1A">
      <w:pPr>
        <w:jc w:val="center"/>
        <w:rPr>
          <w:rFonts w:ascii="Times New Roman" w:hAnsi="Times New Roman" w:cs="Times New Roman"/>
          <w:b/>
          <w:bCs/>
          <w:sz w:val="24"/>
          <w:szCs w:val="24"/>
        </w:rPr>
      </w:pPr>
    </w:p>
    <w:p w14:paraId="59010EB1" w14:textId="77777777" w:rsidR="00693E1A" w:rsidRDefault="00693E1A" w:rsidP="00693E1A">
      <w:pPr>
        <w:jc w:val="center"/>
        <w:rPr>
          <w:rFonts w:ascii="Times New Roman" w:hAnsi="Times New Roman" w:cs="Times New Roman"/>
          <w:b/>
          <w:bCs/>
          <w:sz w:val="24"/>
          <w:szCs w:val="24"/>
        </w:rPr>
      </w:pPr>
    </w:p>
    <w:p w14:paraId="4A35D713" w14:textId="29278C33" w:rsidR="00693E1A" w:rsidRDefault="00693E1A" w:rsidP="00D70D2F">
      <w:pPr>
        <w:jc w:val="center"/>
        <w:rPr>
          <w:rFonts w:ascii="Times New Roman" w:hAnsi="Times New Roman" w:cs="Times New Roman"/>
          <w:sz w:val="24"/>
          <w:szCs w:val="24"/>
        </w:rPr>
      </w:pPr>
      <w:r>
        <w:rPr>
          <w:rFonts w:ascii="Times New Roman" w:hAnsi="Times New Roman" w:cs="Times New Roman"/>
          <w:sz w:val="24"/>
          <w:szCs w:val="24"/>
        </w:rPr>
        <w:t>Student’s Name</w:t>
      </w:r>
      <w:r w:rsidR="00D70D2F">
        <w:rPr>
          <w:rFonts w:ascii="Times New Roman" w:hAnsi="Times New Roman" w:cs="Times New Roman"/>
          <w:sz w:val="24"/>
          <w:szCs w:val="24"/>
        </w:rPr>
        <w:t xml:space="preserve"> : Roxana-Maria </w:t>
      </w:r>
      <w:proofErr w:type="spellStart"/>
      <w:r w:rsidR="00D70D2F">
        <w:rPr>
          <w:rFonts w:ascii="Times New Roman" w:hAnsi="Times New Roman" w:cs="Times New Roman"/>
          <w:sz w:val="24"/>
          <w:szCs w:val="24"/>
        </w:rPr>
        <w:t>Burlacu</w:t>
      </w:r>
      <w:proofErr w:type="spellEnd"/>
      <w:r w:rsidR="00D70D2F">
        <w:rPr>
          <w:rFonts w:ascii="Times New Roman" w:hAnsi="Times New Roman" w:cs="Times New Roman"/>
          <w:sz w:val="24"/>
          <w:szCs w:val="24"/>
        </w:rPr>
        <w:t xml:space="preserve"> (2014302)</w:t>
      </w:r>
    </w:p>
    <w:p w14:paraId="0978BCF8" w14:textId="6DCABC2B" w:rsidR="00693E1A" w:rsidRDefault="00D70D2F" w:rsidP="00693E1A">
      <w:pPr>
        <w:jc w:val="center"/>
        <w:rPr>
          <w:rFonts w:ascii="Times New Roman" w:hAnsi="Times New Roman" w:cs="Times New Roman"/>
          <w:sz w:val="24"/>
          <w:szCs w:val="24"/>
        </w:rPr>
      </w:pPr>
      <w:r>
        <w:rPr>
          <w:rFonts w:ascii="Times New Roman" w:hAnsi="Times New Roman" w:cs="Times New Roman"/>
          <w:sz w:val="24"/>
          <w:szCs w:val="24"/>
        </w:rPr>
        <w:t xml:space="preserve">Module : </w:t>
      </w:r>
      <w:r w:rsidR="00B7681C">
        <w:rPr>
          <w:rFonts w:ascii="Times New Roman" w:hAnsi="Times New Roman" w:cs="Times New Roman"/>
          <w:sz w:val="24"/>
          <w:szCs w:val="24"/>
        </w:rPr>
        <w:t xml:space="preserve">European </w:t>
      </w:r>
      <w:r w:rsidR="00B62A73">
        <w:rPr>
          <w:rFonts w:ascii="Times New Roman" w:hAnsi="Times New Roman" w:cs="Times New Roman"/>
          <w:sz w:val="24"/>
          <w:szCs w:val="24"/>
        </w:rPr>
        <w:t>Law ( BMLW5007)</w:t>
      </w:r>
    </w:p>
    <w:p w14:paraId="0E36E6CB" w14:textId="24968974" w:rsidR="00693E1A" w:rsidRDefault="00693E1A" w:rsidP="00693E1A">
      <w:pPr>
        <w:jc w:val="center"/>
        <w:rPr>
          <w:rFonts w:ascii="Times New Roman" w:hAnsi="Times New Roman" w:cs="Times New Roman"/>
          <w:sz w:val="24"/>
          <w:szCs w:val="24"/>
        </w:rPr>
      </w:pPr>
      <w:r>
        <w:rPr>
          <w:rFonts w:ascii="Times New Roman" w:hAnsi="Times New Roman" w:cs="Times New Roman"/>
          <w:sz w:val="24"/>
          <w:szCs w:val="24"/>
        </w:rPr>
        <w:t>Professor’s Name</w:t>
      </w:r>
      <w:r w:rsidR="00B62A73">
        <w:rPr>
          <w:rFonts w:ascii="Times New Roman" w:hAnsi="Times New Roman" w:cs="Times New Roman"/>
          <w:sz w:val="24"/>
          <w:szCs w:val="24"/>
        </w:rPr>
        <w:t xml:space="preserve"> : Laura K</w:t>
      </w:r>
      <w:r w:rsidR="005F46BA">
        <w:rPr>
          <w:rFonts w:ascii="Times New Roman" w:hAnsi="Times New Roman" w:cs="Times New Roman"/>
          <w:sz w:val="24"/>
          <w:szCs w:val="24"/>
        </w:rPr>
        <w:t>night</w:t>
      </w:r>
    </w:p>
    <w:p w14:paraId="55BABDA7" w14:textId="7B03BC6D" w:rsidR="00693E1A" w:rsidRDefault="00693E1A" w:rsidP="00693E1A">
      <w:pPr>
        <w:jc w:val="center"/>
        <w:rPr>
          <w:rFonts w:ascii="Times New Roman" w:hAnsi="Times New Roman" w:cs="Times New Roman"/>
          <w:b/>
          <w:bCs/>
          <w:sz w:val="24"/>
          <w:szCs w:val="24"/>
        </w:rPr>
      </w:pPr>
    </w:p>
    <w:p w14:paraId="5960A5C5" w14:textId="6BC4604A" w:rsidR="005F46BA" w:rsidRDefault="005F46BA" w:rsidP="00693E1A">
      <w:pPr>
        <w:jc w:val="center"/>
        <w:rPr>
          <w:rFonts w:ascii="Times New Roman" w:hAnsi="Times New Roman" w:cs="Times New Roman"/>
          <w:b/>
          <w:bCs/>
          <w:sz w:val="24"/>
          <w:szCs w:val="24"/>
        </w:rPr>
      </w:pPr>
    </w:p>
    <w:p w14:paraId="67AEDC09" w14:textId="77777777" w:rsidR="005F46BA" w:rsidRDefault="005F46BA" w:rsidP="00693E1A">
      <w:pPr>
        <w:jc w:val="center"/>
        <w:rPr>
          <w:rFonts w:ascii="Times New Roman" w:hAnsi="Times New Roman" w:cs="Times New Roman"/>
          <w:b/>
          <w:bCs/>
          <w:sz w:val="24"/>
          <w:szCs w:val="24"/>
        </w:rPr>
      </w:pPr>
    </w:p>
    <w:p w14:paraId="745366AE" w14:textId="3A3C2780" w:rsidR="00693E1A" w:rsidRDefault="00693E1A" w:rsidP="00693E1A">
      <w:pPr>
        <w:spacing w:after="0" w:line="480" w:lineRule="auto"/>
        <w:jc w:val="center"/>
        <w:rPr>
          <w:rFonts w:ascii="Times New Roman" w:hAnsi="Times New Roman" w:cs="Times New Roman"/>
          <w:b/>
          <w:bCs/>
          <w:sz w:val="24"/>
          <w:szCs w:val="24"/>
        </w:rPr>
      </w:pPr>
      <w:r w:rsidRPr="00693E1A">
        <w:rPr>
          <w:rFonts w:ascii="Times New Roman" w:hAnsi="Times New Roman" w:cs="Times New Roman"/>
          <w:b/>
          <w:bCs/>
          <w:sz w:val="24"/>
          <w:szCs w:val="24"/>
        </w:rPr>
        <w:t>The Direct Effect, Indirect effect, and Member States Liability Principles</w:t>
      </w:r>
    </w:p>
    <w:p w14:paraId="30C4385C" w14:textId="77777777" w:rsidR="005F46BA" w:rsidRPr="00693E1A" w:rsidRDefault="005F46BA" w:rsidP="00693E1A">
      <w:pPr>
        <w:spacing w:after="0" w:line="480" w:lineRule="auto"/>
        <w:jc w:val="center"/>
        <w:rPr>
          <w:rFonts w:ascii="Times New Roman" w:hAnsi="Times New Roman" w:cs="Times New Roman"/>
          <w:b/>
          <w:bCs/>
          <w:sz w:val="24"/>
          <w:szCs w:val="24"/>
        </w:rPr>
      </w:pPr>
    </w:p>
    <w:p w14:paraId="56A52590" w14:textId="3272AC94" w:rsidR="00AE10AA" w:rsidRPr="009F3090" w:rsidRDefault="00AE10AA"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 xml:space="preserve">In the European Union, several principles are used to ensure that the natural and </w:t>
      </w:r>
      <w:r w:rsidR="00CE3956" w:rsidRPr="009F3090">
        <w:rPr>
          <w:rFonts w:ascii="Times New Roman" w:hAnsi="Times New Roman" w:cs="Times New Roman"/>
          <w:sz w:val="24"/>
          <w:szCs w:val="24"/>
        </w:rPr>
        <w:t>artificial persons can enforce their rights.</w:t>
      </w:r>
      <w:r w:rsidR="00CE275C" w:rsidRPr="009F3090">
        <w:rPr>
          <w:rFonts w:ascii="Times New Roman" w:hAnsi="Times New Roman" w:cs="Times New Roman"/>
          <w:sz w:val="24"/>
          <w:szCs w:val="24"/>
        </w:rPr>
        <w:t xml:space="preserve"> They enable the individuals affected in various ways to rely on the European Union laws in asserting the rights that have been violated and the potential remedies that can be issued accordingly.</w:t>
      </w:r>
      <w:r w:rsidR="00D211C6" w:rsidRPr="009F3090">
        <w:rPr>
          <w:rFonts w:ascii="Times New Roman" w:hAnsi="Times New Roman" w:cs="Times New Roman"/>
          <w:sz w:val="24"/>
          <w:szCs w:val="24"/>
        </w:rPr>
        <w:t xml:space="preserve"> Notably, the primary principles used to enforce rights under EU law include the direct effect, member state liability, and indirect effect.</w:t>
      </w:r>
      <w:r w:rsidR="009638EA" w:rsidRPr="009F3090">
        <w:rPr>
          <w:rFonts w:ascii="Times New Roman" w:hAnsi="Times New Roman" w:cs="Times New Roman"/>
          <w:sz w:val="24"/>
          <w:szCs w:val="24"/>
        </w:rPr>
        <w:t xml:space="preserve"> These principles relate to specific actions and cannot be used unilaterally for all cases. </w:t>
      </w:r>
      <w:r w:rsidR="008F5E5C" w:rsidRPr="009F3090">
        <w:rPr>
          <w:rFonts w:ascii="Times New Roman" w:hAnsi="Times New Roman" w:cs="Times New Roman"/>
          <w:sz w:val="24"/>
          <w:szCs w:val="24"/>
        </w:rPr>
        <w:t>The discourse conducts an in-depth analysis of the three principles and their applicability in enforcing the rights of natural and artificial persons governed by the EU law.</w:t>
      </w:r>
    </w:p>
    <w:p w14:paraId="593699F4" w14:textId="0BCFE5FC" w:rsidR="00313733" w:rsidRPr="009F3090" w:rsidRDefault="00002591" w:rsidP="009F3090">
      <w:pPr>
        <w:spacing w:after="0" w:line="480" w:lineRule="auto"/>
        <w:rPr>
          <w:rFonts w:ascii="Times New Roman" w:hAnsi="Times New Roman" w:cs="Times New Roman"/>
          <w:b/>
          <w:bCs/>
          <w:sz w:val="24"/>
          <w:szCs w:val="24"/>
        </w:rPr>
      </w:pPr>
      <w:r w:rsidRPr="009F3090">
        <w:rPr>
          <w:rFonts w:ascii="Times New Roman" w:hAnsi="Times New Roman" w:cs="Times New Roman"/>
          <w:b/>
          <w:bCs/>
          <w:sz w:val="24"/>
          <w:szCs w:val="24"/>
        </w:rPr>
        <w:t>Direct Effect</w:t>
      </w:r>
    </w:p>
    <w:p w14:paraId="24C0ABDD" w14:textId="553B7F01" w:rsidR="00AE10AA" w:rsidRPr="009F3090" w:rsidRDefault="00F110FC" w:rsidP="009F3090">
      <w:pPr>
        <w:spacing w:after="0" w:line="480" w:lineRule="auto"/>
        <w:rPr>
          <w:rFonts w:ascii="Times New Roman" w:hAnsi="Times New Roman" w:cs="Times New Roman"/>
          <w:sz w:val="24"/>
          <w:szCs w:val="24"/>
        </w:rPr>
      </w:pPr>
      <w:r w:rsidRPr="009F3090">
        <w:rPr>
          <w:rFonts w:ascii="Times New Roman" w:hAnsi="Times New Roman" w:cs="Times New Roman"/>
          <w:sz w:val="24"/>
          <w:szCs w:val="24"/>
        </w:rPr>
        <w:tab/>
        <w:t>The direct effect ranks as one of the primary principles of the European Union that enables different individuals to utilize the provisions of the EU law. Th</w:t>
      </w:r>
      <w:r w:rsidR="00A85D7E" w:rsidRPr="009F3090">
        <w:rPr>
          <w:rFonts w:ascii="Times New Roman" w:hAnsi="Times New Roman" w:cs="Times New Roman"/>
          <w:sz w:val="24"/>
          <w:szCs w:val="24"/>
        </w:rPr>
        <w:t>e</w:t>
      </w:r>
      <w:r w:rsidRPr="009F3090">
        <w:rPr>
          <w:rFonts w:ascii="Times New Roman" w:hAnsi="Times New Roman" w:cs="Times New Roman"/>
          <w:sz w:val="24"/>
          <w:szCs w:val="24"/>
        </w:rPr>
        <w:t>s</w:t>
      </w:r>
      <w:r w:rsidR="00A85D7E" w:rsidRPr="009F3090">
        <w:rPr>
          <w:rFonts w:ascii="Times New Roman" w:hAnsi="Times New Roman" w:cs="Times New Roman"/>
          <w:sz w:val="24"/>
          <w:szCs w:val="24"/>
        </w:rPr>
        <w:t>e</w:t>
      </w:r>
      <w:r w:rsidRPr="009F3090">
        <w:rPr>
          <w:rFonts w:ascii="Times New Roman" w:hAnsi="Times New Roman" w:cs="Times New Roman"/>
          <w:sz w:val="24"/>
          <w:szCs w:val="24"/>
        </w:rPr>
        <w:t xml:space="preserve"> principles ensures that the </w:t>
      </w:r>
      <w:r w:rsidR="00F724A9" w:rsidRPr="009F3090">
        <w:rPr>
          <w:rFonts w:ascii="Times New Roman" w:hAnsi="Times New Roman" w:cs="Times New Roman"/>
          <w:sz w:val="24"/>
          <w:szCs w:val="24"/>
        </w:rPr>
        <w:t>provisions can be used either in the European court or the national court.</w:t>
      </w:r>
      <w:r w:rsidR="00820EBF" w:rsidRPr="009F3090">
        <w:rPr>
          <w:rFonts w:ascii="Times New Roman" w:hAnsi="Times New Roman" w:cs="Times New Roman"/>
          <w:sz w:val="24"/>
          <w:szCs w:val="24"/>
        </w:rPr>
        <w:t xml:space="preserve"> Accordingly, the direct effect principle is only applied in specific instances and must be applied according to some specific standards and parameters.</w:t>
      </w:r>
      <w:r w:rsidR="00A85D7E" w:rsidRPr="009F3090">
        <w:rPr>
          <w:rFonts w:ascii="Times New Roman" w:hAnsi="Times New Roman" w:cs="Times New Roman"/>
          <w:sz w:val="24"/>
          <w:szCs w:val="24"/>
        </w:rPr>
        <w:t xml:space="preserve"> It applies to the directives, regulations, treaty provisions, and decisions of various entities within the European Union.</w:t>
      </w:r>
    </w:p>
    <w:p w14:paraId="10EC3645" w14:textId="37F22C39" w:rsidR="007D41D3" w:rsidRPr="009F3090" w:rsidRDefault="007E5147" w:rsidP="009F3090">
      <w:pPr>
        <w:spacing w:after="0" w:line="480" w:lineRule="auto"/>
        <w:rPr>
          <w:rFonts w:ascii="Times New Roman" w:hAnsi="Times New Roman" w:cs="Times New Roman"/>
          <w:sz w:val="24"/>
          <w:szCs w:val="24"/>
        </w:rPr>
      </w:pPr>
      <w:r w:rsidRPr="009F3090">
        <w:rPr>
          <w:rFonts w:ascii="Times New Roman" w:hAnsi="Times New Roman" w:cs="Times New Roman"/>
          <w:sz w:val="24"/>
          <w:szCs w:val="24"/>
        </w:rPr>
        <w:tab/>
        <w:t>Undoubtedly, it is important to analy</w:t>
      </w:r>
      <w:r w:rsidR="007F17F0" w:rsidRPr="009F3090">
        <w:rPr>
          <w:rFonts w:ascii="Times New Roman" w:hAnsi="Times New Roman" w:cs="Times New Roman"/>
          <w:sz w:val="24"/>
          <w:szCs w:val="24"/>
        </w:rPr>
        <w:t>se the history of the direct effect principle and also ascertain the conditions under which it can be used.</w:t>
      </w:r>
      <w:r w:rsidR="00C936DD" w:rsidRPr="009F3090">
        <w:rPr>
          <w:rFonts w:ascii="Times New Roman" w:hAnsi="Times New Roman" w:cs="Times New Roman"/>
          <w:sz w:val="24"/>
          <w:szCs w:val="24"/>
        </w:rPr>
        <w:t xml:space="preserve"> The principle was derived and first used in the </w:t>
      </w:r>
      <w:r w:rsidR="00CE4917" w:rsidRPr="009F3090">
        <w:rPr>
          <w:rFonts w:ascii="Times New Roman" w:hAnsi="Times New Roman" w:cs="Times New Roman"/>
          <w:sz w:val="24"/>
          <w:szCs w:val="24"/>
        </w:rPr>
        <w:t xml:space="preserve">case of </w:t>
      </w:r>
      <w:r w:rsidR="00CE4917" w:rsidRPr="009F3090">
        <w:rPr>
          <w:rFonts w:ascii="Times New Roman" w:hAnsi="Times New Roman" w:cs="Times New Roman"/>
          <w:i/>
          <w:iCs/>
          <w:sz w:val="24"/>
          <w:szCs w:val="24"/>
        </w:rPr>
        <w:t xml:space="preserve">Gen den Loos v </w:t>
      </w:r>
      <w:proofErr w:type="spellStart"/>
      <w:r w:rsidR="00CE4917" w:rsidRPr="009F3090">
        <w:rPr>
          <w:rFonts w:ascii="Times New Roman" w:hAnsi="Times New Roman" w:cs="Times New Roman"/>
          <w:i/>
          <w:iCs/>
          <w:sz w:val="24"/>
          <w:szCs w:val="24"/>
        </w:rPr>
        <w:t>Nederlandse</w:t>
      </w:r>
      <w:proofErr w:type="spellEnd"/>
      <w:r w:rsidR="00886838" w:rsidRPr="009F3090">
        <w:rPr>
          <w:rStyle w:val="FootnoteReference"/>
          <w:rFonts w:ascii="Times New Roman" w:hAnsi="Times New Roman" w:cs="Times New Roman"/>
          <w:i/>
          <w:iCs/>
          <w:sz w:val="24"/>
          <w:szCs w:val="24"/>
        </w:rPr>
        <w:footnoteReference w:id="1"/>
      </w:r>
      <w:r w:rsidR="00CE4917" w:rsidRPr="009F3090">
        <w:rPr>
          <w:rFonts w:ascii="Times New Roman" w:hAnsi="Times New Roman" w:cs="Times New Roman"/>
          <w:sz w:val="24"/>
          <w:szCs w:val="24"/>
        </w:rPr>
        <w:t>.</w:t>
      </w:r>
      <w:r w:rsidR="00620924" w:rsidRPr="009F3090">
        <w:rPr>
          <w:rFonts w:ascii="Times New Roman" w:hAnsi="Times New Roman" w:cs="Times New Roman"/>
          <w:sz w:val="24"/>
          <w:szCs w:val="24"/>
        </w:rPr>
        <w:t xml:space="preserve"> Notably, the court asserted that the direct effect principle is applicable under some situations that involve specific treaty articles.</w:t>
      </w:r>
      <w:r w:rsidR="007A27D9" w:rsidRPr="009F3090">
        <w:rPr>
          <w:rFonts w:ascii="Times New Roman" w:hAnsi="Times New Roman" w:cs="Times New Roman"/>
          <w:sz w:val="24"/>
          <w:szCs w:val="24"/>
        </w:rPr>
        <w:t xml:space="preserve"> The situations identified by the Court of Justice of the European Union (CJEU) are that the provision must be succinctly and precisely stated, </w:t>
      </w:r>
      <w:r w:rsidR="007C5455" w:rsidRPr="009F3090">
        <w:rPr>
          <w:rFonts w:ascii="Times New Roman" w:hAnsi="Times New Roman" w:cs="Times New Roman"/>
          <w:sz w:val="24"/>
          <w:szCs w:val="24"/>
        </w:rPr>
        <w:t>must be independent and unconditional from any other legal provisions, and must confer a right upon which a citizen can bring a claim</w:t>
      </w:r>
      <w:r w:rsidR="00B340FC" w:rsidRPr="009F3090">
        <w:rPr>
          <w:rStyle w:val="FootnoteReference"/>
          <w:rFonts w:ascii="Times New Roman" w:hAnsi="Times New Roman" w:cs="Times New Roman"/>
          <w:sz w:val="24"/>
          <w:szCs w:val="24"/>
        </w:rPr>
        <w:footnoteReference w:id="2"/>
      </w:r>
      <w:r w:rsidR="007C5455" w:rsidRPr="009F3090">
        <w:rPr>
          <w:rFonts w:ascii="Times New Roman" w:hAnsi="Times New Roman" w:cs="Times New Roman"/>
          <w:sz w:val="24"/>
          <w:szCs w:val="24"/>
        </w:rPr>
        <w:t>.</w:t>
      </w:r>
      <w:r w:rsidR="00066CEA" w:rsidRPr="009F3090">
        <w:rPr>
          <w:rFonts w:ascii="Times New Roman" w:hAnsi="Times New Roman" w:cs="Times New Roman"/>
          <w:sz w:val="24"/>
          <w:szCs w:val="24"/>
        </w:rPr>
        <w:t xml:space="preserve"> The fulfilment of the preceding conditions means that the treaties are given similar legal effect as the provisions of Article 288 of the Treaty on the Functioning of the European Union</w:t>
      </w:r>
      <w:r w:rsidR="00B340FC" w:rsidRPr="009F3090">
        <w:rPr>
          <w:rStyle w:val="FootnoteReference"/>
          <w:rFonts w:ascii="Times New Roman" w:hAnsi="Times New Roman" w:cs="Times New Roman"/>
          <w:sz w:val="24"/>
          <w:szCs w:val="24"/>
        </w:rPr>
        <w:footnoteReference w:id="3"/>
      </w:r>
      <w:r w:rsidR="00331132" w:rsidRPr="009F3090">
        <w:rPr>
          <w:rFonts w:ascii="Times New Roman" w:hAnsi="Times New Roman" w:cs="Times New Roman"/>
          <w:sz w:val="24"/>
          <w:szCs w:val="24"/>
        </w:rPr>
        <w:t>.</w:t>
      </w:r>
      <w:r w:rsidR="00F813E2" w:rsidRPr="009F3090">
        <w:rPr>
          <w:rFonts w:ascii="Times New Roman" w:hAnsi="Times New Roman" w:cs="Times New Roman"/>
          <w:sz w:val="24"/>
          <w:szCs w:val="24"/>
        </w:rPr>
        <w:t xml:space="preserve"> </w:t>
      </w:r>
      <w:r w:rsidR="00E26124" w:rsidRPr="009F3090">
        <w:rPr>
          <w:rFonts w:ascii="Times New Roman" w:hAnsi="Times New Roman" w:cs="Times New Roman"/>
          <w:sz w:val="24"/>
          <w:szCs w:val="24"/>
        </w:rPr>
        <w:t>Notwithstanding the preceding, t</w:t>
      </w:r>
      <w:r w:rsidR="00F813E2" w:rsidRPr="009F3090">
        <w:rPr>
          <w:rFonts w:ascii="Times New Roman" w:hAnsi="Times New Roman" w:cs="Times New Roman"/>
          <w:sz w:val="24"/>
          <w:szCs w:val="24"/>
        </w:rPr>
        <w:t>h</w:t>
      </w:r>
      <w:r w:rsidR="00E26124" w:rsidRPr="009F3090">
        <w:rPr>
          <w:rFonts w:ascii="Times New Roman" w:hAnsi="Times New Roman" w:cs="Times New Roman"/>
          <w:sz w:val="24"/>
          <w:szCs w:val="24"/>
        </w:rPr>
        <w:t xml:space="preserve">e </w:t>
      </w:r>
      <w:r w:rsidR="006616BC" w:rsidRPr="009F3090">
        <w:rPr>
          <w:rFonts w:ascii="Times New Roman" w:hAnsi="Times New Roman" w:cs="Times New Roman"/>
          <w:sz w:val="24"/>
          <w:szCs w:val="24"/>
        </w:rPr>
        <w:t>legislation on industrial relations and employment is quite minimal except for the laws that govern the free movement of employee within the European Union</w:t>
      </w:r>
      <w:r w:rsidR="00F813E2" w:rsidRPr="009F3090">
        <w:rPr>
          <w:rFonts w:ascii="Times New Roman" w:hAnsi="Times New Roman" w:cs="Times New Roman"/>
          <w:sz w:val="24"/>
          <w:szCs w:val="24"/>
        </w:rPr>
        <w:t>.</w:t>
      </w:r>
    </w:p>
    <w:p w14:paraId="6C4C41A6" w14:textId="69308E06" w:rsidR="000674C6" w:rsidRPr="009F3090" w:rsidRDefault="00747991" w:rsidP="009F3090">
      <w:pPr>
        <w:spacing w:after="0" w:line="480" w:lineRule="auto"/>
        <w:rPr>
          <w:rFonts w:ascii="Times New Roman" w:hAnsi="Times New Roman" w:cs="Times New Roman"/>
          <w:sz w:val="24"/>
          <w:szCs w:val="24"/>
        </w:rPr>
      </w:pPr>
      <w:r w:rsidRPr="009F3090">
        <w:rPr>
          <w:rFonts w:ascii="Times New Roman" w:hAnsi="Times New Roman" w:cs="Times New Roman"/>
          <w:sz w:val="24"/>
          <w:szCs w:val="24"/>
        </w:rPr>
        <w:tab/>
        <w:t>It is also important to</w:t>
      </w:r>
      <w:r w:rsidR="00CC7838" w:rsidRPr="009F3090">
        <w:rPr>
          <w:rFonts w:ascii="Times New Roman" w:hAnsi="Times New Roman" w:cs="Times New Roman"/>
          <w:sz w:val="24"/>
          <w:szCs w:val="24"/>
        </w:rPr>
        <w:t xml:space="preserve"> </w:t>
      </w:r>
      <w:r w:rsidRPr="009F3090">
        <w:rPr>
          <w:rFonts w:ascii="Times New Roman" w:hAnsi="Times New Roman" w:cs="Times New Roman"/>
          <w:sz w:val="24"/>
          <w:szCs w:val="24"/>
        </w:rPr>
        <w:t>note that the EU law has more supremacy compared to the national laws of different states within the union.</w:t>
      </w:r>
      <w:r w:rsidR="00CC7838" w:rsidRPr="009F3090">
        <w:rPr>
          <w:rFonts w:ascii="Times New Roman" w:hAnsi="Times New Roman" w:cs="Times New Roman"/>
          <w:sz w:val="24"/>
          <w:szCs w:val="24"/>
        </w:rPr>
        <w:t xml:space="preserve"> This position makes the direct effect principle more applicable especially for the EU law over the domestic laws.</w:t>
      </w:r>
      <w:r w:rsidR="00AB460B" w:rsidRPr="009F3090">
        <w:rPr>
          <w:rFonts w:ascii="Times New Roman" w:hAnsi="Times New Roman" w:cs="Times New Roman"/>
          <w:sz w:val="24"/>
          <w:szCs w:val="24"/>
        </w:rPr>
        <w:t xml:space="preserve"> The precedence of the EU laws over the domestic laws was espoused in the case of </w:t>
      </w:r>
      <w:proofErr w:type="spellStart"/>
      <w:r w:rsidR="00AB460B" w:rsidRPr="009F3090">
        <w:rPr>
          <w:rFonts w:ascii="Times New Roman" w:hAnsi="Times New Roman" w:cs="Times New Roman"/>
          <w:i/>
          <w:iCs/>
          <w:sz w:val="24"/>
          <w:szCs w:val="24"/>
        </w:rPr>
        <w:t>Flaminio</w:t>
      </w:r>
      <w:proofErr w:type="spellEnd"/>
      <w:r w:rsidR="00AB460B" w:rsidRPr="009F3090">
        <w:rPr>
          <w:rFonts w:ascii="Times New Roman" w:hAnsi="Times New Roman" w:cs="Times New Roman"/>
          <w:i/>
          <w:iCs/>
          <w:sz w:val="24"/>
          <w:szCs w:val="24"/>
        </w:rPr>
        <w:t xml:space="preserve"> Costa v ENEL</w:t>
      </w:r>
      <w:r w:rsidR="00AB460B" w:rsidRPr="009F3090">
        <w:rPr>
          <w:rFonts w:ascii="Times New Roman" w:hAnsi="Times New Roman" w:cs="Times New Roman"/>
          <w:sz w:val="24"/>
          <w:szCs w:val="24"/>
        </w:rPr>
        <w:t xml:space="preserve"> </w:t>
      </w:r>
      <w:r w:rsidR="00583098" w:rsidRPr="009F3090">
        <w:rPr>
          <w:rStyle w:val="FootnoteReference"/>
          <w:rFonts w:ascii="Times New Roman" w:hAnsi="Times New Roman" w:cs="Times New Roman"/>
          <w:sz w:val="24"/>
          <w:szCs w:val="24"/>
        </w:rPr>
        <w:footnoteReference w:id="4"/>
      </w:r>
      <w:r w:rsidR="00AB460B" w:rsidRPr="009F3090">
        <w:rPr>
          <w:rFonts w:ascii="Times New Roman" w:hAnsi="Times New Roman" w:cs="Times New Roman"/>
          <w:sz w:val="24"/>
          <w:szCs w:val="24"/>
        </w:rPr>
        <w:t>where the court stated that the EU labour laws had precedence over other domestic laws on labour practices.</w:t>
      </w:r>
      <w:r w:rsidR="00E13CFD" w:rsidRPr="009F3090">
        <w:rPr>
          <w:rFonts w:ascii="Times New Roman" w:hAnsi="Times New Roman" w:cs="Times New Roman"/>
          <w:sz w:val="24"/>
          <w:szCs w:val="24"/>
        </w:rPr>
        <w:t xml:space="preserve"> Consequently, the doctrine of supremacy and the direct effect principles can be used to bring a claim into the national and domestic courts </w:t>
      </w:r>
      <w:r w:rsidR="008C5DEF" w:rsidRPr="009F3090">
        <w:rPr>
          <w:rFonts w:ascii="Times New Roman" w:hAnsi="Times New Roman" w:cs="Times New Roman"/>
          <w:sz w:val="24"/>
          <w:szCs w:val="24"/>
        </w:rPr>
        <w:t>relying on the provisions of EU law.</w:t>
      </w:r>
      <w:r w:rsidR="00A573FB" w:rsidRPr="009F3090">
        <w:rPr>
          <w:rFonts w:ascii="Times New Roman" w:hAnsi="Times New Roman" w:cs="Times New Roman"/>
          <w:sz w:val="24"/>
          <w:szCs w:val="24"/>
        </w:rPr>
        <w:t xml:space="preserve"> It means that the European Union law overrides the domestic law especially where the conditions required for the direct effect principle are infringed.</w:t>
      </w:r>
      <w:r w:rsidR="00282EE8" w:rsidRPr="009F3090">
        <w:rPr>
          <w:rFonts w:ascii="Times New Roman" w:hAnsi="Times New Roman" w:cs="Times New Roman"/>
          <w:sz w:val="24"/>
          <w:szCs w:val="24"/>
        </w:rPr>
        <w:t xml:space="preserve"> </w:t>
      </w:r>
    </w:p>
    <w:p w14:paraId="7492BD2A" w14:textId="46F9E3BC" w:rsidR="00F813E2" w:rsidRPr="009F3090" w:rsidRDefault="00282EE8"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 xml:space="preserve">In </w:t>
      </w:r>
      <w:proofErr w:type="spellStart"/>
      <w:r w:rsidRPr="009F3090">
        <w:rPr>
          <w:rFonts w:ascii="Times New Roman" w:hAnsi="Times New Roman" w:cs="Times New Roman"/>
          <w:i/>
          <w:iCs/>
          <w:sz w:val="24"/>
          <w:szCs w:val="24"/>
        </w:rPr>
        <w:t>Defrenne</w:t>
      </w:r>
      <w:proofErr w:type="spellEnd"/>
      <w:r w:rsidRPr="009F3090">
        <w:rPr>
          <w:rFonts w:ascii="Times New Roman" w:hAnsi="Times New Roman" w:cs="Times New Roman"/>
          <w:i/>
          <w:iCs/>
          <w:sz w:val="24"/>
          <w:szCs w:val="24"/>
        </w:rPr>
        <w:t xml:space="preserve"> v Sabena</w:t>
      </w:r>
      <w:r w:rsidR="00E5456E" w:rsidRPr="009F3090">
        <w:rPr>
          <w:rStyle w:val="FootnoteReference"/>
          <w:rFonts w:ascii="Times New Roman" w:hAnsi="Times New Roman" w:cs="Times New Roman"/>
          <w:i/>
          <w:iCs/>
          <w:sz w:val="24"/>
          <w:szCs w:val="24"/>
        </w:rPr>
        <w:footnoteReference w:id="5"/>
      </w:r>
      <w:r w:rsidRPr="009F3090">
        <w:rPr>
          <w:rFonts w:ascii="Times New Roman" w:hAnsi="Times New Roman" w:cs="Times New Roman"/>
          <w:sz w:val="24"/>
          <w:szCs w:val="24"/>
        </w:rPr>
        <w:t>, the court stated that the provisions of the TFEU on equal pay between men and women could be relied on by the national courts as the held a duty to ensure that the rights of individuals are protected</w:t>
      </w:r>
      <w:r w:rsidR="00486768" w:rsidRPr="009F3090">
        <w:rPr>
          <w:rFonts w:ascii="Times New Roman" w:hAnsi="Times New Roman" w:cs="Times New Roman"/>
          <w:sz w:val="24"/>
          <w:szCs w:val="24"/>
        </w:rPr>
        <w:t>.</w:t>
      </w:r>
      <w:r w:rsidR="000674C6" w:rsidRPr="009F3090">
        <w:rPr>
          <w:rFonts w:ascii="Times New Roman" w:hAnsi="Times New Roman" w:cs="Times New Roman"/>
          <w:sz w:val="24"/>
          <w:szCs w:val="24"/>
        </w:rPr>
        <w:t xml:space="preserve"> Furthermore, the place of the European Union law on the domestic courts was also captured in the </w:t>
      </w:r>
      <w:r w:rsidR="000674C6" w:rsidRPr="009F3090">
        <w:rPr>
          <w:rFonts w:ascii="Times New Roman" w:hAnsi="Times New Roman" w:cs="Times New Roman"/>
          <w:i/>
          <w:iCs/>
          <w:sz w:val="24"/>
          <w:szCs w:val="24"/>
        </w:rPr>
        <w:t>Viking case</w:t>
      </w:r>
      <w:r w:rsidR="000674C6" w:rsidRPr="009F3090">
        <w:rPr>
          <w:rFonts w:ascii="Times New Roman" w:hAnsi="Times New Roman" w:cs="Times New Roman"/>
          <w:sz w:val="24"/>
          <w:szCs w:val="24"/>
        </w:rPr>
        <w:t xml:space="preserve">. </w:t>
      </w:r>
      <w:r w:rsidR="003F5D57" w:rsidRPr="009F3090">
        <w:rPr>
          <w:rFonts w:ascii="Times New Roman" w:hAnsi="Times New Roman" w:cs="Times New Roman"/>
          <w:sz w:val="24"/>
          <w:szCs w:val="24"/>
        </w:rPr>
        <w:t xml:space="preserve">In this case, the court stated that article 49 of the TFEU was </w:t>
      </w:r>
      <w:r w:rsidR="00B4650F" w:rsidRPr="009F3090">
        <w:rPr>
          <w:rFonts w:ascii="Times New Roman" w:hAnsi="Times New Roman" w:cs="Times New Roman"/>
          <w:sz w:val="24"/>
          <w:szCs w:val="24"/>
        </w:rPr>
        <w:t>able</w:t>
      </w:r>
      <w:r w:rsidR="003F5D57" w:rsidRPr="009F3090">
        <w:rPr>
          <w:rFonts w:ascii="Times New Roman" w:hAnsi="Times New Roman" w:cs="Times New Roman"/>
          <w:sz w:val="24"/>
          <w:szCs w:val="24"/>
        </w:rPr>
        <w:t xml:space="preserve"> </w:t>
      </w:r>
      <w:r w:rsidR="00B4650F" w:rsidRPr="009F3090">
        <w:rPr>
          <w:rFonts w:ascii="Times New Roman" w:hAnsi="Times New Roman" w:cs="Times New Roman"/>
          <w:sz w:val="24"/>
          <w:szCs w:val="24"/>
        </w:rPr>
        <w:t>to</w:t>
      </w:r>
      <w:r w:rsidR="003F5D57" w:rsidRPr="009F3090">
        <w:rPr>
          <w:rFonts w:ascii="Times New Roman" w:hAnsi="Times New Roman" w:cs="Times New Roman"/>
          <w:sz w:val="24"/>
          <w:szCs w:val="24"/>
        </w:rPr>
        <w:t xml:space="preserve"> confer rights to the private individuals to take the trade unions to domestic courts where their rights were violated.</w:t>
      </w:r>
      <w:r w:rsidR="00FA41EC" w:rsidRPr="009F3090">
        <w:rPr>
          <w:rFonts w:ascii="Times New Roman" w:hAnsi="Times New Roman" w:cs="Times New Roman"/>
          <w:sz w:val="24"/>
          <w:szCs w:val="24"/>
        </w:rPr>
        <w:t xml:space="preserve"> This provision was asserted as one of the examples of the direct effect provisions that required the member states to amend national laws restricting freedoms that did not align to the Treaty’s principles.</w:t>
      </w:r>
    </w:p>
    <w:p w14:paraId="66370ADE" w14:textId="66C22F01" w:rsidR="003E2F0B" w:rsidRPr="009F3090" w:rsidRDefault="00065792"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The laws governing the employment and labour relations in the European Union often take the form of directives.</w:t>
      </w:r>
      <w:r w:rsidR="007F1CC9" w:rsidRPr="009F3090">
        <w:rPr>
          <w:rFonts w:ascii="Times New Roman" w:hAnsi="Times New Roman" w:cs="Times New Roman"/>
          <w:sz w:val="24"/>
          <w:szCs w:val="24"/>
        </w:rPr>
        <w:t xml:space="preserve"> According to the provisions of article 288 of the TFEU, the directives given to member states are binding and must be enforced by the member states. Nonetheless, the member states have a discretion on the manner in which they can </w:t>
      </w:r>
      <w:r w:rsidR="00F97F4C" w:rsidRPr="009F3090">
        <w:rPr>
          <w:rFonts w:ascii="Times New Roman" w:hAnsi="Times New Roman" w:cs="Times New Roman"/>
          <w:sz w:val="24"/>
          <w:szCs w:val="24"/>
        </w:rPr>
        <w:t xml:space="preserve">enforce the directives provided by the </w:t>
      </w:r>
      <w:r w:rsidR="00C03AF5" w:rsidRPr="009F3090">
        <w:rPr>
          <w:rFonts w:ascii="Times New Roman" w:hAnsi="Times New Roman" w:cs="Times New Roman"/>
          <w:sz w:val="24"/>
          <w:szCs w:val="24"/>
        </w:rPr>
        <w:t>EU law.</w:t>
      </w:r>
      <w:r w:rsidR="00E3543A" w:rsidRPr="009F3090">
        <w:rPr>
          <w:rFonts w:ascii="Times New Roman" w:hAnsi="Times New Roman" w:cs="Times New Roman"/>
          <w:sz w:val="24"/>
          <w:szCs w:val="24"/>
        </w:rPr>
        <w:t xml:space="preserve"> Consequently, the CJEU made a decision to extend the application of the direct effect principle</w:t>
      </w:r>
      <w:r w:rsidR="0005293F" w:rsidRPr="009F3090">
        <w:rPr>
          <w:rFonts w:ascii="Times New Roman" w:hAnsi="Times New Roman" w:cs="Times New Roman"/>
          <w:sz w:val="24"/>
          <w:szCs w:val="24"/>
        </w:rPr>
        <w:t>, which was aimed at securing the usefulness of the EU law.</w:t>
      </w:r>
      <w:r w:rsidR="00B869F7" w:rsidRPr="009F3090">
        <w:rPr>
          <w:rFonts w:ascii="Times New Roman" w:hAnsi="Times New Roman" w:cs="Times New Roman"/>
          <w:sz w:val="24"/>
          <w:szCs w:val="24"/>
        </w:rPr>
        <w:t xml:space="preserve"> The direct effect principle can apply in two main ways namely the horizontal and vertical direct effect means.</w:t>
      </w:r>
    </w:p>
    <w:p w14:paraId="429235E5" w14:textId="30A06D0C" w:rsidR="007508B0" w:rsidRPr="009F3090" w:rsidRDefault="007508B0" w:rsidP="009F3090">
      <w:pPr>
        <w:spacing w:after="0" w:line="480" w:lineRule="auto"/>
        <w:rPr>
          <w:rFonts w:ascii="Times New Roman" w:hAnsi="Times New Roman" w:cs="Times New Roman"/>
          <w:b/>
          <w:bCs/>
          <w:sz w:val="24"/>
          <w:szCs w:val="24"/>
        </w:rPr>
      </w:pPr>
      <w:r w:rsidRPr="009F3090">
        <w:rPr>
          <w:rFonts w:ascii="Times New Roman" w:hAnsi="Times New Roman" w:cs="Times New Roman"/>
          <w:b/>
          <w:bCs/>
          <w:sz w:val="24"/>
          <w:szCs w:val="24"/>
        </w:rPr>
        <w:t>Vertical Direct Effect</w:t>
      </w:r>
    </w:p>
    <w:p w14:paraId="158443EC" w14:textId="0C8D25BE" w:rsidR="007508B0" w:rsidRPr="009F3090" w:rsidRDefault="00F2502D" w:rsidP="009F3090">
      <w:pPr>
        <w:spacing w:after="0" w:line="480" w:lineRule="auto"/>
        <w:rPr>
          <w:rFonts w:ascii="Times New Roman" w:hAnsi="Times New Roman" w:cs="Times New Roman"/>
          <w:sz w:val="24"/>
          <w:szCs w:val="24"/>
        </w:rPr>
      </w:pPr>
      <w:r w:rsidRPr="009F3090">
        <w:rPr>
          <w:rFonts w:ascii="Times New Roman" w:hAnsi="Times New Roman" w:cs="Times New Roman"/>
          <w:sz w:val="24"/>
          <w:szCs w:val="24"/>
        </w:rPr>
        <w:tab/>
        <w:t xml:space="preserve">The vertical direct effect is renowned as the means of application of the EU </w:t>
      </w:r>
      <w:r w:rsidR="00825A08" w:rsidRPr="009F3090">
        <w:rPr>
          <w:rFonts w:ascii="Times New Roman" w:hAnsi="Times New Roman" w:cs="Times New Roman"/>
          <w:sz w:val="24"/>
          <w:szCs w:val="24"/>
        </w:rPr>
        <w:t>l</w:t>
      </w:r>
      <w:r w:rsidRPr="009F3090">
        <w:rPr>
          <w:rFonts w:ascii="Times New Roman" w:hAnsi="Times New Roman" w:cs="Times New Roman"/>
          <w:sz w:val="24"/>
          <w:szCs w:val="24"/>
        </w:rPr>
        <w:t>aws against the member state by a specific individual.</w:t>
      </w:r>
      <w:r w:rsidR="00C4357C" w:rsidRPr="009F3090">
        <w:rPr>
          <w:rFonts w:ascii="Times New Roman" w:hAnsi="Times New Roman" w:cs="Times New Roman"/>
          <w:sz w:val="24"/>
          <w:szCs w:val="24"/>
        </w:rPr>
        <w:t xml:space="preserve"> It is applied when the directives and other laws of the European Union are violated by the member states.</w:t>
      </w:r>
      <w:r w:rsidR="00CB6D97" w:rsidRPr="009F3090">
        <w:rPr>
          <w:rFonts w:ascii="Times New Roman" w:hAnsi="Times New Roman" w:cs="Times New Roman"/>
          <w:sz w:val="24"/>
          <w:szCs w:val="24"/>
        </w:rPr>
        <w:t xml:space="preserve"> In </w:t>
      </w:r>
      <w:r w:rsidR="00CB6D97" w:rsidRPr="009F3090">
        <w:rPr>
          <w:rFonts w:ascii="Times New Roman" w:hAnsi="Times New Roman" w:cs="Times New Roman"/>
          <w:i/>
          <w:iCs/>
          <w:sz w:val="24"/>
          <w:szCs w:val="24"/>
        </w:rPr>
        <w:t>Foster v British Gas</w:t>
      </w:r>
      <w:r w:rsidR="009E1529" w:rsidRPr="009F3090">
        <w:rPr>
          <w:rStyle w:val="FootnoteReference"/>
          <w:rFonts w:ascii="Times New Roman" w:hAnsi="Times New Roman" w:cs="Times New Roman"/>
          <w:i/>
          <w:iCs/>
          <w:sz w:val="24"/>
          <w:szCs w:val="24"/>
        </w:rPr>
        <w:footnoteReference w:id="6"/>
      </w:r>
      <w:r w:rsidR="00CB6D97" w:rsidRPr="009F3090">
        <w:rPr>
          <w:rFonts w:ascii="Times New Roman" w:hAnsi="Times New Roman" w:cs="Times New Roman"/>
          <w:sz w:val="24"/>
          <w:szCs w:val="24"/>
        </w:rPr>
        <w:t xml:space="preserve">, the court held that citizens can apply the direct effect principle vertically by </w:t>
      </w:r>
      <w:r w:rsidR="00864491" w:rsidRPr="009F3090">
        <w:rPr>
          <w:rFonts w:ascii="Times New Roman" w:hAnsi="Times New Roman" w:cs="Times New Roman"/>
          <w:sz w:val="24"/>
          <w:szCs w:val="24"/>
        </w:rPr>
        <w:t>seeking legal redress against the states in violation of their rights espoused in the EU law.</w:t>
      </w:r>
      <w:r w:rsidR="00CA503D" w:rsidRPr="009F3090">
        <w:rPr>
          <w:rFonts w:ascii="Times New Roman" w:hAnsi="Times New Roman" w:cs="Times New Roman"/>
          <w:sz w:val="24"/>
          <w:szCs w:val="24"/>
        </w:rPr>
        <w:t xml:space="preserve"> The implications of the vertical direct measures were held to be more intense in the employment and industrial sectors as was held by the </w:t>
      </w:r>
      <w:r w:rsidR="00952607" w:rsidRPr="009F3090">
        <w:rPr>
          <w:rFonts w:ascii="Times New Roman" w:hAnsi="Times New Roman" w:cs="Times New Roman"/>
          <w:sz w:val="24"/>
          <w:szCs w:val="24"/>
        </w:rPr>
        <w:t xml:space="preserve">CJEU in the case of </w:t>
      </w:r>
      <w:r w:rsidR="00952607" w:rsidRPr="009F3090">
        <w:rPr>
          <w:rFonts w:ascii="Times New Roman" w:hAnsi="Times New Roman" w:cs="Times New Roman"/>
          <w:i/>
          <w:iCs/>
          <w:sz w:val="24"/>
          <w:szCs w:val="24"/>
        </w:rPr>
        <w:t xml:space="preserve">Van </w:t>
      </w:r>
      <w:proofErr w:type="spellStart"/>
      <w:r w:rsidR="00952607" w:rsidRPr="009F3090">
        <w:rPr>
          <w:rFonts w:ascii="Times New Roman" w:hAnsi="Times New Roman" w:cs="Times New Roman"/>
          <w:i/>
          <w:iCs/>
          <w:sz w:val="24"/>
          <w:szCs w:val="24"/>
        </w:rPr>
        <w:t>Duyn</w:t>
      </w:r>
      <w:proofErr w:type="spellEnd"/>
      <w:r w:rsidR="00952607" w:rsidRPr="009F3090">
        <w:rPr>
          <w:rFonts w:ascii="Times New Roman" w:hAnsi="Times New Roman" w:cs="Times New Roman"/>
          <w:i/>
          <w:iCs/>
          <w:sz w:val="24"/>
          <w:szCs w:val="24"/>
        </w:rPr>
        <w:t xml:space="preserve"> v Home Office</w:t>
      </w:r>
      <w:r w:rsidR="009E1529" w:rsidRPr="009F3090">
        <w:rPr>
          <w:rStyle w:val="FootnoteReference"/>
          <w:rFonts w:ascii="Times New Roman" w:hAnsi="Times New Roman" w:cs="Times New Roman"/>
          <w:sz w:val="24"/>
          <w:szCs w:val="24"/>
        </w:rPr>
        <w:footnoteReference w:id="7"/>
      </w:r>
      <w:r w:rsidR="00952607" w:rsidRPr="009F3090">
        <w:rPr>
          <w:rFonts w:ascii="Times New Roman" w:hAnsi="Times New Roman" w:cs="Times New Roman"/>
          <w:sz w:val="24"/>
          <w:szCs w:val="24"/>
        </w:rPr>
        <w:t>.</w:t>
      </w:r>
      <w:r w:rsidR="0040425C" w:rsidRPr="009F3090">
        <w:rPr>
          <w:rFonts w:ascii="Times New Roman" w:hAnsi="Times New Roman" w:cs="Times New Roman"/>
          <w:sz w:val="24"/>
          <w:szCs w:val="24"/>
        </w:rPr>
        <w:t xml:space="preserve"> Accordingly, the employment rights secured by the directives could be enforced against the states directly without necessarily having to </w:t>
      </w:r>
      <w:r w:rsidR="00C35CF8" w:rsidRPr="009F3090">
        <w:rPr>
          <w:rFonts w:ascii="Times New Roman" w:hAnsi="Times New Roman" w:cs="Times New Roman"/>
          <w:sz w:val="24"/>
          <w:szCs w:val="24"/>
        </w:rPr>
        <w:t>be limited by the national legislations.</w:t>
      </w:r>
    </w:p>
    <w:p w14:paraId="274EA7A5" w14:textId="4B54B99E" w:rsidR="002F5B10" w:rsidRPr="009F3090" w:rsidRDefault="002F5B10" w:rsidP="009F3090">
      <w:pPr>
        <w:spacing w:after="0" w:line="480" w:lineRule="auto"/>
        <w:rPr>
          <w:rFonts w:ascii="Times New Roman" w:hAnsi="Times New Roman" w:cs="Times New Roman"/>
          <w:b/>
          <w:bCs/>
          <w:sz w:val="24"/>
          <w:szCs w:val="24"/>
        </w:rPr>
      </w:pPr>
      <w:r w:rsidRPr="009F3090">
        <w:rPr>
          <w:rFonts w:ascii="Times New Roman" w:hAnsi="Times New Roman" w:cs="Times New Roman"/>
          <w:b/>
          <w:bCs/>
          <w:sz w:val="24"/>
          <w:szCs w:val="24"/>
        </w:rPr>
        <w:t xml:space="preserve">Horizontal Direct Effect </w:t>
      </w:r>
    </w:p>
    <w:p w14:paraId="39E2C321" w14:textId="459E6D9A" w:rsidR="00A11FF1" w:rsidRPr="009F3090" w:rsidRDefault="00D84F30" w:rsidP="009F3090">
      <w:pPr>
        <w:spacing w:after="0" w:line="480" w:lineRule="auto"/>
        <w:rPr>
          <w:rFonts w:ascii="Times New Roman" w:hAnsi="Times New Roman" w:cs="Times New Roman"/>
          <w:sz w:val="24"/>
          <w:szCs w:val="24"/>
        </w:rPr>
      </w:pPr>
      <w:r w:rsidRPr="009F3090">
        <w:rPr>
          <w:rFonts w:ascii="Times New Roman" w:hAnsi="Times New Roman" w:cs="Times New Roman"/>
          <w:sz w:val="24"/>
          <w:szCs w:val="24"/>
        </w:rPr>
        <w:tab/>
        <w:t xml:space="preserve">The horizontal direct effect principle also ranks as another form under which the direct </w:t>
      </w:r>
      <w:proofErr w:type="gramStart"/>
      <w:r w:rsidRPr="009F3090">
        <w:rPr>
          <w:rFonts w:ascii="Times New Roman" w:hAnsi="Times New Roman" w:cs="Times New Roman"/>
          <w:sz w:val="24"/>
          <w:szCs w:val="24"/>
        </w:rPr>
        <w:t>principle</w:t>
      </w:r>
      <w:proofErr w:type="gramEnd"/>
      <w:r w:rsidRPr="009F3090">
        <w:rPr>
          <w:rFonts w:ascii="Times New Roman" w:hAnsi="Times New Roman" w:cs="Times New Roman"/>
          <w:sz w:val="24"/>
          <w:szCs w:val="24"/>
        </w:rPr>
        <w:t xml:space="preserve"> manifests.</w:t>
      </w:r>
      <w:r w:rsidR="00D73F92" w:rsidRPr="009F3090">
        <w:rPr>
          <w:rFonts w:ascii="Times New Roman" w:hAnsi="Times New Roman" w:cs="Times New Roman"/>
          <w:sz w:val="24"/>
          <w:szCs w:val="24"/>
        </w:rPr>
        <w:t xml:space="preserve"> It is the application of the direct effect principle to treaties and other provisions of the European Law on the private individuals who violate the rights of others.</w:t>
      </w:r>
      <w:r w:rsidR="00965E6C" w:rsidRPr="009F3090">
        <w:rPr>
          <w:rFonts w:ascii="Times New Roman" w:hAnsi="Times New Roman" w:cs="Times New Roman"/>
          <w:sz w:val="24"/>
          <w:szCs w:val="24"/>
        </w:rPr>
        <w:t xml:space="preserve"> These individuals are subjected to some of the laws of the European Union under the nat</w:t>
      </w:r>
      <w:r w:rsidR="008E39D7" w:rsidRPr="009F3090">
        <w:rPr>
          <w:rFonts w:ascii="Times New Roman" w:hAnsi="Times New Roman" w:cs="Times New Roman"/>
          <w:sz w:val="24"/>
          <w:szCs w:val="24"/>
        </w:rPr>
        <w:t>ional courts for violation of the principles of EU law</w:t>
      </w:r>
      <w:r w:rsidR="00B340FC" w:rsidRPr="009F3090">
        <w:rPr>
          <w:rStyle w:val="FootnoteReference"/>
          <w:rFonts w:ascii="Times New Roman" w:hAnsi="Times New Roman" w:cs="Times New Roman"/>
          <w:sz w:val="24"/>
          <w:szCs w:val="24"/>
        </w:rPr>
        <w:footnoteReference w:id="8"/>
      </w:r>
      <w:r w:rsidR="008E39D7" w:rsidRPr="009F3090">
        <w:rPr>
          <w:rFonts w:ascii="Times New Roman" w:hAnsi="Times New Roman" w:cs="Times New Roman"/>
          <w:sz w:val="24"/>
          <w:szCs w:val="24"/>
        </w:rPr>
        <w:t>.</w:t>
      </w:r>
      <w:r w:rsidR="00E41028" w:rsidRPr="009F3090">
        <w:rPr>
          <w:rFonts w:ascii="Times New Roman" w:hAnsi="Times New Roman" w:cs="Times New Roman"/>
          <w:sz w:val="24"/>
          <w:szCs w:val="24"/>
        </w:rPr>
        <w:t xml:space="preserve"> This position means that it is not required that the member states to have implemented the EU law so long as the direct effect principle is applicable to a specific situation.</w:t>
      </w:r>
      <w:r w:rsidR="003A2037" w:rsidRPr="009F3090">
        <w:rPr>
          <w:rFonts w:ascii="Times New Roman" w:hAnsi="Times New Roman" w:cs="Times New Roman"/>
          <w:sz w:val="24"/>
          <w:szCs w:val="24"/>
        </w:rPr>
        <w:t xml:space="preserve"> Notably, the horizontal direct effect principle was established to ensure that the member states complied with the requirements of the EU law.</w:t>
      </w:r>
    </w:p>
    <w:p w14:paraId="7642946C" w14:textId="6FB19DB2" w:rsidR="00AB5595" w:rsidRPr="009F3090" w:rsidRDefault="00DA1975" w:rsidP="009F309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emergence of the directives based on the direct effect principle</w:t>
      </w:r>
      <w:r w:rsidR="00AB5595" w:rsidRPr="009F3090">
        <w:rPr>
          <w:rFonts w:ascii="Times New Roman" w:hAnsi="Times New Roman" w:cs="Times New Roman"/>
          <w:sz w:val="24"/>
          <w:szCs w:val="24"/>
        </w:rPr>
        <w:t xml:space="preserve">, </w:t>
      </w:r>
      <w:r>
        <w:rPr>
          <w:rFonts w:ascii="Times New Roman" w:hAnsi="Times New Roman" w:cs="Times New Roman"/>
          <w:sz w:val="24"/>
          <w:szCs w:val="24"/>
        </w:rPr>
        <w:t>altered the underlying premise of the principle</w:t>
      </w:r>
      <w:r w:rsidR="00AB5595" w:rsidRPr="009F3090">
        <w:rPr>
          <w:rFonts w:ascii="Times New Roman" w:hAnsi="Times New Roman" w:cs="Times New Roman"/>
          <w:sz w:val="24"/>
          <w:szCs w:val="24"/>
        </w:rPr>
        <w:t xml:space="preserve">. The CJEU ruled that directives are subject to the theory of direct impact. Directives, on the other hand, have only a vertical direct influence. </w:t>
      </w:r>
      <w:r w:rsidR="00B16D55">
        <w:rPr>
          <w:rFonts w:ascii="Times New Roman" w:hAnsi="Times New Roman" w:cs="Times New Roman"/>
          <w:sz w:val="24"/>
          <w:szCs w:val="24"/>
        </w:rPr>
        <w:t>Consequently, people could only assert the rights stipulated by the directives that had been incorporated into the member states</w:t>
      </w:r>
      <w:r w:rsidR="00D23984" w:rsidRPr="009F3090">
        <w:rPr>
          <w:rStyle w:val="FootnoteReference"/>
          <w:rFonts w:ascii="Times New Roman" w:hAnsi="Times New Roman" w:cs="Times New Roman"/>
          <w:sz w:val="24"/>
          <w:szCs w:val="24"/>
        </w:rPr>
        <w:footnoteReference w:id="9"/>
      </w:r>
      <w:r w:rsidR="00AB5595" w:rsidRPr="009F3090">
        <w:rPr>
          <w:rFonts w:ascii="Times New Roman" w:hAnsi="Times New Roman" w:cs="Times New Roman"/>
          <w:sz w:val="24"/>
          <w:szCs w:val="24"/>
        </w:rPr>
        <w:t xml:space="preserve">. </w:t>
      </w:r>
      <w:r w:rsidR="00AE494F">
        <w:rPr>
          <w:rFonts w:ascii="Times New Roman" w:hAnsi="Times New Roman" w:cs="Times New Roman"/>
          <w:sz w:val="24"/>
          <w:szCs w:val="24"/>
        </w:rPr>
        <w:t>This version seemed to be limited as the individuals could only</w:t>
      </w:r>
      <w:r w:rsidR="00C1791C">
        <w:rPr>
          <w:rFonts w:ascii="Times New Roman" w:hAnsi="Times New Roman" w:cs="Times New Roman"/>
          <w:sz w:val="24"/>
          <w:szCs w:val="24"/>
        </w:rPr>
        <w:t xml:space="preserve"> </w:t>
      </w:r>
      <w:r w:rsidR="00AE494F">
        <w:rPr>
          <w:rFonts w:ascii="Times New Roman" w:hAnsi="Times New Roman" w:cs="Times New Roman"/>
          <w:sz w:val="24"/>
          <w:szCs w:val="24"/>
        </w:rPr>
        <w:t>assert the rights provided for by a directive against other private individuals who infringe such directives</w:t>
      </w:r>
      <w:r w:rsidR="00AB5595" w:rsidRPr="009F3090">
        <w:rPr>
          <w:rFonts w:ascii="Times New Roman" w:hAnsi="Times New Roman" w:cs="Times New Roman"/>
          <w:sz w:val="24"/>
          <w:szCs w:val="24"/>
        </w:rPr>
        <w:t>.</w:t>
      </w:r>
    </w:p>
    <w:p w14:paraId="6C76151C" w14:textId="77599BD0" w:rsidR="00AB5595" w:rsidRPr="009F3090" w:rsidRDefault="00B847DA"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Conversely, a member state</w:t>
      </w:r>
      <w:r w:rsidR="00AB5595" w:rsidRPr="009F3090">
        <w:rPr>
          <w:rFonts w:ascii="Times New Roman" w:hAnsi="Times New Roman" w:cs="Times New Roman"/>
          <w:sz w:val="24"/>
          <w:szCs w:val="24"/>
        </w:rPr>
        <w:t xml:space="preserve"> can appear in a variety of public power manifestations. </w:t>
      </w:r>
      <w:r w:rsidR="00126D43" w:rsidRPr="009F3090">
        <w:rPr>
          <w:rFonts w:ascii="Times New Roman" w:hAnsi="Times New Roman" w:cs="Times New Roman"/>
          <w:sz w:val="24"/>
          <w:szCs w:val="24"/>
        </w:rPr>
        <w:t>T</w:t>
      </w:r>
      <w:r w:rsidR="00AB5595" w:rsidRPr="009F3090">
        <w:rPr>
          <w:rFonts w:ascii="Times New Roman" w:hAnsi="Times New Roman" w:cs="Times New Roman"/>
          <w:sz w:val="24"/>
          <w:szCs w:val="24"/>
        </w:rPr>
        <w:t>he CJEU's criteria for defin</w:t>
      </w:r>
      <w:r w:rsidR="00126D43" w:rsidRPr="009F3090">
        <w:rPr>
          <w:rFonts w:ascii="Times New Roman" w:hAnsi="Times New Roman" w:cs="Times New Roman"/>
          <w:sz w:val="24"/>
          <w:szCs w:val="24"/>
        </w:rPr>
        <w:t>itions determine the breadth of the steps to be undertaken by the state</w:t>
      </w:r>
      <w:r w:rsidR="00AB5595" w:rsidRPr="009F3090">
        <w:rPr>
          <w:rFonts w:ascii="Times New Roman" w:hAnsi="Times New Roman" w:cs="Times New Roman"/>
          <w:sz w:val="24"/>
          <w:szCs w:val="24"/>
        </w:rPr>
        <w:t xml:space="preserve">. Despite this, the </w:t>
      </w:r>
      <w:r w:rsidR="00126D43" w:rsidRPr="009F3090">
        <w:rPr>
          <w:rFonts w:ascii="Times New Roman" w:hAnsi="Times New Roman" w:cs="Times New Roman"/>
          <w:sz w:val="24"/>
          <w:szCs w:val="24"/>
        </w:rPr>
        <w:t>horizontal direct effect</w:t>
      </w:r>
      <w:r w:rsidR="00AB5595" w:rsidRPr="009F3090">
        <w:rPr>
          <w:rFonts w:ascii="Times New Roman" w:hAnsi="Times New Roman" w:cs="Times New Roman"/>
          <w:sz w:val="24"/>
          <w:szCs w:val="24"/>
        </w:rPr>
        <w:t xml:space="preserve"> holds that instructions </w:t>
      </w:r>
      <w:r w:rsidR="0071323D" w:rsidRPr="009F3090">
        <w:rPr>
          <w:rFonts w:ascii="Times New Roman" w:hAnsi="Times New Roman" w:cs="Times New Roman"/>
          <w:sz w:val="24"/>
          <w:szCs w:val="24"/>
        </w:rPr>
        <w:t>should not directly affect the parties involved.</w:t>
      </w:r>
      <w:r w:rsidR="00F0058F" w:rsidRPr="009F3090">
        <w:rPr>
          <w:rFonts w:ascii="Times New Roman" w:hAnsi="Times New Roman" w:cs="Times New Roman"/>
          <w:sz w:val="24"/>
          <w:szCs w:val="24"/>
        </w:rPr>
        <w:t xml:space="preserve"> </w:t>
      </w:r>
      <w:r w:rsidR="00684BD6" w:rsidRPr="009F3090">
        <w:rPr>
          <w:rFonts w:ascii="Times New Roman" w:hAnsi="Times New Roman" w:cs="Times New Roman"/>
          <w:sz w:val="24"/>
          <w:szCs w:val="24"/>
        </w:rPr>
        <w:t>Disparate opinions</w:t>
      </w:r>
      <w:r w:rsidR="00F0058F" w:rsidRPr="009F3090">
        <w:rPr>
          <w:rFonts w:ascii="Times New Roman" w:hAnsi="Times New Roman" w:cs="Times New Roman"/>
          <w:sz w:val="24"/>
          <w:szCs w:val="24"/>
        </w:rPr>
        <w:t xml:space="preserve"> have sought, but failed, to change the theory of horizontal direct effect, extending the impact of directives to private people as espoused in </w:t>
      </w:r>
      <w:r w:rsidR="00F0058F" w:rsidRPr="009F3090">
        <w:rPr>
          <w:rFonts w:ascii="Times New Roman" w:hAnsi="Times New Roman" w:cs="Times New Roman"/>
          <w:i/>
          <w:iCs/>
          <w:sz w:val="24"/>
          <w:szCs w:val="24"/>
        </w:rPr>
        <w:t xml:space="preserve">Dori v. </w:t>
      </w:r>
      <w:proofErr w:type="spellStart"/>
      <w:r w:rsidR="00F0058F" w:rsidRPr="009F3090">
        <w:rPr>
          <w:rFonts w:ascii="Times New Roman" w:hAnsi="Times New Roman" w:cs="Times New Roman"/>
          <w:i/>
          <w:iCs/>
          <w:sz w:val="24"/>
          <w:szCs w:val="24"/>
        </w:rPr>
        <w:t>Recreb</w:t>
      </w:r>
      <w:proofErr w:type="spellEnd"/>
      <w:r w:rsidR="00CF575D" w:rsidRPr="009F3090">
        <w:rPr>
          <w:rStyle w:val="FootnoteReference"/>
          <w:rFonts w:ascii="Times New Roman" w:hAnsi="Times New Roman" w:cs="Times New Roman"/>
          <w:i/>
          <w:iCs/>
          <w:sz w:val="24"/>
          <w:szCs w:val="24"/>
        </w:rPr>
        <w:footnoteReference w:id="10"/>
      </w:r>
      <w:r w:rsidR="00F0058F" w:rsidRPr="009F3090">
        <w:rPr>
          <w:rFonts w:ascii="Times New Roman" w:hAnsi="Times New Roman" w:cs="Times New Roman"/>
          <w:sz w:val="24"/>
          <w:szCs w:val="24"/>
        </w:rPr>
        <w:t xml:space="preserve">. </w:t>
      </w:r>
      <w:r w:rsidR="00684BD6" w:rsidRPr="009F3090">
        <w:rPr>
          <w:rFonts w:ascii="Times New Roman" w:hAnsi="Times New Roman" w:cs="Times New Roman"/>
          <w:sz w:val="24"/>
          <w:szCs w:val="24"/>
        </w:rPr>
        <w:t xml:space="preserve">The indirect effect is similar to the direct effect in part </w:t>
      </w:r>
      <w:r w:rsidR="00A95CD7" w:rsidRPr="009F3090">
        <w:rPr>
          <w:rFonts w:ascii="Times New Roman" w:hAnsi="Times New Roman" w:cs="Times New Roman"/>
          <w:sz w:val="24"/>
          <w:szCs w:val="24"/>
        </w:rPr>
        <w:t>as they have almost the same conclusion.</w:t>
      </w:r>
      <w:r w:rsidR="00F0058F" w:rsidRPr="009F3090">
        <w:rPr>
          <w:rFonts w:ascii="Times New Roman" w:hAnsi="Times New Roman" w:cs="Times New Roman"/>
          <w:sz w:val="24"/>
          <w:szCs w:val="24"/>
        </w:rPr>
        <w:t xml:space="preserve"> </w:t>
      </w:r>
      <w:r w:rsidR="00A95CD7" w:rsidRPr="009F3090">
        <w:rPr>
          <w:rFonts w:ascii="Times New Roman" w:hAnsi="Times New Roman" w:cs="Times New Roman"/>
          <w:sz w:val="24"/>
          <w:szCs w:val="24"/>
        </w:rPr>
        <w:t>Nonetheless</w:t>
      </w:r>
      <w:r w:rsidR="00F0058F" w:rsidRPr="009F3090">
        <w:rPr>
          <w:rFonts w:ascii="Times New Roman" w:hAnsi="Times New Roman" w:cs="Times New Roman"/>
          <w:sz w:val="24"/>
          <w:szCs w:val="24"/>
        </w:rPr>
        <w:t xml:space="preserve">, this is only true </w:t>
      </w:r>
      <w:r w:rsidR="00A95CD7" w:rsidRPr="009F3090">
        <w:rPr>
          <w:rFonts w:ascii="Times New Roman" w:hAnsi="Times New Roman" w:cs="Times New Roman"/>
          <w:sz w:val="24"/>
          <w:szCs w:val="24"/>
        </w:rPr>
        <w:t>where the national legislation does not align with the laws of the European Union</w:t>
      </w:r>
      <w:r w:rsidR="00F0058F" w:rsidRPr="009F3090">
        <w:rPr>
          <w:rFonts w:ascii="Times New Roman" w:hAnsi="Times New Roman" w:cs="Times New Roman"/>
          <w:sz w:val="24"/>
          <w:szCs w:val="24"/>
        </w:rPr>
        <w:t xml:space="preserve">. </w:t>
      </w:r>
      <w:r w:rsidR="002D575C" w:rsidRPr="009F3090">
        <w:rPr>
          <w:rFonts w:ascii="Times New Roman" w:hAnsi="Times New Roman" w:cs="Times New Roman"/>
          <w:sz w:val="24"/>
          <w:szCs w:val="24"/>
        </w:rPr>
        <w:t>This theory has not had much success in the area of employment and labour relations since most of the EU laws do not have conclusive provisions regarding this field of law</w:t>
      </w:r>
      <w:r w:rsidR="00F0058F" w:rsidRPr="009F3090">
        <w:rPr>
          <w:rFonts w:ascii="Times New Roman" w:hAnsi="Times New Roman" w:cs="Times New Roman"/>
          <w:sz w:val="24"/>
          <w:szCs w:val="24"/>
        </w:rPr>
        <w:t>.</w:t>
      </w:r>
    </w:p>
    <w:p w14:paraId="092A98AD" w14:textId="422FEA75" w:rsidR="00607417" w:rsidRPr="009F3090" w:rsidRDefault="00607417" w:rsidP="009F3090">
      <w:pPr>
        <w:spacing w:after="0" w:line="480" w:lineRule="auto"/>
        <w:rPr>
          <w:rFonts w:ascii="Times New Roman" w:hAnsi="Times New Roman" w:cs="Times New Roman"/>
          <w:sz w:val="24"/>
          <w:szCs w:val="24"/>
        </w:rPr>
      </w:pPr>
    </w:p>
    <w:p w14:paraId="43425A87" w14:textId="67DCFCC6" w:rsidR="00607417" w:rsidRPr="009F3090" w:rsidRDefault="00607417" w:rsidP="009F3090">
      <w:pPr>
        <w:spacing w:after="0" w:line="480" w:lineRule="auto"/>
        <w:rPr>
          <w:rFonts w:ascii="Times New Roman" w:hAnsi="Times New Roman" w:cs="Times New Roman"/>
          <w:b/>
          <w:bCs/>
          <w:sz w:val="24"/>
          <w:szCs w:val="24"/>
        </w:rPr>
      </w:pPr>
      <w:r w:rsidRPr="009F3090">
        <w:rPr>
          <w:rFonts w:ascii="Times New Roman" w:hAnsi="Times New Roman" w:cs="Times New Roman"/>
          <w:b/>
          <w:bCs/>
          <w:sz w:val="24"/>
          <w:szCs w:val="24"/>
        </w:rPr>
        <w:t>The Indirect Effect Principle</w:t>
      </w:r>
    </w:p>
    <w:p w14:paraId="23DA288D" w14:textId="010E5160" w:rsidR="00607417" w:rsidRPr="009F3090" w:rsidRDefault="00607417"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 xml:space="preserve">The indirect </w:t>
      </w:r>
      <w:r w:rsidR="00EB14F5" w:rsidRPr="009F3090">
        <w:rPr>
          <w:rFonts w:ascii="Times New Roman" w:hAnsi="Times New Roman" w:cs="Times New Roman"/>
          <w:sz w:val="24"/>
          <w:szCs w:val="24"/>
        </w:rPr>
        <w:t>effect doctrine</w:t>
      </w:r>
      <w:r w:rsidRPr="009F3090">
        <w:rPr>
          <w:rFonts w:ascii="Times New Roman" w:hAnsi="Times New Roman" w:cs="Times New Roman"/>
          <w:sz w:val="24"/>
          <w:szCs w:val="24"/>
        </w:rPr>
        <w:t xml:space="preserve"> </w:t>
      </w:r>
      <w:r w:rsidR="00EB14F5" w:rsidRPr="009F3090">
        <w:rPr>
          <w:rFonts w:ascii="Times New Roman" w:hAnsi="Times New Roman" w:cs="Times New Roman"/>
          <w:sz w:val="24"/>
          <w:szCs w:val="24"/>
        </w:rPr>
        <w:t>requires</w:t>
      </w:r>
      <w:r w:rsidRPr="009F3090">
        <w:rPr>
          <w:rFonts w:ascii="Times New Roman" w:hAnsi="Times New Roman" w:cs="Times New Roman"/>
          <w:sz w:val="24"/>
          <w:szCs w:val="24"/>
        </w:rPr>
        <w:t xml:space="preserve"> domestic law</w:t>
      </w:r>
      <w:r w:rsidR="00867FE1" w:rsidRPr="009F3090">
        <w:rPr>
          <w:rFonts w:ascii="Times New Roman" w:hAnsi="Times New Roman" w:cs="Times New Roman"/>
          <w:sz w:val="24"/>
          <w:szCs w:val="24"/>
        </w:rPr>
        <w:t xml:space="preserve"> to be interpreted</w:t>
      </w:r>
      <w:r w:rsidRPr="009F3090">
        <w:rPr>
          <w:rFonts w:ascii="Times New Roman" w:hAnsi="Times New Roman" w:cs="Times New Roman"/>
          <w:sz w:val="24"/>
          <w:szCs w:val="24"/>
        </w:rPr>
        <w:t xml:space="preserve"> in accordance with directives </w:t>
      </w:r>
      <w:r w:rsidR="00EB14F5" w:rsidRPr="009F3090">
        <w:rPr>
          <w:rFonts w:ascii="Times New Roman" w:hAnsi="Times New Roman" w:cs="Times New Roman"/>
          <w:sz w:val="24"/>
          <w:szCs w:val="24"/>
        </w:rPr>
        <w:t>of the EU law</w:t>
      </w:r>
      <w:r w:rsidR="00867FE1" w:rsidRPr="009F3090">
        <w:rPr>
          <w:rFonts w:ascii="Times New Roman" w:hAnsi="Times New Roman" w:cs="Times New Roman"/>
          <w:sz w:val="24"/>
          <w:szCs w:val="24"/>
        </w:rPr>
        <w:t xml:space="preserve"> by the national courts</w:t>
      </w:r>
      <w:r w:rsidR="00EB14F5" w:rsidRPr="009F3090">
        <w:rPr>
          <w:rFonts w:ascii="Times New Roman" w:hAnsi="Times New Roman" w:cs="Times New Roman"/>
          <w:sz w:val="24"/>
          <w:szCs w:val="24"/>
        </w:rPr>
        <w:t>. This is because</w:t>
      </w:r>
      <w:r w:rsidRPr="009F3090">
        <w:rPr>
          <w:rFonts w:ascii="Times New Roman" w:hAnsi="Times New Roman" w:cs="Times New Roman"/>
          <w:sz w:val="24"/>
          <w:szCs w:val="24"/>
        </w:rPr>
        <w:t xml:space="preserve"> institutions of </w:t>
      </w:r>
      <w:r w:rsidR="00F35BF4" w:rsidRPr="009F3090">
        <w:rPr>
          <w:rFonts w:ascii="Times New Roman" w:hAnsi="Times New Roman" w:cs="Times New Roman"/>
          <w:sz w:val="24"/>
          <w:szCs w:val="24"/>
        </w:rPr>
        <w:t>the participant s</w:t>
      </w:r>
      <w:r w:rsidRPr="009F3090">
        <w:rPr>
          <w:rFonts w:ascii="Times New Roman" w:hAnsi="Times New Roman" w:cs="Times New Roman"/>
          <w:sz w:val="24"/>
          <w:szCs w:val="24"/>
        </w:rPr>
        <w:t>tate</w:t>
      </w:r>
      <w:r w:rsidR="00F35BF4" w:rsidRPr="009F3090">
        <w:rPr>
          <w:rFonts w:ascii="Times New Roman" w:hAnsi="Times New Roman" w:cs="Times New Roman"/>
          <w:sz w:val="24"/>
          <w:szCs w:val="24"/>
        </w:rPr>
        <w:t>s</w:t>
      </w:r>
      <w:r w:rsidRPr="009F3090">
        <w:rPr>
          <w:rFonts w:ascii="Times New Roman" w:hAnsi="Times New Roman" w:cs="Times New Roman"/>
          <w:sz w:val="24"/>
          <w:szCs w:val="24"/>
        </w:rPr>
        <w:t xml:space="preserve"> </w:t>
      </w:r>
      <w:r w:rsidR="00D44EBA" w:rsidRPr="009F3090">
        <w:rPr>
          <w:rFonts w:ascii="Times New Roman" w:hAnsi="Times New Roman" w:cs="Times New Roman"/>
          <w:sz w:val="24"/>
          <w:szCs w:val="24"/>
        </w:rPr>
        <w:t xml:space="preserve">are deemed </w:t>
      </w:r>
      <w:r w:rsidR="00991866" w:rsidRPr="009F3090">
        <w:rPr>
          <w:rFonts w:ascii="Times New Roman" w:hAnsi="Times New Roman" w:cs="Times New Roman"/>
          <w:sz w:val="24"/>
          <w:szCs w:val="24"/>
        </w:rPr>
        <w:t>accountable in fulfilling what is required by the European law</w:t>
      </w:r>
      <w:r w:rsidRPr="009F3090">
        <w:rPr>
          <w:rFonts w:ascii="Times New Roman" w:hAnsi="Times New Roman" w:cs="Times New Roman"/>
          <w:sz w:val="24"/>
          <w:szCs w:val="24"/>
        </w:rPr>
        <w:t xml:space="preserve">. </w:t>
      </w:r>
      <w:r w:rsidR="00D44EBA" w:rsidRPr="009F3090">
        <w:rPr>
          <w:rFonts w:ascii="Times New Roman" w:hAnsi="Times New Roman" w:cs="Times New Roman"/>
          <w:sz w:val="24"/>
          <w:szCs w:val="24"/>
        </w:rPr>
        <w:t>The indirect effect principle</w:t>
      </w:r>
      <w:r w:rsidRPr="009F3090">
        <w:rPr>
          <w:rFonts w:ascii="Times New Roman" w:hAnsi="Times New Roman" w:cs="Times New Roman"/>
          <w:sz w:val="24"/>
          <w:szCs w:val="24"/>
        </w:rPr>
        <w:t xml:space="preserve"> accomplishes </w:t>
      </w:r>
      <w:r w:rsidR="00C6292F" w:rsidRPr="009F3090">
        <w:rPr>
          <w:rFonts w:ascii="Times New Roman" w:hAnsi="Times New Roman" w:cs="Times New Roman"/>
          <w:sz w:val="24"/>
          <w:szCs w:val="24"/>
        </w:rPr>
        <w:t>outcomes</w:t>
      </w:r>
      <w:r w:rsidRPr="009F3090">
        <w:rPr>
          <w:rFonts w:ascii="Times New Roman" w:hAnsi="Times New Roman" w:cs="Times New Roman"/>
          <w:sz w:val="24"/>
          <w:szCs w:val="24"/>
        </w:rPr>
        <w:t xml:space="preserve"> of directives indirectly, using the technique of </w:t>
      </w:r>
      <w:r w:rsidR="00C6292F" w:rsidRPr="009F3090">
        <w:rPr>
          <w:rFonts w:ascii="Times New Roman" w:hAnsi="Times New Roman" w:cs="Times New Roman"/>
          <w:sz w:val="24"/>
          <w:szCs w:val="24"/>
        </w:rPr>
        <w:t xml:space="preserve">court interpretation </w:t>
      </w:r>
      <w:r w:rsidRPr="009F3090">
        <w:rPr>
          <w:rFonts w:ascii="Times New Roman" w:hAnsi="Times New Roman" w:cs="Times New Roman"/>
          <w:sz w:val="24"/>
          <w:szCs w:val="24"/>
        </w:rPr>
        <w:t xml:space="preserve">of </w:t>
      </w:r>
      <w:r w:rsidR="00C6292F" w:rsidRPr="009F3090">
        <w:rPr>
          <w:rFonts w:ascii="Times New Roman" w:hAnsi="Times New Roman" w:cs="Times New Roman"/>
          <w:sz w:val="24"/>
          <w:szCs w:val="24"/>
        </w:rPr>
        <w:t>local</w:t>
      </w:r>
      <w:r w:rsidRPr="009F3090">
        <w:rPr>
          <w:rFonts w:ascii="Times New Roman" w:hAnsi="Times New Roman" w:cs="Times New Roman"/>
          <w:sz w:val="24"/>
          <w:szCs w:val="24"/>
        </w:rPr>
        <w:t xml:space="preserve"> </w:t>
      </w:r>
      <w:r w:rsidR="00C6292F" w:rsidRPr="009F3090">
        <w:rPr>
          <w:rFonts w:ascii="Times New Roman" w:hAnsi="Times New Roman" w:cs="Times New Roman"/>
          <w:sz w:val="24"/>
          <w:szCs w:val="24"/>
        </w:rPr>
        <w:t>laws</w:t>
      </w:r>
      <w:r w:rsidRPr="009F3090">
        <w:rPr>
          <w:rFonts w:ascii="Times New Roman" w:hAnsi="Times New Roman" w:cs="Times New Roman"/>
          <w:sz w:val="24"/>
          <w:szCs w:val="24"/>
        </w:rPr>
        <w:t>.</w:t>
      </w:r>
      <w:r w:rsidR="00C81755" w:rsidRPr="009F3090">
        <w:rPr>
          <w:rFonts w:ascii="Times New Roman" w:hAnsi="Times New Roman" w:cs="Times New Roman"/>
          <w:sz w:val="24"/>
          <w:szCs w:val="24"/>
        </w:rPr>
        <w:t xml:space="preserve"> </w:t>
      </w:r>
      <w:r w:rsidRPr="009F3090">
        <w:rPr>
          <w:rFonts w:ascii="Times New Roman" w:hAnsi="Times New Roman" w:cs="Times New Roman"/>
          <w:sz w:val="24"/>
          <w:szCs w:val="24"/>
        </w:rPr>
        <w:t>As a result, indirect impact may be viewed as both an addition to and a corollary of the idea of direct effect.</w:t>
      </w:r>
      <w:r w:rsidR="0096359D" w:rsidRPr="009F3090">
        <w:rPr>
          <w:rFonts w:ascii="Times New Roman" w:hAnsi="Times New Roman" w:cs="Times New Roman"/>
          <w:sz w:val="24"/>
          <w:szCs w:val="24"/>
        </w:rPr>
        <w:t xml:space="preserve"> </w:t>
      </w:r>
      <w:r w:rsidR="004E023B" w:rsidRPr="009F3090">
        <w:rPr>
          <w:rFonts w:ascii="Times New Roman" w:hAnsi="Times New Roman" w:cs="Times New Roman"/>
          <w:sz w:val="24"/>
          <w:szCs w:val="24"/>
        </w:rPr>
        <w:t>Domestic</w:t>
      </w:r>
      <w:r w:rsidRPr="009F3090">
        <w:rPr>
          <w:rFonts w:ascii="Times New Roman" w:hAnsi="Times New Roman" w:cs="Times New Roman"/>
          <w:sz w:val="24"/>
          <w:szCs w:val="24"/>
        </w:rPr>
        <w:t xml:space="preserve"> courts must </w:t>
      </w:r>
      <w:r w:rsidR="00590611" w:rsidRPr="009F3090">
        <w:rPr>
          <w:rFonts w:ascii="Times New Roman" w:hAnsi="Times New Roman" w:cs="Times New Roman"/>
          <w:sz w:val="24"/>
          <w:szCs w:val="24"/>
        </w:rPr>
        <w:t xml:space="preserve">not focus on </w:t>
      </w:r>
      <w:r w:rsidRPr="009F3090">
        <w:rPr>
          <w:rFonts w:ascii="Times New Roman" w:hAnsi="Times New Roman" w:cs="Times New Roman"/>
          <w:sz w:val="24"/>
          <w:szCs w:val="24"/>
        </w:rPr>
        <w:t xml:space="preserve">domestic law in cases where the </w:t>
      </w:r>
      <w:r w:rsidR="00590611" w:rsidRPr="009F3090">
        <w:rPr>
          <w:rFonts w:ascii="Times New Roman" w:hAnsi="Times New Roman" w:cs="Times New Roman"/>
          <w:sz w:val="24"/>
          <w:szCs w:val="24"/>
        </w:rPr>
        <w:t>domestic law and the directive</w:t>
      </w:r>
      <w:r w:rsidRPr="009F3090">
        <w:rPr>
          <w:rFonts w:ascii="Times New Roman" w:hAnsi="Times New Roman" w:cs="Times New Roman"/>
          <w:sz w:val="24"/>
          <w:szCs w:val="24"/>
        </w:rPr>
        <w:t xml:space="preserve"> clash</w:t>
      </w:r>
      <w:r w:rsidR="0096359D" w:rsidRPr="009F3090">
        <w:rPr>
          <w:rFonts w:ascii="Times New Roman" w:hAnsi="Times New Roman" w:cs="Times New Roman"/>
          <w:sz w:val="24"/>
          <w:szCs w:val="24"/>
        </w:rPr>
        <w:t xml:space="preserve"> if the terms of a directive have immediate effect</w:t>
      </w:r>
      <w:r w:rsidRPr="009F3090">
        <w:rPr>
          <w:rFonts w:ascii="Times New Roman" w:hAnsi="Times New Roman" w:cs="Times New Roman"/>
          <w:sz w:val="24"/>
          <w:szCs w:val="24"/>
        </w:rPr>
        <w:t xml:space="preserve">. </w:t>
      </w:r>
      <w:r w:rsidR="00EA0868" w:rsidRPr="009F3090">
        <w:rPr>
          <w:rFonts w:ascii="Times New Roman" w:hAnsi="Times New Roman" w:cs="Times New Roman"/>
          <w:sz w:val="24"/>
          <w:szCs w:val="24"/>
        </w:rPr>
        <w:t>Otherwise</w:t>
      </w:r>
      <w:r w:rsidRPr="009F3090">
        <w:rPr>
          <w:rFonts w:ascii="Times New Roman" w:hAnsi="Times New Roman" w:cs="Times New Roman"/>
          <w:sz w:val="24"/>
          <w:szCs w:val="24"/>
        </w:rPr>
        <w:t xml:space="preserve">, national courts </w:t>
      </w:r>
      <w:r w:rsidR="002F5E11" w:rsidRPr="009F3090">
        <w:rPr>
          <w:rFonts w:ascii="Times New Roman" w:hAnsi="Times New Roman" w:cs="Times New Roman"/>
          <w:sz w:val="24"/>
          <w:szCs w:val="24"/>
        </w:rPr>
        <w:t>should do their best to construct</w:t>
      </w:r>
      <w:r w:rsidRPr="009F3090">
        <w:rPr>
          <w:rFonts w:ascii="Times New Roman" w:hAnsi="Times New Roman" w:cs="Times New Roman"/>
          <w:sz w:val="24"/>
          <w:szCs w:val="24"/>
        </w:rPr>
        <w:t xml:space="preserve"> domestic law in accordance with the directive.</w:t>
      </w:r>
    </w:p>
    <w:p w14:paraId="7BE17414" w14:textId="7FAF3D00" w:rsidR="0027292D" w:rsidRPr="009F3090" w:rsidRDefault="00B92C86"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 xml:space="preserve">The indirect effect doctrine alias </w:t>
      </w:r>
      <w:r w:rsidR="0027292D" w:rsidRPr="009F3090">
        <w:rPr>
          <w:rFonts w:ascii="Times New Roman" w:hAnsi="Times New Roman" w:cs="Times New Roman"/>
          <w:sz w:val="24"/>
          <w:szCs w:val="24"/>
        </w:rPr>
        <w:t xml:space="preserve">consistent interpretation, </w:t>
      </w:r>
      <w:r w:rsidRPr="009F3090">
        <w:rPr>
          <w:rFonts w:ascii="Times New Roman" w:hAnsi="Times New Roman" w:cs="Times New Roman"/>
          <w:sz w:val="24"/>
          <w:szCs w:val="24"/>
        </w:rPr>
        <w:t>necessitates</w:t>
      </w:r>
      <w:r w:rsidR="0027292D" w:rsidRPr="009F3090">
        <w:rPr>
          <w:rFonts w:ascii="Times New Roman" w:hAnsi="Times New Roman" w:cs="Times New Roman"/>
          <w:sz w:val="24"/>
          <w:szCs w:val="24"/>
        </w:rPr>
        <w:t xml:space="preserve"> </w:t>
      </w:r>
      <w:r w:rsidRPr="009F3090">
        <w:rPr>
          <w:rFonts w:ascii="Times New Roman" w:hAnsi="Times New Roman" w:cs="Times New Roman"/>
          <w:sz w:val="24"/>
          <w:szCs w:val="24"/>
        </w:rPr>
        <w:t>local</w:t>
      </w:r>
      <w:r w:rsidR="0027292D" w:rsidRPr="009F3090">
        <w:rPr>
          <w:rFonts w:ascii="Times New Roman" w:hAnsi="Times New Roman" w:cs="Times New Roman"/>
          <w:sz w:val="24"/>
          <w:szCs w:val="24"/>
        </w:rPr>
        <w:t xml:space="preserve"> courts to </w:t>
      </w:r>
      <w:r w:rsidR="00FF58FD" w:rsidRPr="009F3090">
        <w:rPr>
          <w:rFonts w:ascii="Times New Roman" w:hAnsi="Times New Roman" w:cs="Times New Roman"/>
          <w:sz w:val="24"/>
          <w:szCs w:val="24"/>
        </w:rPr>
        <w:t>construct the national laws according to the guidance issued by the European Union law</w:t>
      </w:r>
      <w:r w:rsidR="00D0007D" w:rsidRPr="009F3090">
        <w:rPr>
          <w:rFonts w:ascii="Times New Roman" w:hAnsi="Times New Roman" w:cs="Times New Roman"/>
          <w:sz w:val="24"/>
          <w:szCs w:val="24"/>
        </w:rPr>
        <w:t xml:space="preserve">. In particular, </w:t>
      </w:r>
      <w:r w:rsidR="0027292D" w:rsidRPr="009F3090">
        <w:rPr>
          <w:rFonts w:ascii="Times New Roman" w:hAnsi="Times New Roman" w:cs="Times New Roman"/>
          <w:sz w:val="24"/>
          <w:szCs w:val="24"/>
        </w:rPr>
        <w:t xml:space="preserve">the Member States </w:t>
      </w:r>
      <w:r w:rsidR="00D0007D" w:rsidRPr="009F3090">
        <w:rPr>
          <w:rFonts w:ascii="Times New Roman" w:hAnsi="Times New Roman" w:cs="Times New Roman"/>
          <w:sz w:val="24"/>
          <w:szCs w:val="24"/>
        </w:rPr>
        <w:t>have a responsibility t</w:t>
      </w:r>
      <w:r w:rsidR="00D9797B" w:rsidRPr="009F3090">
        <w:rPr>
          <w:rFonts w:ascii="Times New Roman" w:hAnsi="Times New Roman" w:cs="Times New Roman"/>
          <w:sz w:val="24"/>
          <w:szCs w:val="24"/>
        </w:rPr>
        <w:t>o</w:t>
      </w:r>
      <w:r w:rsidR="0027292D" w:rsidRPr="009F3090">
        <w:rPr>
          <w:rFonts w:ascii="Times New Roman" w:hAnsi="Times New Roman" w:cs="Times New Roman"/>
          <w:sz w:val="24"/>
          <w:szCs w:val="24"/>
        </w:rPr>
        <w:t xml:space="preserve"> fulfil EU duties</w:t>
      </w:r>
      <w:r w:rsidR="00D9797B" w:rsidRPr="009F3090">
        <w:rPr>
          <w:rFonts w:ascii="Times New Roman" w:hAnsi="Times New Roman" w:cs="Times New Roman"/>
          <w:sz w:val="24"/>
          <w:szCs w:val="24"/>
        </w:rPr>
        <w:t xml:space="preserve"> under the directives</w:t>
      </w:r>
      <w:r w:rsidR="0027292D" w:rsidRPr="009F3090">
        <w:rPr>
          <w:rFonts w:ascii="Times New Roman" w:hAnsi="Times New Roman" w:cs="Times New Roman"/>
          <w:sz w:val="24"/>
          <w:szCs w:val="24"/>
        </w:rPr>
        <w:t>. It accomplishes the goal obtained by Directives</w:t>
      </w:r>
      <w:r w:rsidR="004D3D97" w:rsidRPr="009F3090">
        <w:rPr>
          <w:rFonts w:ascii="Times New Roman" w:hAnsi="Times New Roman" w:cs="Times New Roman"/>
          <w:sz w:val="24"/>
          <w:szCs w:val="24"/>
        </w:rPr>
        <w:t>’ direct effect</w:t>
      </w:r>
      <w:r w:rsidR="0027292D" w:rsidRPr="009F3090">
        <w:rPr>
          <w:rFonts w:ascii="Times New Roman" w:hAnsi="Times New Roman" w:cs="Times New Roman"/>
          <w:sz w:val="24"/>
          <w:szCs w:val="24"/>
        </w:rPr>
        <w:t xml:space="preserve"> where that </w:t>
      </w:r>
      <w:r w:rsidR="004D3D97" w:rsidRPr="009F3090">
        <w:rPr>
          <w:rFonts w:ascii="Times New Roman" w:hAnsi="Times New Roman" w:cs="Times New Roman"/>
          <w:sz w:val="24"/>
          <w:szCs w:val="24"/>
        </w:rPr>
        <w:t>courts are unable to implement</w:t>
      </w:r>
      <w:r w:rsidR="0027292D" w:rsidRPr="009F3090">
        <w:rPr>
          <w:rFonts w:ascii="Times New Roman" w:hAnsi="Times New Roman" w:cs="Times New Roman"/>
          <w:sz w:val="24"/>
          <w:szCs w:val="24"/>
        </w:rPr>
        <w:t xml:space="preserve"> indirectly, through legal </w:t>
      </w:r>
      <w:r w:rsidR="004D3D97" w:rsidRPr="009F3090">
        <w:rPr>
          <w:rFonts w:ascii="Times New Roman" w:hAnsi="Times New Roman" w:cs="Times New Roman"/>
          <w:sz w:val="24"/>
          <w:szCs w:val="24"/>
        </w:rPr>
        <w:t>construction of national laws</w:t>
      </w:r>
      <w:r w:rsidR="0027292D" w:rsidRPr="009F3090">
        <w:rPr>
          <w:rFonts w:ascii="Times New Roman" w:hAnsi="Times New Roman" w:cs="Times New Roman"/>
          <w:sz w:val="24"/>
          <w:szCs w:val="24"/>
        </w:rPr>
        <w:t xml:space="preserve">. The </w:t>
      </w:r>
      <w:r w:rsidR="00C815E1" w:rsidRPr="009F3090">
        <w:rPr>
          <w:rFonts w:ascii="Times New Roman" w:hAnsi="Times New Roman" w:cs="Times New Roman"/>
          <w:sz w:val="24"/>
          <w:szCs w:val="24"/>
        </w:rPr>
        <w:t>court</w:t>
      </w:r>
      <w:r w:rsidR="0027292D" w:rsidRPr="009F3090">
        <w:rPr>
          <w:rFonts w:ascii="Times New Roman" w:hAnsi="Times New Roman" w:cs="Times New Roman"/>
          <w:sz w:val="24"/>
          <w:szCs w:val="24"/>
        </w:rPr>
        <w:t xml:space="preserve"> </w:t>
      </w:r>
      <w:r w:rsidR="00C815E1" w:rsidRPr="009F3090">
        <w:rPr>
          <w:rFonts w:ascii="Times New Roman" w:hAnsi="Times New Roman" w:cs="Times New Roman"/>
          <w:sz w:val="24"/>
          <w:szCs w:val="24"/>
        </w:rPr>
        <w:t>developed</w:t>
      </w:r>
      <w:r w:rsidR="0027292D" w:rsidRPr="009F3090">
        <w:rPr>
          <w:rFonts w:ascii="Times New Roman" w:hAnsi="Times New Roman" w:cs="Times New Roman"/>
          <w:sz w:val="24"/>
          <w:szCs w:val="24"/>
        </w:rPr>
        <w:t xml:space="preserve"> th</w:t>
      </w:r>
      <w:r w:rsidR="00C815E1" w:rsidRPr="009F3090">
        <w:rPr>
          <w:rFonts w:ascii="Times New Roman" w:hAnsi="Times New Roman" w:cs="Times New Roman"/>
          <w:sz w:val="24"/>
          <w:szCs w:val="24"/>
        </w:rPr>
        <w:t>is</w:t>
      </w:r>
      <w:r w:rsidR="0027292D" w:rsidRPr="009F3090">
        <w:rPr>
          <w:rFonts w:ascii="Times New Roman" w:hAnsi="Times New Roman" w:cs="Times New Roman"/>
          <w:sz w:val="24"/>
          <w:szCs w:val="24"/>
        </w:rPr>
        <w:t xml:space="preserve"> concept in the case of </w:t>
      </w:r>
      <w:r w:rsidR="0027292D" w:rsidRPr="009F3090">
        <w:rPr>
          <w:rFonts w:ascii="Times New Roman" w:hAnsi="Times New Roman" w:cs="Times New Roman"/>
          <w:i/>
          <w:iCs/>
          <w:sz w:val="24"/>
          <w:szCs w:val="24"/>
        </w:rPr>
        <w:t>Von Colson</w:t>
      </w:r>
      <w:r w:rsidR="00962234" w:rsidRPr="009F3090">
        <w:rPr>
          <w:rStyle w:val="FootnoteReference"/>
          <w:rFonts w:ascii="Times New Roman" w:hAnsi="Times New Roman" w:cs="Times New Roman"/>
          <w:i/>
          <w:iCs/>
          <w:sz w:val="24"/>
          <w:szCs w:val="24"/>
        </w:rPr>
        <w:footnoteReference w:id="11"/>
      </w:r>
      <w:r w:rsidR="0027292D" w:rsidRPr="009F3090">
        <w:rPr>
          <w:rFonts w:ascii="Times New Roman" w:hAnsi="Times New Roman" w:cs="Times New Roman"/>
          <w:sz w:val="24"/>
          <w:szCs w:val="24"/>
        </w:rPr>
        <w:t>, and it was expanded in Mar leasing. It's also a way to mitigate, at least in part, the negative consequences of Directives' non-recognition of horizontal direct impacts. See Practice Note: Direct Effect of EU Law for further information. A preliminary judgement was sought in the Von Colson case.</w:t>
      </w:r>
    </w:p>
    <w:p w14:paraId="55264749" w14:textId="3A58101A" w:rsidR="00F9785A" w:rsidRPr="009F3090" w:rsidRDefault="00F9785A"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 xml:space="preserve">In the </w:t>
      </w:r>
      <w:r w:rsidR="007D0D0D" w:rsidRPr="009F3090">
        <w:rPr>
          <w:rFonts w:ascii="Times New Roman" w:hAnsi="Times New Roman" w:cs="Times New Roman"/>
          <w:sz w:val="24"/>
          <w:szCs w:val="24"/>
        </w:rPr>
        <w:t xml:space="preserve">case of </w:t>
      </w:r>
      <w:r w:rsidRPr="009F3090">
        <w:rPr>
          <w:rFonts w:ascii="Times New Roman" w:hAnsi="Times New Roman" w:cs="Times New Roman"/>
          <w:i/>
          <w:iCs/>
          <w:sz w:val="24"/>
          <w:szCs w:val="24"/>
        </w:rPr>
        <w:t>Von Colson</w:t>
      </w:r>
      <w:r w:rsidR="00962234" w:rsidRPr="009F3090">
        <w:rPr>
          <w:rStyle w:val="FootnoteReference"/>
          <w:rFonts w:ascii="Times New Roman" w:hAnsi="Times New Roman" w:cs="Times New Roman"/>
          <w:i/>
          <w:iCs/>
          <w:sz w:val="24"/>
          <w:szCs w:val="24"/>
        </w:rPr>
        <w:footnoteReference w:id="12"/>
      </w:r>
      <w:r w:rsidRPr="009F3090">
        <w:rPr>
          <w:rFonts w:ascii="Times New Roman" w:hAnsi="Times New Roman" w:cs="Times New Roman"/>
          <w:sz w:val="24"/>
          <w:szCs w:val="24"/>
        </w:rPr>
        <w:t>, there was a request for a preliminary judgement on the construction of Directive 76/207/EEC on the concept of equal treatment for women and men in the workplace, vocational education and advancement, and labour conditions. The national case involved allegations of sex-based discrimination against competent social workers seeking employment in a German jail. The employer was accountable for damages/loss suffered in the violation of civil rights in the economic opportunities under German law (implementing the Directive) (apparently limited to expenses).</w:t>
      </w:r>
      <w:r w:rsidR="001C7B27" w:rsidRPr="009F3090">
        <w:rPr>
          <w:rFonts w:ascii="Times New Roman" w:hAnsi="Times New Roman" w:cs="Times New Roman"/>
          <w:sz w:val="24"/>
          <w:szCs w:val="24"/>
        </w:rPr>
        <w:t xml:space="preserve"> The court held that the indirect effect was applicable to this case as the right of the employee had been violated.</w:t>
      </w:r>
    </w:p>
    <w:p w14:paraId="4AE9EB2C" w14:textId="0A07401E" w:rsidR="00BE3C82" w:rsidRPr="009F3090" w:rsidRDefault="00BE3C82" w:rsidP="009F3090">
      <w:pPr>
        <w:spacing w:after="0" w:line="480" w:lineRule="auto"/>
        <w:rPr>
          <w:rFonts w:ascii="Times New Roman" w:hAnsi="Times New Roman" w:cs="Times New Roman"/>
          <w:b/>
          <w:bCs/>
          <w:sz w:val="24"/>
          <w:szCs w:val="24"/>
        </w:rPr>
      </w:pPr>
      <w:r w:rsidRPr="009F3090">
        <w:rPr>
          <w:rFonts w:ascii="Times New Roman" w:hAnsi="Times New Roman" w:cs="Times New Roman"/>
          <w:b/>
          <w:bCs/>
          <w:sz w:val="24"/>
          <w:szCs w:val="24"/>
        </w:rPr>
        <w:t>Member States Liabi</w:t>
      </w:r>
      <w:r w:rsidR="00305CC6" w:rsidRPr="009F3090">
        <w:rPr>
          <w:rFonts w:ascii="Times New Roman" w:hAnsi="Times New Roman" w:cs="Times New Roman"/>
          <w:b/>
          <w:bCs/>
          <w:sz w:val="24"/>
          <w:szCs w:val="24"/>
        </w:rPr>
        <w:t>lity</w:t>
      </w:r>
    </w:p>
    <w:p w14:paraId="5963CEE5" w14:textId="0C3B1B48" w:rsidR="002F0415" w:rsidRPr="009F3090" w:rsidRDefault="002F0415"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In the Francovich case, the Court examined the issue of state accountability for Community law</w:t>
      </w:r>
      <w:r w:rsidR="00CB4EC5" w:rsidRPr="009F3090">
        <w:rPr>
          <w:rFonts w:ascii="Times New Roman" w:hAnsi="Times New Roman" w:cs="Times New Roman"/>
          <w:sz w:val="24"/>
          <w:szCs w:val="24"/>
        </w:rPr>
        <w:t xml:space="preserve"> violations</w:t>
      </w:r>
      <w:r w:rsidRPr="009F3090">
        <w:rPr>
          <w:rFonts w:ascii="Times New Roman" w:hAnsi="Times New Roman" w:cs="Times New Roman"/>
          <w:sz w:val="24"/>
          <w:szCs w:val="24"/>
        </w:rPr>
        <w:t xml:space="preserve">, </w:t>
      </w:r>
      <w:r w:rsidR="00CB4EC5" w:rsidRPr="009F3090">
        <w:rPr>
          <w:rFonts w:ascii="Times New Roman" w:hAnsi="Times New Roman" w:cs="Times New Roman"/>
          <w:sz w:val="24"/>
          <w:szCs w:val="24"/>
        </w:rPr>
        <w:t>which are not based on the national laws but rather the EC laws</w:t>
      </w:r>
      <w:r w:rsidRPr="009F3090">
        <w:rPr>
          <w:rFonts w:ascii="Times New Roman" w:hAnsi="Times New Roman" w:cs="Times New Roman"/>
          <w:sz w:val="24"/>
          <w:szCs w:val="24"/>
        </w:rPr>
        <w:t xml:space="preserve">. It found that the Eu Countries </w:t>
      </w:r>
      <w:r w:rsidR="00AF23E1" w:rsidRPr="009F3090">
        <w:rPr>
          <w:rFonts w:ascii="Times New Roman" w:hAnsi="Times New Roman" w:cs="Times New Roman"/>
          <w:sz w:val="24"/>
          <w:szCs w:val="24"/>
        </w:rPr>
        <w:t>should remedy the harm and loss</w:t>
      </w:r>
      <w:r w:rsidRPr="009F3090">
        <w:rPr>
          <w:rFonts w:ascii="Times New Roman" w:hAnsi="Times New Roman" w:cs="Times New Roman"/>
          <w:sz w:val="24"/>
          <w:szCs w:val="24"/>
        </w:rPr>
        <w:t xml:space="preserve"> </w:t>
      </w:r>
      <w:r w:rsidR="00121DFD" w:rsidRPr="009F3090">
        <w:rPr>
          <w:rFonts w:ascii="Times New Roman" w:hAnsi="Times New Roman" w:cs="Times New Roman"/>
          <w:sz w:val="24"/>
          <w:szCs w:val="24"/>
        </w:rPr>
        <w:t>incurred by</w:t>
      </w:r>
      <w:r w:rsidRPr="009F3090">
        <w:rPr>
          <w:rFonts w:ascii="Times New Roman" w:hAnsi="Times New Roman" w:cs="Times New Roman"/>
          <w:sz w:val="24"/>
          <w:szCs w:val="24"/>
        </w:rPr>
        <w:t xml:space="preserve"> persons </w:t>
      </w:r>
      <w:r w:rsidR="00121DFD" w:rsidRPr="009F3090">
        <w:rPr>
          <w:rFonts w:ascii="Times New Roman" w:hAnsi="Times New Roman" w:cs="Times New Roman"/>
          <w:sz w:val="24"/>
          <w:szCs w:val="24"/>
        </w:rPr>
        <w:t>due to the</w:t>
      </w:r>
      <w:r w:rsidRPr="009F3090">
        <w:rPr>
          <w:rFonts w:ascii="Times New Roman" w:hAnsi="Times New Roman" w:cs="Times New Roman"/>
          <w:sz w:val="24"/>
          <w:szCs w:val="24"/>
        </w:rPr>
        <w:t xml:space="preserve"> violations of Community law for which they may be held liable is a principle of Community law inherent in the framework of the European Union Treaty</w:t>
      </w:r>
      <w:r w:rsidR="00C20A7A" w:rsidRPr="009F3090">
        <w:rPr>
          <w:rFonts w:ascii="Times New Roman" w:hAnsi="Times New Roman" w:cs="Times New Roman"/>
          <w:sz w:val="24"/>
          <w:szCs w:val="24"/>
        </w:rPr>
        <w:t>. Further,</w:t>
      </w:r>
      <w:r w:rsidRPr="009F3090">
        <w:rPr>
          <w:rFonts w:ascii="Times New Roman" w:hAnsi="Times New Roman" w:cs="Times New Roman"/>
          <w:sz w:val="24"/>
          <w:szCs w:val="24"/>
        </w:rPr>
        <w:t xml:space="preserve"> the circumstances </w:t>
      </w:r>
      <w:r w:rsidR="00C20A7A" w:rsidRPr="009F3090">
        <w:rPr>
          <w:rFonts w:ascii="Times New Roman" w:hAnsi="Times New Roman" w:cs="Times New Roman"/>
          <w:sz w:val="24"/>
          <w:szCs w:val="24"/>
        </w:rPr>
        <w:t>where</w:t>
      </w:r>
      <w:r w:rsidRPr="009F3090">
        <w:rPr>
          <w:rFonts w:ascii="Times New Roman" w:hAnsi="Times New Roman" w:cs="Times New Roman"/>
          <w:sz w:val="24"/>
          <w:szCs w:val="24"/>
        </w:rPr>
        <w:t xml:space="preserve"> such obligation gives rise to a </w:t>
      </w:r>
      <w:r w:rsidR="00C20A7A" w:rsidRPr="009F3090">
        <w:rPr>
          <w:rFonts w:ascii="Times New Roman" w:hAnsi="Times New Roman" w:cs="Times New Roman"/>
          <w:sz w:val="24"/>
          <w:szCs w:val="24"/>
        </w:rPr>
        <w:t>restitution claim</w:t>
      </w:r>
      <w:r w:rsidRPr="009F3090">
        <w:rPr>
          <w:rFonts w:ascii="Times New Roman" w:hAnsi="Times New Roman" w:cs="Times New Roman"/>
          <w:sz w:val="24"/>
          <w:szCs w:val="24"/>
        </w:rPr>
        <w:t xml:space="preserve"> are dependent on the nature of the infringement of Community law that caused the damage and loss.</w:t>
      </w:r>
    </w:p>
    <w:p w14:paraId="0798E06C" w14:textId="14C077A9" w:rsidR="001C7B27" w:rsidRPr="009F3090" w:rsidRDefault="00121DFD"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In terms of the violation in question, the court also developed the prerequisites that must be met.</w:t>
      </w:r>
      <w:r w:rsidR="007619F7" w:rsidRPr="009F3090">
        <w:rPr>
          <w:rFonts w:ascii="Times New Roman" w:hAnsi="Times New Roman" w:cs="Times New Roman"/>
          <w:sz w:val="24"/>
          <w:szCs w:val="24"/>
        </w:rPr>
        <w:t xml:space="preserve"> This often manifests when the member states fail to transpose the directives within the appropriate time as others omit this step.</w:t>
      </w:r>
      <w:r w:rsidR="00FB2354" w:rsidRPr="009F3090">
        <w:rPr>
          <w:rFonts w:ascii="Times New Roman" w:hAnsi="Times New Roman" w:cs="Times New Roman"/>
          <w:sz w:val="24"/>
          <w:szCs w:val="24"/>
        </w:rPr>
        <w:t xml:space="preserve"> Accordingly, there are some conditions that must be met and fulfilled.</w:t>
      </w:r>
      <w:r w:rsidR="00056C03" w:rsidRPr="009F3090">
        <w:rPr>
          <w:rFonts w:ascii="Times New Roman" w:hAnsi="Times New Roman" w:cs="Times New Roman"/>
          <w:sz w:val="24"/>
          <w:szCs w:val="24"/>
        </w:rPr>
        <w:t xml:space="preserve"> The first requirement is that the outcomes of the directive must establish some rights and fundamental freedoms that each citizen is entitled.</w:t>
      </w:r>
      <w:r w:rsidR="007A5E25" w:rsidRPr="009F3090">
        <w:rPr>
          <w:rFonts w:ascii="Times New Roman" w:hAnsi="Times New Roman" w:cs="Times New Roman"/>
          <w:sz w:val="24"/>
          <w:szCs w:val="24"/>
        </w:rPr>
        <w:t xml:space="preserve"> Furthermore, the </w:t>
      </w:r>
      <w:r w:rsidR="00BE6978" w:rsidRPr="009F3090">
        <w:rPr>
          <w:rFonts w:ascii="Times New Roman" w:hAnsi="Times New Roman" w:cs="Times New Roman"/>
          <w:sz w:val="24"/>
          <w:szCs w:val="24"/>
        </w:rPr>
        <w:t>directives must elicit the components of the directive’s outcome. There must also be a substantial relationship between the member state and the loss and damage caused and suffered by the aggrieved individuals.</w:t>
      </w:r>
      <w:r w:rsidR="00646181" w:rsidRPr="009F3090">
        <w:rPr>
          <w:rFonts w:ascii="Times New Roman" w:hAnsi="Times New Roman" w:cs="Times New Roman"/>
          <w:sz w:val="24"/>
          <w:szCs w:val="24"/>
        </w:rPr>
        <w:t xml:space="preserve"> Once these conditions are established, the doctrine of the member states liability come into question.</w:t>
      </w:r>
    </w:p>
    <w:p w14:paraId="4D9E8267" w14:textId="579B1DB5" w:rsidR="005E2718" w:rsidRPr="009F3090" w:rsidRDefault="005E2718"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 xml:space="preserve">The </w:t>
      </w:r>
      <w:r w:rsidR="007B60A3" w:rsidRPr="009F3090">
        <w:rPr>
          <w:rFonts w:ascii="Times New Roman" w:hAnsi="Times New Roman" w:cs="Times New Roman"/>
          <w:sz w:val="24"/>
          <w:szCs w:val="24"/>
        </w:rPr>
        <w:t>legal processes used to establish</w:t>
      </w:r>
      <w:r w:rsidRPr="009F3090">
        <w:rPr>
          <w:rFonts w:ascii="Times New Roman" w:hAnsi="Times New Roman" w:cs="Times New Roman"/>
          <w:sz w:val="24"/>
          <w:szCs w:val="24"/>
        </w:rPr>
        <w:t xml:space="preserve"> local liability law regulate th</w:t>
      </w:r>
      <w:r w:rsidR="007B60A3" w:rsidRPr="009F3090">
        <w:rPr>
          <w:rFonts w:ascii="Times New Roman" w:hAnsi="Times New Roman" w:cs="Times New Roman"/>
          <w:sz w:val="24"/>
          <w:szCs w:val="24"/>
        </w:rPr>
        <w:t xml:space="preserve">e other </w:t>
      </w:r>
      <w:r w:rsidRPr="009F3090">
        <w:rPr>
          <w:rFonts w:ascii="Times New Roman" w:hAnsi="Times New Roman" w:cs="Times New Roman"/>
          <w:sz w:val="24"/>
          <w:szCs w:val="24"/>
        </w:rPr>
        <w:t xml:space="preserve">compensation claims. It is for each Participant </w:t>
      </w:r>
      <w:r w:rsidR="006662C7" w:rsidRPr="009F3090">
        <w:rPr>
          <w:rFonts w:ascii="Times New Roman" w:hAnsi="Times New Roman" w:cs="Times New Roman"/>
          <w:sz w:val="24"/>
          <w:szCs w:val="24"/>
        </w:rPr>
        <w:t>nation’s</w:t>
      </w:r>
      <w:r w:rsidRPr="009F3090">
        <w:rPr>
          <w:rFonts w:ascii="Times New Roman" w:hAnsi="Times New Roman" w:cs="Times New Roman"/>
          <w:sz w:val="24"/>
          <w:szCs w:val="24"/>
        </w:rPr>
        <w:t xml:space="preserve"> domestic legal system to </w:t>
      </w:r>
      <w:r w:rsidR="006662C7" w:rsidRPr="009F3090">
        <w:rPr>
          <w:rFonts w:ascii="Times New Roman" w:hAnsi="Times New Roman" w:cs="Times New Roman"/>
          <w:sz w:val="24"/>
          <w:szCs w:val="24"/>
        </w:rPr>
        <w:t>establish</w:t>
      </w:r>
      <w:r w:rsidRPr="009F3090">
        <w:rPr>
          <w:rFonts w:ascii="Times New Roman" w:hAnsi="Times New Roman" w:cs="Times New Roman"/>
          <w:sz w:val="24"/>
          <w:szCs w:val="24"/>
        </w:rPr>
        <w:t xml:space="preserve"> the competent bodies and lay down the particular procedural</w:t>
      </w:r>
      <w:r w:rsidR="006662C7" w:rsidRPr="009F3090">
        <w:rPr>
          <w:rFonts w:ascii="Times New Roman" w:hAnsi="Times New Roman" w:cs="Times New Roman"/>
          <w:sz w:val="24"/>
          <w:szCs w:val="24"/>
        </w:rPr>
        <w:t xml:space="preserve"> steps</w:t>
      </w:r>
      <w:r w:rsidRPr="009F3090">
        <w:rPr>
          <w:rFonts w:ascii="Times New Roman" w:hAnsi="Times New Roman" w:cs="Times New Roman"/>
          <w:sz w:val="24"/>
          <w:szCs w:val="24"/>
        </w:rPr>
        <w:t xml:space="preserve">, for example. </w:t>
      </w:r>
      <w:r w:rsidR="006662C7" w:rsidRPr="009F3090">
        <w:rPr>
          <w:rFonts w:ascii="Times New Roman" w:hAnsi="Times New Roman" w:cs="Times New Roman"/>
          <w:sz w:val="24"/>
          <w:szCs w:val="24"/>
        </w:rPr>
        <w:t>Additionally</w:t>
      </w:r>
      <w:r w:rsidRPr="009F3090">
        <w:rPr>
          <w:rFonts w:ascii="Times New Roman" w:hAnsi="Times New Roman" w:cs="Times New Roman"/>
          <w:sz w:val="24"/>
          <w:szCs w:val="24"/>
        </w:rPr>
        <w:t xml:space="preserve">, the ECJ </w:t>
      </w:r>
      <w:r w:rsidR="006662C7" w:rsidRPr="009F3090">
        <w:rPr>
          <w:rFonts w:ascii="Times New Roman" w:hAnsi="Times New Roman" w:cs="Times New Roman"/>
          <w:sz w:val="24"/>
          <w:szCs w:val="24"/>
        </w:rPr>
        <w:t>asserts that</w:t>
      </w:r>
      <w:r w:rsidRPr="009F3090">
        <w:rPr>
          <w:rFonts w:ascii="Times New Roman" w:hAnsi="Times New Roman" w:cs="Times New Roman"/>
          <w:sz w:val="24"/>
          <w:szCs w:val="24"/>
        </w:rPr>
        <w:t xml:space="preserve"> "the procedural and substantive requirements for the atonement of damage and loss laid down by state legislation of the Member States should not be less beneficial than those pertaining to similar domestic assertions and must not be framed in such a way as to make it nearly impossible or exceedingly complicated to obtain compensatory damages." </w:t>
      </w:r>
      <w:r w:rsidR="00F83EF0" w:rsidRPr="009F3090">
        <w:rPr>
          <w:rFonts w:ascii="Times New Roman" w:hAnsi="Times New Roman" w:cs="Times New Roman"/>
          <w:sz w:val="24"/>
          <w:szCs w:val="24"/>
        </w:rPr>
        <w:t xml:space="preserve">In </w:t>
      </w:r>
      <w:r w:rsidRPr="009F3090">
        <w:rPr>
          <w:rFonts w:ascii="Times New Roman" w:hAnsi="Times New Roman" w:cs="Times New Roman"/>
          <w:sz w:val="24"/>
          <w:szCs w:val="24"/>
        </w:rPr>
        <w:t xml:space="preserve">the </w:t>
      </w:r>
      <w:r w:rsidRPr="009F3090">
        <w:rPr>
          <w:rFonts w:ascii="Times New Roman" w:hAnsi="Times New Roman" w:cs="Times New Roman"/>
          <w:i/>
          <w:iCs/>
          <w:sz w:val="24"/>
          <w:szCs w:val="24"/>
        </w:rPr>
        <w:t>Brasserie/Factortame</w:t>
      </w:r>
      <w:r w:rsidR="00F83EF0" w:rsidRPr="009F3090">
        <w:rPr>
          <w:rFonts w:ascii="Times New Roman" w:hAnsi="Times New Roman" w:cs="Times New Roman"/>
          <w:sz w:val="24"/>
          <w:szCs w:val="24"/>
        </w:rPr>
        <w:t xml:space="preserve"> case, the court expanded the precedent it had set previously</w:t>
      </w:r>
      <w:r w:rsidRPr="009F3090">
        <w:rPr>
          <w:rFonts w:ascii="Times New Roman" w:hAnsi="Times New Roman" w:cs="Times New Roman"/>
          <w:sz w:val="24"/>
          <w:szCs w:val="24"/>
        </w:rPr>
        <w:t>. The ECJ connected the EU's obligation under Article 215 of the EC Treaty to the issue of state liability.</w:t>
      </w:r>
    </w:p>
    <w:p w14:paraId="050DCE61" w14:textId="27C7CF38" w:rsidR="00733749" w:rsidRPr="009F3090" w:rsidRDefault="005E56C5" w:rsidP="009F3090">
      <w:pPr>
        <w:spacing w:after="0" w:line="480" w:lineRule="auto"/>
        <w:ind w:firstLine="720"/>
        <w:rPr>
          <w:rFonts w:ascii="Times New Roman" w:hAnsi="Times New Roman" w:cs="Times New Roman"/>
          <w:sz w:val="24"/>
          <w:szCs w:val="24"/>
        </w:rPr>
      </w:pPr>
      <w:r w:rsidRPr="009F3090">
        <w:rPr>
          <w:rFonts w:ascii="Times New Roman" w:hAnsi="Times New Roman" w:cs="Times New Roman"/>
          <w:sz w:val="24"/>
          <w:szCs w:val="24"/>
        </w:rPr>
        <w:t>As a result, the standard of a</w:t>
      </w:r>
      <w:r w:rsidR="00BB2DBE" w:rsidRPr="009F3090">
        <w:rPr>
          <w:rFonts w:ascii="Times New Roman" w:hAnsi="Times New Roman" w:cs="Times New Roman"/>
          <w:sz w:val="24"/>
          <w:szCs w:val="24"/>
        </w:rPr>
        <w:t xml:space="preserve">n </w:t>
      </w:r>
      <w:r w:rsidR="003E291B" w:rsidRPr="009F3090">
        <w:rPr>
          <w:rFonts w:ascii="Times New Roman" w:hAnsi="Times New Roman" w:cs="Times New Roman"/>
          <w:sz w:val="24"/>
          <w:szCs w:val="24"/>
        </w:rPr>
        <w:t>a</w:t>
      </w:r>
      <w:r w:rsidR="009D77CC" w:rsidRPr="009F3090">
        <w:rPr>
          <w:rFonts w:ascii="Times New Roman" w:hAnsi="Times New Roman" w:cs="Times New Roman"/>
          <w:sz w:val="24"/>
          <w:szCs w:val="24"/>
        </w:rPr>
        <w:t>dequately</w:t>
      </w:r>
      <w:r w:rsidRPr="009F3090">
        <w:rPr>
          <w:rFonts w:ascii="Times New Roman" w:hAnsi="Times New Roman" w:cs="Times New Roman"/>
          <w:sz w:val="24"/>
          <w:szCs w:val="24"/>
        </w:rPr>
        <w:t xml:space="preserve"> </w:t>
      </w:r>
      <w:r w:rsidR="009D77CC" w:rsidRPr="009F3090">
        <w:rPr>
          <w:rFonts w:ascii="Times New Roman" w:hAnsi="Times New Roman" w:cs="Times New Roman"/>
          <w:sz w:val="24"/>
          <w:szCs w:val="24"/>
        </w:rPr>
        <w:t>important</w:t>
      </w:r>
      <w:r w:rsidRPr="009F3090">
        <w:rPr>
          <w:rFonts w:ascii="Times New Roman" w:hAnsi="Times New Roman" w:cs="Times New Roman"/>
          <w:sz w:val="24"/>
          <w:szCs w:val="24"/>
        </w:rPr>
        <w:t xml:space="preserve"> </w:t>
      </w:r>
      <w:r w:rsidR="009D77CC" w:rsidRPr="009F3090">
        <w:rPr>
          <w:rFonts w:ascii="Times New Roman" w:hAnsi="Times New Roman" w:cs="Times New Roman"/>
          <w:sz w:val="24"/>
          <w:szCs w:val="24"/>
        </w:rPr>
        <w:t>abuse</w:t>
      </w:r>
      <w:r w:rsidRPr="009F3090">
        <w:rPr>
          <w:rFonts w:ascii="Times New Roman" w:hAnsi="Times New Roman" w:cs="Times New Roman"/>
          <w:sz w:val="24"/>
          <w:szCs w:val="24"/>
        </w:rPr>
        <w:t xml:space="preserve"> always applies. </w:t>
      </w:r>
      <w:r w:rsidR="00F83EF0" w:rsidRPr="009F3090">
        <w:rPr>
          <w:rFonts w:ascii="Times New Roman" w:hAnsi="Times New Roman" w:cs="Times New Roman"/>
          <w:sz w:val="24"/>
          <w:szCs w:val="24"/>
        </w:rPr>
        <w:t>The criteria in both cases have been com</w:t>
      </w:r>
      <w:r w:rsidR="00400DD2" w:rsidRPr="009F3090">
        <w:rPr>
          <w:rFonts w:ascii="Times New Roman" w:hAnsi="Times New Roman" w:cs="Times New Roman"/>
          <w:sz w:val="24"/>
          <w:szCs w:val="24"/>
        </w:rPr>
        <w:t>bined</w:t>
      </w:r>
      <w:r w:rsidRPr="009F3090">
        <w:rPr>
          <w:rFonts w:ascii="Times New Roman" w:hAnsi="Times New Roman" w:cs="Times New Roman"/>
          <w:sz w:val="24"/>
          <w:szCs w:val="24"/>
        </w:rPr>
        <w:t xml:space="preserve">. However, </w:t>
      </w:r>
      <w:r w:rsidR="00752597" w:rsidRPr="009F3090">
        <w:rPr>
          <w:rFonts w:ascii="Times New Roman" w:hAnsi="Times New Roman" w:cs="Times New Roman"/>
          <w:sz w:val="24"/>
          <w:szCs w:val="24"/>
        </w:rPr>
        <w:t>since</w:t>
      </w:r>
      <w:r w:rsidRPr="009F3090">
        <w:rPr>
          <w:rFonts w:ascii="Times New Roman" w:hAnsi="Times New Roman" w:cs="Times New Roman"/>
          <w:sz w:val="24"/>
          <w:szCs w:val="24"/>
        </w:rPr>
        <w:t xml:space="preserve"> there is no need of "fault or carelessness on the </w:t>
      </w:r>
      <w:r w:rsidR="003E291B" w:rsidRPr="009F3090">
        <w:rPr>
          <w:rFonts w:ascii="Times New Roman" w:hAnsi="Times New Roman" w:cs="Times New Roman"/>
          <w:sz w:val="24"/>
          <w:szCs w:val="24"/>
        </w:rPr>
        <w:t>state organ’s side</w:t>
      </w:r>
      <w:r w:rsidRPr="009F3090">
        <w:rPr>
          <w:rFonts w:ascii="Times New Roman" w:hAnsi="Times New Roman" w:cs="Times New Roman"/>
          <w:sz w:val="24"/>
          <w:szCs w:val="24"/>
        </w:rPr>
        <w:t xml:space="preserve"> to which the </w:t>
      </w:r>
      <w:r w:rsidR="003E291B" w:rsidRPr="009F3090">
        <w:rPr>
          <w:rFonts w:ascii="Times New Roman" w:hAnsi="Times New Roman" w:cs="Times New Roman"/>
          <w:sz w:val="24"/>
          <w:szCs w:val="24"/>
        </w:rPr>
        <w:t>abuse</w:t>
      </w:r>
      <w:r w:rsidRPr="009F3090">
        <w:rPr>
          <w:rFonts w:ascii="Times New Roman" w:hAnsi="Times New Roman" w:cs="Times New Roman"/>
          <w:sz w:val="24"/>
          <w:szCs w:val="24"/>
        </w:rPr>
        <w:t xml:space="preserve"> is </w:t>
      </w:r>
      <w:r w:rsidR="003E291B" w:rsidRPr="009F3090">
        <w:rPr>
          <w:rFonts w:ascii="Times New Roman" w:hAnsi="Times New Roman" w:cs="Times New Roman"/>
          <w:sz w:val="24"/>
          <w:szCs w:val="24"/>
        </w:rPr>
        <w:t>accredited</w:t>
      </w:r>
      <w:r w:rsidRPr="009F3090">
        <w:rPr>
          <w:rFonts w:ascii="Times New Roman" w:hAnsi="Times New Roman" w:cs="Times New Roman"/>
          <w:sz w:val="24"/>
          <w:szCs w:val="24"/>
        </w:rPr>
        <w:t xml:space="preserve">," a sufficiently significant breach can readily be shown in </w:t>
      </w:r>
      <w:r w:rsidR="003E291B" w:rsidRPr="009F3090">
        <w:rPr>
          <w:rFonts w:ascii="Times New Roman" w:hAnsi="Times New Roman" w:cs="Times New Roman"/>
          <w:sz w:val="24"/>
          <w:szCs w:val="24"/>
        </w:rPr>
        <w:t>pure omission circumstances</w:t>
      </w:r>
      <w:r w:rsidRPr="009F3090">
        <w:rPr>
          <w:rFonts w:ascii="Times New Roman" w:hAnsi="Times New Roman" w:cs="Times New Roman"/>
          <w:sz w:val="24"/>
          <w:szCs w:val="24"/>
        </w:rPr>
        <w:t xml:space="preserve">. </w:t>
      </w:r>
      <w:r w:rsidR="00D976E4" w:rsidRPr="009F3090">
        <w:rPr>
          <w:rFonts w:ascii="Times New Roman" w:hAnsi="Times New Roman" w:cs="Times New Roman"/>
          <w:sz w:val="24"/>
          <w:szCs w:val="24"/>
        </w:rPr>
        <w:t>In o</w:t>
      </w:r>
      <w:r w:rsidR="00382610" w:rsidRPr="009F3090">
        <w:rPr>
          <w:rFonts w:ascii="Times New Roman" w:hAnsi="Times New Roman" w:cs="Times New Roman"/>
          <w:sz w:val="24"/>
          <w:szCs w:val="24"/>
        </w:rPr>
        <w:t>ther</w:t>
      </w:r>
      <w:r w:rsidR="00D976E4" w:rsidRPr="009F3090">
        <w:rPr>
          <w:rFonts w:ascii="Times New Roman" w:hAnsi="Times New Roman" w:cs="Times New Roman"/>
          <w:sz w:val="24"/>
          <w:szCs w:val="24"/>
        </w:rPr>
        <w:t xml:space="preserve"> precedents </w:t>
      </w:r>
      <w:r w:rsidRPr="009F3090">
        <w:rPr>
          <w:rFonts w:ascii="Times New Roman" w:hAnsi="Times New Roman" w:cs="Times New Roman"/>
          <w:sz w:val="24"/>
          <w:szCs w:val="24"/>
        </w:rPr>
        <w:t>, however,</w:t>
      </w:r>
      <w:r w:rsidR="00D976E4" w:rsidRPr="009F3090">
        <w:rPr>
          <w:rFonts w:ascii="Times New Roman" w:hAnsi="Times New Roman" w:cs="Times New Roman"/>
          <w:sz w:val="24"/>
          <w:szCs w:val="24"/>
        </w:rPr>
        <w:t xml:space="preserve"> </w:t>
      </w:r>
      <w:r w:rsidRPr="009F3090">
        <w:rPr>
          <w:rFonts w:ascii="Times New Roman" w:hAnsi="Times New Roman" w:cs="Times New Roman"/>
          <w:sz w:val="24"/>
          <w:szCs w:val="24"/>
        </w:rPr>
        <w:t xml:space="preserve"> carelessness is implied in the needed </w:t>
      </w:r>
      <w:r w:rsidR="00403891" w:rsidRPr="009F3090">
        <w:rPr>
          <w:rFonts w:ascii="Times New Roman" w:hAnsi="Times New Roman" w:cs="Times New Roman"/>
          <w:sz w:val="24"/>
          <w:szCs w:val="24"/>
        </w:rPr>
        <w:t>grave and clear</w:t>
      </w:r>
      <w:r w:rsidRPr="009F3090">
        <w:rPr>
          <w:rFonts w:ascii="Times New Roman" w:hAnsi="Times New Roman" w:cs="Times New Roman"/>
          <w:sz w:val="24"/>
          <w:szCs w:val="24"/>
        </w:rPr>
        <w:t xml:space="preserve"> disregard of the restrictions on a State's (legislative) competences in order to form a prima facie infringement of Community law.</w:t>
      </w:r>
    </w:p>
    <w:p w14:paraId="37654E58" w14:textId="77777777" w:rsidR="00733749" w:rsidRPr="009F3090" w:rsidRDefault="00733749" w:rsidP="009F3090">
      <w:pPr>
        <w:spacing w:after="0" w:line="480" w:lineRule="auto"/>
        <w:rPr>
          <w:rFonts w:ascii="Times New Roman" w:hAnsi="Times New Roman" w:cs="Times New Roman"/>
          <w:sz w:val="24"/>
          <w:szCs w:val="24"/>
        </w:rPr>
      </w:pPr>
      <w:r w:rsidRPr="009F3090">
        <w:rPr>
          <w:rFonts w:ascii="Times New Roman" w:hAnsi="Times New Roman" w:cs="Times New Roman"/>
          <w:sz w:val="24"/>
          <w:szCs w:val="24"/>
        </w:rPr>
        <w:br w:type="page"/>
      </w:r>
    </w:p>
    <w:p w14:paraId="291B3C96" w14:textId="7FC1C54D" w:rsidR="009F3090" w:rsidRPr="00693E1A" w:rsidRDefault="009F3090" w:rsidP="009F3090">
      <w:pPr>
        <w:spacing w:after="0" w:line="480" w:lineRule="auto"/>
        <w:jc w:val="center"/>
        <w:rPr>
          <w:rFonts w:ascii="Times New Roman" w:hAnsi="Times New Roman" w:cs="Times New Roman"/>
          <w:b/>
          <w:bCs/>
          <w:sz w:val="24"/>
          <w:szCs w:val="24"/>
        </w:rPr>
      </w:pPr>
      <w:r w:rsidRPr="00693E1A">
        <w:rPr>
          <w:rFonts w:ascii="Times New Roman" w:hAnsi="Times New Roman" w:cs="Times New Roman"/>
          <w:b/>
          <w:bCs/>
          <w:sz w:val="24"/>
          <w:szCs w:val="24"/>
        </w:rPr>
        <w:t>Bibliography</w:t>
      </w:r>
    </w:p>
    <w:p w14:paraId="14F00BF4"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color w:val="222222"/>
          <w:sz w:val="24"/>
          <w:szCs w:val="24"/>
          <w:shd w:val="clear" w:color="auto" w:fill="FFFFFF"/>
        </w:rPr>
        <w:t xml:space="preserve">De </w:t>
      </w:r>
      <w:proofErr w:type="spellStart"/>
      <w:r w:rsidRPr="009F3090">
        <w:rPr>
          <w:rFonts w:ascii="Times New Roman" w:hAnsi="Times New Roman" w:cs="Times New Roman"/>
          <w:color w:val="222222"/>
          <w:sz w:val="24"/>
          <w:szCs w:val="24"/>
          <w:shd w:val="clear" w:color="auto" w:fill="FFFFFF"/>
        </w:rPr>
        <w:t>Mol</w:t>
      </w:r>
      <w:proofErr w:type="spellEnd"/>
      <w:r w:rsidRPr="009F3090">
        <w:rPr>
          <w:rFonts w:ascii="Times New Roman" w:hAnsi="Times New Roman" w:cs="Times New Roman"/>
          <w:color w:val="222222"/>
          <w:sz w:val="24"/>
          <w:szCs w:val="24"/>
          <w:shd w:val="clear" w:color="auto" w:fill="FFFFFF"/>
        </w:rPr>
        <w:t xml:space="preserve">, </w:t>
      </w:r>
      <w:proofErr w:type="spellStart"/>
      <w:r w:rsidRPr="009F3090">
        <w:rPr>
          <w:rFonts w:ascii="Times New Roman" w:hAnsi="Times New Roman" w:cs="Times New Roman"/>
          <w:color w:val="222222"/>
          <w:sz w:val="24"/>
          <w:szCs w:val="24"/>
          <w:shd w:val="clear" w:color="auto" w:fill="FFFFFF"/>
        </w:rPr>
        <w:t>Mirjam</w:t>
      </w:r>
      <w:proofErr w:type="spellEnd"/>
      <w:r w:rsidRPr="009F3090">
        <w:rPr>
          <w:rFonts w:ascii="Times New Roman" w:hAnsi="Times New Roman" w:cs="Times New Roman"/>
          <w:color w:val="222222"/>
          <w:sz w:val="24"/>
          <w:szCs w:val="24"/>
          <w:shd w:val="clear" w:color="auto" w:fill="FFFFFF"/>
        </w:rPr>
        <w:t>. "</w:t>
      </w:r>
      <w:proofErr w:type="spellStart"/>
      <w:r w:rsidRPr="009F3090">
        <w:rPr>
          <w:rFonts w:ascii="Times New Roman" w:hAnsi="Times New Roman" w:cs="Times New Roman"/>
          <w:color w:val="222222"/>
          <w:sz w:val="24"/>
          <w:szCs w:val="24"/>
          <w:shd w:val="clear" w:color="auto" w:fill="FFFFFF"/>
        </w:rPr>
        <w:t>Kücükdeveci</w:t>
      </w:r>
      <w:proofErr w:type="spellEnd"/>
      <w:r w:rsidRPr="009F3090">
        <w:rPr>
          <w:rFonts w:ascii="Times New Roman" w:hAnsi="Times New Roman" w:cs="Times New Roman"/>
          <w:color w:val="222222"/>
          <w:sz w:val="24"/>
          <w:szCs w:val="24"/>
          <w:shd w:val="clear" w:color="auto" w:fill="FFFFFF"/>
        </w:rPr>
        <w:t xml:space="preserve">: </w:t>
      </w:r>
      <w:proofErr w:type="spellStart"/>
      <w:r w:rsidRPr="009F3090">
        <w:rPr>
          <w:rFonts w:ascii="Times New Roman" w:hAnsi="Times New Roman" w:cs="Times New Roman"/>
          <w:color w:val="222222"/>
          <w:sz w:val="24"/>
          <w:szCs w:val="24"/>
          <w:shd w:val="clear" w:color="auto" w:fill="FFFFFF"/>
        </w:rPr>
        <w:t>Mangold</w:t>
      </w:r>
      <w:proofErr w:type="spellEnd"/>
      <w:r w:rsidRPr="009F3090">
        <w:rPr>
          <w:rFonts w:ascii="Times New Roman" w:hAnsi="Times New Roman" w:cs="Times New Roman"/>
          <w:color w:val="222222"/>
          <w:sz w:val="24"/>
          <w:szCs w:val="24"/>
          <w:shd w:val="clear" w:color="auto" w:fill="FFFFFF"/>
        </w:rPr>
        <w:t xml:space="preserve"> Revisited–Horizontal Direct Effect of a General Principle of EU Law: Court of Justice of the European Union (Grand Chamber) Judgment of 19 January 2010, Case C-555/07, </w:t>
      </w:r>
      <w:proofErr w:type="spellStart"/>
      <w:r w:rsidRPr="009F3090">
        <w:rPr>
          <w:rFonts w:ascii="Times New Roman" w:hAnsi="Times New Roman" w:cs="Times New Roman"/>
          <w:color w:val="222222"/>
          <w:sz w:val="24"/>
          <w:szCs w:val="24"/>
          <w:shd w:val="clear" w:color="auto" w:fill="FFFFFF"/>
        </w:rPr>
        <w:t>Seda</w:t>
      </w:r>
      <w:proofErr w:type="spellEnd"/>
      <w:r w:rsidRPr="009F3090">
        <w:rPr>
          <w:rFonts w:ascii="Times New Roman" w:hAnsi="Times New Roman" w:cs="Times New Roman"/>
          <w:color w:val="222222"/>
          <w:sz w:val="24"/>
          <w:szCs w:val="24"/>
          <w:shd w:val="clear" w:color="auto" w:fill="FFFFFF"/>
        </w:rPr>
        <w:t xml:space="preserve"> </w:t>
      </w:r>
      <w:proofErr w:type="spellStart"/>
      <w:r w:rsidRPr="009F3090">
        <w:rPr>
          <w:rFonts w:ascii="Times New Roman" w:hAnsi="Times New Roman" w:cs="Times New Roman"/>
          <w:color w:val="222222"/>
          <w:sz w:val="24"/>
          <w:szCs w:val="24"/>
          <w:shd w:val="clear" w:color="auto" w:fill="FFFFFF"/>
        </w:rPr>
        <w:t>Kücükdeveci</w:t>
      </w:r>
      <w:proofErr w:type="spellEnd"/>
      <w:r w:rsidRPr="009F3090">
        <w:rPr>
          <w:rFonts w:ascii="Times New Roman" w:hAnsi="Times New Roman" w:cs="Times New Roman"/>
          <w:color w:val="222222"/>
          <w:sz w:val="24"/>
          <w:szCs w:val="24"/>
          <w:shd w:val="clear" w:color="auto" w:fill="FFFFFF"/>
        </w:rPr>
        <w:t xml:space="preserve"> v. </w:t>
      </w:r>
      <w:proofErr w:type="spellStart"/>
      <w:r w:rsidRPr="009F3090">
        <w:rPr>
          <w:rFonts w:ascii="Times New Roman" w:hAnsi="Times New Roman" w:cs="Times New Roman"/>
          <w:color w:val="222222"/>
          <w:sz w:val="24"/>
          <w:szCs w:val="24"/>
          <w:shd w:val="clear" w:color="auto" w:fill="FFFFFF"/>
        </w:rPr>
        <w:t>Swedex</w:t>
      </w:r>
      <w:proofErr w:type="spellEnd"/>
      <w:r w:rsidRPr="009F3090">
        <w:rPr>
          <w:rFonts w:ascii="Times New Roman" w:hAnsi="Times New Roman" w:cs="Times New Roman"/>
          <w:color w:val="222222"/>
          <w:sz w:val="24"/>
          <w:szCs w:val="24"/>
          <w:shd w:val="clear" w:color="auto" w:fill="FFFFFF"/>
        </w:rPr>
        <w:t xml:space="preserve"> GmbH &amp; Co. KG." </w:t>
      </w:r>
      <w:r w:rsidRPr="009F3090">
        <w:rPr>
          <w:rFonts w:ascii="Times New Roman" w:hAnsi="Times New Roman" w:cs="Times New Roman"/>
          <w:i/>
          <w:iCs/>
          <w:color w:val="222222"/>
          <w:sz w:val="24"/>
          <w:szCs w:val="24"/>
          <w:shd w:val="clear" w:color="auto" w:fill="FFFFFF"/>
        </w:rPr>
        <w:t>European Constitutional Law Review</w:t>
      </w:r>
      <w:r w:rsidRPr="009F3090">
        <w:rPr>
          <w:rFonts w:ascii="Times New Roman" w:hAnsi="Times New Roman" w:cs="Times New Roman"/>
          <w:color w:val="222222"/>
          <w:sz w:val="24"/>
          <w:szCs w:val="24"/>
          <w:shd w:val="clear" w:color="auto" w:fill="FFFFFF"/>
        </w:rPr>
        <w:t> 6, no. 2 (2010): 293-308.</w:t>
      </w:r>
    </w:p>
    <w:p w14:paraId="580751BA"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color w:val="222222"/>
          <w:sz w:val="24"/>
          <w:szCs w:val="24"/>
          <w:shd w:val="clear" w:color="auto" w:fill="FFFFFF"/>
        </w:rPr>
        <w:t xml:space="preserve">De </w:t>
      </w:r>
      <w:proofErr w:type="spellStart"/>
      <w:r w:rsidRPr="009F3090">
        <w:rPr>
          <w:rFonts w:ascii="Times New Roman" w:hAnsi="Times New Roman" w:cs="Times New Roman"/>
          <w:color w:val="222222"/>
          <w:sz w:val="24"/>
          <w:szCs w:val="24"/>
          <w:shd w:val="clear" w:color="auto" w:fill="FFFFFF"/>
        </w:rPr>
        <w:t>Mol</w:t>
      </w:r>
      <w:proofErr w:type="spellEnd"/>
      <w:r w:rsidRPr="009F3090">
        <w:rPr>
          <w:rFonts w:ascii="Times New Roman" w:hAnsi="Times New Roman" w:cs="Times New Roman"/>
          <w:color w:val="222222"/>
          <w:sz w:val="24"/>
          <w:szCs w:val="24"/>
          <w:shd w:val="clear" w:color="auto" w:fill="FFFFFF"/>
        </w:rPr>
        <w:t xml:space="preserve">, </w:t>
      </w:r>
      <w:proofErr w:type="spellStart"/>
      <w:r w:rsidRPr="009F3090">
        <w:rPr>
          <w:rFonts w:ascii="Times New Roman" w:hAnsi="Times New Roman" w:cs="Times New Roman"/>
          <w:color w:val="222222"/>
          <w:sz w:val="24"/>
          <w:szCs w:val="24"/>
          <w:shd w:val="clear" w:color="auto" w:fill="FFFFFF"/>
        </w:rPr>
        <w:t>Mirjam</w:t>
      </w:r>
      <w:proofErr w:type="spellEnd"/>
      <w:r w:rsidRPr="009F3090">
        <w:rPr>
          <w:rFonts w:ascii="Times New Roman" w:hAnsi="Times New Roman" w:cs="Times New Roman"/>
          <w:color w:val="222222"/>
          <w:sz w:val="24"/>
          <w:szCs w:val="24"/>
          <w:shd w:val="clear" w:color="auto" w:fill="FFFFFF"/>
        </w:rPr>
        <w:t>. "The novel approach of the CJEU on the horizontal direct effect of the EU principle of non-discrimination:(unbridled) expansionism of EU law?." </w:t>
      </w:r>
      <w:r w:rsidRPr="009F3090">
        <w:rPr>
          <w:rFonts w:ascii="Times New Roman" w:hAnsi="Times New Roman" w:cs="Times New Roman"/>
          <w:i/>
          <w:iCs/>
          <w:color w:val="222222"/>
          <w:sz w:val="24"/>
          <w:szCs w:val="24"/>
          <w:shd w:val="clear" w:color="auto" w:fill="FFFFFF"/>
        </w:rPr>
        <w:t>Maastricht Journal of European and Comparative Law</w:t>
      </w:r>
      <w:r w:rsidRPr="009F3090">
        <w:rPr>
          <w:rFonts w:ascii="Times New Roman" w:hAnsi="Times New Roman" w:cs="Times New Roman"/>
          <w:color w:val="222222"/>
          <w:sz w:val="24"/>
          <w:szCs w:val="24"/>
          <w:shd w:val="clear" w:color="auto" w:fill="FFFFFF"/>
        </w:rPr>
        <w:t> 18, no. 1-2 (2011): 109-135.</w:t>
      </w:r>
    </w:p>
    <w:p w14:paraId="2BD72E5A"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proofErr w:type="spellStart"/>
      <w:r w:rsidRPr="009F3090">
        <w:rPr>
          <w:rFonts w:ascii="Times New Roman" w:hAnsi="Times New Roman" w:cs="Times New Roman"/>
          <w:i/>
          <w:iCs/>
          <w:color w:val="222222"/>
          <w:sz w:val="24"/>
          <w:szCs w:val="24"/>
          <w:shd w:val="clear" w:color="auto" w:fill="FFFFFF"/>
        </w:rPr>
        <w:t>Defrenne</w:t>
      </w:r>
      <w:proofErr w:type="spellEnd"/>
      <w:r w:rsidRPr="009F3090">
        <w:rPr>
          <w:rFonts w:ascii="Times New Roman" w:hAnsi="Times New Roman" w:cs="Times New Roman"/>
          <w:i/>
          <w:iCs/>
          <w:color w:val="222222"/>
          <w:sz w:val="24"/>
          <w:szCs w:val="24"/>
          <w:shd w:val="clear" w:color="auto" w:fill="FFFFFF"/>
        </w:rPr>
        <w:t xml:space="preserve"> v. Sabena</w:t>
      </w:r>
      <w:r w:rsidRPr="009F3090">
        <w:rPr>
          <w:rFonts w:ascii="Times New Roman" w:hAnsi="Times New Roman" w:cs="Times New Roman"/>
          <w:color w:val="222222"/>
          <w:sz w:val="24"/>
          <w:szCs w:val="24"/>
          <w:shd w:val="clear" w:color="auto" w:fill="FFFFFF"/>
        </w:rPr>
        <w:t>, 1976 E.C.R. 455 (1976).</w:t>
      </w:r>
    </w:p>
    <w:p w14:paraId="791A0E1B"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i/>
          <w:iCs/>
          <w:color w:val="222222"/>
          <w:sz w:val="24"/>
          <w:szCs w:val="24"/>
          <w:shd w:val="clear" w:color="auto" w:fill="FFFFFF"/>
        </w:rPr>
        <w:t xml:space="preserve">Faccini Dori v. </w:t>
      </w:r>
      <w:proofErr w:type="spellStart"/>
      <w:r w:rsidRPr="009F3090">
        <w:rPr>
          <w:rFonts w:ascii="Times New Roman" w:hAnsi="Times New Roman" w:cs="Times New Roman"/>
          <w:i/>
          <w:iCs/>
          <w:color w:val="222222"/>
          <w:sz w:val="24"/>
          <w:szCs w:val="24"/>
          <w:shd w:val="clear" w:color="auto" w:fill="FFFFFF"/>
        </w:rPr>
        <w:t>Recreb</w:t>
      </w:r>
      <w:proofErr w:type="spellEnd"/>
      <w:r w:rsidRPr="009F3090">
        <w:rPr>
          <w:rFonts w:ascii="Times New Roman" w:hAnsi="Times New Roman" w:cs="Times New Roman"/>
          <w:color w:val="222222"/>
          <w:sz w:val="24"/>
          <w:szCs w:val="24"/>
          <w:shd w:val="clear" w:color="auto" w:fill="FFFFFF"/>
        </w:rPr>
        <w:t>, 1994 E.C.R. I. 3325 (1994).</w:t>
      </w:r>
    </w:p>
    <w:p w14:paraId="779C12B9"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proofErr w:type="spellStart"/>
      <w:r w:rsidRPr="009F3090">
        <w:rPr>
          <w:rFonts w:ascii="Times New Roman" w:hAnsi="Times New Roman" w:cs="Times New Roman"/>
          <w:i/>
          <w:iCs/>
          <w:color w:val="222222"/>
          <w:sz w:val="24"/>
          <w:szCs w:val="24"/>
          <w:shd w:val="clear" w:color="auto" w:fill="FFFFFF"/>
        </w:rPr>
        <w:t>Flaminio</w:t>
      </w:r>
      <w:proofErr w:type="spellEnd"/>
      <w:r w:rsidRPr="009F3090">
        <w:rPr>
          <w:rFonts w:ascii="Times New Roman" w:hAnsi="Times New Roman" w:cs="Times New Roman"/>
          <w:i/>
          <w:iCs/>
          <w:color w:val="222222"/>
          <w:sz w:val="24"/>
          <w:szCs w:val="24"/>
          <w:shd w:val="clear" w:color="auto" w:fill="FFFFFF"/>
        </w:rPr>
        <w:t xml:space="preserve"> Costa v. Enel</w:t>
      </w:r>
      <w:r w:rsidRPr="009F3090">
        <w:rPr>
          <w:rFonts w:ascii="Times New Roman" w:hAnsi="Times New Roman" w:cs="Times New Roman"/>
          <w:color w:val="222222"/>
          <w:sz w:val="24"/>
          <w:szCs w:val="24"/>
          <w:shd w:val="clear" w:color="auto" w:fill="FFFFFF"/>
        </w:rPr>
        <w:t>, 1964 E.C.R. 1141 (1964).</w:t>
      </w:r>
    </w:p>
    <w:p w14:paraId="39873938"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i/>
          <w:iCs/>
          <w:color w:val="222222"/>
          <w:sz w:val="24"/>
          <w:szCs w:val="24"/>
          <w:shd w:val="clear" w:color="auto" w:fill="FFFFFF"/>
        </w:rPr>
        <w:t>Foster v. British Gas</w:t>
      </w:r>
      <w:r w:rsidRPr="009F3090">
        <w:rPr>
          <w:rFonts w:ascii="Times New Roman" w:hAnsi="Times New Roman" w:cs="Times New Roman"/>
          <w:color w:val="222222"/>
          <w:sz w:val="24"/>
          <w:szCs w:val="24"/>
          <w:shd w:val="clear" w:color="auto" w:fill="FFFFFF"/>
        </w:rPr>
        <w:t>, 1990 E.C.R. I. 3313 (1990).</w:t>
      </w:r>
    </w:p>
    <w:p w14:paraId="13AAF67C"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color w:val="222222"/>
          <w:sz w:val="24"/>
          <w:szCs w:val="24"/>
          <w:shd w:val="clear" w:color="auto" w:fill="FFFFFF"/>
        </w:rPr>
        <w:t>Papadopoulos, Thomas. "Criticizing the horizontal direct effect of the EU general principle of equality." </w:t>
      </w:r>
      <w:r w:rsidRPr="009F3090">
        <w:rPr>
          <w:rFonts w:ascii="Times New Roman" w:hAnsi="Times New Roman" w:cs="Times New Roman"/>
          <w:i/>
          <w:iCs/>
          <w:color w:val="222222"/>
          <w:sz w:val="24"/>
          <w:szCs w:val="24"/>
          <w:shd w:val="clear" w:color="auto" w:fill="FFFFFF"/>
        </w:rPr>
        <w:t>European Human Rights Law Review</w:t>
      </w:r>
      <w:r w:rsidRPr="009F3090">
        <w:rPr>
          <w:rFonts w:ascii="Times New Roman" w:hAnsi="Times New Roman" w:cs="Times New Roman"/>
          <w:color w:val="222222"/>
          <w:sz w:val="24"/>
          <w:szCs w:val="24"/>
          <w:shd w:val="clear" w:color="auto" w:fill="FFFFFF"/>
        </w:rPr>
        <w:t> 4 (2011): 437-447.</w:t>
      </w:r>
    </w:p>
    <w:p w14:paraId="20BE9E0F"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i/>
          <w:iCs/>
          <w:color w:val="222222"/>
          <w:sz w:val="24"/>
          <w:szCs w:val="24"/>
          <w:shd w:val="clear" w:color="auto" w:fill="FFFFFF"/>
        </w:rPr>
        <w:t xml:space="preserve">Van </w:t>
      </w:r>
      <w:proofErr w:type="spellStart"/>
      <w:r w:rsidRPr="009F3090">
        <w:rPr>
          <w:rFonts w:ascii="Times New Roman" w:hAnsi="Times New Roman" w:cs="Times New Roman"/>
          <w:i/>
          <w:iCs/>
          <w:color w:val="222222"/>
          <w:sz w:val="24"/>
          <w:szCs w:val="24"/>
          <w:shd w:val="clear" w:color="auto" w:fill="FFFFFF"/>
        </w:rPr>
        <w:t>Duyn</w:t>
      </w:r>
      <w:proofErr w:type="spellEnd"/>
      <w:r w:rsidRPr="009F3090">
        <w:rPr>
          <w:rFonts w:ascii="Times New Roman" w:hAnsi="Times New Roman" w:cs="Times New Roman"/>
          <w:i/>
          <w:iCs/>
          <w:color w:val="222222"/>
          <w:sz w:val="24"/>
          <w:szCs w:val="24"/>
          <w:shd w:val="clear" w:color="auto" w:fill="FFFFFF"/>
        </w:rPr>
        <w:t xml:space="preserve"> v. Smith</w:t>
      </w:r>
      <w:r w:rsidRPr="009F3090">
        <w:rPr>
          <w:rFonts w:ascii="Times New Roman" w:hAnsi="Times New Roman" w:cs="Times New Roman"/>
          <w:color w:val="222222"/>
          <w:sz w:val="24"/>
          <w:szCs w:val="24"/>
          <w:shd w:val="clear" w:color="auto" w:fill="FFFFFF"/>
        </w:rPr>
        <w:t>, 527 N.E.2d 1005, 173 Ill. App. 3d 523, 123 Ill. Dec. 367 (App. Ct. 1988).</w:t>
      </w:r>
    </w:p>
    <w:p w14:paraId="4BC262F7"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i/>
          <w:iCs/>
          <w:color w:val="222222"/>
          <w:sz w:val="24"/>
          <w:szCs w:val="24"/>
          <w:shd w:val="clear" w:color="auto" w:fill="FFFFFF"/>
        </w:rPr>
        <w:t xml:space="preserve">Van </w:t>
      </w:r>
      <w:proofErr w:type="spellStart"/>
      <w:r w:rsidRPr="009F3090">
        <w:rPr>
          <w:rFonts w:ascii="Times New Roman" w:hAnsi="Times New Roman" w:cs="Times New Roman"/>
          <w:i/>
          <w:iCs/>
          <w:color w:val="222222"/>
          <w:sz w:val="24"/>
          <w:szCs w:val="24"/>
          <w:shd w:val="clear" w:color="auto" w:fill="FFFFFF"/>
        </w:rPr>
        <w:t>Gend</w:t>
      </w:r>
      <w:proofErr w:type="spellEnd"/>
      <w:r w:rsidRPr="009F3090">
        <w:rPr>
          <w:rFonts w:ascii="Times New Roman" w:hAnsi="Times New Roman" w:cs="Times New Roman"/>
          <w:i/>
          <w:iCs/>
          <w:color w:val="222222"/>
          <w:sz w:val="24"/>
          <w:szCs w:val="24"/>
          <w:shd w:val="clear" w:color="auto" w:fill="FFFFFF"/>
        </w:rPr>
        <w:t xml:space="preserve"> and Loos Case</w:t>
      </w:r>
      <w:r w:rsidRPr="009F3090">
        <w:rPr>
          <w:rFonts w:ascii="Times New Roman" w:hAnsi="Times New Roman" w:cs="Times New Roman"/>
          <w:color w:val="222222"/>
          <w:sz w:val="24"/>
          <w:szCs w:val="24"/>
          <w:shd w:val="clear" w:color="auto" w:fill="FFFFFF"/>
        </w:rPr>
        <w:t>, 1963 E.C.R. 1 (1963).</w:t>
      </w:r>
    </w:p>
    <w:p w14:paraId="7B5B7C70" w14:textId="77777777" w:rsidR="009F3090" w:rsidRPr="009F3090" w:rsidRDefault="009F3090" w:rsidP="009F3090">
      <w:pPr>
        <w:pStyle w:val="FootnoteText"/>
        <w:spacing w:line="480" w:lineRule="auto"/>
        <w:ind w:left="720" w:hanging="720"/>
        <w:rPr>
          <w:rFonts w:ascii="Times New Roman" w:hAnsi="Times New Roman" w:cs="Times New Roman"/>
          <w:sz w:val="24"/>
          <w:szCs w:val="24"/>
          <w:lang w:val="en-US"/>
        </w:rPr>
      </w:pPr>
      <w:r w:rsidRPr="009F3090">
        <w:rPr>
          <w:rFonts w:ascii="Times New Roman" w:hAnsi="Times New Roman" w:cs="Times New Roman"/>
          <w:i/>
          <w:iCs/>
          <w:color w:val="222222"/>
          <w:sz w:val="24"/>
          <w:szCs w:val="24"/>
          <w:shd w:val="clear" w:color="auto" w:fill="FFFFFF"/>
        </w:rPr>
        <w:t xml:space="preserve">Von Colson and </w:t>
      </w:r>
      <w:proofErr w:type="spellStart"/>
      <w:r w:rsidRPr="009F3090">
        <w:rPr>
          <w:rFonts w:ascii="Times New Roman" w:hAnsi="Times New Roman" w:cs="Times New Roman"/>
          <w:i/>
          <w:iCs/>
          <w:color w:val="222222"/>
          <w:sz w:val="24"/>
          <w:szCs w:val="24"/>
          <w:shd w:val="clear" w:color="auto" w:fill="FFFFFF"/>
        </w:rPr>
        <w:t>Kamann</w:t>
      </w:r>
      <w:proofErr w:type="spellEnd"/>
      <w:r w:rsidRPr="009F3090">
        <w:rPr>
          <w:rFonts w:ascii="Times New Roman" w:hAnsi="Times New Roman" w:cs="Times New Roman"/>
          <w:i/>
          <w:iCs/>
          <w:color w:val="222222"/>
          <w:sz w:val="24"/>
          <w:szCs w:val="24"/>
          <w:shd w:val="clear" w:color="auto" w:fill="FFFFFF"/>
        </w:rPr>
        <w:t xml:space="preserve"> v. Land Nordrhein-Westfalen</w:t>
      </w:r>
      <w:r w:rsidRPr="009F3090">
        <w:rPr>
          <w:rFonts w:ascii="Times New Roman" w:hAnsi="Times New Roman" w:cs="Times New Roman"/>
          <w:color w:val="222222"/>
          <w:sz w:val="24"/>
          <w:szCs w:val="24"/>
          <w:shd w:val="clear" w:color="auto" w:fill="FFFFFF"/>
        </w:rPr>
        <w:t>, 1984 E.C.R. 1891 (1984).</w:t>
      </w:r>
    </w:p>
    <w:sectPr w:rsidR="009F3090" w:rsidRPr="009F3090" w:rsidSect="00693E1A">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D4774" w14:textId="77777777" w:rsidR="00D8460E" w:rsidRDefault="00D8460E" w:rsidP="00B340FC">
      <w:pPr>
        <w:spacing w:after="0" w:line="240" w:lineRule="auto"/>
      </w:pPr>
      <w:r>
        <w:separator/>
      </w:r>
    </w:p>
  </w:endnote>
  <w:endnote w:type="continuationSeparator" w:id="0">
    <w:p w14:paraId="287425A7" w14:textId="77777777" w:rsidR="00D8460E" w:rsidRDefault="00D8460E" w:rsidP="00B34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AEFFF" w14:textId="77777777" w:rsidR="00D8460E" w:rsidRDefault="00D8460E" w:rsidP="00B340FC">
      <w:pPr>
        <w:spacing w:after="0" w:line="240" w:lineRule="auto"/>
      </w:pPr>
      <w:r>
        <w:separator/>
      </w:r>
    </w:p>
  </w:footnote>
  <w:footnote w:type="continuationSeparator" w:id="0">
    <w:p w14:paraId="151DB323" w14:textId="77777777" w:rsidR="00D8460E" w:rsidRDefault="00D8460E" w:rsidP="00B340FC">
      <w:pPr>
        <w:spacing w:after="0" w:line="240" w:lineRule="auto"/>
      </w:pPr>
      <w:r>
        <w:continuationSeparator/>
      </w:r>
    </w:p>
  </w:footnote>
  <w:footnote w:id="1">
    <w:p w14:paraId="60976A49" w14:textId="4A8D4E30" w:rsidR="00886838" w:rsidRPr="00733749" w:rsidRDefault="00886838">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i/>
          <w:iCs/>
          <w:color w:val="222222"/>
          <w:shd w:val="clear" w:color="auto" w:fill="FFFFFF"/>
        </w:rPr>
        <w:t>Van Gend and Loos Case</w:t>
      </w:r>
      <w:r w:rsidRPr="00733749">
        <w:rPr>
          <w:rFonts w:ascii="Times New Roman" w:hAnsi="Times New Roman" w:cs="Times New Roman"/>
          <w:color w:val="222222"/>
          <w:shd w:val="clear" w:color="auto" w:fill="FFFFFF"/>
        </w:rPr>
        <w:t>, 1963 E.C.R. 1 (1963).</w:t>
      </w:r>
    </w:p>
  </w:footnote>
  <w:footnote w:id="2">
    <w:p w14:paraId="33CE5F7B" w14:textId="7BAAD3B2" w:rsidR="00B340FC" w:rsidRPr="00733749" w:rsidRDefault="00B340FC">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color w:val="222222"/>
          <w:shd w:val="clear" w:color="auto" w:fill="FFFFFF"/>
        </w:rPr>
        <w:t xml:space="preserve">De Mol, </w:t>
      </w:r>
      <w:r w:rsidRPr="00733749">
        <w:rPr>
          <w:rFonts w:ascii="Times New Roman" w:hAnsi="Times New Roman" w:cs="Times New Roman"/>
          <w:color w:val="222222"/>
          <w:shd w:val="clear" w:color="auto" w:fill="FFFFFF"/>
        </w:rPr>
        <w:t>Mirjam. "Kücükdeveci: Mangold Revisited–Horizontal Direct Effect of a General Principle of EU Law: Court of Justice of the European Union (Grand Chamber) Judgment of 19 January 2010, Case C-555/07, Seda Kücükdeveci v. Swedex GmbH &amp; Co. KG." </w:t>
      </w:r>
      <w:r w:rsidRPr="00733749">
        <w:rPr>
          <w:rFonts w:ascii="Times New Roman" w:hAnsi="Times New Roman" w:cs="Times New Roman"/>
          <w:i/>
          <w:iCs/>
          <w:color w:val="222222"/>
          <w:shd w:val="clear" w:color="auto" w:fill="FFFFFF"/>
        </w:rPr>
        <w:t>European Constitutional Law Review</w:t>
      </w:r>
      <w:r w:rsidRPr="00733749">
        <w:rPr>
          <w:rFonts w:ascii="Times New Roman" w:hAnsi="Times New Roman" w:cs="Times New Roman"/>
          <w:color w:val="222222"/>
          <w:shd w:val="clear" w:color="auto" w:fill="FFFFFF"/>
        </w:rPr>
        <w:t> 6, no. 2 (2010): 293-308.</w:t>
      </w:r>
    </w:p>
  </w:footnote>
  <w:footnote w:id="3">
    <w:p w14:paraId="20EA763E" w14:textId="3CE2311E" w:rsidR="00B340FC" w:rsidRPr="00733749" w:rsidRDefault="00B340FC">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color w:val="222222"/>
          <w:shd w:val="clear" w:color="auto" w:fill="FFFFFF"/>
        </w:rPr>
        <w:t>Papadopoulos, Thomas. "Criticizing the horizontal direct effect of the EU general principle of equality." </w:t>
      </w:r>
      <w:r w:rsidRPr="00733749">
        <w:rPr>
          <w:rFonts w:ascii="Times New Roman" w:hAnsi="Times New Roman" w:cs="Times New Roman"/>
          <w:i/>
          <w:iCs/>
          <w:color w:val="222222"/>
          <w:shd w:val="clear" w:color="auto" w:fill="FFFFFF"/>
        </w:rPr>
        <w:t>European Human Rights Law Review</w:t>
      </w:r>
      <w:r w:rsidRPr="00733749">
        <w:rPr>
          <w:rFonts w:ascii="Times New Roman" w:hAnsi="Times New Roman" w:cs="Times New Roman"/>
          <w:color w:val="222222"/>
          <w:shd w:val="clear" w:color="auto" w:fill="FFFFFF"/>
        </w:rPr>
        <w:t> 4 (2011): 437-447.</w:t>
      </w:r>
    </w:p>
  </w:footnote>
  <w:footnote w:id="4">
    <w:p w14:paraId="06C55DAA" w14:textId="687AA4F2" w:rsidR="00583098" w:rsidRPr="00733749" w:rsidRDefault="00583098">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i/>
          <w:iCs/>
          <w:color w:val="222222"/>
          <w:shd w:val="clear" w:color="auto" w:fill="FFFFFF"/>
        </w:rPr>
        <w:t>Flaminio Costa v. Enel</w:t>
      </w:r>
      <w:r w:rsidRPr="00733749">
        <w:rPr>
          <w:rFonts w:ascii="Times New Roman" w:hAnsi="Times New Roman" w:cs="Times New Roman"/>
          <w:color w:val="222222"/>
          <w:shd w:val="clear" w:color="auto" w:fill="FFFFFF"/>
        </w:rPr>
        <w:t>, 1964 E.C.R. 1141 (1964).</w:t>
      </w:r>
    </w:p>
  </w:footnote>
  <w:footnote w:id="5">
    <w:p w14:paraId="7BA276B0" w14:textId="57C6CCD2" w:rsidR="00E5456E" w:rsidRPr="00733749" w:rsidRDefault="00E5456E">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i/>
          <w:iCs/>
          <w:color w:val="222222"/>
          <w:shd w:val="clear" w:color="auto" w:fill="FFFFFF"/>
        </w:rPr>
        <w:t>Defrenne v. Sabena</w:t>
      </w:r>
      <w:r w:rsidRPr="00733749">
        <w:rPr>
          <w:rFonts w:ascii="Times New Roman" w:hAnsi="Times New Roman" w:cs="Times New Roman"/>
          <w:color w:val="222222"/>
          <w:shd w:val="clear" w:color="auto" w:fill="FFFFFF"/>
        </w:rPr>
        <w:t>, 1976 E.C.R. 455 (1976).</w:t>
      </w:r>
    </w:p>
  </w:footnote>
  <w:footnote w:id="6">
    <w:p w14:paraId="2A6802F9" w14:textId="36C3758A" w:rsidR="009E1529" w:rsidRPr="00733749" w:rsidRDefault="009E1529">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i/>
          <w:iCs/>
          <w:color w:val="222222"/>
          <w:shd w:val="clear" w:color="auto" w:fill="FFFFFF"/>
        </w:rPr>
        <w:t>Foster v. British Gas</w:t>
      </w:r>
      <w:r w:rsidRPr="00733749">
        <w:rPr>
          <w:rFonts w:ascii="Times New Roman" w:hAnsi="Times New Roman" w:cs="Times New Roman"/>
          <w:color w:val="222222"/>
          <w:shd w:val="clear" w:color="auto" w:fill="FFFFFF"/>
        </w:rPr>
        <w:t>, 1990 E.C.R. I. 3313 (1990).</w:t>
      </w:r>
    </w:p>
  </w:footnote>
  <w:footnote w:id="7">
    <w:p w14:paraId="1DEDB448" w14:textId="580BB8CC" w:rsidR="009E1529" w:rsidRPr="00733749" w:rsidRDefault="009E1529">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00CF60DD" w:rsidRPr="00733749">
        <w:rPr>
          <w:rFonts w:ascii="Times New Roman" w:hAnsi="Times New Roman" w:cs="Times New Roman"/>
          <w:i/>
          <w:iCs/>
          <w:color w:val="222222"/>
          <w:shd w:val="clear" w:color="auto" w:fill="FFFFFF"/>
        </w:rPr>
        <w:t xml:space="preserve">Van </w:t>
      </w:r>
      <w:r w:rsidR="00CF60DD" w:rsidRPr="00733749">
        <w:rPr>
          <w:rFonts w:ascii="Times New Roman" w:hAnsi="Times New Roman" w:cs="Times New Roman"/>
          <w:i/>
          <w:iCs/>
          <w:color w:val="222222"/>
          <w:shd w:val="clear" w:color="auto" w:fill="FFFFFF"/>
        </w:rPr>
        <w:t>Duyn v. Smith</w:t>
      </w:r>
      <w:r w:rsidR="00CF60DD" w:rsidRPr="00733749">
        <w:rPr>
          <w:rFonts w:ascii="Times New Roman" w:hAnsi="Times New Roman" w:cs="Times New Roman"/>
          <w:color w:val="222222"/>
          <w:shd w:val="clear" w:color="auto" w:fill="FFFFFF"/>
        </w:rPr>
        <w:t>, 527 N.E.2d 1005, 173 Ill. App. 3d 523, 123 Ill. Dec. 367 (App. Ct. 1988).</w:t>
      </w:r>
    </w:p>
  </w:footnote>
  <w:footnote w:id="8">
    <w:p w14:paraId="69DF7613" w14:textId="174CF3EC" w:rsidR="00B340FC" w:rsidRPr="00733749" w:rsidRDefault="00B340FC">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color w:val="222222"/>
          <w:shd w:val="clear" w:color="auto" w:fill="FFFFFF"/>
        </w:rPr>
        <w:t xml:space="preserve">De Mol, </w:t>
      </w:r>
      <w:r w:rsidRPr="00733749">
        <w:rPr>
          <w:rFonts w:ascii="Times New Roman" w:hAnsi="Times New Roman" w:cs="Times New Roman"/>
          <w:color w:val="222222"/>
          <w:shd w:val="clear" w:color="auto" w:fill="FFFFFF"/>
        </w:rPr>
        <w:t>Mirjam. "The novel approach of the CJEU on the horizontal direct effect of the EU principle of non-discrimination:(unbridled) expansionism of EU law?." </w:t>
      </w:r>
      <w:r w:rsidRPr="00733749">
        <w:rPr>
          <w:rFonts w:ascii="Times New Roman" w:hAnsi="Times New Roman" w:cs="Times New Roman"/>
          <w:i/>
          <w:iCs/>
          <w:color w:val="222222"/>
          <w:shd w:val="clear" w:color="auto" w:fill="FFFFFF"/>
        </w:rPr>
        <w:t>Maastricht Journal of European and Comparative Law</w:t>
      </w:r>
      <w:r w:rsidRPr="00733749">
        <w:rPr>
          <w:rFonts w:ascii="Times New Roman" w:hAnsi="Times New Roman" w:cs="Times New Roman"/>
          <w:color w:val="222222"/>
          <w:shd w:val="clear" w:color="auto" w:fill="FFFFFF"/>
        </w:rPr>
        <w:t> 18, no. 1-2 (2011): 109-135.</w:t>
      </w:r>
    </w:p>
  </w:footnote>
  <w:footnote w:id="9">
    <w:p w14:paraId="61BC6F02" w14:textId="7EDEF63A" w:rsidR="00D23984" w:rsidRPr="00733749" w:rsidRDefault="00D23984">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00886838" w:rsidRPr="00733749">
        <w:rPr>
          <w:rFonts w:ascii="Times New Roman" w:hAnsi="Times New Roman" w:cs="Times New Roman"/>
          <w:lang w:val="en-US"/>
        </w:rPr>
        <w:t>ibid</w:t>
      </w:r>
    </w:p>
  </w:footnote>
  <w:footnote w:id="10">
    <w:p w14:paraId="797D32AE" w14:textId="45335EF2" w:rsidR="00CF575D" w:rsidRPr="00733749" w:rsidRDefault="00CF575D">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i/>
          <w:iCs/>
          <w:color w:val="222222"/>
          <w:shd w:val="clear" w:color="auto" w:fill="FFFFFF"/>
        </w:rPr>
        <w:t xml:space="preserve">Faccini Dori v. </w:t>
      </w:r>
      <w:r w:rsidRPr="00733749">
        <w:rPr>
          <w:rFonts w:ascii="Times New Roman" w:hAnsi="Times New Roman" w:cs="Times New Roman"/>
          <w:i/>
          <w:iCs/>
          <w:color w:val="222222"/>
          <w:shd w:val="clear" w:color="auto" w:fill="FFFFFF"/>
        </w:rPr>
        <w:t>Recreb</w:t>
      </w:r>
      <w:r w:rsidRPr="00733749">
        <w:rPr>
          <w:rFonts w:ascii="Times New Roman" w:hAnsi="Times New Roman" w:cs="Times New Roman"/>
          <w:color w:val="222222"/>
          <w:shd w:val="clear" w:color="auto" w:fill="FFFFFF"/>
        </w:rPr>
        <w:t>, 1994 E.C.R. I. 3325 (1994).</w:t>
      </w:r>
    </w:p>
  </w:footnote>
  <w:footnote w:id="11">
    <w:p w14:paraId="00C42B14" w14:textId="43D13FB9" w:rsidR="00962234" w:rsidRPr="00733749" w:rsidRDefault="00962234">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i/>
          <w:iCs/>
          <w:color w:val="222222"/>
          <w:shd w:val="clear" w:color="auto" w:fill="FFFFFF"/>
        </w:rPr>
        <w:t xml:space="preserve">Von Colson and </w:t>
      </w:r>
      <w:r w:rsidRPr="00733749">
        <w:rPr>
          <w:rFonts w:ascii="Times New Roman" w:hAnsi="Times New Roman" w:cs="Times New Roman"/>
          <w:i/>
          <w:iCs/>
          <w:color w:val="222222"/>
          <w:shd w:val="clear" w:color="auto" w:fill="FFFFFF"/>
        </w:rPr>
        <w:t>Kamann v. Land Nordrhein-Westfalen</w:t>
      </w:r>
      <w:r w:rsidRPr="00733749">
        <w:rPr>
          <w:rFonts w:ascii="Times New Roman" w:hAnsi="Times New Roman" w:cs="Times New Roman"/>
          <w:color w:val="222222"/>
          <w:shd w:val="clear" w:color="auto" w:fill="FFFFFF"/>
        </w:rPr>
        <w:t>, 1984 E.C.R. 1891 (1984).</w:t>
      </w:r>
    </w:p>
  </w:footnote>
  <w:footnote w:id="12">
    <w:p w14:paraId="5F6E82FF" w14:textId="15AF1CEB" w:rsidR="00962234" w:rsidRPr="00733749" w:rsidRDefault="00962234">
      <w:pPr>
        <w:pStyle w:val="FootnoteText"/>
        <w:rPr>
          <w:rFonts w:ascii="Times New Roman" w:hAnsi="Times New Roman" w:cs="Times New Roman"/>
          <w:lang w:val="en-US"/>
        </w:rPr>
      </w:pPr>
      <w:r w:rsidRPr="00733749">
        <w:rPr>
          <w:rStyle w:val="FootnoteReference"/>
          <w:rFonts w:ascii="Times New Roman" w:hAnsi="Times New Roman" w:cs="Times New Roman"/>
        </w:rPr>
        <w:footnoteRef/>
      </w:r>
      <w:r w:rsidRPr="00733749">
        <w:rPr>
          <w:rFonts w:ascii="Times New Roman" w:hAnsi="Times New Roman" w:cs="Times New Roman"/>
        </w:rPr>
        <w:t xml:space="preserve"> </w:t>
      </w:r>
      <w:r w:rsidRPr="00733749">
        <w:rPr>
          <w:rFonts w:ascii="Times New Roman" w:hAnsi="Times New Roman" w:cs="Times New Roman"/>
          <w:lang w:val="en-US"/>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090892"/>
      <w:docPartObj>
        <w:docPartGallery w:val="Page Numbers (Top of Page)"/>
        <w:docPartUnique/>
      </w:docPartObj>
    </w:sdtPr>
    <w:sdtEndPr>
      <w:rPr>
        <w:rFonts w:ascii="Times New Roman" w:hAnsi="Times New Roman" w:cs="Times New Roman"/>
        <w:noProof/>
        <w:sz w:val="24"/>
        <w:szCs w:val="24"/>
      </w:rPr>
    </w:sdtEndPr>
    <w:sdtContent>
      <w:p w14:paraId="6F89035D" w14:textId="681242BE" w:rsidR="00693E1A" w:rsidRPr="00693E1A" w:rsidRDefault="00693E1A">
        <w:pPr>
          <w:pStyle w:val="Header"/>
          <w:jc w:val="right"/>
          <w:rPr>
            <w:rFonts w:ascii="Times New Roman" w:hAnsi="Times New Roman" w:cs="Times New Roman"/>
            <w:sz w:val="24"/>
            <w:szCs w:val="24"/>
          </w:rPr>
        </w:pPr>
        <w:r w:rsidRPr="00693E1A">
          <w:rPr>
            <w:rFonts w:ascii="Times New Roman" w:hAnsi="Times New Roman" w:cs="Times New Roman"/>
            <w:sz w:val="24"/>
            <w:szCs w:val="24"/>
          </w:rPr>
          <w:fldChar w:fldCharType="begin"/>
        </w:r>
        <w:r w:rsidRPr="00693E1A">
          <w:rPr>
            <w:rFonts w:ascii="Times New Roman" w:hAnsi="Times New Roman" w:cs="Times New Roman"/>
            <w:sz w:val="24"/>
            <w:szCs w:val="24"/>
          </w:rPr>
          <w:instrText xml:space="preserve"> PAGE   \* MERGEFORMAT </w:instrText>
        </w:r>
        <w:r w:rsidRPr="00693E1A">
          <w:rPr>
            <w:rFonts w:ascii="Times New Roman" w:hAnsi="Times New Roman" w:cs="Times New Roman"/>
            <w:sz w:val="24"/>
            <w:szCs w:val="24"/>
          </w:rPr>
          <w:fldChar w:fldCharType="separate"/>
        </w:r>
        <w:r w:rsidRPr="00693E1A">
          <w:rPr>
            <w:rFonts w:ascii="Times New Roman" w:hAnsi="Times New Roman" w:cs="Times New Roman"/>
            <w:noProof/>
            <w:sz w:val="24"/>
            <w:szCs w:val="24"/>
          </w:rPr>
          <w:t>2</w:t>
        </w:r>
        <w:r w:rsidRPr="00693E1A">
          <w:rPr>
            <w:rFonts w:ascii="Times New Roman" w:hAnsi="Times New Roman" w:cs="Times New Roman"/>
            <w:noProof/>
            <w:sz w:val="24"/>
            <w:szCs w:val="24"/>
          </w:rPr>
          <w:fldChar w:fldCharType="end"/>
        </w:r>
      </w:p>
    </w:sdtContent>
  </w:sdt>
  <w:p w14:paraId="51D90DB6" w14:textId="77777777" w:rsidR="00693E1A" w:rsidRDefault="00693E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253"/>
    <w:rsid w:val="00002591"/>
    <w:rsid w:val="0005293F"/>
    <w:rsid w:val="00056C03"/>
    <w:rsid w:val="00065792"/>
    <w:rsid w:val="00066CEA"/>
    <w:rsid w:val="000674C6"/>
    <w:rsid w:val="00121DFD"/>
    <w:rsid w:val="00126D43"/>
    <w:rsid w:val="00172700"/>
    <w:rsid w:val="00172FCA"/>
    <w:rsid w:val="00180EB8"/>
    <w:rsid w:val="001C7B27"/>
    <w:rsid w:val="00255440"/>
    <w:rsid w:val="0027292D"/>
    <w:rsid w:val="00282EE8"/>
    <w:rsid w:val="002A35AA"/>
    <w:rsid w:val="002D575C"/>
    <w:rsid w:val="002F0415"/>
    <w:rsid w:val="002F5B10"/>
    <w:rsid w:val="002F5E11"/>
    <w:rsid w:val="00305CC6"/>
    <w:rsid w:val="00313733"/>
    <w:rsid w:val="00331132"/>
    <w:rsid w:val="00382610"/>
    <w:rsid w:val="003A2037"/>
    <w:rsid w:val="003A55E1"/>
    <w:rsid w:val="003E291B"/>
    <w:rsid w:val="003E2F0B"/>
    <w:rsid w:val="003F5D57"/>
    <w:rsid w:val="00400DD2"/>
    <w:rsid w:val="00403891"/>
    <w:rsid w:val="0040425C"/>
    <w:rsid w:val="004304A8"/>
    <w:rsid w:val="00445540"/>
    <w:rsid w:val="00486768"/>
    <w:rsid w:val="004A4540"/>
    <w:rsid w:val="004C3BAF"/>
    <w:rsid w:val="004C723F"/>
    <w:rsid w:val="004D3D97"/>
    <w:rsid w:val="004E023B"/>
    <w:rsid w:val="00527A63"/>
    <w:rsid w:val="00583098"/>
    <w:rsid w:val="00590611"/>
    <w:rsid w:val="005B4EFB"/>
    <w:rsid w:val="005E2718"/>
    <w:rsid w:val="005E56C5"/>
    <w:rsid w:val="005F46BA"/>
    <w:rsid w:val="00607417"/>
    <w:rsid w:val="00620924"/>
    <w:rsid w:val="00646181"/>
    <w:rsid w:val="006616BC"/>
    <w:rsid w:val="006662C7"/>
    <w:rsid w:val="00684BD6"/>
    <w:rsid w:val="00693E1A"/>
    <w:rsid w:val="00700273"/>
    <w:rsid w:val="0071323D"/>
    <w:rsid w:val="00733749"/>
    <w:rsid w:val="00747991"/>
    <w:rsid w:val="007508B0"/>
    <w:rsid w:val="00752597"/>
    <w:rsid w:val="007619F7"/>
    <w:rsid w:val="0079778C"/>
    <w:rsid w:val="007A27D9"/>
    <w:rsid w:val="007A5E25"/>
    <w:rsid w:val="007B60A3"/>
    <w:rsid w:val="007C5455"/>
    <w:rsid w:val="007D0D0D"/>
    <w:rsid w:val="007D41D3"/>
    <w:rsid w:val="007E5147"/>
    <w:rsid w:val="007F17F0"/>
    <w:rsid w:val="007F1CC9"/>
    <w:rsid w:val="00820EBF"/>
    <w:rsid w:val="00825A08"/>
    <w:rsid w:val="00844782"/>
    <w:rsid w:val="00864491"/>
    <w:rsid w:val="00867FE1"/>
    <w:rsid w:val="00886838"/>
    <w:rsid w:val="008C5DEF"/>
    <w:rsid w:val="008E39D7"/>
    <w:rsid w:val="008F5E5C"/>
    <w:rsid w:val="00930C21"/>
    <w:rsid w:val="00952607"/>
    <w:rsid w:val="00962234"/>
    <w:rsid w:val="0096359D"/>
    <w:rsid w:val="009638EA"/>
    <w:rsid w:val="00965E6C"/>
    <w:rsid w:val="00991866"/>
    <w:rsid w:val="009D77CC"/>
    <w:rsid w:val="009E1529"/>
    <w:rsid w:val="009E2ACF"/>
    <w:rsid w:val="009F3090"/>
    <w:rsid w:val="00A11FF1"/>
    <w:rsid w:val="00A40CD5"/>
    <w:rsid w:val="00A573FB"/>
    <w:rsid w:val="00A85D7E"/>
    <w:rsid w:val="00A95CD7"/>
    <w:rsid w:val="00AB460B"/>
    <w:rsid w:val="00AB5595"/>
    <w:rsid w:val="00AE10AA"/>
    <w:rsid w:val="00AE494F"/>
    <w:rsid w:val="00AF23E1"/>
    <w:rsid w:val="00B16D55"/>
    <w:rsid w:val="00B340FC"/>
    <w:rsid w:val="00B4650F"/>
    <w:rsid w:val="00B62A73"/>
    <w:rsid w:val="00B7681C"/>
    <w:rsid w:val="00B847DA"/>
    <w:rsid w:val="00B869F7"/>
    <w:rsid w:val="00B92C86"/>
    <w:rsid w:val="00BB2DBE"/>
    <w:rsid w:val="00BE3C82"/>
    <w:rsid w:val="00BE6978"/>
    <w:rsid w:val="00C03AF5"/>
    <w:rsid w:val="00C1791C"/>
    <w:rsid w:val="00C20A7A"/>
    <w:rsid w:val="00C35CF8"/>
    <w:rsid w:val="00C4357C"/>
    <w:rsid w:val="00C6292F"/>
    <w:rsid w:val="00C815E1"/>
    <w:rsid w:val="00C81755"/>
    <w:rsid w:val="00C936DD"/>
    <w:rsid w:val="00CA503D"/>
    <w:rsid w:val="00CA5253"/>
    <w:rsid w:val="00CB4EC5"/>
    <w:rsid w:val="00CB6D97"/>
    <w:rsid w:val="00CC7838"/>
    <w:rsid w:val="00CE275C"/>
    <w:rsid w:val="00CE3956"/>
    <w:rsid w:val="00CE4917"/>
    <w:rsid w:val="00CF575D"/>
    <w:rsid w:val="00CF60DD"/>
    <w:rsid w:val="00D0007D"/>
    <w:rsid w:val="00D211C6"/>
    <w:rsid w:val="00D23984"/>
    <w:rsid w:val="00D44EBA"/>
    <w:rsid w:val="00D70D2F"/>
    <w:rsid w:val="00D73F92"/>
    <w:rsid w:val="00D8460E"/>
    <w:rsid w:val="00D84F30"/>
    <w:rsid w:val="00D95701"/>
    <w:rsid w:val="00D976E4"/>
    <w:rsid w:val="00D9797B"/>
    <w:rsid w:val="00DA1975"/>
    <w:rsid w:val="00E13CFD"/>
    <w:rsid w:val="00E26124"/>
    <w:rsid w:val="00E3543A"/>
    <w:rsid w:val="00E41028"/>
    <w:rsid w:val="00E5456E"/>
    <w:rsid w:val="00E6232E"/>
    <w:rsid w:val="00E64D09"/>
    <w:rsid w:val="00E9217D"/>
    <w:rsid w:val="00EA0868"/>
    <w:rsid w:val="00EB14F5"/>
    <w:rsid w:val="00F0058F"/>
    <w:rsid w:val="00F110FC"/>
    <w:rsid w:val="00F2502D"/>
    <w:rsid w:val="00F35BF4"/>
    <w:rsid w:val="00F724A9"/>
    <w:rsid w:val="00F813E2"/>
    <w:rsid w:val="00F83EF0"/>
    <w:rsid w:val="00F9785A"/>
    <w:rsid w:val="00F97F4C"/>
    <w:rsid w:val="00FA41EC"/>
    <w:rsid w:val="00FB2354"/>
    <w:rsid w:val="00FF31C2"/>
    <w:rsid w:val="00FF5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03F4B"/>
  <w15:chartTrackingRefBased/>
  <w15:docId w15:val="{BA3F2107-1946-480F-B78B-59B394DEF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340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40FC"/>
    <w:rPr>
      <w:sz w:val="20"/>
      <w:szCs w:val="20"/>
    </w:rPr>
  </w:style>
  <w:style w:type="character" w:styleId="FootnoteReference">
    <w:name w:val="footnote reference"/>
    <w:basedOn w:val="DefaultParagraphFont"/>
    <w:uiPriority w:val="99"/>
    <w:semiHidden/>
    <w:unhideWhenUsed/>
    <w:rsid w:val="00B340FC"/>
    <w:rPr>
      <w:vertAlign w:val="superscript"/>
    </w:rPr>
  </w:style>
  <w:style w:type="paragraph" w:styleId="Header">
    <w:name w:val="header"/>
    <w:basedOn w:val="Normal"/>
    <w:link w:val="HeaderChar"/>
    <w:uiPriority w:val="99"/>
    <w:unhideWhenUsed/>
    <w:rsid w:val="00693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E1A"/>
  </w:style>
  <w:style w:type="paragraph" w:styleId="Footer">
    <w:name w:val="footer"/>
    <w:basedOn w:val="Normal"/>
    <w:link w:val="FooterChar"/>
    <w:uiPriority w:val="99"/>
    <w:unhideWhenUsed/>
    <w:rsid w:val="00693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79378-47E4-404E-9113-31EB12CB7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2077</Words>
  <Characters>11843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Macharia</dc:creator>
  <cp:keywords/>
  <dc:description/>
  <cp:lastModifiedBy>roxana burlacu</cp:lastModifiedBy>
  <cp:revision>2</cp:revision>
  <dcterms:created xsi:type="dcterms:W3CDTF">2022-05-05T11:16:00Z</dcterms:created>
  <dcterms:modified xsi:type="dcterms:W3CDTF">2022-05-05T11:16:00Z</dcterms:modified>
</cp:coreProperties>
</file>