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6898E51F"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AA2F76">
              <w:rPr>
                <w:b/>
                <w:color w:val="auto"/>
                <w:sz w:val="32"/>
              </w:rPr>
              <w:t>MATTHEW REYNOLDS</w:t>
            </w:r>
          </w:p>
          <w:p w14:paraId="58374EBA" w14:textId="77777777" w:rsidR="00575A8F" w:rsidRDefault="00575A8F" w:rsidP="00E6298B">
            <w:pPr>
              <w:overflowPunct/>
              <w:autoSpaceDE/>
              <w:autoSpaceDN/>
              <w:adjustRightInd/>
              <w:ind w:right="107"/>
              <w:textAlignment w:val="auto"/>
              <w:rPr>
                <w:b/>
                <w:color w:val="auto"/>
                <w:sz w:val="32"/>
              </w:rPr>
            </w:pPr>
          </w:p>
          <w:p w14:paraId="523CD454" w14:textId="4D4996CA"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AA2F76">
              <w:rPr>
                <w:b/>
                <w:color w:val="auto"/>
                <w:sz w:val="32"/>
              </w:rPr>
              <w:t xml:space="preserve"> </w:t>
            </w:r>
            <w:r w:rsidR="00AA2F76" w:rsidRPr="00AA2F76">
              <w:rPr>
                <w:b/>
                <w:color w:val="auto"/>
                <w:sz w:val="32"/>
              </w:rPr>
              <w:t>2023862</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47AA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w:t>
      </w:r>
      <w:proofErr w:type="gramStart"/>
      <w:r w:rsidRPr="2E5ED9CE">
        <w:rPr>
          <w:rFonts w:eastAsia="Arial"/>
          <w:i/>
          <w:iCs/>
          <w:color w:val="000000" w:themeColor="text1"/>
          <w:sz w:val="24"/>
          <w:szCs w:val="24"/>
        </w:rPr>
        <w:t>particular document</w:t>
      </w:r>
      <w:proofErr w:type="gramEnd"/>
      <w:r w:rsidRPr="2E5ED9CE">
        <w:rPr>
          <w:rFonts w:eastAsia="Arial"/>
          <w:i/>
          <w:iCs/>
          <w:color w:val="000000" w:themeColor="text1"/>
          <w:sz w:val="24"/>
          <w:szCs w:val="24"/>
        </w:rPr>
        <w:t xml:space="preserve">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3453B979"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The aim of this essay is to reflect on my first six months of learning in my new role as Police Constable and explain how I’ve demonstrated resilience and dealt with stress. Firstly, it is important to define and discuss what exactly resilience and stress are. Once this is achieved, I can then delve deeper into my own experiences and explore the coping strategies I applied to develop my own resilience and minimise stress during the first six months of learning.</w:t>
      </w:r>
    </w:p>
    <w:p w14:paraId="0AFF37B1"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Stress is a term most people are aware of, stressors can have a positive or negative influence over our behaviour, mood, general health and well-being (Schneiderman, </w:t>
      </w:r>
      <w:proofErr w:type="spellStart"/>
      <w:r w:rsidRPr="00B313D3">
        <w:rPr>
          <w:rFonts w:ascii="Times New Roman" w:eastAsia="Calibri" w:hAnsi="Times New Roman" w:cs="Times New Roman"/>
          <w:color w:val="auto"/>
          <w:sz w:val="24"/>
          <w:szCs w:val="24"/>
          <w:lang w:eastAsia="en-US"/>
        </w:rPr>
        <w:t>Ironson</w:t>
      </w:r>
      <w:proofErr w:type="spellEnd"/>
      <w:r w:rsidRPr="00B313D3">
        <w:rPr>
          <w:rFonts w:ascii="Times New Roman" w:eastAsia="Calibri" w:hAnsi="Times New Roman" w:cs="Times New Roman"/>
          <w:color w:val="auto"/>
          <w:sz w:val="24"/>
          <w:szCs w:val="24"/>
          <w:lang w:eastAsia="en-US"/>
        </w:rPr>
        <w:t xml:space="preserve"> and Siegal., 2005). There are many definitions of stress, </w:t>
      </w:r>
      <w:proofErr w:type="spellStart"/>
      <w:r w:rsidRPr="00B313D3">
        <w:rPr>
          <w:rFonts w:ascii="Times New Roman" w:eastAsia="Calibri" w:hAnsi="Times New Roman" w:cs="Times New Roman"/>
          <w:color w:val="auto"/>
          <w:sz w:val="24"/>
          <w:szCs w:val="24"/>
          <w:lang w:eastAsia="en-US"/>
        </w:rPr>
        <w:t>Seyle</w:t>
      </w:r>
      <w:proofErr w:type="spellEnd"/>
      <w:r w:rsidRPr="00B313D3">
        <w:rPr>
          <w:rFonts w:ascii="Times New Roman" w:eastAsia="Calibri" w:hAnsi="Times New Roman" w:cs="Times New Roman"/>
          <w:color w:val="auto"/>
          <w:sz w:val="24"/>
          <w:szCs w:val="24"/>
          <w:lang w:eastAsia="en-US"/>
        </w:rPr>
        <w:t xml:space="preserve"> (1974) universally summarises stress as environmental demands which upset the balance of homeostasis, known to be the stable, natural, equilibrium state of the body. The body responds to stress physically and psychologically, negative or prolonged stressors have the potential to cause damage to health and well-being (</w:t>
      </w:r>
      <w:proofErr w:type="spellStart"/>
      <w:r w:rsidRPr="00B313D3">
        <w:rPr>
          <w:rFonts w:ascii="Times New Roman" w:eastAsia="Calibri" w:hAnsi="Times New Roman" w:cs="Times New Roman"/>
          <w:color w:val="auto"/>
          <w:sz w:val="24"/>
          <w:szCs w:val="24"/>
          <w:lang w:eastAsia="en-US"/>
        </w:rPr>
        <w:t>Seyle</w:t>
      </w:r>
      <w:proofErr w:type="spellEnd"/>
      <w:r w:rsidRPr="00B313D3">
        <w:rPr>
          <w:rFonts w:ascii="Times New Roman" w:eastAsia="Calibri" w:hAnsi="Times New Roman" w:cs="Times New Roman"/>
          <w:color w:val="auto"/>
          <w:sz w:val="24"/>
          <w:szCs w:val="24"/>
          <w:lang w:eastAsia="en-US"/>
        </w:rPr>
        <w:t>., 1956), therefore making it extremely important to be aware of personal stressors and how to deal with them before they have a long-lasting effect on health. Lacey &amp; Lacey (1958) established that individual differences play a huge role in stress, suggesting we are all different and what may be perceived stress to one person, will not be to another and so on.</w:t>
      </w:r>
    </w:p>
    <w:p w14:paraId="7C0847E1"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Van Breda (2001) summarises resilience as a term which explains the knowledge, abilities, insights and skills that gathers over a timescale as an individual strains to meet challenges and overcome adversity, like a continuing and developing supply of skill and energy referred to in struggles. Tierney (2003) advocates resilience as the capability to adjust to predicted stress and the ability to adapt when unexpected anxieties arise. </w:t>
      </w:r>
    </w:p>
    <w:p w14:paraId="64BA86FC"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In January 2021 I started my initial 6 months of learning with South Wales Police based in the Bridgend training centre. Due to the ongoing global pandemic, contact time in the classroom was limited to allow for adequate social distancing, distance learning formed a significant part of all the training completed throughout the course. It had been seventeen years since I was last in full time education and whilst there is research out there that suggests adults returning to education can be a welcomed change and chance to improve one’s life, there are also many barriers they can face along the way. Turning forty prior to starting my police training was a worry to me as I had been out of education for twenty years and a lot has changed since then. This worry became a stress to me as not only was it a lot to get my head around, the struggle of the pandemic in place meant there was a great deal of learning from home, limited contact hours with classmates and getting to grips with new forms of technology. Cross (1981) states that adults returning to learning experience barriers to </w:t>
      </w:r>
      <w:r w:rsidRPr="00B313D3">
        <w:rPr>
          <w:rFonts w:ascii="Times New Roman" w:eastAsia="Calibri" w:hAnsi="Times New Roman" w:cs="Times New Roman"/>
          <w:color w:val="auto"/>
          <w:sz w:val="24"/>
          <w:szCs w:val="24"/>
          <w:lang w:eastAsia="en-US"/>
        </w:rPr>
        <w:lastRenderedPageBreak/>
        <w:t>learning in three different categories: dispositional, institutional and situational. Dispositional barriers signify personality traits that are developed through early educational experiences, the belief that one is too old to be returning to education and fears about one’s ability to succeed. Institutional barriers involve practices and procedures put in place by the institution that would discourage participation, limit opportunity, lack flexibility and involve high fees. Situational barriers consist of those obstacles present in an individual’s personal and working life (Cross, 1981). Whilst I was aware of dispositional and situational barriers I may occur and how to manage them and not let them turn into great stressors. However, I did not experience institutional barriers and found the course and institution very welcoming and encouraging. The contact hours we had on the course was a positive, welcomed change as it provided opportunity to get to know my cohorts and tutor on a deeper, personal level rather than online only. I felt more confident in the classroom setting, by engaging more in lesson content, asking questions and forming a rapport with my classmates. There was a good mix of personalities and there was plenty of laughter throughout. The tutor was an experienced operational response police officer prior to taking up his role in training and I found his wealth of operational knowledge highly beneficial to my learning, hearing about his years of experience helped me to absorb the knowledge and give everything context. However, when it came to the attestation which is completed at the start instead of a formal occasion with a magistrate, was now conducted in a windowless room with man recording it on camera. Whilst I would look forward to going into the classroom sessions, because of the pandemic, there were significant social distancing measures, use of PPE, thorough cleaning periodically involved throughout the day. Practical scenarios were completed under social distancing measure meaning we would not get the full experience; we could not handcuff or search people properly.  In the latter stages of training, I completed Officer Safety Training (OST), it was deemed necessary to get hands on but were in pairs and could not switch partners as would normally be the case but due to social distancing meant we were once again, restricted. These restrictions were a growing stress to me and made me feel I wasn’t as prepared heading out into response as I should be.</w:t>
      </w:r>
    </w:p>
    <w:p w14:paraId="62D96250"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In order to show resilience to the challenges faced in the first six months of training, I made sure to include exercise in my daily routine. I already had a good routine of exercise and had used it for this purpose for years to encourage brain functions. The biggest obstacle with regards exercise during those six months was the fact that lockdown was going on and gyms, swimming pools were </w:t>
      </w:r>
      <w:proofErr w:type="gramStart"/>
      <w:r w:rsidRPr="00B313D3">
        <w:rPr>
          <w:rFonts w:ascii="Times New Roman" w:eastAsia="Calibri" w:hAnsi="Times New Roman" w:cs="Times New Roman"/>
          <w:color w:val="auto"/>
          <w:sz w:val="24"/>
          <w:szCs w:val="24"/>
          <w:lang w:eastAsia="en-US"/>
        </w:rPr>
        <w:t>closed</w:t>
      </w:r>
      <w:proofErr w:type="gramEnd"/>
      <w:r w:rsidRPr="00B313D3">
        <w:rPr>
          <w:rFonts w:ascii="Times New Roman" w:eastAsia="Calibri" w:hAnsi="Times New Roman" w:cs="Times New Roman"/>
          <w:color w:val="auto"/>
          <w:sz w:val="24"/>
          <w:szCs w:val="24"/>
          <w:lang w:eastAsia="en-US"/>
        </w:rPr>
        <w:t xml:space="preserve"> and group activities were restricted meant that exercise became unsociable during </w:t>
      </w:r>
      <w:proofErr w:type="spellStart"/>
      <w:r w:rsidRPr="00B313D3">
        <w:rPr>
          <w:rFonts w:ascii="Times New Roman" w:eastAsia="Calibri" w:hAnsi="Times New Roman" w:cs="Times New Roman"/>
          <w:color w:val="auto"/>
          <w:sz w:val="24"/>
          <w:szCs w:val="24"/>
          <w:lang w:eastAsia="en-US"/>
        </w:rPr>
        <w:t>covid</w:t>
      </w:r>
      <w:proofErr w:type="spellEnd"/>
      <w:r w:rsidRPr="00B313D3">
        <w:rPr>
          <w:rFonts w:ascii="Times New Roman" w:eastAsia="Calibri" w:hAnsi="Times New Roman" w:cs="Times New Roman"/>
          <w:color w:val="auto"/>
          <w:sz w:val="24"/>
          <w:szCs w:val="24"/>
          <w:lang w:eastAsia="en-US"/>
        </w:rPr>
        <w:t xml:space="preserve">. A contemporary study composed by Ingram, Hand and </w:t>
      </w:r>
      <w:proofErr w:type="spellStart"/>
      <w:r w:rsidRPr="00B313D3">
        <w:rPr>
          <w:rFonts w:ascii="Times New Roman" w:eastAsia="Calibri" w:hAnsi="Times New Roman" w:cs="Times New Roman"/>
          <w:color w:val="auto"/>
          <w:sz w:val="24"/>
          <w:szCs w:val="24"/>
          <w:lang w:eastAsia="en-US"/>
        </w:rPr>
        <w:t>Maciejewski</w:t>
      </w:r>
      <w:proofErr w:type="spellEnd"/>
      <w:r w:rsidRPr="00B313D3">
        <w:rPr>
          <w:rFonts w:ascii="Times New Roman" w:eastAsia="Calibri" w:hAnsi="Times New Roman" w:cs="Times New Roman"/>
          <w:color w:val="auto"/>
          <w:sz w:val="24"/>
          <w:szCs w:val="24"/>
          <w:lang w:eastAsia="en-US"/>
        </w:rPr>
        <w:t xml:space="preserve"> (2021) explored how social isolation impaired cognitive function during lockdown, they found a link between cognitive decline and social isolation in older adults, due to the restricted conditions in place in the United Kingdom. They noted a decline in attention and memory as a result of extended time in an isolated environment. Physical activity promotes positive brain functions according to Jackson et al (2016), </w:t>
      </w:r>
      <w:proofErr w:type="gramStart"/>
      <w:r w:rsidRPr="00B313D3">
        <w:rPr>
          <w:rFonts w:ascii="Times New Roman" w:eastAsia="Calibri" w:hAnsi="Times New Roman" w:cs="Times New Roman"/>
          <w:color w:val="auto"/>
          <w:sz w:val="24"/>
          <w:szCs w:val="24"/>
          <w:lang w:eastAsia="en-US"/>
        </w:rPr>
        <w:t>this is why</w:t>
      </w:r>
      <w:proofErr w:type="gramEnd"/>
      <w:r w:rsidRPr="00B313D3">
        <w:rPr>
          <w:rFonts w:ascii="Times New Roman" w:eastAsia="Calibri" w:hAnsi="Times New Roman" w:cs="Times New Roman"/>
          <w:color w:val="auto"/>
          <w:sz w:val="24"/>
          <w:szCs w:val="24"/>
          <w:lang w:eastAsia="en-US"/>
        </w:rPr>
        <w:t xml:space="preserve"> I felt it vital to incorporate in my daily routine to help ease stress. Exercising before logging on to the laptop for the day helped clear my mind and allow me to be alert, attentive and ready for the days content. Going for a short walk between classes again kept me alert and meant I was able to concentrate more during the day. Upon reflection I would have </w:t>
      </w:r>
      <w:proofErr w:type="gramStart"/>
      <w:r w:rsidRPr="00B313D3">
        <w:rPr>
          <w:rFonts w:ascii="Times New Roman" w:eastAsia="Calibri" w:hAnsi="Times New Roman" w:cs="Times New Roman"/>
          <w:color w:val="auto"/>
          <w:sz w:val="24"/>
          <w:szCs w:val="24"/>
          <w:lang w:eastAsia="en-US"/>
        </w:rPr>
        <w:t>definitely struggled</w:t>
      </w:r>
      <w:proofErr w:type="gramEnd"/>
      <w:r w:rsidRPr="00B313D3">
        <w:rPr>
          <w:rFonts w:ascii="Times New Roman" w:eastAsia="Calibri" w:hAnsi="Times New Roman" w:cs="Times New Roman"/>
          <w:color w:val="auto"/>
          <w:sz w:val="24"/>
          <w:szCs w:val="24"/>
          <w:lang w:eastAsia="en-US"/>
        </w:rPr>
        <w:t xml:space="preserve"> and fallen into the bracket of Ingram, Hand and </w:t>
      </w:r>
      <w:proofErr w:type="spellStart"/>
      <w:r w:rsidRPr="00B313D3">
        <w:rPr>
          <w:rFonts w:ascii="Times New Roman" w:eastAsia="Calibri" w:hAnsi="Times New Roman" w:cs="Times New Roman"/>
          <w:color w:val="auto"/>
          <w:sz w:val="24"/>
          <w:szCs w:val="24"/>
          <w:lang w:eastAsia="en-US"/>
        </w:rPr>
        <w:t>Maciejewski</w:t>
      </w:r>
      <w:proofErr w:type="spellEnd"/>
      <w:r w:rsidRPr="00B313D3">
        <w:rPr>
          <w:rFonts w:ascii="Times New Roman" w:eastAsia="Calibri" w:hAnsi="Times New Roman" w:cs="Times New Roman"/>
          <w:color w:val="auto"/>
          <w:sz w:val="24"/>
          <w:szCs w:val="24"/>
          <w:lang w:eastAsia="en-US"/>
        </w:rPr>
        <w:t xml:space="preserve"> (2021) study and would have struggled with attention and memory.  This is an example of how I developed resilience as I understood the predicted stress and used my initiative to apply an intervention that benefitted me and got me through the course. </w:t>
      </w:r>
    </w:p>
    <w:p w14:paraId="489D7F10"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Another barrier faced was the use of IT software’s I had limited prior experience of, which put me at an instant disadvantage compared to my classmates. Whilst I was extremely grateful to receive </w:t>
      </w:r>
      <w:r w:rsidRPr="00B313D3">
        <w:rPr>
          <w:rFonts w:ascii="Times New Roman" w:eastAsia="Calibri" w:hAnsi="Times New Roman" w:cs="Times New Roman"/>
          <w:color w:val="auto"/>
          <w:sz w:val="24"/>
          <w:szCs w:val="24"/>
          <w:lang w:eastAsia="en-US"/>
        </w:rPr>
        <w:lastRenderedPageBreak/>
        <w:t xml:space="preserve">police issued laptop, it took me slightly longer to come to terms with using Microsoft Teams, Skype calls, </w:t>
      </w:r>
      <w:proofErr w:type="spellStart"/>
      <w:r w:rsidRPr="00B313D3">
        <w:rPr>
          <w:rFonts w:ascii="Times New Roman" w:eastAsia="Calibri" w:hAnsi="Times New Roman" w:cs="Times New Roman"/>
          <w:color w:val="auto"/>
          <w:sz w:val="24"/>
          <w:szCs w:val="24"/>
          <w:lang w:eastAsia="en-US"/>
        </w:rPr>
        <w:t>Panoptos</w:t>
      </w:r>
      <w:proofErr w:type="spellEnd"/>
      <w:r w:rsidRPr="00B313D3">
        <w:rPr>
          <w:rFonts w:ascii="Times New Roman" w:eastAsia="Calibri" w:hAnsi="Times New Roman" w:cs="Times New Roman"/>
          <w:color w:val="auto"/>
          <w:sz w:val="24"/>
          <w:szCs w:val="24"/>
          <w:lang w:eastAsia="en-US"/>
        </w:rPr>
        <w:t xml:space="preserve">, and </w:t>
      </w:r>
      <w:proofErr w:type="spellStart"/>
      <w:r w:rsidRPr="00B313D3">
        <w:rPr>
          <w:rFonts w:ascii="Times New Roman" w:eastAsia="Calibri" w:hAnsi="Times New Roman" w:cs="Times New Roman"/>
          <w:color w:val="auto"/>
          <w:sz w:val="24"/>
          <w:szCs w:val="24"/>
          <w:lang w:eastAsia="en-US"/>
        </w:rPr>
        <w:t>Powerpoint</w:t>
      </w:r>
      <w:proofErr w:type="spellEnd"/>
      <w:r w:rsidRPr="00B313D3">
        <w:rPr>
          <w:rFonts w:ascii="Times New Roman" w:eastAsia="Calibri" w:hAnsi="Times New Roman" w:cs="Times New Roman"/>
          <w:color w:val="auto"/>
          <w:sz w:val="24"/>
          <w:szCs w:val="24"/>
          <w:lang w:eastAsia="en-US"/>
        </w:rPr>
        <w:t xml:space="preserve"> presentations. Looking back, I would have found a session focussing specifically on IT skills beneficial, as it </w:t>
      </w:r>
      <w:proofErr w:type="gramStart"/>
      <w:r w:rsidRPr="00B313D3">
        <w:rPr>
          <w:rFonts w:ascii="Times New Roman" w:eastAsia="Calibri" w:hAnsi="Times New Roman" w:cs="Times New Roman"/>
          <w:color w:val="auto"/>
          <w:sz w:val="24"/>
          <w:szCs w:val="24"/>
          <w:lang w:eastAsia="en-US"/>
        </w:rPr>
        <w:t>still continues</w:t>
      </w:r>
      <w:proofErr w:type="gramEnd"/>
      <w:r w:rsidRPr="00B313D3">
        <w:rPr>
          <w:rFonts w:ascii="Times New Roman" w:eastAsia="Calibri" w:hAnsi="Times New Roman" w:cs="Times New Roman"/>
          <w:color w:val="auto"/>
          <w:sz w:val="24"/>
          <w:szCs w:val="24"/>
          <w:lang w:eastAsia="en-US"/>
        </w:rPr>
        <w:t xml:space="preserve"> to be a stress to me. In order to overcome this, I have read various articles and websites to gain greater understanding of the software required for us to use during the course. I still struggle with IT but feel like I am learning constantly and always improving my knowledge. There were two exams during the course with a 40% pass rate. Exams were held in a classroom using laptops to complete essay style questions. When it came to </w:t>
      </w:r>
      <w:proofErr w:type="gramStart"/>
      <w:r w:rsidRPr="00B313D3">
        <w:rPr>
          <w:rFonts w:ascii="Times New Roman" w:eastAsia="Calibri" w:hAnsi="Times New Roman" w:cs="Times New Roman"/>
          <w:color w:val="auto"/>
          <w:sz w:val="24"/>
          <w:szCs w:val="24"/>
          <w:lang w:eastAsia="en-US"/>
        </w:rPr>
        <w:t>revising</w:t>
      </w:r>
      <w:proofErr w:type="gramEnd"/>
      <w:r w:rsidRPr="00B313D3">
        <w:rPr>
          <w:rFonts w:ascii="Times New Roman" w:eastAsia="Calibri" w:hAnsi="Times New Roman" w:cs="Times New Roman"/>
          <w:color w:val="auto"/>
          <w:sz w:val="24"/>
          <w:szCs w:val="24"/>
          <w:lang w:eastAsia="en-US"/>
        </w:rPr>
        <w:t xml:space="preserve"> for the exams, I made sure to implement exercise to relieve stress and anxiety and promote positive brain functions when trying to retain information. Again, supporting Tierney (2003) definition of resilience as taking perceived stress and managing it before it escalates and causes negative anxiety, the use of exercise meant I could concentrate better and feel less anxious attending the exams.</w:t>
      </w:r>
    </w:p>
    <w:p w14:paraId="5D206725"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Whilst it was a challenging first six months, there are many positives to be taken from the experience. I saw major improvement in my IT skills, improved academic skills and increased knowledge. I have improved communication &amp; problem-solving skills, empathy and interpersonal skills, I also believe myself to be more self-aware of my limitations and weaknesses and the areas I need to focus on to be the Police Officer I want to be. I have established better decision-making skills, understanding discretion, managing conflict and maintaining professional standards. But overall, I feel I have acquired the main skills, confidence and competence to progress to the next stage of my career within South Wales Police.   </w:t>
      </w:r>
    </w:p>
    <w:p w14:paraId="210FD5F5" w14:textId="322328B2" w:rsidR="00B313D3" w:rsidRPr="00B313D3" w:rsidRDefault="00B313D3" w:rsidP="00B313D3">
      <w:pPr>
        <w:overflowPunct/>
        <w:autoSpaceDE/>
        <w:autoSpaceDN/>
        <w:adjustRightInd/>
        <w:spacing w:after="160" w:line="256" w:lineRule="auto"/>
        <w:textAlignment w:val="auto"/>
        <w:rPr>
          <w:rFonts w:ascii="Calibri" w:eastAsia="Calibri" w:hAnsi="Calibri" w:cs="Times New Roman"/>
          <w:color w:val="auto"/>
          <w:sz w:val="24"/>
          <w:szCs w:val="24"/>
          <w:lang w:eastAsia="en-US"/>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w:t>
            </w:r>
            <w:proofErr w:type="spellStart"/>
            <w:r w:rsidRPr="28A9B94D">
              <w:rPr>
                <w:sz w:val="24"/>
                <w:szCs w:val="24"/>
              </w:rPr>
              <w:t>Betari’s</w:t>
            </w:r>
            <w:proofErr w:type="spellEnd"/>
            <w:r w:rsidRPr="28A9B94D">
              <w:rPr>
                <w:sz w:val="24"/>
                <w:szCs w:val="24"/>
              </w:rPr>
              <w:t xml:space="preserve">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F260319"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The aim of this essay is to critically assess, evaluate and reflect on a policing incident attended to which involved the application of managing conflict, fundamental communication skills, inclusion and valuing difference. This essay will also explore the following theories and models: The five-step appeal, </w:t>
      </w:r>
      <w:proofErr w:type="spellStart"/>
      <w:r w:rsidRPr="00B313D3">
        <w:rPr>
          <w:rFonts w:ascii="Times New Roman" w:eastAsia="Calibri" w:hAnsi="Times New Roman" w:cs="Times New Roman"/>
          <w:color w:val="auto"/>
          <w:sz w:val="24"/>
          <w:szCs w:val="24"/>
          <w:lang w:eastAsia="en-US"/>
        </w:rPr>
        <w:t>Betari’s</w:t>
      </w:r>
      <w:proofErr w:type="spellEnd"/>
      <w:r w:rsidRPr="00B313D3">
        <w:rPr>
          <w:rFonts w:ascii="Times New Roman" w:eastAsia="Calibri" w:hAnsi="Times New Roman" w:cs="Times New Roman"/>
          <w:color w:val="auto"/>
          <w:sz w:val="24"/>
          <w:szCs w:val="24"/>
          <w:lang w:eastAsia="en-US"/>
        </w:rPr>
        <w:t xml:space="preserve"> Box, the drama triangle, critically, and how they are relevant to the policing incident stated, whilst additionally demonstrating the engagement of the standards of professional behaviour, policing principles and the European Human Rights Act 1998. </w:t>
      </w:r>
    </w:p>
    <w:p w14:paraId="4E215DA1" w14:textId="75DAFEFD" w:rsidR="00B4588E" w:rsidRPr="00B4588E"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bCs/>
          <w:color w:val="auto"/>
          <w:sz w:val="24"/>
          <w:szCs w:val="24"/>
          <w:lang w:eastAsia="en-US"/>
        </w:rPr>
        <w:t>The five-step appeal is a communication model that involves escalating stages of reasoning</w:t>
      </w:r>
      <w:r w:rsidR="00B4588E">
        <w:rPr>
          <w:rFonts w:ascii="Times New Roman" w:eastAsia="Calibri" w:hAnsi="Times New Roman" w:cs="Times New Roman"/>
          <w:bCs/>
          <w:color w:val="auto"/>
          <w:sz w:val="24"/>
          <w:szCs w:val="24"/>
          <w:lang w:eastAsia="en-US"/>
        </w:rPr>
        <w:t xml:space="preserve"> </w:t>
      </w:r>
      <w:r w:rsidR="00B4588E">
        <w:rPr>
          <w:rFonts w:ascii="Times New Roman" w:hAnsi="Times New Roman" w:cs="Times New Roman"/>
          <w:sz w:val="24"/>
          <w:szCs w:val="24"/>
        </w:rPr>
        <w:t>(College of Policing, 2021).</w:t>
      </w:r>
      <w:r w:rsidRPr="00B313D3">
        <w:rPr>
          <w:rFonts w:ascii="Times New Roman" w:eastAsia="Calibri" w:hAnsi="Times New Roman" w:cs="Times New Roman"/>
          <w:bCs/>
          <w:color w:val="auto"/>
          <w:sz w:val="24"/>
          <w:szCs w:val="24"/>
          <w:lang w:eastAsia="en-US"/>
        </w:rPr>
        <w:t xml:space="preserve"> It allows an individual to be given multiple chances to comply with requests being made by an officer. It begins with a simple appeal, which involves asking an individual to comply with set commands given from the police officer. Secondly is the reasoned appeal, where the subject is informed which conduct is in breach, allowing the officer to explain why the request is being made. The third appeal is personal appeal, here is where the subject is told what is at risk should they chose to not comply with the officer’s orders. The fourth step is the final appeal, where the subject is advised this is their final option to comply. Finally, the fifth stage is where action is taken, at this stage all interactions have failed</w:t>
      </w:r>
      <w:r w:rsidR="00B4588E">
        <w:rPr>
          <w:rFonts w:ascii="Times New Roman" w:eastAsia="Calibri" w:hAnsi="Times New Roman" w:cs="Times New Roman"/>
          <w:bCs/>
          <w:color w:val="auto"/>
          <w:sz w:val="24"/>
          <w:szCs w:val="24"/>
          <w:lang w:eastAsia="en-US"/>
        </w:rPr>
        <w:t>,</w:t>
      </w:r>
      <w:r w:rsidRPr="00B313D3">
        <w:rPr>
          <w:rFonts w:ascii="Times New Roman" w:eastAsia="Calibri" w:hAnsi="Times New Roman" w:cs="Times New Roman"/>
          <w:bCs/>
          <w:color w:val="auto"/>
          <w:sz w:val="24"/>
          <w:szCs w:val="24"/>
          <w:lang w:eastAsia="en-US"/>
        </w:rPr>
        <w:t xml:space="preserve"> and justifiable actions </w:t>
      </w:r>
      <w:r w:rsidR="00B4588E" w:rsidRPr="00B313D3">
        <w:rPr>
          <w:rFonts w:ascii="Times New Roman" w:eastAsia="Calibri" w:hAnsi="Times New Roman" w:cs="Times New Roman"/>
          <w:bCs/>
          <w:color w:val="auto"/>
          <w:sz w:val="24"/>
          <w:szCs w:val="24"/>
          <w:lang w:eastAsia="en-US"/>
        </w:rPr>
        <w:t>can</w:t>
      </w:r>
      <w:r w:rsidRPr="00B313D3">
        <w:rPr>
          <w:rFonts w:ascii="Times New Roman" w:eastAsia="Calibri" w:hAnsi="Times New Roman" w:cs="Times New Roman"/>
          <w:bCs/>
          <w:color w:val="auto"/>
          <w:sz w:val="24"/>
          <w:szCs w:val="24"/>
          <w:lang w:eastAsia="en-US"/>
        </w:rPr>
        <w:t xml:space="preserve"> be used</w:t>
      </w:r>
      <w:r w:rsidR="00B4588E">
        <w:rPr>
          <w:rFonts w:ascii="Times New Roman" w:eastAsia="Calibri" w:hAnsi="Times New Roman" w:cs="Times New Roman"/>
          <w:bCs/>
          <w:color w:val="auto"/>
          <w:sz w:val="24"/>
          <w:szCs w:val="24"/>
          <w:lang w:eastAsia="en-US"/>
        </w:rPr>
        <w:t xml:space="preserve"> </w:t>
      </w:r>
      <w:r w:rsidR="00B4588E">
        <w:rPr>
          <w:rFonts w:ascii="Times New Roman" w:hAnsi="Times New Roman" w:cs="Times New Roman"/>
          <w:sz w:val="24"/>
          <w:szCs w:val="24"/>
        </w:rPr>
        <w:t xml:space="preserve">(College of Policing, 2021). </w:t>
      </w:r>
      <w:r w:rsidRPr="00B313D3">
        <w:rPr>
          <w:rFonts w:ascii="Times New Roman" w:eastAsia="Calibri" w:hAnsi="Times New Roman" w:cs="Times New Roman"/>
          <w:bCs/>
          <w:color w:val="auto"/>
          <w:sz w:val="24"/>
          <w:szCs w:val="24"/>
          <w:lang w:eastAsia="en-US"/>
        </w:rPr>
        <w:t xml:space="preserve">This appeal is held in high regard not only amongst the police, but in universal situations involving communication and behaviour management and control. However, it is an </w:t>
      </w:r>
      <w:r w:rsidRPr="00B313D3">
        <w:rPr>
          <w:rFonts w:ascii="Times New Roman" w:eastAsia="Calibri" w:hAnsi="Times New Roman" w:cs="Times New Roman"/>
          <w:bCs/>
          <w:color w:val="auto"/>
          <w:sz w:val="24"/>
          <w:szCs w:val="24"/>
          <w:lang w:eastAsia="en-US"/>
        </w:rPr>
        <w:lastRenderedPageBreak/>
        <w:t>extremely essential and necessary tool used in the role of the police officer as it provides opportunity to calm a situation down, provide reasoning, give an individual the chance to comply to police instruction and has the potential to stop a situation reaching needless outcomes. The model does provide scope for the suspect to have greater understanding as to why they are in the situation they are in and potentially the opportunity to avoid arrest, depending on the severity of the circumstances. It also allows the officer to be patient, respectful and courteous towards the suspect and by doing this promotes positive outcomes. Alternatively, it can be argued that the use of this appeal in the role of policing could be too lenient in circumstances of high risk and where immediate action would be required. So, whilst it can be widely praised, it would be required of the officer to use their own initiative and intuition to read the situation and act accordingly.</w:t>
      </w:r>
    </w:p>
    <w:p w14:paraId="30C6E5DD" w14:textId="2B7BF98D"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The concept of </w:t>
      </w:r>
      <w:proofErr w:type="spellStart"/>
      <w:r w:rsidRPr="00B313D3">
        <w:rPr>
          <w:rFonts w:ascii="Times New Roman" w:eastAsia="Calibri" w:hAnsi="Times New Roman" w:cs="Times New Roman"/>
          <w:color w:val="auto"/>
          <w:sz w:val="24"/>
          <w:szCs w:val="24"/>
          <w:lang w:eastAsia="en-US"/>
        </w:rPr>
        <w:t>Betari’s</w:t>
      </w:r>
      <w:proofErr w:type="spellEnd"/>
      <w:r w:rsidRPr="00B313D3">
        <w:rPr>
          <w:rFonts w:ascii="Times New Roman" w:eastAsia="Calibri" w:hAnsi="Times New Roman" w:cs="Times New Roman"/>
          <w:color w:val="auto"/>
          <w:sz w:val="24"/>
          <w:szCs w:val="24"/>
          <w:lang w:eastAsia="en-US"/>
        </w:rPr>
        <w:t xml:space="preserve"> box is that human attitude and behaviour is linked, suggesting that a person’s attitude towards a stimulus or environment will induce a positive or negative behavioural response. It is portrayed as a continual cycle and is comprised of four stages: my attitude, my behaviour, your attitude and your behaviour. The model provides clear explanation on how our attitudes and behaviours will affect and impact the attitudes and behaviours on those around us. Bosco et al., (2019) conducted a study exploring the dyadic construction of dementia, exploring behaviour- processing synthesis and they’re findings support </w:t>
      </w:r>
      <w:proofErr w:type="spellStart"/>
      <w:r w:rsidRPr="00B313D3">
        <w:rPr>
          <w:rFonts w:ascii="Times New Roman" w:eastAsia="Calibri" w:hAnsi="Times New Roman" w:cs="Times New Roman"/>
          <w:color w:val="auto"/>
          <w:sz w:val="24"/>
          <w:szCs w:val="24"/>
          <w:lang w:eastAsia="en-US"/>
        </w:rPr>
        <w:t>Betari’s</w:t>
      </w:r>
      <w:proofErr w:type="spellEnd"/>
      <w:r w:rsidRPr="00B313D3">
        <w:rPr>
          <w:rFonts w:ascii="Times New Roman" w:eastAsia="Calibri" w:hAnsi="Times New Roman" w:cs="Times New Roman"/>
          <w:color w:val="auto"/>
          <w:sz w:val="24"/>
          <w:szCs w:val="24"/>
          <w:lang w:eastAsia="en-US"/>
        </w:rPr>
        <w:t xml:space="preserve"> box, they state that positive attitudes and behaviours from carers promotes positive attitudes and positive behaviours amongst the patients, alternatively negative attitude encourages negative responses in others, suggesting if you speak in a negative and aggressive manner, it is likely the person you are speaking to will react in a way that reflects your attitude and behaviour (Bosco et al., 2019). This is more common amongst police officers as not all encounters will be positive, nevertheless, if we can approach a situation with positive attitudes and behaviours it could impact the situation and provide a better outcome than if we arrived with a negative attitude. Once again, it should be noted that each situation and call out will differ from another, therefore, it is essential that the police officers have a great deal of self-awareness and logic on when and how to act in the circumstances they are presented with. It can have great implications by either diffusing a situation calmly or can have the potential to escalate and cause an opposite, negative outcome. </w:t>
      </w:r>
      <w:proofErr w:type="spellStart"/>
      <w:r w:rsidRPr="00B313D3">
        <w:rPr>
          <w:rFonts w:ascii="Times New Roman" w:eastAsia="Calibri" w:hAnsi="Times New Roman" w:cs="Times New Roman"/>
          <w:color w:val="auto"/>
          <w:sz w:val="24"/>
          <w:szCs w:val="24"/>
          <w:lang w:eastAsia="en-US"/>
        </w:rPr>
        <w:t>Betari’s</w:t>
      </w:r>
      <w:proofErr w:type="spellEnd"/>
      <w:r w:rsidRPr="00B313D3">
        <w:rPr>
          <w:rFonts w:ascii="Times New Roman" w:eastAsia="Calibri" w:hAnsi="Times New Roman" w:cs="Times New Roman"/>
          <w:color w:val="auto"/>
          <w:sz w:val="24"/>
          <w:szCs w:val="24"/>
          <w:lang w:eastAsia="en-US"/>
        </w:rPr>
        <w:t xml:space="preserve"> box can be praised as it provides a logical explanation on how human attitudes and behaviours affect others and that it is always necessary to be aware of how we speak to others, even more so as a police officer on response.</w:t>
      </w:r>
    </w:p>
    <w:p w14:paraId="70FC6C10" w14:textId="0A5B83B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The drama triangle (</w:t>
      </w:r>
      <w:proofErr w:type="spellStart"/>
      <w:r w:rsidRPr="00B313D3">
        <w:rPr>
          <w:rFonts w:ascii="Times New Roman" w:eastAsia="Calibri" w:hAnsi="Times New Roman" w:cs="Times New Roman"/>
          <w:color w:val="auto"/>
          <w:sz w:val="24"/>
          <w:szCs w:val="24"/>
          <w:lang w:eastAsia="en-US"/>
        </w:rPr>
        <w:t>Karpman</w:t>
      </w:r>
      <w:proofErr w:type="spellEnd"/>
      <w:r w:rsidRPr="00B313D3">
        <w:rPr>
          <w:rFonts w:ascii="Times New Roman" w:eastAsia="Calibri" w:hAnsi="Times New Roman" w:cs="Times New Roman"/>
          <w:color w:val="auto"/>
          <w:sz w:val="24"/>
          <w:szCs w:val="24"/>
          <w:lang w:eastAsia="en-US"/>
        </w:rPr>
        <w:t xml:space="preserve">, 1968), is a visual tool used to represent dysfunctional relationship communications, as the triangle suggests, there are three components involved: the persecutor, the rescuer and the victim. The persecutor, according to </w:t>
      </w:r>
      <w:proofErr w:type="spellStart"/>
      <w:r w:rsidRPr="00B313D3">
        <w:rPr>
          <w:rFonts w:ascii="Times New Roman" w:eastAsia="Calibri" w:hAnsi="Times New Roman" w:cs="Times New Roman"/>
          <w:color w:val="auto"/>
          <w:sz w:val="24"/>
          <w:szCs w:val="24"/>
          <w:lang w:eastAsia="en-US"/>
        </w:rPr>
        <w:t>Karpman</w:t>
      </w:r>
      <w:proofErr w:type="spellEnd"/>
      <w:r w:rsidRPr="00B313D3">
        <w:rPr>
          <w:rFonts w:ascii="Times New Roman" w:eastAsia="Calibri" w:hAnsi="Times New Roman" w:cs="Times New Roman"/>
          <w:color w:val="auto"/>
          <w:sz w:val="24"/>
          <w:szCs w:val="24"/>
          <w:lang w:eastAsia="en-US"/>
        </w:rPr>
        <w:t xml:space="preserve"> (1968), is perceived to be angry, controlling and blaming. The rescuers’ role is to intervene and help the victim, they enter the scenario with good intentions. The victim isn’t always intended to portray an actual victim, but someone who will act as one, by demonstrating helpless, oppressed and hopeless behaviour. The role of the triangle highlights the link between power and responsibility in disagreements and how the often-destructive roles can influence </w:t>
      </w:r>
      <w:r w:rsidR="00B4588E">
        <w:rPr>
          <w:rFonts w:ascii="Times New Roman" w:eastAsia="Calibri" w:hAnsi="Times New Roman" w:cs="Times New Roman"/>
          <w:color w:val="auto"/>
          <w:sz w:val="24"/>
          <w:szCs w:val="24"/>
          <w:lang w:eastAsia="en-US"/>
        </w:rPr>
        <w:t>the</w:t>
      </w:r>
      <w:r w:rsidRPr="00B313D3">
        <w:rPr>
          <w:rFonts w:ascii="Times New Roman" w:eastAsia="Calibri" w:hAnsi="Times New Roman" w:cs="Times New Roman"/>
          <w:color w:val="auto"/>
          <w:sz w:val="24"/>
          <w:szCs w:val="24"/>
          <w:lang w:eastAsia="en-US"/>
        </w:rPr>
        <w:t xml:space="preserve"> behaviours</w:t>
      </w:r>
      <w:r w:rsidR="00B4588E">
        <w:rPr>
          <w:rFonts w:ascii="Times New Roman" w:eastAsia="Calibri" w:hAnsi="Times New Roman" w:cs="Times New Roman"/>
          <w:color w:val="auto"/>
          <w:sz w:val="24"/>
          <w:szCs w:val="24"/>
          <w:lang w:eastAsia="en-US"/>
        </w:rPr>
        <w:t xml:space="preserve"> of others</w:t>
      </w:r>
      <w:r w:rsidRPr="00B313D3">
        <w:rPr>
          <w:rFonts w:ascii="Times New Roman" w:eastAsia="Calibri" w:hAnsi="Times New Roman" w:cs="Times New Roman"/>
          <w:color w:val="auto"/>
          <w:sz w:val="24"/>
          <w:szCs w:val="24"/>
          <w:lang w:eastAsia="en-US"/>
        </w:rPr>
        <w:t xml:space="preserve"> (</w:t>
      </w:r>
      <w:proofErr w:type="spellStart"/>
      <w:r w:rsidRPr="00B313D3">
        <w:rPr>
          <w:rFonts w:ascii="Times New Roman" w:eastAsia="Calibri" w:hAnsi="Times New Roman" w:cs="Times New Roman"/>
          <w:color w:val="auto"/>
          <w:sz w:val="24"/>
          <w:szCs w:val="24"/>
          <w:lang w:eastAsia="en-US"/>
        </w:rPr>
        <w:t>Karpman</w:t>
      </w:r>
      <w:proofErr w:type="spellEnd"/>
      <w:r w:rsidRPr="00B313D3">
        <w:rPr>
          <w:rFonts w:ascii="Times New Roman" w:eastAsia="Calibri" w:hAnsi="Times New Roman" w:cs="Times New Roman"/>
          <w:color w:val="auto"/>
          <w:sz w:val="24"/>
          <w:szCs w:val="24"/>
          <w:lang w:eastAsia="en-US"/>
        </w:rPr>
        <w:t xml:space="preserve">, 1968). As a police officer this triangle will be present in almost every scenario, the role of the officer will often be rescuer, therefore it is important to be mindful and considerate upon arrival and try to resolve conflict as efficiently and sensitively as possible ensuring the drama triangle does not escalate unnecessarily causing conflicts to rise. The drama triangle can be praised for its clear indication of the roles involved. Though, it is easy to assume that there are to be three people involved in the makeup of the triangle, not that one person could play an additional role, for example, the victim also acting as the persecutor or the rescuer becoming the victim etc. Which is more like to apply in real life scenarios rather than the script writing used in </w:t>
      </w:r>
      <w:proofErr w:type="spellStart"/>
      <w:r w:rsidRPr="00B313D3">
        <w:rPr>
          <w:rFonts w:ascii="Times New Roman" w:eastAsia="Calibri" w:hAnsi="Times New Roman" w:cs="Times New Roman"/>
          <w:color w:val="auto"/>
          <w:sz w:val="24"/>
          <w:szCs w:val="24"/>
          <w:lang w:eastAsia="en-US"/>
        </w:rPr>
        <w:t>Karpman</w:t>
      </w:r>
      <w:proofErr w:type="spellEnd"/>
      <w:r w:rsidRPr="00B313D3">
        <w:rPr>
          <w:rFonts w:ascii="Times New Roman" w:eastAsia="Calibri" w:hAnsi="Times New Roman" w:cs="Times New Roman"/>
          <w:color w:val="auto"/>
          <w:sz w:val="24"/>
          <w:szCs w:val="24"/>
          <w:lang w:eastAsia="en-US"/>
        </w:rPr>
        <w:t xml:space="preserve"> (1968) work. </w:t>
      </w:r>
    </w:p>
    <w:p w14:paraId="1ECA8924"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lastRenderedPageBreak/>
        <w:t xml:space="preserve">Upon reflection, the incident relevant to answering this question successfully involves a domestic dispute between two women who are mother and daughter. Police were called to the scene after complaints of shouting and loud noise from neighbouring houses. Prior to the incident, both women had consumed a large amount of alcohol. There is an abundance of research and information that suggests alcohol can have a strong influence on a person’s behaviour, Caudill, Wilson and Barry (1987) have found in their study that women who are heavily intoxicated more likely to show a decrease pattern of self-disclosure. In this instance, the daughter had acted in a violent manner towards the mother, inflicting common assault by battery, who in return reacted in self-defence causing physical harm to the daughter. As the argument between the both continued to escalate, the daughter disappeared temporarily, returning by throwing boxes of prescription drugs to the mother saying she had taken an overdose and wanted to end her life, she also had cuts to her arm where she had self-harmed. In response to this the mother tried inserting her fingers down her daughter’s throat, encouraging her to vomit, however had her fingers bitten during the process. The argument continued to progress resulting in the daughter fleeing the property. The neighbour arrived at this stage, called the police and went to find the daughter. </w:t>
      </w:r>
    </w:p>
    <w:p w14:paraId="5AFBF022"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B313D3">
        <w:rPr>
          <w:rFonts w:ascii="Times New Roman" w:eastAsia="Calibri" w:hAnsi="Times New Roman" w:cs="Times New Roman"/>
          <w:color w:val="auto"/>
          <w:sz w:val="24"/>
          <w:szCs w:val="24"/>
          <w:lang w:eastAsia="en-US"/>
        </w:rPr>
        <w:t xml:space="preserve">My initial response to the situation was report over the airwaves that there was a high-risk missing person due to a reported overdose. </w:t>
      </w:r>
      <w:r w:rsidRPr="00B313D3">
        <w:rPr>
          <w:rFonts w:ascii="Times New Roman" w:eastAsia="Calibri" w:hAnsi="Times New Roman" w:cs="Times New Roman"/>
          <w:bCs/>
          <w:color w:val="auto"/>
          <w:sz w:val="24"/>
          <w:szCs w:val="24"/>
          <w:lang w:eastAsia="en-US"/>
        </w:rPr>
        <w:t xml:space="preserve">All available units were distributed to the area to conduct area searches. The area search came back negative however; we had received a phone call from the mother saying her daughter had returned. On police arrival the daughter has become agitated with the police presence as all units that had been searching the area, had turned up at the same time, which heightened tension, so she attempted to leave again. Several units were relieved from the situation </w:t>
      </w:r>
      <w:proofErr w:type="gramStart"/>
      <w:r w:rsidRPr="00B313D3">
        <w:rPr>
          <w:rFonts w:ascii="Times New Roman" w:eastAsia="Calibri" w:hAnsi="Times New Roman" w:cs="Times New Roman"/>
          <w:bCs/>
          <w:color w:val="auto"/>
          <w:sz w:val="24"/>
          <w:szCs w:val="24"/>
          <w:lang w:eastAsia="en-US"/>
        </w:rPr>
        <w:t>in an attempt to</w:t>
      </w:r>
      <w:proofErr w:type="gramEnd"/>
      <w:r w:rsidRPr="00B313D3">
        <w:rPr>
          <w:rFonts w:ascii="Times New Roman" w:eastAsia="Calibri" w:hAnsi="Times New Roman" w:cs="Times New Roman"/>
          <w:bCs/>
          <w:color w:val="auto"/>
          <w:sz w:val="24"/>
          <w:szCs w:val="24"/>
          <w:lang w:eastAsia="en-US"/>
        </w:rPr>
        <w:t xml:space="preserve"> ease any tensions felt by the daughter, demonstrating empathy, active listening skills, in the hope of being able to build a rapport to gain wider understanding of the situation. </w:t>
      </w:r>
      <w:proofErr w:type="spellStart"/>
      <w:r w:rsidRPr="00B313D3">
        <w:rPr>
          <w:rFonts w:ascii="Times New Roman" w:eastAsia="Calibri" w:hAnsi="Times New Roman" w:cs="Times New Roman"/>
          <w:bCs/>
          <w:color w:val="auto"/>
          <w:sz w:val="24"/>
          <w:szCs w:val="24"/>
          <w:lang w:eastAsia="en-US"/>
        </w:rPr>
        <w:t>Batari’s</w:t>
      </w:r>
      <w:proofErr w:type="spellEnd"/>
      <w:r w:rsidRPr="00B313D3">
        <w:rPr>
          <w:rFonts w:ascii="Times New Roman" w:eastAsia="Calibri" w:hAnsi="Times New Roman" w:cs="Times New Roman"/>
          <w:bCs/>
          <w:color w:val="auto"/>
          <w:sz w:val="24"/>
          <w:szCs w:val="24"/>
          <w:lang w:eastAsia="en-US"/>
        </w:rPr>
        <w:t xml:space="preserve"> box theory is relevant to this specific part of the incident as the calm, reassuring attitude and behaviour had a positive effect, persuading the young woman to go inside the neighbour’s property, who was still with her, so the events could be discussed in a calmer environment. </w:t>
      </w:r>
    </w:p>
    <w:p w14:paraId="0E384230" w14:textId="13AEDEF1"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bCs/>
          <w:color w:val="auto"/>
          <w:sz w:val="24"/>
          <w:szCs w:val="24"/>
          <w:lang w:eastAsia="en-US"/>
        </w:rPr>
      </w:pPr>
      <w:r w:rsidRPr="00B313D3">
        <w:rPr>
          <w:rFonts w:ascii="Times New Roman" w:eastAsia="Calibri" w:hAnsi="Times New Roman" w:cs="Times New Roman"/>
          <w:bCs/>
          <w:color w:val="auto"/>
          <w:sz w:val="24"/>
          <w:szCs w:val="24"/>
          <w:lang w:eastAsia="en-US"/>
        </w:rPr>
        <w:t xml:space="preserve">The situation neutralised considerably in the relaxed and comfortable environment, which as a result allowed conversations with the daughter, along with a colleague and neighbour, to happen and a first account of events from her was obtained. The daughter now denied that she had taken any overdose and that she wanted to stay at the neighbour’s house and go to sleep. Due to the earlier disclosure of the suspected overdose and additional facts that she had drunk a significant amount of alcohol and her being diabetic, there is a lawful duty of care over her and so the young woman was being persuaded to attend A&amp;E voluntarily. She was adamant that she was not going to attend A&amp;E and every time the subject was mentioned, it was a catalyst for agitation of the female, it was vital to communicate the importance of her attending respectfully. The presence of the neighbour was utilised to help persuade the female to attend hospital voluntarily, however, any attempt was </w:t>
      </w:r>
      <w:r w:rsidR="00B4588E" w:rsidRPr="00B313D3">
        <w:rPr>
          <w:rFonts w:ascii="Times New Roman" w:eastAsia="Calibri" w:hAnsi="Times New Roman" w:cs="Times New Roman"/>
          <w:bCs/>
          <w:color w:val="auto"/>
          <w:sz w:val="24"/>
          <w:szCs w:val="24"/>
          <w:lang w:eastAsia="en-US"/>
        </w:rPr>
        <w:t>ineffective,</w:t>
      </w:r>
      <w:r w:rsidRPr="00B313D3">
        <w:rPr>
          <w:rFonts w:ascii="Times New Roman" w:eastAsia="Calibri" w:hAnsi="Times New Roman" w:cs="Times New Roman"/>
          <w:bCs/>
          <w:color w:val="auto"/>
          <w:sz w:val="24"/>
          <w:szCs w:val="24"/>
          <w:lang w:eastAsia="en-US"/>
        </w:rPr>
        <w:t xml:space="preserve"> and the earlier disclosure of the original assault</w:t>
      </w:r>
      <w:r w:rsidR="00067B39">
        <w:rPr>
          <w:rFonts w:ascii="Times New Roman" w:eastAsia="Calibri" w:hAnsi="Times New Roman" w:cs="Times New Roman"/>
          <w:bCs/>
          <w:color w:val="auto"/>
          <w:sz w:val="24"/>
          <w:szCs w:val="24"/>
          <w:lang w:eastAsia="en-US"/>
        </w:rPr>
        <w:t xml:space="preserve"> and visible injury</w:t>
      </w:r>
      <w:r w:rsidRPr="00B313D3">
        <w:rPr>
          <w:rFonts w:ascii="Times New Roman" w:eastAsia="Calibri" w:hAnsi="Times New Roman" w:cs="Times New Roman"/>
          <w:bCs/>
          <w:color w:val="auto"/>
          <w:sz w:val="24"/>
          <w:szCs w:val="24"/>
          <w:lang w:eastAsia="en-US"/>
        </w:rPr>
        <w:t xml:space="preserve"> was used to arrest the daughter. </w:t>
      </w:r>
    </w:p>
    <w:p w14:paraId="1F4FEC41" w14:textId="30CC580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bCs/>
          <w:color w:val="auto"/>
          <w:sz w:val="24"/>
          <w:szCs w:val="24"/>
          <w:lang w:eastAsia="en-US"/>
        </w:rPr>
      </w:pPr>
      <w:r w:rsidRPr="00B313D3">
        <w:rPr>
          <w:rFonts w:ascii="Times New Roman" w:eastAsia="Calibri" w:hAnsi="Times New Roman" w:cs="Times New Roman"/>
          <w:bCs/>
          <w:color w:val="auto"/>
          <w:sz w:val="24"/>
          <w:szCs w:val="24"/>
          <w:lang w:eastAsia="en-US"/>
        </w:rPr>
        <w:t xml:space="preserve">Whilst cautioning the young woman she became increasingly upset, agitated and began to refuse instructions. By this point, it was required of me to assist my colleague in restraining the young woman, who was acting out using physical force against us. We managed to </w:t>
      </w:r>
      <w:r w:rsidR="00067B39">
        <w:rPr>
          <w:rFonts w:ascii="Times New Roman" w:eastAsia="Calibri" w:hAnsi="Times New Roman" w:cs="Times New Roman"/>
          <w:bCs/>
          <w:color w:val="auto"/>
          <w:sz w:val="24"/>
          <w:szCs w:val="24"/>
          <w:lang w:eastAsia="en-US"/>
        </w:rPr>
        <w:t>restrain</w:t>
      </w:r>
      <w:r w:rsidRPr="00B313D3">
        <w:rPr>
          <w:rFonts w:ascii="Times New Roman" w:eastAsia="Calibri" w:hAnsi="Times New Roman" w:cs="Times New Roman"/>
          <w:bCs/>
          <w:color w:val="auto"/>
          <w:sz w:val="24"/>
          <w:szCs w:val="24"/>
          <w:lang w:eastAsia="en-US"/>
        </w:rPr>
        <w:t xml:space="preserve"> her using necessary force and I escorted her to the police vehicle. A female officer completed a section 32 search on the suspect before got she transported to the hospital. Here is an example of the five-step appeal being used in relation to the incident. The simple appeal would be asking the young woman to voluntarily visit the hospital and have an assessment from the doctor to be sure she was ok after a </w:t>
      </w:r>
      <w:r w:rsidRPr="00B313D3">
        <w:rPr>
          <w:rFonts w:ascii="Times New Roman" w:eastAsia="Calibri" w:hAnsi="Times New Roman" w:cs="Times New Roman"/>
          <w:bCs/>
          <w:color w:val="auto"/>
          <w:sz w:val="24"/>
          <w:szCs w:val="24"/>
          <w:lang w:eastAsia="en-US"/>
        </w:rPr>
        <w:lastRenderedPageBreak/>
        <w:t xml:space="preserve">taking an overdose. An example of stage two, the reasoned appeal, in relation to the incident would be explaining to the young woman that her mother had disclosed in addition to assault, her daughter had taken an overdose. I explained to the young woman being a serving police officer there is a duty of care over her to make sure she is safe and in order to do that, a visit to the hospital is encouraged. This did not resonate with the young woman meaning the situation progressed to stage three, the personal appeal. I reasoned with the young woman trying to emphasise how devastating it would be for her loved ones to find her unconscious or deceased from taking this overdose, how I could face investigation and potentially lose my job if I left her. Again, this was not enough for her to voluntarily attend the hospital the final appeal was referred to, where the young woman was asked if there was </w:t>
      </w:r>
      <w:proofErr w:type="gramStart"/>
      <w:r w:rsidRPr="00B313D3">
        <w:rPr>
          <w:rFonts w:ascii="Times New Roman" w:eastAsia="Calibri" w:hAnsi="Times New Roman" w:cs="Times New Roman"/>
          <w:bCs/>
          <w:color w:val="auto"/>
          <w:sz w:val="24"/>
          <w:szCs w:val="24"/>
          <w:lang w:eastAsia="en-US"/>
        </w:rPr>
        <w:t>anything</w:t>
      </w:r>
      <w:proofErr w:type="gramEnd"/>
      <w:r w:rsidRPr="00B313D3">
        <w:rPr>
          <w:rFonts w:ascii="Times New Roman" w:eastAsia="Calibri" w:hAnsi="Times New Roman" w:cs="Times New Roman"/>
          <w:bCs/>
          <w:color w:val="auto"/>
          <w:sz w:val="24"/>
          <w:szCs w:val="24"/>
          <w:lang w:eastAsia="en-US"/>
        </w:rPr>
        <w:t xml:space="preserve"> I could do that would </w:t>
      </w:r>
      <w:r w:rsidR="00B4588E">
        <w:rPr>
          <w:rFonts w:ascii="Times New Roman" w:eastAsia="Calibri" w:hAnsi="Times New Roman" w:cs="Times New Roman"/>
          <w:bCs/>
          <w:color w:val="auto"/>
          <w:sz w:val="24"/>
          <w:szCs w:val="24"/>
          <w:lang w:eastAsia="en-US"/>
        </w:rPr>
        <w:t>encourage</w:t>
      </w:r>
      <w:r w:rsidRPr="00B313D3">
        <w:rPr>
          <w:rFonts w:ascii="Times New Roman" w:eastAsia="Calibri" w:hAnsi="Times New Roman" w:cs="Times New Roman"/>
          <w:bCs/>
          <w:color w:val="auto"/>
          <w:sz w:val="24"/>
          <w:szCs w:val="24"/>
          <w:lang w:eastAsia="en-US"/>
        </w:rPr>
        <w:t xml:space="preserve"> her to cooperate with the instructions given. Once more, the young woman refused so it emphasised, this was her last chance and if she did not comply with us and go to the hospital voluntarily, she would be under arrest and attending the hospital as prisoner after being arrested for section 39: common assault by battery on her mother. Whilst she argued against the points being made it was stated to her this is a course of action that is wished to be avoided, however the way she continues to behave, there will be no choice. The previous steps of communication were not enough for the young woman to comply so the final stage was applied involving the following actions; informing the young woman she was under arrest for section 39 common assault by battery and cautioned her as she got increasingly irate and upset. It was also stated the necessity for arrest was </w:t>
      </w:r>
      <w:proofErr w:type="gramStart"/>
      <w:r w:rsidRPr="00B313D3">
        <w:rPr>
          <w:rFonts w:ascii="Times New Roman" w:eastAsia="Calibri" w:hAnsi="Times New Roman" w:cs="Times New Roman"/>
          <w:bCs/>
          <w:color w:val="auto"/>
          <w:sz w:val="24"/>
          <w:szCs w:val="24"/>
          <w:lang w:eastAsia="en-US"/>
        </w:rPr>
        <w:t>in order for</w:t>
      </w:r>
      <w:proofErr w:type="gramEnd"/>
      <w:r w:rsidRPr="00B313D3">
        <w:rPr>
          <w:rFonts w:ascii="Times New Roman" w:eastAsia="Calibri" w:hAnsi="Times New Roman" w:cs="Times New Roman"/>
          <w:bCs/>
          <w:color w:val="auto"/>
          <w:sz w:val="24"/>
          <w:szCs w:val="24"/>
          <w:lang w:eastAsia="en-US"/>
        </w:rPr>
        <w:t xml:space="preserve"> a prompt and effective investigation, to protect a vulnerable adult and to prevent any further injury. The young woman resisted the arrest becoming passive, my colleague and I had to use reasonable force to handcuff her, however she continued to be passive and an arm lock was utilised to escort her to the police vehicle. The drama triangle is also relevant to this situation, however upon observation and reflection, it is apparent the daughter plays the role of the victim and persecutor. She does this by acting in an angry, helpless manner, not listening and blaming mum. My role was the rescuer, trying to help the situation and get her to see the best way to avoid arrest and get the appropriate help. In this example, the situation did </w:t>
      </w:r>
      <w:proofErr w:type="gramStart"/>
      <w:r w:rsidRPr="00B313D3">
        <w:rPr>
          <w:rFonts w:ascii="Times New Roman" w:eastAsia="Calibri" w:hAnsi="Times New Roman" w:cs="Times New Roman"/>
          <w:bCs/>
          <w:color w:val="auto"/>
          <w:sz w:val="24"/>
          <w:szCs w:val="24"/>
          <w:lang w:eastAsia="en-US"/>
        </w:rPr>
        <w:t>escalate</w:t>
      </w:r>
      <w:proofErr w:type="gramEnd"/>
      <w:r w:rsidRPr="00B313D3">
        <w:rPr>
          <w:rFonts w:ascii="Times New Roman" w:eastAsia="Calibri" w:hAnsi="Times New Roman" w:cs="Times New Roman"/>
          <w:bCs/>
          <w:color w:val="auto"/>
          <w:sz w:val="24"/>
          <w:szCs w:val="24"/>
          <w:lang w:eastAsia="en-US"/>
        </w:rPr>
        <w:t xml:space="preserve"> and the young woman continued to play the victim. </w:t>
      </w:r>
    </w:p>
    <w:p w14:paraId="582731A9"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bCs/>
          <w:color w:val="auto"/>
          <w:sz w:val="24"/>
          <w:szCs w:val="24"/>
          <w:lang w:eastAsia="en-US"/>
        </w:rPr>
      </w:pPr>
      <w:r w:rsidRPr="00B313D3">
        <w:rPr>
          <w:rFonts w:ascii="Times New Roman" w:eastAsia="Calibri" w:hAnsi="Times New Roman" w:cs="Times New Roman"/>
          <w:bCs/>
          <w:color w:val="auto"/>
          <w:sz w:val="24"/>
          <w:szCs w:val="24"/>
          <w:lang w:eastAsia="en-US"/>
        </w:rPr>
        <w:t xml:space="preserve">Upon arrival at the hospital, the suspect was still acting aggressively and </w:t>
      </w:r>
      <w:proofErr w:type="gramStart"/>
      <w:r w:rsidRPr="00B313D3">
        <w:rPr>
          <w:rFonts w:ascii="Times New Roman" w:eastAsia="Calibri" w:hAnsi="Times New Roman" w:cs="Times New Roman"/>
          <w:bCs/>
          <w:color w:val="auto"/>
          <w:sz w:val="24"/>
          <w:szCs w:val="24"/>
          <w:lang w:eastAsia="en-US"/>
        </w:rPr>
        <w:t>hostile</w:t>
      </w:r>
      <w:proofErr w:type="gramEnd"/>
      <w:r w:rsidRPr="00B313D3">
        <w:rPr>
          <w:rFonts w:ascii="Times New Roman" w:eastAsia="Calibri" w:hAnsi="Times New Roman" w:cs="Times New Roman"/>
          <w:bCs/>
          <w:color w:val="auto"/>
          <w:sz w:val="24"/>
          <w:szCs w:val="24"/>
          <w:lang w:eastAsia="en-US"/>
        </w:rPr>
        <w:t xml:space="preserve"> so a decision was made for her to remain in the police vehicle until a doctor was available to assess her. The doctor approved the admission to the A&amp;E High Dependency Unit; however, the young woman was still refusing to go, using </w:t>
      </w:r>
      <w:proofErr w:type="spellStart"/>
      <w:r w:rsidRPr="00B313D3">
        <w:rPr>
          <w:rFonts w:ascii="Times New Roman" w:eastAsia="Calibri" w:hAnsi="Times New Roman" w:cs="Times New Roman"/>
          <w:bCs/>
          <w:color w:val="auto"/>
          <w:sz w:val="24"/>
          <w:szCs w:val="24"/>
          <w:lang w:eastAsia="en-US"/>
        </w:rPr>
        <w:t>Batari’s</w:t>
      </w:r>
      <w:proofErr w:type="spellEnd"/>
      <w:r w:rsidRPr="00B313D3">
        <w:rPr>
          <w:rFonts w:ascii="Times New Roman" w:eastAsia="Calibri" w:hAnsi="Times New Roman" w:cs="Times New Roman"/>
          <w:bCs/>
          <w:color w:val="auto"/>
          <w:sz w:val="24"/>
          <w:szCs w:val="24"/>
          <w:lang w:eastAsia="en-US"/>
        </w:rPr>
        <w:t xml:space="preserve"> box theory and the five-step appeal approach, communicating with the young woman in a calm and positive manner, she agreed to been seen by having the handcuffs removed and assistance to the ward via wheelchair where she had the appropriate care and testing. The suspect disclosed to the hospital staff that she had taken an overdose using her mother’s prescription drugs. Following several hours of observation, medical staff were happy for the young woman to be discharged and taken to police custody where her detention would be approved. The suspect insisted she was not well enough to leave hospital and acted out in a passive manner resulting in her being escorted out of the hospital via wheelchair and taken to custody where her detention got approval and she was placed in a cell, awaiting interview.   </w:t>
      </w:r>
    </w:p>
    <w:p w14:paraId="72A8F523"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bCs/>
          <w:color w:val="auto"/>
          <w:sz w:val="24"/>
          <w:szCs w:val="24"/>
          <w:lang w:eastAsia="en-US"/>
        </w:rPr>
      </w:pPr>
      <w:r w:rsidRPr="00B313D3">
        <w:rPr>
          <w:rFonts w:ascii="Times New Roman" w:eastAsia="Calibri" w:hAnsi="Times New Roman" w:cs="Times New Roman"/>
          <w:bCs/>
          <w:color w:val="auto"/>
          <w:sz w:val="24"/>
          <w:szCs w:val="24"/>
          <w:lang w:eastAsia="en-US"/>
        </w:rPr>
        <w:t xml:space="preserve">To conclude, when dealing with incidents involving conflict, it is vital to approach the situation sensitively, with an open-minded and the intention to resolve any conflicts in a positive way. In the example incident, I feel I acted with integrity, used my knowledge by referring to policing principles, various theories and engaging in the standards of professional behaviour which aided me in producing </w:t>
      </w:r>
      <w:proofErr w:type="gramStart"/>
      <w:r w:rsidRPr="00B313D3">
        <w:rPr>
          <w:rFonts w:ascii="Times New Roman" w:eastAsia="Calibri" w:hAnsi="Times New Roman" w:cs="Times New Roman"/>
          <w:bCs/>
          <w:color w:val="auto"/>
          <w:sz w:val="24"/>
          <w:szCs w:val="24"/>
          <w:lang w:eastAsia="en-US"/>
        </w:rPr>
        <w:t>an</w:t>
      </w:r>
      <w:proofErr w:type="gramEnd"/>
      <w:r w:rsidRPr="00B313D3">
        <w:rPr>
          <w:rFonts w:ascii="Times New Roman" w:eastAsia="Calibri" w:hAnsi="Times New Roman" w:cs="Times New Roman"/>
          <w:bCs/>
          <w:color w:val="auto"/>
          <w:sz w:val="24"/>
          <w:szCs w:val="24"/>
          <w:lang w:eastAsia="en-US"/>
        </w:rPr>
        <w:t xml:space="preserve"> safe outcome for all participants involved.</w:t>
      </w:r>
    </w:p>
    <w:p w14:paraId="56D12A43" w14:textId="77777777" w:rsidR="00B313D3" w:rsidRPr="00B313D3" w:rsidRDefault="00B313D3" w:rsidP="00B313D3">
      <w:pPr>
        <w:overflowPunct/>
        <w:autoSpaceDE/>
        <w:autoSpaceDN/>
        <w:adjustRightInd/>
        <w:spacing w:after="160" w:line="256" w:lineRule="auto"/>
        <w:textAlignment w:val="auto"/>
        <w:rPr>
          <w:rFonts w:ascii="Times New Roman" w:eastAsia="Calibri" w:hAnsi="Times New Roman" w:cs="Times New Roman"/>
          <w:bCs/>
          <w:color w:val="auto"/>
          <w:sz w:val="22"/>
          <w:szCs w:val="22"/>
          <w:lang w:eastAsia="en-US"/>
        </w:rPr>
      </w:pP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4DFF6EA" w14:textId="77777777"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This essay looks to explore policing values and relevant codes of practice in relation to an incident involving a middle-aged, disabled, ethnic minority female. This essay will go into detail and reflect on the events in the chosen incident, refer to the Victim’s Code of Practice, critically explore the Domestic Abuse, Stalking and Harassment (DASH) model, explain the purpose of a Multi-Agency Risk Assessment Conference (MARAC) and how they all aid in providing the best outcome to the chosen event.</w:t>
      </w:r>
    </w:p>
    <w:p w14:paraId="6F103C55" w14:textId="1A8819A9"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The Code</w:t>
      </w:r>
      <w:r w:rsidR="00F43EEC" w:rsidRPr="00B4588E">
        <w:rPr>
          <w:rFonts w:ascii="Times New Roman" w:eastAsia="Calibri" w:hAnsi="Times New Roman" w:cs="Times New Roman"/>
          <w:color w:val="auto"/>
          <w:sz w:val="24"/>
          <w:szCs w:val="24"/>
          <w:lang w:eastAsia="en-US"/>
        </w:rPr>
        <w:t>s</w:t>
      </w:r>
      <w:r w:rsidRPr="00957DDC">
        <w:rPr>
          <w:rFonts w:ascii="Times New Roman" w:eastAsia="Calibri" w:hAnsi="Times New Roman" w:cs="Times New Roman"/>
          <w:color w:val="auto"/>
          <w:sz w:val="24"/>
          <w:szCs w:val="24"/>
          <w:lang w:eastAsia="en-US"/>
        </w:rPr>
        <w:t xml:space="preserve"> of Practice for Victims of Crime in England and Wales (2020) summarises the 12 Rights of Victims which are to be used as the basis for all interaction with victims and how they should be treated. The 12 rights are as follows: Right 1, to understand and be understood; Right 2, to have the crime recorded as quickly as possible without delay with additional support if required; Right 3, the right to have written confirmation of the crime being reported; Right 4, they are able to access the support of additional services to help them if needs be; Right 5, to be made aware of how to claim any compensation as a consequence of the crime committed; Right 6, are to be updated with the case and results of any decisions made; Right 7, a victim personal statement is made; Right 8, the victim is able to given additional information if the case goes to court; Right 9, be updated on the result of the case; Right 10, victim is able to claim specific expenses; Right 11, be updated about the criminal post court and how this will affect them; Right 12, victims always have the right to complain if their needs have not been met. Wedlock &amp; Tapley (2016) summarise the most effective ways to provide support victims of crime, this can be applied to crimes on a small scale right up to those more serious crimes. They state that the best way to support them is by being transparent and communicating </w:t>
      </w:r>
      <w:r w:rsidRPr="00957DDC">
        <w:rPr>
          <w:rFonts w:ascii="Times New Roman" w:eastAsia="Calibri" w:hAnsi="Times New Roman" w:cs="Times New Roman"/>
          <w:color w:val="auto"/>
          <w:sz w:val="24"/>
          <w:szCs w:val="24"/>
          <w:lang w:eastAsia="en-US"/>
        </w:rPr>
        <w:lastRenderedPageBreak/>
        <w:t>information to the victim as delicately and sensitively as possible. They also suggest a multi-agency approach is valuable in support victims of crime but having a singular point of contact to transfer information is key as it limits confusion and makes the situation less stressful if information is being relayed from one place. It also allows the victim to form a trusting bond with that individual and they may disclose more key information to aid their case (Wedlock &amp; Tapley, 2016)</w:t>
      </w:r>
    </w:p>
    <w:p w14:paraId="5CE7741A" w14:textId="77777777"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 xml:space="preserve">The incident is a complex situation compromised of several incidents, includes several parties and multiple police officers’ input before involvement. This policing incident demonstrates many of the codes of practice which supports victims through the criminal justice system, illustrates where it promotes policing values and highlights failures of those previously involved. It showcases which legislation is involved and considers the thought process with regards to investigations and their outcomes. </w:t>
      </w:r>
    </w:p>
    <w:p w14:paraId="365DE096" w14:textId="77777777"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 xml:space="preserve">Officers attended a call from woman 1 (victim) who made a complaint stating her and her family had been followed to the supermarket by a car. Whilst in the supermarket woman 1 recognised woman 2 (suspect) who was using her mobile phone to record the victim and her family and followed the victim home, parked outside woman 1’s house and continued recording. It is important to note the victim was of ethnic minority and disabled, being wheelchair bound. This incident was the latest occurrence of many, with many people involved. Previously, the suspect had been identified in several other incidents where she was parked outside the house and allegedly recording the victim and her family. Speaking with the victim who was very upset, angry and disappointed, as this was the latest in a long line of incidents, from the lack of police support and action. Previous police officers who had attended suggested the victim “closed her curtains” so she could not see the woman outside. Upset by this response, the victim threatened to go to the press with how she had been treated by the police.  The victims home had several CCTV cameras, which had captured hundreds of hours of footage. She showed a 45-minute piece of footage which shows the suspect parking up outside the house on the street, staying in the car with the phone pointed at the house as if recording the property. A conversation regarding CCTV and the data protection act was had and the victim was reminded if her domestic CCTV captures public spaces it is not illegal, but there are laws in relation to how it is stored and shared. The victim voiced her concerns with regards to her neighbour and previous issues with their CCTV being directed at the property. The victim was reassured that the Neighbourhood Policing Team would visit and have a conversation with the neighbour and remind them of their responsibilities with regards data protection. Referring to the incident, suspect parking outside the reporting persons house, there is no offence taking place as she was parked on a public highway. The suspect’s son lives in the adjoining property hence giving her justified reason to be there. This justification had been given to officers who had visited previously and spoken with the suspect. The victim was reassured that the incident was being taken seriously and would be investigated, having seen the footage of the suspect in the car and her make no attempt to get out and visit her son was concerning, taking into account the several other incidents involving the same woman. The victim was informed that enquires would be conducted with automated number plate recognition (ANPR) to see if a pattern could be established placing the suspect’s car in the same place as the reporting person which could be used in evidence. Using Optical Character Recognition (OCR) technology, cameras can identify the numbers and letters on a number plate, these are then usually stored in a central database and can be used for many different applications (Watson&amp; Walsh 2008). In this instance, the number plates for both vehicles would be entered into the data base and if they have been captured by camera at any point and they could be placed in the same place at the same time. The supermarket was also contacted to review their CCTV to see if it captures footage of the suspect recording the reporting person. If evidence backing up the suspects claim could be </w:t>
      </w:r>
      <w:r w:rsidRPr="00957DDC">
        <w:rPr>
          <w:rFonts w:ascii="Times New Roman" w:eastAsia="Calibri" w:hAnsi="Times New Roman" w:cs="Times New Roman"/>
          <w:color w:val="auto"/>
          <w:sz w:val="24"/>
          <w:szCs w:val="24"/>
          <w:lang w:eastAsia="en-US"/>
        </w:rPr>
        <w:lastRenderedPageBreak/>
        <w:t>obtained, this would enable consideration for the offences of stalking and harassment. Potentially inviting the suspect in for a voluntary attendance interview, but issues regarding this course of action would be a concern as the suspect could delete videos, images and messages regarding the victim. Favoured course of action would be for an arrest for the offence so her mobile phone could be seized in evidence and downloaded. As this is a new incident and the victim’s previous disappointment at recent police interactions, she was reassured the supporting officers would do their best to help the situation. One of the ten standards of professional behaviour is challenging and reporting improper behaviour and as such, there was a responsibility for attending officers to identify the previous attending officers who had advised the victim to “close the curtains so she would be unable to see the woman”. The victim knew the date this happened, which meant a cross-reference could occur using information on previous instances, which officers identified and reported to the Sergeant.</w:t>
      </w:r>
    </w:p>
    <w:p w14:paraId="4A7DBDD9" w14:textId="77777777"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The Domestic Abuse Stalking and Harassment (DASH) tool can be referred to in this situation as there is a concern for harassment. Richards (2009) DASH Model was introduced as a tool for officers to use when attending specific incidents to determine levels of risk, via a specified list of 27 questions. Local to South Wales Police the Public Protection Notice fulfils this role and has 29 questions. The questions aim to extract relevant information whether incidents are becoming more frequent, the levels of violence escalating for example. Dependent on the answers to the questions will determine the level of risk the individual faces. There are 3 categories: standard risk, medium risk and high risk (Richards, 2009). The lowest level is standard risk but is inappropriate to classify this as low risk as there is a level of stress involved, though it is not imminent, there is still threat to an individual. Medium risk suggests there is a potential for serious harm and warning flags to that effect, but it is unlikely unless the current circumstances change. Thirdly, high risk suggests there is a risk of serious harm, and that the risk is imminent (Richards, 2009). Richards (2009) declares DASH as an evidence-based risk assessment and credential tool which aids those responding to victims of domestic abuse, stalking or harassment, and give them indication of those who are at higher risk of danger and harm. Whilst it can be credited as an effective choice of tool to use when dealing with situations involving domestic abuse, stalking and harassment, Almond et al (2017) argues there is not a great deal of empirical evidence to support the efficacy and validation of the DASH model and the multiple risks confined to it.</w:t>
      </w:r>
    </w:p>
    <w:p w14:paraId="54E90220" w14:textId="1DD5CF42"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The incident mentioned was concerning and emotional, however, due to the suspect not living at the address and no evidence of imminent threat of serious harm it was classified as standard risk as per DASH model. A PPN was completed and submitted, which is reviewed by multiple agencies that specialise in facilitating help, assistance and safeguarding those highlighted at being at risk. These meetings are called Multi-Agency Risk Assessment Conference (MARAC) and are held frequently and locally within in communit</w:t>
      </w:r>
      <w:r w:rsidR="00F16D48" w:rsidRPr="00B4588E">
        <w:rPr>
          <w:rFonts w:ascii="Times New Roman" w:eastAsia="Calibri" w:hAnsi="Times New Roman" w:cs="Times New Roman"/>
          <w:color w:val="auto"/>
          <w:sz w:val="24"/>
          <w:szCs w:val="24"/>
          <w:lang w:eastAsia="en-US"/>
        </w:rPr>
        <w:t>ies</w:t>
      </w:r>
      <w:r w:rsidRPr="00957DDC">
        <w:rPr>
          <w:rFonts w:ascii="Times New Roman" w:eastAsia="Calibri" w:hAnsi="Times New Roman" w:cs="Times New Roman"/>
          <w:color w:val="auto"/>
          <w:sz w:val="24"/>
          <w:szCs w:val="24"/>
          <w:lang w:eastAsia="en-US"/>
        </w:rPr>
        <w:t xml:space="preserve">. By multiple agencies sharing information, they can establish a better picture of victims' situations and tailor to the needs of individual victims. Safe information sharing also allows agencies to manage the perpetrator in ways that reduce risk (Robbins et al., 2016). The MARAC process sees the production and implementation of a multi-agency risk management plan, providing professional support to all those at risk, reducing the risk of harm and repeat victimisation (Robbins et al., 2016). Agencies invited to be part of the MARAC process will be specific to the individual victim. The services involved in the meeting relation to this situation were adult social services, black and minority ethnic services, housing services, mental health services and the police. </w:t>
      </w:r>
    </w:p>
    <w:p w14:paraId="0A036CBB" w14:textId="77777777"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 xml:space="preserve">The 12 Victim Codes of Practice can also be applied to this situation as they played an essential role to the victim’s complaints. In this instance the victim required extra support as she is vulnerable, </w:t>
      </w:r>
      <w:r w:rsidRPr="00957DDC">
        <w:rPr>
          <w:rFonts w:ascii="Times New Roman" w:eastAsia="Calibri" w:hAnsi="Times New Roman" w:cs="Times New Roman"/>
          <w:color w:val="auto"/>
          <w:sz w:val="24"/>
          <w:szCs w:val="24"/>
          <w:lang w:eastAsia="en-US"/>
        </w:rPr>
        <w:lastRenderedPageBreak/>
        <w:t>intimidated and persistently targeted by the suspect. This means that practically, for officers there is extra emphasis on completing forms which verify the standards of policing regarding victims, satisfies the legislation, and holds officers to account due to the information and updates provided to the victim. The four forms that are emphasised and scrutinised in respects of the victim codes used are the VU01 Victim Needs Assessment is specifically focused, with regards the enhanced rights detailed above. The VUO2 Initial Victim Contact, in which it is established if the victim has been provided with all the relevant information, agreed timescales for contact and whether enhanced services are to be provided, any referrals or support from agencies is to be provided, if the victim needs assessment has been completed, means of contact and agreed timescales for contact. The VU03 victim update, are completed every time there is contact with the victim. Then on outcome of the investigation the VU04 victim outcome form is completed. Every victim, since October 2001, has the right to give a Victim Personal Statement (VPS) as mentioned in Right 7 of the 12 Victims Code of Practice. This statement is separate from any statement used directly as evidence in proceedings. The victim personal statement is the chance for the victim to tell the court and the suspect about the incident, actions, behaviour that they have been involved in, how it has affected them emotionally, mentally and even financially. This is non-evidential and must be highlighted to that effect. The VPS can be made following the initial statement, later, or both, if they feel there is anything additional the court or defendant should know. The VPS will be attached to the case file and the victim has a number of options with regards the VPS being read out in court, by the victim, pre-recorded or elect to use the representative from the Crown Prosecution Service to read out. As the victim had endured many different incidents over a period, they wanted the opportunity to be heard. She detailed how it had affected her mentally and emotionally, affected her sleep, caused her anxiety to the extent she was scared to leave the house for fear of being harassed, socially isolating her. She also voiced her disgust that the suspect would behave in such a way towards someone who is struggling everyday with their disability and be victimised due to the colour of her skin. Medically it had taken its toll on the victim as she had been prescribed a plethora of various medication following the incident.  The victim was advised that a marker for Police Watch would be placed on her property, which meant that police would routinely make patrols in the area and pass the house, to act as a visible presence and a deterrent. This is an incredibly sensitive case and one that was to be treated with respect, care and sensitivity due to the vulnerable status of the victim. It was imperative the victim received additional support and patience in order to understand the situation, her rights, what the best course of action was to follow and how she would be supported. As the responding officer I abided by the policing code of practice and ethics, followed standard procedures and responded professionally and respectfully.</w:t>
      </w:r>
    </w:p>
    <w:p w14:paraId="406EF303" w14:textId="77777777" w:rsidR="00957DDC" w:rsidRPr="00957DDC"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auto"/>
          <w:sz w:val="24"/>
          <w:szCs w:val="24"/>
          <w:lang w:eastAsia="en-US"/>
        </w:rPr>
        <w:t>To conclude it is always the officers aim to do the best by the victim. The many legislations and procedures in place for us to follow means that we understand the need to be victim-focused and by abiding by the code of practice and ethics means we can deliver an inclusive, respectful, integrated approach to every situation.</w:t>
      </w:r>
    </w:p>
    <w:p w14:paraId="53D8D511" w14:textId="77777777" w:rsidR="00112751" w:rsidRPr="00B4588E" w:rsidRDefault="00112751" w:rsidP="00957DDC">
      <w:pPr>
        <w:ind w:right="107"/>
        <w:jc w:val="center"/>
        <w:rPr>
          <w:rFonts w:ascii="Times New Roman" w:hAnsi="Times New Roman" w:cs="Times New Roman"/>
          <w:sz w:val="24"/>
          <w:szCs w:val="24"/>
        </w:rPr>
      </w:pPr>
    </w:p>
    <w:p w14:paraId="1967E2A8" w14:textId="77777777" w:rsidR="00025650" w:rsidRPr="00B4588E" w:rsidRDefault="00025650" w:rsidP="00E6298B">
      <w:pPr>
        <w:ind w:right="107"/>
        <w:jc w:val="both"/>
        <w:rPr>
          <w:rFonts w:ascii="Times New Roman" w:hAnsi="Times New Roman" w:cs="Times New Roman"/>
          <w:sz w:val="24"/>
          <w:szCs w:val="24"/>
        </w:rPr>
      </w:pPr>
    </w:p>
    <w:p w14:paraId="416EFA95" w14:textId="77777777" w:rsidR="00025650" w:rsidRPr="00B4588E" w:rsidRDefault="00025650" w:rsidP="00E6298B">
      <w:pPr>
        <w:ind w:right="107"/>
        <w:jc w:val="both"/>
        <w:rPr>
          <w:rFonts w:ascii="Times New Roman" w:hAnsi="Times New Roman" w:cs="Times New Roman"/>
          <w:sz w:val="24"/>
          <w:szCs w:val="24"/>
        </w:rPr>
      </w:pPr>
    </w:p>
    <w:p w14:paraId="598FFEC5" w14:textId="77777777" w:rsidR="00025650" w:rsidRPr="00B4588E" w:rsidRDefault="00025650" w:rsidP="00E6298B">
      <w:pPr>
        <w:ind w:right="107"/>
        <w:jc w:val="both"/>
        <w:rPr>
          <w:rFonts w:ascii="Times New Roman" w:hAnsi="Times New Roman" w:cs="Times New Roman"/>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76E85314" w14:textId="77777777" w:rsidR="00B4588E" w:rsidRDefault="00B4588E" w:rsidP="00B4588E">
      <w:pPr>
        <w:rPr>
          <w:rFonts w:ascii="Times New Roman" w:hAnsi="Times New Roman" w:cs="Times New Roman"/>
          <w:color w:val="auto"/>
          <w:sz w:val="24"/>
          <w:szCs w:val="24"/>
        </w:rPr>
      </w:pPr>
      <w:r>
        <w:rPr>
          <w:rFonts w:ascii="Times New Roman" w:hAnsi="Times New Roman" w:cs="Times New Roman"/>
          <w:sz w:val="24"/>
          <w:szCs w:val="24"/>
        </w:rPr>
        <w:t xml:space="preserve">This essay aims to provide depth and understanding to the National Decision-Making Model and how it is a vital tool which assists officers in resolving incidents. Delve into the importance of discretion in the decision-making process and reflect on a situation I have experienced where the following has been referred to. </w:t>
      </w:r>
    </w:p>
    <w:p w14:paraId="49C8256B" w14:textId="5A81034A"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The National Decision-making Model (NDM) as illustrated in the College of Policing (2021) is divided to six components which officers are taught in the initial six months of training and utilised both consciously and subconsciously on response. At the core of all the components are the code of ethics: having knowledge of the code of ethics, values and standards of professional conduct is vital for every officer, so there is consistency within the force and all officers responding incidents act in the same manner with little variation, keeping core values and principles at the heart of everything they do. The next component is gathering information and intelligence, this is important so officers can be well-prepared when attending incidents and use evidence informed approaches to resolving conflicts. The next approach is assessment where officers evaluate risk and the threat involved in each incident and from that initiate an effective working strategy. Powers and policy are the fourth </w:t>
      </w:r>
      <w:r>
        <w:rPr>
          <w:rFonts w:ascii="Times New Roman" w:hAnsi="Times New Roman" w:cs="Times New Roman"/>
          <w:sz w:val="24"/>
          <w:szCs w:val="24"/>
        </w:rPr>
        <w:t>components,</w:t>
      </w:r>
      <w:r>
        <w:rPr>
          <w:rFonts w:ascii="Times New Roman" w:hAnsi="Times New Roman" w:cs="Times New Roman"/>
          <w:sz w:val="24"/>
          <w:szCs w:val="24"/>
        </w:rPr>
        <w:t xml:space="preserve"> this involves officers considering the polices they have learnt and how to apply such polices to the incident in attendance. The fifth component is options, meaning identifying what options are available when attending incidents, it is also important to have contingency plans in place as the situation’s officers attend can be very unpredictable and escalate quickly. Finally, the last component is action and review, where officers take the appropriate course of action and after the incident has occurred, they review what has happened (College of Policing, 2021). </w:t>
      </w:r>
    </w:p>
    <w:p w14:paraId="1E505D27"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Police discretion has an imperative role to play in terms of decision making. Discretion has been described as an officer’s ability to utilise their own judgement and free choice in policing scenarios </w:t>
      </w:r>
      <w:r>
        <w:rPr>
          <w:rFonts w:ascii="Times New Roman" w:hAnsi="Times New Roman" w:cs="Times New Roman"/>
          <w:sz w:val="24"/>
          <w:szCs w:val="24"/>
        </w:rPr>
        <w:lastRenderedPageBreak/>
        <w:t xml:space="preserve">(Newburn and </w:t>
      </w:r>
      <w:proofErr w:type="spellStart"/>
      <w:r>
        <w:rPr>
          <w:rFonts w:ascii="Times New Roman" w:hAnsi="Times New Roman" w:cs="Times New Roman"/>
          <w:sz w:val="24"/>
          <w:szCs w:val="24"/>
        </w:rPr>
        <w:t>Neyroud</w:t>
      </w:r>
      <w:proofErr w:type="spellEnd"/>
      <w:r>
        <w:rPr>
          <w:rFonts w:ascii="Times New Roman" w:hAnsi="Times New Roman" w:cs="Times New Roman"/>
          <w:sz w:val="24"/>
          <w:szCs w:val="24"/>
        </w:rPr>
        <w:t xml:space="preserve">, 2008) and in order to attain the role of Police Constable, officers go through a considerable amount of training on how to use this effectively. Officers are educated and trained in The Standards of Professional Behaviour, the Policing Principles which are the core values of the Code of Ethics to which all Police Officers must adhere to, therefore decision making is significantly influenced and restricted. </w:t>
      </w:r>
      <w:proofErr w:type="spellStart"/>
      <w:r>
        <w:rPr>
          <w:rFonts w:ascii="Times New Roman" w:hAnsi="Times New Roman" w:cs="Times New Roman"/>
          <w:sz w:val="24"/>
          <w:szCs w:val="24"/>
        </w:rPr>
        <w:t>Mastrofski</w:t>
      </w:r>
      <w:proofErr w:type="spellEnd"/>
      <w:r>
        <w:rPr>
          <w:rFonts w:ascii="Times New Roman" w:hAnsi="Times New Roman" w:cs="Times New Roman"/>
          <w:sz w:val="24"/>
          <w:szCs w:val="24"/>
        </w:rPr>
        <w:t xml:space="preserve"> (2004) has stated that the range of discretion officers implement will vary from incident to incident, therefore making it a vital and valuable tool in the role of responding to a plethora of incidents. When conversing with the public or a suspect the specific attitude of the person dealt with can have a positive or negative influence on the level of discretion used.</w:t>
      </w:r>
    </w:p>
    <w:p w14:paraId="0C126E7F"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 The policing incident selected to answer the question regarding decision making and discretion, conducting investigations and criminal justice is one involving domestic abuse. Domestic abuse is difficult to accurately define, as the majority of abuse occurs behind closed doors, often hidden and under reported but the Office of National Statistics identifies that for the year ending March 2020, an estimated 750,000 men and 1.6 million women aged 16 to 74 years experienced domestic abuse (ONS, 2020). On average the police in England and Wales receive over 100 calls relating to domestic abuse every hour (ONS, 2020), implying the majority of calls on shift will be associated to domestic abuse. HM Government (2021) states that domestic abuse is not limited to physical violence alone, it also involves sexual abuse, economic abuse, threats, emotional abuse, intimidation, coercive domination or online abuse, it also states that domestic abuse does not discriminate, anyone can be a victim irrespective of age, sexuality, gender, socio-economic status, religion or ethnicity providing understanding on how there are over 100 calls every hour regarding domestic abuse. </w:t>
      </w:r>
    </w:p>
    <w:p w14:paraId="3A25C2FF"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The Criminal Procedure and Investigation Act 1996 (CPIA) is specific to all investigations in their entirety. The legislation is in place to safeguard against miscarriages of justice, which have occurred in the past. Investigators have certain responsibilities under the legislation and all evidence must be disclosed to all parties, even where it hurts the case of the prosecution (Taylor, 2001). Research by Taylor (2001) suggests that due to past indiscretions the prosecution must be transparent in their conduct so officers can be held accountable for their actions and concluded that the CPIA presents a method which is consists of multiple faults, that can seriously jeopardise further miscarriages of justice.</w:t>
      </w:r>
    </w:p>
    <w:p w14:paraId="55B687B4"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The police incident involved in this study includes the initial stages of CPIA due to there being no prosecution, only attending officers were involved in this instance. The values of the CPIA were adhered to from officer’s arrival securing all evidence and accurate accounts throughout the duration of involvement </w:t>
      </w:r>
      <w:proofErr w:type="gramStart"/>
      <w:r>
        <w:rPr>
          <w:rFonts w:ascii="Times New Roman" w:hAnsi="Times New Roman" w:cs="Times New Roman"/>
          <w:sz w:val="24"/>
          <w:szCs w:val="24"/>
        </w:rPr>
        <w:t>through the use of</w:t>
      </w:r>
      <w:proofErr w:type="gramEnd"/>
      <w:r>
        <w:rPr>
          <w:rFonts w:ascii="Times New Roman" w:hAnsi="Times New Roman" w:cs="Times New Roman"/>
          <w:sz w:val="24"/>
          <w:szCs w:val="24"/>
        </w:rPr>
        <w:t xml:space="preserve"> body worn video cameras. Evidence gathered involves the first accounts of the parties involved, victim’s codes, entries to the effect of no complaint, and electronic pocket </w:t>
      </w:r>
      <w:proofErr w:type="gramStart"/>
      <w:r>
        <w:rPr>
          <w:rFonts w:ascii="Times New Roman" w:hAnsi="Times New Roman" w:cs="Times New Roman"/>
          <w:sz w:val="24"/>
          <w:szCs w:val="24"/>
        </w:rPr>
        <w:t>note book</w:t>
      </w:r>
      <w:proofErr w:type="gramEnd"/>
      <w:r>
        <w:rPr>
          <w:rFonts w:ascii="Times New Roman" w:hAnsi="Times New Roman" w:cs="Times New Roman"/>
          <w:sz w:val="24"/>
          <w:szCs w:val="24"/>
        </w:rPr>
        <w:t xml:space="preserve"> (EPNB) entry of significant comments by the suspect on arrest, added to the incident logs as to comply with CPIA. This incident chosen specifically due to the personal conflict it caused me with regards discretion.   Policies, legislation and guidelines introduce change and evolve overtime, when inadequacies are identified in public policy. Governments react and policies reflect the change, and these restrict the availability of discretion available to officers. In relation to this incident ‘Positive Action’ polices introduced across the UK in respects of domestic violence and the arrest at scene reduce the use of discretion.  </w:t>
      </w:r>
    </w:p>
    <w:p w14:paraId="5680E0C7"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Officers attended a call in the early hours of the morning from a female to report a domestic incident at a bedsit involving her boyfriend. On route to the call contact centre staff informed officers on the results of niche background checks on both parties. The male was highlighted as a high-risk domestic violence aggressor against the female and the female as a high-risk domestic violence victim at the hands of the male. Due to the information provided and the female being the reporting person, officers went into the incident with preconceived perception of what had happened and what course of action was going to be taken. Waiting for the female to disclose an assault and that the male suspect would be arrested on suspicion of assault. On arrival both parties were outside the property, the female on the street and the male on the doorstep. Standard procedure was </w:t>
      </w:r>
      <w:proofErr w:type="gramStart"/>
      <w:r>
        <w:rPr>
          <w:rFonts w:ascii="Times New Roman" w:hAnsi="Times New Roman" w:cs="Times New Roman"/>
          <w:sz w:val="24"/>
          <w:szCs w:val="24"/>
        </w:rPr>
        <w:t>followed</w:t>
      </w:r>
      <w:proofErr w:type="gramEnd"/>
      <w:r>
        <w:rPr>
          <w:rFonts w:ascii="Times New Roman" w:hAnsi="Times New Roman" w:cs="Times New Roman"/>
          <w:sz w:val="24"/>
          <w:szCs w:val="24"/>
        </w:rPr>
        <w:t xml:space="preserve"> and body </w:t>
      </w:r>
      <w:r>
        <w:rPr>
          <w:rFonts w:ascii="Times New Roman" w:hAnsi="Times New Roman" w:cs="Times New Roman"/>
          <w:sz w:val="24"/>
          <w:szCs w:val="24"/>
        </w:rPr>
        <w:lastRenderedPageBreak/>
        <w:t xml:space="preserve">worn video activated by officers on arrival. Both parties were separated and spoken to individually to allow each person to give an account of events without undue influence of the other person. </w:t>
      </w:r>
    </w:p>
    <w:p w14:paraId="293C0AB6"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The female, who was upset and distressed, had her details were obtained and was questioned about the incident. She was very vague and elusive on detail, only sharing basic information, explaining that they had verbally argued this morning in the early </w:t>
      </w:r>
      <w:proofErr w:type="gramStart"/>
      <w:r>
        <w:rPr>
          <w:rFonts w:ascii="Times New Roman" w:hAnsi="Times New Roman" w:cs="Times New Roman"/>
          <w:sz w:val="24"/>
          <w:szCs w:val="24"/>
        </w:rPr>
        <w:t>hours</w:t>
      </w:r>
      <w:proofErr w:type="gramEnd"/>
      <w:r>
        <w:rPr>
          <w:rFonts w:ascii="Times New Roman" w:hAnsi="Times New Roman" w:cs="Times New Roman"/>
          <w:sz w:val="24"/>
          <w:szCs w:val="24"/>
        </w:rPr>
        <w:t xml:space="preserve"> and they had gotten into a physical altercation. The female refused to elaborate and give detail, saying she didn’t want to get him into trouble. Any attempt made to persuade her, following the five-step approach (Newburn and </w:t>
      </w:r>
      <w:proofErr w:type="spellStart"/>
      <w:r>
        <w:rPr>
          <w:rFonts w:ascii="Times New Roman" w:hAnsi="Times New Roman" w:cs="Times New Roman"/>
          <w:sz w:val="24"/>
          <w:szCs w:val="24"/>
        </w:rPr>
        <w:t>Neyroud</w:t>
      </w:r>
      <w:proofErr w:type="spellEnd"/>
      <w:r>
        <w:rPr>
          <w:rFonts w:ascii="Times New Roman" w:hAnsi="Times New Roman" w:cs="Times New Roman"/>
          <w:sz w:val="24"/>
          <w:szCs w:val="24"/>
        </w:rPr>
        <w:t xml:space="preserve">, 2008), to get give a more detailed account failed, she only wanted him gone. A public protection notice (PPN) was started due to the incident being a domestic call. The PPN was almost complete, when the officer dealing with the male informed us of the male’s version of events. The male suspect disclosed there had been a verbal argument between the couple and she had scrammed his ear causing him a small cut, with blood coming from the wound. The male explained he defended himself by pushing her away. He said he did not want to make a complaint and signed an officers EPNB with words to that effect. </w:t>
      </w:r>
    </w:p>
    <w:p w14:paraId="7F73A87A"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Due to the fact there was no complaint from either side, the history of domestic violence between the two parties and minimal injury, using officers’ discretion it was satisfactory to have separated the parties, completed and submitted a PPN, so the female domestic violence victim could be highlighted to receive help from other agencies and victims code of conduct.  This would be a justified course of action, however, due to the disclosure from the male of an assault and the visible injury, another attending officer was not happy for that course of action and insisted that the female, in this particular instance, was the domestic violence aggressor and was to be arrested on suspicion of assault. The woman was informed of the disclosure of assault and what she was being arrested for and cautioned, though, when she realised what was happening and suddenly became forth coming with her version of events going into greater detail. These significant comments were </w:t>
      </w:r>
      <w:proofErr w:type="gramStart"/>
      <w:r>
        <w:rPr>
          <w:rFonts w:ascii="Times New Roman" w:hAnsi="Times New Roman" w:cs="Times New Roman"/>
          <w:sz w:val="24"/>
          <w:szCs w:val="24"/>
        </w:rPr>
        <w:t>noted</w:t>
      </w:r>
      <w:proofErr w:type="gramEnd"/>
      <w:r>
        <w:rPr>
          <w:rFonts w:ascii="Times New Roman" w:hAnsi="Times New Roman" w:cs="Times New Roman"/>
          <w:sz w:val="24"/>
          <w:szCs w:val="24"/>
        </w:rPr>
        <w:t xml:space="preserve"> and she was informed the necessity of the arrest was for a prompt and effective investigation and to prevent further injury. Due to attending officers being both male the female was not searched under section 32 of the Police and Criminal Evidence act, 1984 (Brown, 1989) but was made to turn out her pockets.  </w:t>
      </w:r>
    </w:p>
    <w:p w14:paraId="131351A6"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The male, who was not on the rental agreement for the house, was made to exit the property and instructed not to comeback. He was hostile and reluctant to do so and responded by shouting abuse at officers, he eventually left after several minutes. The arrested female </w:t>
      </w:r>
      <w:proofErr w:type="gramStart"/>
      <w:r>
        <w:rPr>
          <w:rFonts w:ascii="Times New Roman" w:hAnsi="Times New Roman" w:cs="Times New Roman"/>
          <w:sz w:val="24"/>
          <w:szCs w:val="24"/>
        </w:rPr>
        <w:t>was allowed to</w:t>
      </w:r>
      <w:proofErr w:type="gramEnd"/>
      <w:r>
        <w:rPr>
          <w:rFonts w:ascii="Times New Roman" w:hAnsi="Times New Roman" w:cs="Times New Roman"/>
          <w:sz w:val="24"/>
          <w:szCs w:val="24"/>
        </w:rPr>
        <w:t xml:space="preserve"> access her property to get some footwear and make sure the property was secure before being conveyed to the custody suite. Whilst in the property the male returned coming into the property, shouting again and appeared in an aggressive manner. Officers shouted back at him and insisted he leave immediately, informing him his behaviour would not be tolerated. Officers walked towards him and informed him if he did not leave immediately then he would end up getting arrested for breach of the peace, a public order offence. He continued to shout but did eventually exit the property. </w:t>
      </w:r>
    </w:p>
    <w:p w14:paraId="6730148F"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With the house secured, the female suspect was conveyed to custody. She continued to state claims that the male had been violent to not only herself, but others too. Officers reminded the young lady she was under caution and to not say anything until interview at which point, she could give her complete account of the incident. An EPNB entry was signed by the suspect and submitted. Arriving at the Custody Suite whilst booking her in, the Custody Sargent made the decision to refuse her detention. The suspect’s items were returned to her, she was de-arrested, and officers were instructed to return her home. Upon arrival officers checked the male victim had not returned and the property was safe, they also informed her before leaving that should the male return, she is to call the police immediately. </w:t>
      </w:r>
    </w:p>
    <w:p w14:paraId="3A91A830" w14:textId="3EF757E5"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The NDM was applied to this situation, officers abided by the code of ethics throughout and upheld the standards of practice. </w:t>
      </w:r>
      <w:proofErr w:type="gramStart"/>
      <w:r w:rsidR="00247AA4">
        <w:rPr>
          <w:rFonts w:ascii="Times New Roman" w:hAnsi="Times New Roman" w:cs="Times New Roman"/>
          <w:sz w:val="24"/>
          <w:szCs w:val="24"/>
        </w:rPr>
        <w:t>In regard to</w:t>
      </w:r>
      <w:proofErr w:type="gramEnd"/>
      <w:r>
        <w:rPr>
          <w:rFonts w:ascii="Times New Roman" w:hAnsi="Times New Roman" w:cs="Times New Roman"/>
          <w:sz w:val="24"/>
          <w:szCs w:val="24"/>
        </w:rPr>
        <w:t xml:space="preserve"> the second component, gathering information and intelligence, when attending this incident along with my tutor we were both received the same information from the contact centre, the victim was a female and it was a domestic incident. Niche checks came back </w:t>
      </w:r>
      <w:r>
        <w:rPr>
          <w:rFonts w:ascii="Times New Roman" w:hAnsi="Times New Roman" w:cs="Times New Roman"/>
          <w:sz w:val="24"/>
          <w:szCs w:val="24"/>
        </w:rPr>
        <w:lastRenderedPageBreak/>
        <w:t xml:space="preserve">for the two people involved, we identified the female as a high-risk victim of domestic violence and the male as a high-risk perpetrator of domestic violence relating to each other. Therefore, we knew the situation needed to be responded to in a calm, sensitive and fair manner. Relating the assessment component to the incident meant assessing the perceived risks upon arrival, discussing a plan of action and having contingency plans in place. Upon arrival at the scene, we were met with both parties outside the property with the male in the doorway preventing the female from gaining access, they were arguing.  The male appeared to be domineering and aggressive, with the female upset and distraught which fitted into my preconceived perception of the incident. As is standard procedure at domestic incidents, both parties were separated and spoken to away from the other to defuse the situation and allow each person to give an honest account without outside influence. I spoke with the female and my colleague spoke with the male. The assessment of the incident beforehand, meant an appropriate outcome was achieved, in this instance separating the two.  The powers and property component came into the incident when there was no complaint from the female, she gave minimal disclosure that a verbal argument had escalated into a physical one but refused to give detail and no injuries were observed. As there was no disclosure there was no lawful necessity for arrest. Domestic incidents are always victim focused and as such there I considered removing the male from the property and instructing him to stay away and to submit a PPN for the female to get help from agencies involved with MARAC meetings. Following a conversation with my colleague and the disclosure of an assault on the male, because of the minimal injury, him not making a compliant and his attitude towards officers I still thought the best course of action was to use my discretion, and separate the parties and treat her as the victim. My colleague with several years’ experience insisted that due to there being only one disclosure of assault and a visible injury the only lawful course of action we must arrest the female on suspicion of Section 39 Assault by Battery. Options and contingencies involved the two courses of action discussed above, while personally it felt wrong to arrest the female, by the letter of the law based on the information provided by the two persons involved that this was the correct course of action. The action taken meant the female was arrested for Section 39 Common Assault by Battery, conveyed to custody where her detention was not authorised by the Custody Sergeant, his reasons being that there would be no further action (NFA) following interview as it was not in the public interest to prosecute the female. All the markers and previous incidents involving the two with the male as the aggressor and the female as the victim, even though there had been no conviction as the female had withdrawn her complaint, so had been NFA. </w:t>
      </w:r>
    </w:p>
    <w:p w14:paraId="00EE050B" w14:textId="77777777" w:rsidR="00B4588E" w:rsidRDefault="00B4588E" w:rsidP="00B4588E">
      <w:pPr>
        <w:rPr>
          <w:rFonts w:ascii="Times New Roman" w:hAnsi="Times New Roman" w:cs="Times New Roman"/>
          <w:sz w:val="24"/>
          <w:szCs w:val="24"/>
        </w:rPr>
      </w:pPr>
      <w:r>
        <w:rPr>
          <w:rFonts w:ascii="Times New Roman" w:hAnsi="Times New Roman" w:cs="Times New Roman"/>
          <w:sz w:val="24"/>
          <w:szCs w:val="24"/>
        </w:rPr>
        <w:t xml:space="preserve">To conclude, as a responding officer, effective decision making is one of the key components of the role. As </w:t>
      </w:r>
      <w:proofErr w:type="spellStart"/>
      <w:r>
        <w:rPr>
          <w:rFonts w:ascii="Times New Roman" w:hAnsi="Times New Roman" w:cs="Times New Roman"/>
          <w:sz w:val="24"/>
          <w:szCs w:val="24"/>
        </w:rPr>
        <w:t>Mastrofski</w:t>
      </w:r>
      <w:proofErr w:type="spellEnd"/>
      <w:r>
        <w:rPr>
          <w:rFonts w:ascii="Times New Roman" w:hAnsi="Times New Roman" w:cs="Times New Roman"/>
          <w:sz w:val="24"/>
          <w:szCs w:val="24"/>
        </w:rPr>
        <w:t xml:space="preserve"> (2004) has stated, the range of discretion officers implement will vary from incident to incident, it reinstates the notion and importance of the initial six months training officers must pass in order to go out on response. By having this knowledge and information instilled in us means we can confidently and competently respond and provide effective outcomes that benefits victims and abides by the law.</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2E4DD552" w:rsidR="00575A8F" w:rsidRPr="00270EEB" w:rsidRDefault="00AA2F76" w:rsidP="00E6298B">
            <w:pPr>
              <w:ind w:right="107"/>
              <w:jc w:val="both"/>
              <w:rPr>
                <w:sz w:val="24"/>
                <w:szCs w:val="24"/>
              </w:rPr>
            </w:pPr>
            <w:r>
              <w:rPr>
                <w:sz w:val="24"/>
                <w:szCs w:val="24"/>
              </w:rPr>
              <w:t>KNOWLEDGE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1C960C07" w:rsidR="00575A8F" w:rsidRPr="00270EEB" w:rsidRDefault="00265DE8" w:rsidP="00E6298B">
            <w:pPr>
              <w:ind w:right="107"/>
              <w:jc w:val="both"/>
              <w:rPr>
                <w:sz w:val="24"/>
                <w:szCs w:val="24"/>
              </w:rPr>
            </w:pPr>
            <w:r>
              <w:rPr>
                <w:sz w:val="24"/>
                <w:szCs w:val="24"/>
              </w:rPr>
              <w:t xml:space="preserve">Alongside </w:t>
            </w:r>
            <w:r w:rsidR="00994466">
              <w:rPr>
                <w:sz w:val="24"/>
                <w:szCs w:val="24"/>
              </w:rPr>
              <w:t xml:space="preserve">operational experience gaining invaluable exposure to the role, I will make time to read and re-read through Blackstone’s and cross reference with other books and online resources to reaffirm my knowledge. </w:t>
            </w:r>
          </w:p>
        </w:tc>
        <w:tc>
          <w:tcPr>
            <w:tcW w:w="2426" w:type="dxa"/>
            <w:shd w:val="clear" w:color="auto" w:fill="auto"/>
          </w:tcPr>
          <w:p w14:paraId="032F817F" w14:textId="77777777" w:rsidR="00575A8F" w:rsidRDefault="00994466" w:rsidP="00E6298B">
            <w:pPr>
              <w:ind w:right="107"/>
              <w:jc w:val="both"/>
              <w:rPr>
                <w:sz w:val="24"/>
                <w:szCs w:val="24"/>
              </w:rPr>
            </w:pPr>
            <w:r>
              <w:rPr>
                <w:sz w:val="24"/>
                <w:szCs w:val="24"/>
              </w:rPr>
              <w:t xml:space="preserve">Fellow officers in my Team, Sargent. </w:t>
            </w:r>
          </w:p>
          <w:p w14:paraId="6F2EF39C" w14:textId="68D09764" w:rsidR="00994466" w:rsidRPr="00270EEB" w:rsidRDefault="00994466" w:rsidP="00E6298B">
            <w:pPr>
              <w:ind w:right="107"/>
              <w:jc w:val="both"/>
              <w:rPr>
                <w:sz w:val="24"/>
                <w:szCs w:val="24"/>
              </w:rPr>
            </w:pPr>
            <w:r>
              <w:rPr>
                <w:sz w:val="24"/>
                <w:szCs w:val="24"/>
              </w:rPr>
              <w:t xml:space="preserve">Then as needs arise officers in other departments who can help my knowledge for example intelligence officers, or officers in the interview hub. </w:t>
            </w:r>
          </w:p>
        </w:tc>
        <w:tc>
          <w:tcPr>
            <w:tcW w:w="2426" w:type="dxa"/>
            <w:shd w:val="clear" w:color="auto" w:fill="auto"/>
          </w:tcPr>
          <w:p w14:paraId="3851D535" w14:textId="405369FF" w:rsidR="28A9B94D" w:rsidRDefault="00994466" w:rsidP="28A9B94D">
            <w:pPr>
              <w:jc w:val="both"/>
              <w:rPr>
                <w:sz w:val="24"/>
                <w:szCs w:val="24"/>
              </w:rPr>
            </w:pPr>
            <w:r>
              <w:rPr>
                <w:sz w:val="24"/>
                <w:szCs w:val="24"/>
              </w:rPr>
              <w:t xml:space="preserve">Ongoing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0FFA31CA" w:rsidR="00575A8F" w:rsidRPr="00270EEB" w:rsidRDefault="00AA2F76" w:rsidP="00E6298B">
            <w:pPr>
              <w:ind w:right="107"/>
              <w:jc w:val="both"/>
              <w:rPr>
                <w:sz w:val="24"/>
                <w:szCs w:val="24"/>
              </w:rPr>
            </w:pPr>
            <w:r>
              <w:rPr>
                <w:sz w:val="24"/>
                <w:szCs w:val="24"/>
              </w:rPr>
              <w:t xml:space="preserve">EFFICEINCY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584A2415" w:rsidR="00575A8F" w:rsidRPr="00270EEB" w:rsidRDefault="00D53DF5" w:rsidP="00E6298B">
            <w:pPr>
              <w:ind w:right="107"/>
              <w:jc w:val="both"/>
              <w:rPr>
                <w:sz w:val="24"/>
                <w:szCs w:val="24"/>
              </w:rPr>
            </w:pPr>
            <w:r>
              <w:rPr>
                <w:sz w:val="24"/>
                <w:szCs w:val="24"/>
              </w:rPr>
              <w:t>Through improvements in knowledge and more everyday experience using Niche and the everyday practices of</w:t>
            </w:r>
            <w:r w:rsidR="00EB54F5">
              <w:rPr>
                <w:sz w:val="24"/>
                <w:szCs w:val="24"/>
              </w:rPr>
              <w:t xml:space="preserve"> </w:t>
            </w:r>
            <w:r>
              <w:rPr>
                <w:sz w:val="24"/>
                <w:szCs w:val="24"/>
              </w:rPr>
              <w:t>operational police officers I will become</w:t>
            </w:r>
            <w:r w:rsidR="00EB54F5">
              <w:rPr>
                <w:sz w:val="24"/>
                <w:szCs w:val="24"/>
              </w:rPr>
              <w:t xml:space="preserve"> </w:t>
            </w:r>
            <w:r>
              <w:rPr>
                <w:sz w:val="24"/>
                <w:szCs w:val="24"/>
              </w:rPr>
              <w:t xml:space="preserve">more </w:t>
            </w:r>
            <w:r w:rsidR="00EB54F5">
              <w:rPr>
                <w:sz w:val="24"/>
                <w:szCs w:val="24"/>
              </w:rPr>
              <w:t>competent and streamlined when using these and thus more efficient</w:t>
            </w:r>
            <w:r>
              <w:rPr>
                <w:sz w:val="24"/>
                <w:szCs w:val="24"/>
              </w:rPr>
              <w:t xml:space="preserve"> </w:t>
            </w:r>
          </w:p>
        </w:tc>
        <w:tc>
          <w:tcPr>
            <w:tcW w:w="2426" w:type="dxa"/>
            <w:shd w:val="clear" w:color="auto" w:fill="auto"/>
          </w:tcPr>
          <w:p w14:paraId="7A4C9A77" w14:textId="2E393A27" w:rsidR="00575A8F" w:rsidRPr="00270EEB" w:rsidRDefault="00EB54F5" w:rsidP="00E6298B">
            <w:pPr>
              <w:ind w:right="107"/>
              <w:jc w:val="both"/>
              <w:rPr>
                <w:sz w:val="24"/>
                <w:szCs w:val="24"/>
              </w:rPr>
            </w:pPr>
            <w:r>
              <w:rPr>
                <w:sz w:val="24"/>
                <w:szCs w:val="24"/>
              </w:rPr>
              <w:t xml:space="preserve">Officers in my team, </w:t>
            </w:r>
            <w:r w:rsidR="00F439D5">
              <w:rPr>
                <w:sz w:val="24"/>
                <w:szCs w:val="24"/>
              </w:rPr>
              <w:t xml:space="preserve">my </w:t>
            </w:r>
            <w:r>
              <w:rPr>
                <w:sz w:val="24"/>
                <w:szCs w:val="24"/>
              </w:rPr>
              <w:t xml:space="preserve">Sargent and specialist staff shall be asked when the need arises. Also resources available on the South Wales Police Intranet. </w:t>
            </w:r>
          </w:p>
        </w:tc>
        <w:tc>
          <w:tcPr>
            <w:tcW w:w="2426" w:type="dxa"/>
            <w:shd w:val="clear" w:color="auto" w:fill="auto"/>
          </w:tcPr>
          <w:p w14:paraId="003BC03B" w14:textId="60664015" w:rsidR="28A9B94D" w:rsidRDefault="00EB54F5" w:rsidP="28A9B94D">
            <w:pPr>
              <w:jc w:val="both"/>
              <w:rPr>
                <w:sz w:val="24"/>
                <w:szCs w:val="24"/>
              </w:rPr>
            </w:pPr>
            <w:r>
              <w:rPr>
                <w:sz w:val="24"/>
                <w:szCs w:val="24"/>
              </w:rPr>
              <w:t>Ongoing</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031178C0" w:rsidR="00575A8F" w:rsidRPr="00270EEB" w:rsidRDefault="00332032" w:rsidP="00E6298B">
            <w:pPr>
              <w:ind w:right="107"/>
              <w:jc w:val="both"/>
              <w:rPr>
                <w:sz w:val="24"/>
                <w:szCs w:val="24"/>
              </w:rPr>
            </w:pPr>
            <w:r>
              <w:rPr>
                <w:sz w:val="24"/>
                <w:szCs w:val="24"/>
              </w:rPr>
              <w:t>ACADEMIC SKILLS</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7DAAE5DD" w:rsidR="00575A8F" w:rsidRPr="00270EEB" w:rsidRDefault="00332032" w:rsidP="00E6298B">
            <w:pPr>
              <w:ind w:right="107"/>
              <w:jc w:val="both"/>
              <w:rPr>
                <w:sz w:val="24"/>
                <w:szCs w:val="24"/>
              </w:rPr>
            </w:pPr>
            <w:r>
              <w:rPr>
                <w:sz w:val="24"/>
                <w:szCs w:val="24"/>
              </w:rPr>
              <w:lastRenderedPageBreak/>
              <w:t>Lia</w:t>
            </w:r>
            <w:r w:rsidR="00CC5D73">
              <w:rPr>
                <w:sz w:val="24"/>
                <w:szCs w:val="24"/>
              </w:rPr>
              <w:t>i</w:t>
            </w:r>
            <w:r>
              <w:rPr>
                <w:sz w:val="24"/>
                <w:szCs w:val="24"/>
              </w:rPr>
              <w:t>se with University</w:t>
            </w:r>
            <w:r w:rsidR="00F439D5">
              <w:rPr>
                <w:sz w:val="24"/>
                <w:szCs w:val="24"/>
              </w:rPr>
              <w:t xml:space="preserve"> and advantage of the services provided, </w:t>
            </w:r>
            <w:r w:rsidR="00640988">
              <w:rPr>
                <w:sz w:val="24"/>
                <w:szCs w:val="24"/>
              </w:rPr>
              <w:t>drop-in</w:t>
            </w:r>
            <w:r w:rsidR="00F439D5">
              <w:rPr>
                <w:sz w:val="24"/>
                <w:szCs w:val="24"/>
              </w:rPr>
              <w:t xml:space="preserve"> sessions, make use of the University campus, library and quiet workspace </w:t>
            </w:r>
            <w:r>
              <w:rPr>
                <w:sz w:val="24"/>
                <w:szCs w:val="24"/>
              </w:rPr>
              <w:t xml:space="preserve"> </w:t>
            </w:r>
          </w:p>
        </w:tc>
        <w:tc>
          <w:tcPr>
            <w:tcW w:w="2426" w:type="dxa"/>
            <w:shd w:val="clear" w:color="auto" w:fill="auto"/>
          </w:tcPr>
          <w:p w14:paraId="76B2A824" w14:textId="2F45D96B" w:rsidR="00575A8F" w:rsidRPr="00270EEB" w:rsidRDefault="00640988" w:rsidP="00E6298B">
            <w:pPr>
              <w:ind w:right="107"/>
              <w:jc w:val="both"/>
              <w:rPr>
                <w:sz w:val="24"/>
                <w:szCs w:val="24"/>
              </w:rPr>
            </w:pPr>
            <w:r>
              <w:rPr>
                <w:sz w:val="24"/>
                <w:szCs w:val="24"/>
              </w:rPr>
              <w:t xml:space="preserve">University staff directly involved with the </w:t>
            </w:r>
            <w:r w:rsidRPr="00640988">
              <w:rPr>
                <w:sz w:val="24"/>
                <w:szCs w:val="24"/>
              </w:rPr>
              <w:t>Graduate Diploma in Professional Police Practice</w:t>
            </w:r>
            <w:r>
              <w:rPr>
                <w:sz w:val="24"/>
                <w:szCs w:val="24"/>
              </w:rPr>
              <w:t xml:space="preserve"> Those who can give guidance and assistance with regards academic </w:t>
            </w:r>
            <w:r>
              <w:rPr>
                <w:sz w:val="24"/>
                <w:szCs w:val="24"/>
              </w:rPr>
              <w:lastRenderedPageBreak/>
              <w:t xml:space="preserve">skills of essay writing, research and referencing.   </w:t>
            </w:r>
          </w:p>
        </w:tc>
        <w:tc>
          <w:tcPr>
            <w:tcW w:w="2426" w:type="dxa"/>
            <w:shd w:val="clear" w:color="auto" w:fill="auto"/>
          </w:tcPr>
          <w:p w14:paraId="185B2EE5" w14:textId="2C415EE9" w:rsidR="28A9B94D" w:rsidRDefault="00B313D3" w:rsidP="28A9B94D">
            <w:pPr>
              <w:jc w:val="both"/>
              <w:rPr>
                <w:sz w:val="24"/>
                <w:szCs w:val="24"/>
              </w:rPr>
            </w:pPr>
            <w:r>
              <w:rPr>
                <w:sz w:val="24"/>
                <w:szCs w:val="24"/>
              </w:rPr>
              <w:lastRenderedPageBreak/>
              <w:t xml:space="preserve">On release of the second book I will formulate a plan with regards contacting the university. </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47AA4" w:rsidRDefault="00390074" w:rsidP="00E6298B">
      <w:pPr>
        <w:ind w:right="107"/>
        <w:jc w:val="both"/>
        <w:rPr>
          <w:rFonts w:ascii="Times New Roman" w:hAnsi="Times New Roman" w:cs="Times New Roman"/>
          <w:b/>
          <w:sz w:val="24"/>
          <w:szCs w:val="24"/>
        </w:rPr>
      </w:pPr>
    </w:p>
    <w:p w14:paraId="61AEE27E" w14:textId="1654DD0D"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auto"/>
          <w:sz w:val="24"/>
          <w:szCs w:val="24"/>
          <w:u w:val="single"/>
          <w:lang w:eastAsia="en-US"/>
        </w:rPr>
      </w:pPr>
      <w:r w:rsidRPr="00B313D3">
        <w:rPr>
          <w:rFonts w:ascii="Times New Roman" w:eastAsia="Calibri" w:hAnsi="Times New Roman" w:cs="Times New Roman"/>
          <w:color w:val="auto"/>
          <w:sz w:val="24"/>
          <w:szCs w:val="24"/>
          <w:u w:val="single"/>
          <w:lang w:eastAsia="en-US"/>
        </w:rPr>
        <w:t>R</w:t>
      </w:r>
      <w:r w:rsidRPr="00247AA4">
        <w:rPr>
          <w:rFonts w:ascii="Times New Roman" w:eastAsia="Calibri" w:hAnsi="Times New Roman" w:cs="Times New Roman"/>
          <w:color w:val="auto"/>
          <w:sz w:val="24"/>
          <w:szCs w:val="24"/>
          <w:u w:val="single"/>
          <w:lang w:eastAsia="en-US"/>
        </w:rPr>
        <w:t>EFERENCES</w:t>
      </w:r>
      <w:r w:rsidRPr="00247AA4">
        <w:rPr>
          <w:rFonts w:ascii="Times New Roman" w:eastAsia="Calibri" w:hAnsi="Times New Roman" w:cs="Times New Roman"/>
          <w:color w:val="auto"/>
          <w:sz w:val="24"/>
          <w:szCs w:val="24"/>
          <w:u w:val="single"/>
          <w:lang w:eastAsia="en-US"/>
        </w:rPr>
        <w:t xml:space="preserve"> </w:t>
      </w:r>
      <w:r w:rsidRPr="00247AA4">
        <w:rPr>
          <w:rFonts w:ascii="Times New Roman" w:eastAsia="Calibri" w:hAnsi="Times New Roman" w:cs="Times New Roman"/>
          <w:color w:val="auto"/>
          <w:sz w:val="24"/>
          <w:szCs w:val="24"/>
          <w:u w:val="single"/>
          <w:lang w:eastAsia="en-US"/>
        </w:rPr>
        <w:t>–</w:t>
      </w:r>
      <w:r w:rsidRPr="00247AA4">
        <w:rPr>
          <w:rFonts w:ascii="Times New Roman" w:eastAsia="Calibri" w:hAnsi="Times New Roman" w:cs="Times New Roman"/>
          <w:color w:val="auto"/>
          <w:sz w:val="24"/>
          <w:szCs w:val="24"/>
          <w:u w:val="single"/>
          <w:lang w:eastAsia="en-US"/>
        </w:rPr>
        <w:t xml:space="preserve"> T</w:t>
      </w:r>
      <w:r w:rsidRPr="00247AA4">
        <w:rPr>
          <w:rFonts w:ascii="Times New Roman" w:eastAsia="Calibri" w:hAnsi="Times New Roman" w:cs="Times New Roman"/>
          <w:color w:val="auto"/>
          <w:sz w:val="24"/>
          <w:szCs w:val="24"/>
          <w:u w:val="single"/>
          <w:lang w:eastAsia="en-US"/>
        </w:rPr>
        <w:t>ASK 1</w:t>
      </w:r>
    </w:p>
    <w:p w14:paraId="0D33DE02" w14:textId="7F41F2E5" w:rsidR="00957DDC"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Cannon, W.B., 1922. </w:t>
      </w:r>
      <w:r w:rsidRPr="00B313D3">
        <w:rPr>
          <w:rFonts w:ascii="Times New Roman" w:eastAsia="Calibri" w:hAnsi="Times New Roman" w:cs="Times New Roman"/>
          <w:i/>
          <w:iCs/>
          <w:color w:val="222222"/>
          <w:sz w:val="24"/>
          <w:szCs w:val="24"/>
          <w:shd w:val="clear" w:color="auto" w:fill="FFFFFF"/>
          <w:lang w:eastAsia="en-US"/>
        </w:rPr>
        <w:t>Bodily changes in pain, hunger, fear and rage: An account of recent researches into the function of emotional excitement</w:t>
      </w:r>
      <w:r w:rsidRPr="00B313D3">
        <w:rPr>
          <w:rFonts w:ascii="Times New Roman" w:eastAsia="Calibri" w:hAnsi="Times New Roman" w:cs="Times New Roman"/>
          <w:color w:val="222222"/>
          <w:sz w:val="24"/>
          <w:szCs w:val="24"/>
          <w:shd w:val="clear" w:color="auto" w:fill="FFFFFF"/>
          <w:lang w:eastAsia="en-US"/>
        </w:rPr>
        <w:t>. D. Appleton.</w:t>
      </w:r>
    </w:p>
    <w:p w14:paraId="7A99BFAD" w14:textId="77777777" w:rsidR="00247AA4" w:rsidRDefault="00247AA4" w:rsidP="00247AA4">
      <w:pPr>
        <w:rPr>
          <w:rFonts w:ascii="Helvetica" w:hAnsi="Helvetica"/>
          <w:color w:val="000000" w:themeColor="text1"/>
          <w:shd w:val="clear" w:color="auto" w:fill="FFFFFF"/>
        </w:rPr>
      </w:pPr>
      <w:r>
        <w:rPr>
          <w:rFonts w:ascii="Times New Roman" w:hAnsi="Times New Roman" w:cs="Times New Roman"/>
          <w:color w:val="222222"/>
          <w:sz w:val="24"/>
          <w:szCs w:val="24"/>
          <w:shd w:val="clear" w:color="auto" w:fill="FFFFFF"/>
        </w:rPr>
        <w:t>College of Policing (2021)., available a</w:t>
      </w:r>
      <w:r w:rsidRPr="00247AA4">
        <w:rPr>
          <w:rFonts w:ascii="Times New Roman" w:hAnsi="Times New Roman" w:cs="Times New Roman"/>
          <w:color w:val="000000" w:themeColor="text1"/>
          <w:sz w:val="24"/>
          <w:szCs w:val="24"/>
          <w:shd w:val="clear" w:color="auto" w:fill="FFFFFF"/>
        </w:rPr>
        <w:t xml:space="preserve">t </w:t>
      </w:r>
      <w:hyperlink r:id="rId20" w:history="1">
        <w:r w:rsidRPr="00247AA4">
          <w:rPr>
            <w:rStyle w:val="Hyperlink"/>
            <w:rFonts w:ascii="Helvetica" w:hAnsi="Helvetica"/>
            <w:color w:val="000000" w:themeColor="text1"/>
            <w:shd w:val="clear" w:color="auto" w:fill="FFFFFF"/>
          </w:rPr>
          <w:t>https://www.college.police.uk</w:t>
        </w:r>
      </w:hyperlink>
    </w:p>
    <w:p w14:paraId="026053D3" w14:textId="77777777" w:rsidR="00247AA4" w:rsidRDefault="00247AA4" w:rsidP="00247AA4">
      <w:pPr>
        <w:rPr>
          <w:rFonts w:ascii="Helvetica" w:hAnsi="Helvetica"/>
          <w:color w:val="000000" w:themeColor="text1"/>
          <w:shd w:val="clear" w:color="auto" w:fill="FFFFFF"/>
        </w:rPr>
      </w:pPr>
    </w:p>
    <w:p w14:paraId="19D8AB3A" w14:textId="775B3DD7" w:rsidR="00957DDC" w:rsidRPr="00B313D3" w:rsidRDefault="00957DDC" w:rsidP="00247AA4">
      <w:pPr>
        <w:rPr>
          <w:rFonts w:ascii="Helvetica" w:hAnsi="Helvetica"/>
          <w:color w:val="000000" w:themeColor="text1"/>
          <w:shd w:val="clear" w:color="auto" w:fill="FFFFFF"/>
        </w:rPr>
      </w:pPr>
      <w:r w:rsidRPr="00B313D3">
        <w:rPr>
          <w:rFonts w:ascii="Times New Roman" w:eastAsia="Calibri" w:hAnsi="Times New Roman" w:cs="Times New Roman"/>
          <w:color w:val="222222"/>
          <w:sz w:val="24"/>
          <w:szCs w:val="24"/>
          <w:shd w:val="clear" w:color="auto" w:fill="FFFFFF"/>
          <w:lang w:eastAsia="en-US"/>
        </w:rPr>
        <w:t>Cross, K.P., 1981. Adults as Learners. Increasing Participation and Facilitating Learning.</w:t>
      </w:r>
    </w:p>
    <w:p w14:paraId="6F31E346" w14:textId="77777777" w:rsidR="00247AA4" w:rsidRDefault="00247AA4"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p>
    <w:p w14:paraId="282D81E6" w14:textId="32CFF68A"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 xml:space="preserve">Ingram, J., Hand, C.J. and </w:t>
      </w:r>
      <w:proofErr w:type="spellStart"/>
      <w:r w:rsidRPr="00B313D3">
        <w:rPr>
          <w:rFonts w:ascii="Times New Roman" w:eastAsia="Calibri" w:hAnsi="Times New Roman" w:cs="Times New Roman"/>
          <w:color w:val="222222"/>
          <w:sz w:val="24"/>
          <w:szCs w:val="24"/>
          <w:shd w:val="clear" w:color="auto" w:fill="FFFFFF"/>
          <w:lang w:eastAsia="en-US"/>
        </w:rPr>
        <w:t>Maciejewski</w:t>
      </w:r>
      <w:proofErr w:type="spellEnd"/>
      <w:r w:rsidRPr="00B313D3">
        <w:rPr>
          <w:rFonts w:ascii="Times New Roman" w:eastAsia="Calibri" w:hAnsi="Times New Roman" w:cs="Times New Roman"/>
          <w:color w:val="222222"/>
          <w:sz w:val="24"/>
          <w:szCs w:val="24"/>
          <w:shd w:val="clear" w:color="auto" w:fill="FFFFFF"/>
          <w:lang w:eastAsia="en-US"/>
        </w:rPr>
        <w:t>, G., 2021. Social isolation during COVID‐19 lockdown impairs cognitive function. </w:t>
      </w:r>
      <w:r w:rsidRPr="00B313D3">
        <w:rPr>
          <w:rFonts w:ascii="Times New Roman" w:eastAsia="Calibri" w:hAnsi="Times New Roman" w:cs="Times New Roman"/>
          <w:i/>
          <w:iCs/>
          <w:color w:val="222222"/>
          <w:sz w:val="24"/>
          <w:szCs w:val="24"/>
          <w:shd w:val="clear" w:color="auto" w:fill="FFFFFF"/>
          <w:lang w:eastAsia="en-US"/>
        </w:rPr>
        <w:t>Applied Cognitive Psychology</w:t>
      </w:r>
      <w:r w:rsidRPr="00B313D3">
        <w:rPr>
          <w:rFonts w:ascii="Times New Roman" w:eastAsia="Calibri" w:hAnsi="Times New Roman" w:cs="Times New Roman"/>
          <w:color w:val="222222"/>
          <w:sz w:val="24"/>
          <w:szCs w:val="24"/>
          <w:shd w:val="clear" w:color="auto" w:fill="FFFFFF"/>
          <w:lang w:eastAsia="en-US"/>
        </w:rPr>
        <w:t>.</w:t>
      </w:r>
    </w:p>
    <w:p w14:paraId="74DD2660"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 xml:space="preserve">Jackson, P.A., </w:t>
      </w:r>
      <w:proofErr w:type="spellStart"/>
      <w:r w:rsidRPr="00B313D3">
        <w:rPr>
          <w:rFonts w:ascii="Times New Roman" w:eastAsia="Calibri" w:hAnsi="Times New Roman" w:cs="Times New Roman"/>
          <w:color w:val="222222"/>
          <w:sz w:val="24"/>
          <w:szCs w:val="24"/>
          <w:shd w:val="clear" w:color="auto" w:fill="FFFFFF"/>
          <w:lang w:eastAsia="en-US"/>
        </w:rPr>
        <w:t>Pialoux</w:t>
      </w:r>
      <w:proofErr w:type="spellEnd"/>
      <w:r w:rsidRPr="00B313D3">
        <w:rPr>
          <w:rFonts w:ascii="Times New Roman" w:eastAsia="Calibri" w:hAnsi="Times New Roman" w:cs="Times New Roman"/>
          <w:color w:val="222222"/>
          <w:sz w:val="24"/>
          <w:szCs w:val="24"/>
          <w:shd w:val="clear" w:color="auto" w:fill="FFFFFF"/>
          <w:lang w:eastAsia="en-US"/>
        </w:rPr>
        <w:t xml:space="preserve">, V., Corbett, D., </w:t>
      </w:r>
      <w:proofErr w:type="spellStart"/>
      <w:r w:rsidRPr="00B313D3">
        <w:rPr>
          <w:rFonts w:ascii="Times New Roman" w:eastAsia="Calibri" w:hAnsi="Times New Roman" w:cs="Times New Roman"/>
          <w:color w:val="222222"/>
          <w:sz w:val="24"/>
          <w:szCs w:val="24"/>
          <w:shd w:val="clear" w:color="auto" w:fill="FFFFFF"/>
          <w:lang w:eastAsia="en-US"/>
        </w:rPr>
        <w:t>Drogos</w:t>
      </w:r>
      <w:proofErr w:type="spellEnd"/>
      <w:r w:rsidRPr="00B313D3">
        <w:rPr>
          <w:rFonts w:ascii="Times New Roman" w:eastAsia="Calibri" w:hAnsi="Times New Roman" w:cs="Times New Roman"/>
          <w:color w:val="222222"/>
          <w:sz w:val="24"/>
          <w:szCs w:val="24"/>
          <w:shd w:val="clear" w:color="auto" w:fill="FFFFFF"/>
          <w:lang w:eastAsia="en-US"/>
        </w:rPr>
        <w:t xml:space="preserve">, L., Erickson, K.I., </w:t>
      </w:r>
      <w:proofErr w:type="spellStart"/>
      <w:r w:rsidRPr="00B313D3">
        <w:rPr>
          <w:rFonts w:ascii="Times New Roman" w:eastAsia="Calibri" w:hAnsi="Times New Roman" w:cs="Times New Roman"/>
          <w:color w:val="222222"/>
          <w:sz w:val="24"/>
          <w:szCs w:val="24"/>
          <w:shd w:val="clear" w:color="auto" w:fill="FFFFFF"/>
          <w:lang w:eastAsia="en-US"/>
        </w:rPr>
        <w:t>Eskes</w:t>
      </w:r>
      <w:proofErr w:type="spellEnd"/>
      <w:r w:rsidRPr="00B313D3">
        <w:rPr>
          <w:rFonts w:ascii="Times New Roman" w:eastAsia="Calibri" w:hAnsi="Times New Roman" w:cs="Times New Roman"/>
          <w:color w:val="222222"/>
          <w:sz w:val="24"/>
          <w:szCs w:val="24"/>
          <w:shd w:val="clear" w:color="auto" w:fill="FFFFFF"/>
          <w:lang w:eastAsia="en-US"/>
        </w:rPr>
        <w:t>, G.A. and Poulin, M.J., 2016. Promoting brain health through exercise and diet in older adults: a physiological perspective. </w:t>
      </w:r>
      <w:r w:rsidRPr="00B313D3">
        <w:rPr>
          <w:rFonts w:ascii="Times New Roman" w:eastAsia="Calibri" w:hAnsi="Times New Roman" w:cs="Times New Roman"/>
          <w:i/>
          <w:iCs/>
          <w:color w:val="222222"/>
          <w:sz w:val="24"/>
          <w:szCs w:val="24"/>
          <w:shd w:val="clear" w:color="auto" w:fill="FFFFFF"/>
          <w:lang w:eastAsia="en-US"/>
        </w:rPr>
        <w:t>The Journal of physiology</w:t>
      </w:r>
      <w:r w:rsidRPr="00B313D3">
        <w:rPr>
          <w:rFonts w:ascii="Times New Roman" w:eastAsia="Calibri" w:hAnsi="Times New Roman" w:cs="Times New Roman"/>
          <w:color w:val="222222"/>
          <w:sz w:val="24"/>
          <w:szCs w:val="24"/>
          <w:shd w:val="clear" w:color="auto" w:fill="FFFFFF"/>
          <w:lang w:eastAsia="en-US"/>
        </w:rPr>
        <w:t>, </w:t>
      </w:r>
      <w:r w:rsidRPr="00B313D3">
        <w:rPr>
          <w:rFonts w:ascii="Times New Roman" w:eastAsia="Calibri" w:hAnsi="Times New Roman" w:cs="Times New Roman"/>
          <w:i/>
          <w:iCs/>
          <w:color w:val="222222"/>
          <w:sz w:val="24"/>
          <w:szCs w:val="24"/>
          <w:shd w:val="clear" w:color="auto" w:fill="FFFFFF"/>
          <w:lang w:eastAsia="en-US"/>
        </w:rPr>
        <w:t>594</w:t>
      </w:r>
      <w:r w:rsidRPr="00B313D3">
        <w:rPr>
          <w:rFonts w:ascii="Times New Roman" w:eastAsia="Calibri" w:hAnsi="Times New Roman" w:cs="Times New Roman"/>
          <w:color w:val="222222"/>
          <w:sz w:val="24"/>
          <w:szCs w:val="24"/>
          <w:shd w:val="clear" w:color="auto" w:fill="FFFFFF"/>
          <w:lang w:eastAsia="en-US"/>
        </w:rPr>
        <w:t>(16), pp.4485-4498.</w:t>
      </w:r>
    </w:p>
    <w:p w14:paraId="63161833"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Lacey, J.I. and Lacey, B.C., 1958. Verification and extension of the principle of autonomic response-stereotypy. </w:t>
      </w:r>
      <w:r w:rsidRPr="00B313D3">
        <w:rPr>
          <w:rFonts w:ascii="Times New Roman" w:eastAsia="Calibri" w:hAnsi="Times New Roman" w:cs="Times New Roman"/>
          <w:i/>
          <w:iCs/>
          <w:color w:val="222222"/>
          <w:sz w:val="24"/>
          <w:szCs w:val="24"/>
          <w:shd w:val="clear" w:color="auto" w:fill="FFFFFF"/>
          <w:lang w:eastAsia="en-US"/>
        </w:rPr>
        <w:t>The American journal of psychology</w:t>
      </w:r>
      <w:r w:rsidRPr="00B313D3">
        <w:rPr>
          <w:rFonts w:ascii="Times New Roman" w:eastAsia="Calibri" w:hAnsi="Times New Roman" w:cs="Times New Roman"/>
          <w:color w:val="222222"/>
          <w:sz w:val="24"/>
          <w:szCs w:val="24"/>
          <w:shd w:val="clear" w:color="auto" w:fill="FFFFFF"/>
          <w:lang w:eastAsia="en-US"/>
        </w:rPr>
        <w:t>, </w:t>
      </w:r>
      <w:r w:rsidRPr="00B313D3">
        <w:rPr>
          <w:rFonts w:ascii="Times New Roman" w:eastAsia="Calibri" w:hAnsi="Times New Roman" w:cs="Times New Roman"/>
          <w:i/>
          <w:iCs/>
          <w:color w:val="222222"/>
          <w:sz w:val="24"/>
          <w:szCs w:val="24"/>
          <w:shd w:val="clear" w:color="auto" w:fill="FFFFFF"/>
          <w:lang w:eastAsia="en-US"/>
        </w:rPr>
        <w:t>71</w:t>
      </w:r>
      <w:r w:rsidRPr="00B313D3">
        <w:rPr>
          <w:rFonts w:ascii="Times New Roman" w:eastAsia="Calibri" w:hAnsi="Times New Roman" w:cs="Times New Roman"/>
          <w:color w:val="222222"/>
          <w:sz w:val="24"/>
          <w:szCs w:val="24"/>
          <w:shd w:val="clear" w:color="auto" w:fill="FFFFFF"/>
          <w:lang w:eastAsia="en-US"/>
        </w:rPr>
        <w:t>(1), pp.50-73.</w:t>
      </w:r>
    </w:p>
    <w:p w14:paraId="61AB48F2"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McEwen, B.S., 1999. Stress and hippocampal plasticity. </w:t>
      </w:r>
      <w:r w:rsidRPr="00B313D3">
        <w:rPr>
          <w:rFonts w:ascii="Times New Roman" w:eastAsia="Calibri" w:hAnsi="Times New Roman" w:cs="Times New Roman"/>
          <w:i/>
          <w:iCs/>
          <w:color w:val="222222"/>
          <w:sz w:val="24"/>
          <w:szCs w:val="24"/>
          <w:shd w:val="clear" w:color="auto" w:fill="FFFFFF"/>
          <w:lang w:eastAsia="en-US"/>
        </w:rPr>
        <w:t>Annual review of neuroscience</w:t>
      </w:r>
      <w:r w:rsidRPr="00B313D3">
        <w:rPr>
          <w:rFonts w:ascii="Times New Roman" w:eastAsia="Calibri" w:hAnsi="Times New Roman" w:cs="Times New Roman"/>
          <w:color w:val="222222"/>
          <w:sz w:val="24"/>
          <w:szCs w:val="24"/>
          <w:shd w:val="clear" w:color="auto" w:fill="FFFFFF"/>
          <w:lang w:eastAsia="en-US"/>
        </w:rPr>
        <w:t>, </w:t>
      </w:r>
      <w:r w:rsidRPr="00B313D3">
        <w:rPr>
          <w:rFonts w:ascii="Times New Roman" w:eastAsia="Calibri" w:hAnsi="Times New Roman" w:cs="Times New Roman"/>
          <w:i/>
          <w:iCs/>
          <w:color w:val="222222"/>
          <w:sz w:val="24"/>
          <w:szCs w:val="24"/>
          <w:shd w:val="clear" w:color="auto" w:fill="FFFFFF"/>
          <w:lang w:eastAsia="en-US"/>
        </w:rPr>
        <w:t>22</w:t>
      </w:r>
      <w:r w:rsidRPr="00B313D3">
        <w:rPr>
          <w:rFonts w:ascii="Times New Roman" w:eastAsia="Calibri" w:hAnsi="Times New Roman" w:cs="Times New Roman"/>
          <w:color w:val="222222"/>
          <w:sz w:val="24"/>
          <w:szCs w:val="24"/>
          <w:shd w:val="clear" w:color="auto" w:fill="FFFFFF"/>
          <w:lang w:eastAsia="en-US"/>
        </w:rPr>
        <w:t>(1), pp.105-122.</w:t>
      </w:r>
    </w:p>
    <w:p w14:paraId="031A65C0"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Selye, H., 1956. </w:t>
      </w:r>
      <w:r w:rsidRPr="00B313D3">
        <w:rPr>
          <w:rFonts w:ascii="Times New Roman" w:eastAsia="Calibri" w:hAnsi="Times New Roman" w:cs="Times New Roman"/>
          <w:i/>
          <w:iCs/>
          <w:color w:val="222222"/>
          <w:sz w:val="24"/>
          <w:szCs w:val="24"/>
          <w:shd w:val="clear" w:color="auto" w:fill="FFFFFF"/>
          <w:lang w:eastAsia="en-US"/>
        </w:rPr>
        <w:t>The stress of life</w:t>
      </w:r>
      <w:r w:rsidRPr="00B313D3">
        <w:rPr>
          <w:rFonts w:ascii="Times New Roman" w:eastAsia="Calibri" w:hAnsi="Times New Roman" w:cs="Times New Roman"/>
          <w:color w:val="222222"/>
          <w:sz w:val="24"/>
          <w:szCs w:val="24"/>
          <w:shd w:val="clear" w:color="auto" w:fill="FFFFFF"/>
          <w:lang w:eastAsia="en-US"/>
        </w:rPr>
        <w:t>.</w:t>
      </w:r>
    </w:p>
    <w:p w14:paraId="26BE3791"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Selye, H., 1974. Stress without distress. New York: The New American Library. </w:t>
      </w:r>
      <w:r w:rsidRPr="00B313D3">
        <w:rPr>
          <w:rFonts w:ascii="Times New Roman" w:eastAsia="Calibri" w:hAnsi="Times New Roman" w:cs="Times New Roman"/>
          <w:i/>
          <w:iCs/>
          <w:color w:val="222222"/>
          <w:sz w:val="24"/>
          <w:szCs w:val="24"/>
          <w:shd w:val="clear" w:color="auto" w:fill="FFFFFF"/>
          <w:lang w:eastAsia="en-US"/>
        </w:rPr>
        <w:t>Inc., A Signet Book</w:t>
      </w:r>
      <w:r w:rsidRPr="00B313D3">
        <w:rPr>
          <w:rFonts w:ascii="Times New Roman" w:eastAsia="Calibri" w:hAnsi="Times New Roman" w:cs="Times New Roman"/>
          <w:color w:val="222222"/>
          <w:sz w:val="24"/>
          <w:szCs w:val="24"/>
          <w:shd w:val="clear" w:color="auto" w:fill="FFFFFF"/>
          <w:lang w:eastAsia="en-US"/>
        </w:rPr>
        <w:t>, pp.1-51.</w:t>
      </w:r>
    </w:p>
    <w:p w14:paraId="6A666DB9"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 xml:space="preserve">Schneiderman, N., </w:t>
      </w:r>
      <w:proofErr w:type="spellStart"/>
      <w:r w:rsidRPr="00B313D3">
        <w:rPr>
          <w:rFonts w:ascii="Times New Roman" w:eastAsia="Calibri" w:hAnsi="Times New Roman" w:cs="Times New Roman"/>
          <w:color w:val="222222"/>
          <w:sz w:val="24"/>
          <w:szCs w:val="24"/>
          <w:shd w:val="clear" w:color="auto" w:fill="FFFFFF"/>
          <w:lang w:eastAsia="en-US"/>
        </w:rPr>
        <w:t>Ironson</w:t>
      </w:r>
      <w:proofErr w:type="spellEnd"/>
      <w:r w:rsidRPr="00B313D3">
        <w:rPr>
          <w:rFonts w:ascii="Times New Roman" w:eastAsia="Calibri" w:hAnsi="Times New Roman" w:cs="Times New Roman"/>
          <w:color w:val="222222"/>
          <w:sz w:val="24"/>
          <w:szCs w:val="24"/>
          <w:shd w:val="clear" w:color="auto" w:fill="FFFFFF"/>
          <w:lang w:eastAsia="en-US"/>
        </w:rPr>
        <w:t xml:space="preserve">, G. and Siegel, S.D., 2005. Stress and health: psychological, </w:t>
      </w:r>
      <w:proofErr w:type="spellStart"/>
      <w:r w:rsidRPr="00B313D3">
        <w:rPr>
          <w:rFonts w:ascii="Times New Roman" w:eastAsia="Calibri" w:hAnsi="Times New Roman" w:cs="Times New Roman"/>
          <w:color w:val="222222"/>
          <w:sz w:val="24"/>
          <w:szCs w:val="24"/>
          <w:shd w:val="clear" w:color="auto" w:fill="FFFFFF"/>
          <w:lang w:eastAsia="en-US"/>
        </w:rPr>
        <w:t>behavioral</w:t>
      </w:r>
      <w:proofErr w:type="spellEnd"/>
      <w:r w:rsidRPr="00B313D3">
        <w:rPr>
          <w:rFonts w:ascii="Times New Roman" w:eastAsia="Calibri" w:hAnsi="Times New Roman" w:cs="Times New Roman"/>
          <w:color w:val="222222"/>
          <w:sz w:val="24"/>
          <w:szCs w:val="24"/>
          <w:shd w:val="clear" w:color="auto" w:fill="FFFFFF"/>
          <w:lang w:eastAsia="en-US"/>
        </w:rPr>
        <w:t>, and biological determinants. </w:t>
      </w:r>
      <w:proofErr w:type="spellStart"/>
      <w:r w:rsidRPr="00B313D3">
        <w:rPr>
          <w:rFonts w:ascii="Times New Roman" w:eastAsia="Calibri" w:hAnsi="Times New Roman" w:cs="Times New Roman"/>
          <w:i/>
          <w:iCs/>
          <w:color w:val="222222"/>
          <w:sz w:val="24"/>
          <w:szCs w:val="24"/>
          <w:shd w:val="clear" w:color="auto" w:fill="FFFFFF"/>
          <w:lang w:eastAsia="en-US"/>
        </w:rPr>
        <w:t>Annu</w:t>
      </w:r>
      <w:proofErr w:type="spellEnd"/>
      <w:r w:rsidRPr="00B313D3">
        <w:rPr>
          <w:rFonts w:ascii="Times New Roman" w:eastAsia="Calibri" w:hAnsi="Times New Roman" w:cs="Times New Roman"/>
          <w:i/>
          <w:iCs/>
          <w:color w:val="222222"/>
          <w:sz w:val="24"/>
          <w:szCs w:val="24"/>
          <w:shd w:val="clear" w:color="auto" w:fill="FFFFFF"/>
          <w:lang w:eastAsia="en-US"/>
        </w:rPr>
        <w:t>. Rev. Clin. Psychol.</w:t>
      </w:r>
      <w:r w:rsidRPr="00B313D3">
        <w:rPr>
          <w:rFonts w:ascii="Times New Roman" w:eastAsia="Calibri" w:hAnsi="Times New Roman" w:cs="Times New Roman"/>
          <w:color w:val="222222"/>
          <w:sz w:val="24"/>
          <w:szCs w:val="24"/>
          <w:shd w:val="clear" w:color="auto" w:fill="FFFFFF"/>
          <w:lang w:eastAsia="en-US"/>
        </w:rPr>
        <w:t>, </w:t>
      </w:r>
      <w:r w:rsidRPr="00B313D3">
        <w:rPr>
          <w:rFonts w:ascii="Times New Roman" w:eastAsia="Calibri" w:hAnsi="Times New Roman" w:cs="Times New Roman"/>
          <w:i/>
          <w:iCs/>
          <w:color w:val="222222"/>
          <w:sz w:val="24"/>
          <w:szCs w:val="24"/>
          <w:shd w:val="clear" w:color="auto" w:fill="FFFFFF"/>
          <w:lang w:eastAsia="en-US"/>
        </w:rPr>
        <w:t>1</w:t>
      </w:r>
      <w:r w:rsidRPr="00B313D3">
        <w:rPr>
          <w:rFonts w:ascii="Times New Roman" w:eastAsia="Calibri" w:hAnsi="Times New Roman" w:cs="Times New Roman"/>
          <w:color w:val="222222"/>
          <w:sz w:val="24"/>
          <w:szCs w:val="24"/>
          <w:shd w:val="clear" w:color="auto" w:fill="FFFFFF"/>
          <w:lang w:eastAsia="en-US"/>
        </w:rPr>
        <w:t>, pp.607-628.</w:t>
      </w:r>
    </w:p>
    <w:p w14:paraId="768C3DF3"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 xml:space="preserve">Tierney, K.J., 2003. Conceptualizing and measuring organizational and community resilience: Lessons from the emergency response following the September 11, 2001 attack on the World Trade </w:t>
      </w:r>
      <w:proofErr w:type="spellStart"/>
      <w:r w:rsidRPr="00B313D3">
        <w:rPr>
          <w:rFonts w:ascii="Times New Roman" w:eastAsia="Calibri" w:hAnsi="Times New Roman" w:cs="Times New Roman"/>
          <w:color w:val="222222"/>
          <w:sz w:val="24"/>
          <w:szCs w:val="24"/>
          <w:shd w:val="clear" w:color="auto" w:fill="FFFFFF"/>
          <w:lang w:eastAsia="en-US"/>
        </w:rPr>
        <w:t>Center</w:t>
      </w:r>
      <w:proofErr w:type="spellEnd"/>
      <w:r w:rsidRPr="00B313D3">
        <w:rPr>
          <w:rFonts w:ascii="Times New Roman" w:eastAsia="Calibri" w:hAnsi="Times New Roman" w:cs="Times New Roman"/>
          <w:color w:val="222222"/>
          <w:sz w:val="24"/>
          <w:szCs w:val="24"/>
          <w:shd w:val="clear" w:color="auto" w:fill="FFFFFF"/>
          <w:lang w:eastAsia="en-US"/>
        </w:rPr>
        <w:t>.</w:t>
      </w:r>
    </w:p>
    <w:p w14:paraId="7D319B1E"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B313D3">
        <w:rPr>
          <w:rFonts w:ascii="Times New Roman" w:eastAsia="Calibri" w:hAnsi="Times New Roman" w:cs="Times New Roman"/>
          <w:color w:val="222222"/>
          <w:sz w:val="24"/>
          <w:szCs w:val="24"/>
          <w:shd w:val="clear" w:color="auto" w:fill="FFFFFF"/>
          <w:lang w:eastAsia="en-US"/>
        </w:rPr>
        <w:t>Van Breda, A.D., 2001. Resilience theory: A literature review. </w:t>
      </w:r>
      <w:r w:rsidRPr="00B313D3">
        <w:rPr>
          <w:rFonts w:ascii="Times New Roman" w:eastAsia="Calibri" w:hAnsi="Times New Roman" w:cs="Times New Roman"/>
          <w:i/>
          <w:iCs/>
          <w:color w:val="222222"/>
          <w:sz w:val="24"/>
          <w:szCs w:val="24"/>
          <w:shd w:val="clear" w:color="auto" w:fill="FFFFFF"/>
          <w:lang w:eastAsia="en-US"/>
        </w:rPr>
        <w:t>Pretoria, South Africa: South African Military Health Service</w:t>
      </w:r>
      <w:r w:rsidRPr="00B313D3">
        <w:rPr>
          <w:rFonts w:ascii="Times New Roman" w:eastAsia="Calibri" w:hAnsi="Times New Roman" w:cs="Times New Roman"/>
          <w:color w:val="222222"/>
          <w:sz w:val="24"/>
          <w:szCs w:val="24"/>
          <w:shd w:val="clear" w:color="auto" w:fill="FFFFFF"/>
          <w:lang w:eastAsia="en-US"/>
        </w:rPr>
        <w:t>.</w:t>
      </w:r>
    </w:p>
    <w:p w14:paraId="2CFD597E" w14:textId="77777777" w:rsidR="00957DDC" w:rsidRPr="00247AA4" w:rsidRDefault="00957DDC" w:rsidP="00957DDC">
      <w:pPr>
        <w:overflowPunct/>
        <w:autoSpaceDE/>
        <w:autoSpaceDN/>
        <w:adjustRightInd/>
        <w:ind w:right="107"/>
        <w:textAlignment w:val="auto"/>
        <w:rPr>
          <w:rFonts w:ascii="Times New Roman" w:eastAsia="Calibri" w:hAnsi="Times New Roman" w:cs="Times New Roman"/>
          <w:color w:val="222222"/>
          <w:sz w:val="24"/>
          <w:szCs w:val="24"/>
          <w:shd w:val="clear" w:color="auto" w:fill="FFFFFF"/>
          <w:lang w:eastAsia="en-US"/>
        </w:rPr>
      </w:pPr>
      <w:proofErr w:type="spellStart"/>
      <w:r w:rsidRPr="00B313D3">
        <w:rPr>
          <w:rFonts w:ascii="Times New Roman" w:eastAsia="Calibri" w:hAnsi="Times New Roman" w:cs="Times New Roman"/>
          <w:color w:val="222222"/>
          <w:sz w:val="24"/>
          <w:szCs w:val="24"/>
          <w:shd w:val="clear" w:color="auto" w:fill="FFFFFF"/>
          <w:lang w:eastAsia="en-US"/>
        </w:rPr>
        <w:t>Yaribeygi</w:t>
      </w:r>
      <w:proofErr w:type="spellEnd"/>
      <w:r w:rsidRPr="00B313D3">
        <w:rPr>
          <w:rFonts w:ascii="Times New Roman" w:eastAsia="Calibri" w:hAnsi="Times New Roman" w:cs="Times New Roman"/>
          <w:color w:val="222222"/>
          <w:sz w:val="24"/>
          <w:szCs w:val="24"/>
          <w:shd w:val="clear" w:color="auto" w:fill="FFFFFF"/>
          <w:lang w:eastAsia="en-US"/>
        </w:rPr>
        <w:t xml:space="preserve">, H., Panahi, Y., </w:t>
      </w:r>
      <w:proofErr w:type="spellStart"/>
      <w:r w:rsidRPr="00B313D3">
        <w:rPr>
          <w:rFonts w:ascii="Times New Roman" w:eastAsia="Calibri" w:hAnsi="Times New Roman" w:cs="Times New Roman"/>
          <w:color w:val="222222"/>
          <w:sz w:val="24"/>
          <w:szCs w:val="24"/>
          <w:shd w:val="clear" w:color="auto" w:fill="FFFFFF"/>
          <w:lang w:eastAsia="en-US"/>
        </w:rPr>
        <w:t>Sahraei</w:t>
      </w:r>
      <w:proofErr w:type="spellEnd"/>
      <w:r w:rsidRPr="00B313D3">
        <w:rPr>
          <w:rFonts w:ascii="Times New Roman" w:eastAsia="Calibri" w:hAnsi="Times New Roman" w:cs="Times New Roman"/>
          <w:color w:val="222222"/>
          <w:sz w:val="24"/>
          <w:szCs w:val="24"/>
          <w:shd w:val="clear" w:color="auto" w:fill="FFFFFF"/>
          <w:lang w:eastAsia="en-US"/>
        </w:rPr>
        <w:t xml:space="preserve">, H., Johnston, T.P. and </w:t>
      </w:r>
      <w:proofErr w:type="spellStart"/>
      <w:r w:rsidRPr="00B313D3">
        <w:rPr>
          <w:rFonts w:ascii="Times New Roman" w:eastAsia="Calibri" w:hAnsi="Times New Roman" w:cs="Times New Roman"/>
          <w:color w:val="222222"/>
          <w:sz w:val="24"/>
          <w:szCs w:val="24"/>
          <w:shd w:val="clear" w:color="auto" w:fill="FFFFFF"/>
          <w:lang w:eastAsia="en-US"/>
        </w:rPr>
        <w:t>Sahebkar</w:t>
      </w:r>
      <w:proofErr w:type="spellEnd"/>
      <w:r w:rsidRPr="00B313D3">
        <w:rPr>
          <w:rFonts w:ascii="Times New Roman" w:eastAsia="Calibri" w:hAnsi="Times New Roman" w:cs="Times New Roman"/>
          <w:color w:val="222222"/>
          <w:sz w:val="24"/>
          <w:szCs w:val="24"/>
          <w:shd w:val="clear" w:color="auto" w:fill="FFFFFF"/>
          <w:lang w:eastAsia="en-US"/>
        </w:rPr>
        <w:t>, A., 2017. The impact of stress on body function: A review. </w:t>
      </w:r>
      <w:r w:rsidRPr="00B313D3">
        <w:rPr>
          <w:rFonts w:ascii="Times New Roman" w:eastAsia="Calibri" w:hAnsi="Times New Roman" w:cs="Times New Roman"/>
          <w:i/>
          <w:iCs/>
          <w:color w:val="222222"/>
          <w:sz w:val="24"/>
          <w:szCs w:val="24"/>
          <w:shd w:val="clear" w:color="auto" w:fill="FFFFFF"/>
          <w:lang w:eastAsia="en-US"/>
        </w:rPr>
        <w:t>EXCLI journal</w:t>
      </w:r>
      <w:r w:rsidRPr="00B313D3">
        <w:rPr>
          <w:rFonts w:ascii="Times New Roman" w:eastAsia="Calibri" w:hAnsi="Times New Roman" w:cs="Times New Roman"/>
          <w:color w:val="222222"/>
          <w:sz w:val="24"/>
          <w:szCs w:val="24"/>
          <w:shd w:val="clear" w:color="auto" w:fill="FFFFFF"/>
          <w:lang w:eastAsia="en-US"/>
        </w:rPr>
        <w:t>, </w:t>
      </w:r>
      <w:r w:rsidRPr="00B313D3">
        <w:rPr>
          <w:rFonts w:ascii="Times New Roman" w:eastAsia="Calibri" w:hAnsi="Times New Roman" w:cs="Times New Roman"/>
          <w:i/>
          <w:iCs/>
          <w:color w:val="222222"/>
          <w:sz w:val="24"/>
          <w:szCs w:val="24"/>
          <w:shd w:val="clear" w:color="auto" w:fill="FFFFFF"/>
          <w:lang w:eastAsia="en-US"/>
        </w:rPr>
        <w:t>16</w:t>
      </w:r>
      <w:r w:rsidRPr="00B313D3">
        <w:rPr>
          <w:rFonts w:ascii="Times New Roman" w:eastAsia="Calibri" w:hAnsi="Times New Roman" w:cs="Times New Roman"/>
          <w:color w:val="222222"/>
          <w:sz w:val="24"/>
          <w:szCs w:val="24"/>
          <w:shd w:val="clear" w:color="auto" w:fill="FFFFFF"/>
          <w:lang w:eastAsia="en-US"/>
        </w:rPr>
        <w:t>, p.1057.</w:t>
      </w:r>
    </w:p>
    <w:p w14:paraId="6CFF4BE2" w14:textId="77777777" w:rsidR="00957DDC" w:rsidRDefault="00957DDC" w:rsidP="00957DDC">
      <w:pPr>
        <w:overflowPunct/>
        <w:autoSpaceDE/>
        <w:autoSpaceDN/>
        <w:adjustRightInd/>
        <w:ind w:right="107"/>
        <w:textAlignment w:val="auto"/>
        <w:rPr>
          <w:rFonts w:eastAsia="Calibri"/>
          <w:color w:val="222222"/>
          <w:shd w:val="clear" w:color="auto" w:fill="FFFFFF"/>
          <w:lang w:eastAsia="en-US"/>
        </w:rPr>
      </w:pPr>
    </w:p>
    <w:p w14:paraId="6F54FF96" w14:textId="77777777" w:rsidR="00957DDC" w:rsidRDefault="00957DDC" w:rsidP="00957DDC">
      <w:pPr>
        <w:overflowPunct/>
        <w:autoSpaceDE/>
        <w:autoSpaceDN/>
        <w:adjustRightInd/>
        <w:ind w:right="107"/>
        <w:textAlignment w:val="auto"/>
        <w:rPr>
          <w:rFonts w:eastAsia="Calibri"/>
          <w:color w:val="222222"/>
          <w:shd w:val="clear" w:color="auto" w:fill="FFFFFF"/>
          <w:lang w:eastAsia="en-US"/>
        </w:rPr>
      </w:pPr>
    </w:p>
    <w:p w14:paraId="21300040"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bCs/>
          <w:color w:val="auto"/>
          <w:sz w:val="24"/>
          <w:szCs w:val="24"/>
          <w:u w:val="single"/>
          <w:lang w:eastAsia="en-US"/>
        </w:rPr>
      </w:pPr>
      <w:r w:rsidRPr="00B313D3">
        <w:rPr>
          <w:rFonts w:ascii="Times New Roman" w:eastAsia="Calibri" w:hAnsi="Times New Roman" w:cs="Times New Roman"/>
          <w:bCs/>
          <w:color w:val="auto"/>
          <w:sz w:val="24"/>
          <w:szCs w:val="24"/>
          <w:u w:val="single"/>
          <w:lang w:eastAsia="en-US"/>
        </w:rPr>
        <w:t>REFERENCES</w:t>
      </w:r>
      <w:r w:rsidRPr="00247AA4">
        <w:rPr>
          <w:rFonts w:ascii="Times New Roman" w:eastAsia="Calibri" w:hAnsi="Times New Roman" w:cs="Times New Roman"/>
          <w:bCs/>
          <w:color w:val="auto"/>
          <w:sz w:val="24"/>
          <w:szCs w:val="24"/>
          <w:u w:val="single"/>
          <w:lang w:eastAsia="en-US"/>
        </w:rPr>
        <w:t xml:space="preserve"> – TASK 2</w:t>
      </w:r>
    </w:p>
    <w:p w14:paraId="14B719E7" w14:textId="77777777" w:rsidR="00B4588E" w:rsidRPr="00B313D3" w:rsidRDefault="00B4588E" w:rsidP="00B4588E">
      <w:pPr>
        <w:overflowPunct/>
        <w:autoSpaceDE/>
        <w:autoSpaceDN/>
        <w:adjustRightInd/>
        <w:spacing w:after="160" w:line="256" w:lineRule="auto"/>
        <w:textAlignment w:val="auto"/>
        <w:rPr>
          <w:rFonts w:ascii="Times New Roman" w:eastAsia="Calibri" w:hAnsi="Times New Roman" w:cs="Times New Roman"/>
          <w:bCs/>
          <w:color w:val="000000" w:themeColor="text1"/>
          <w:sz w:val="24"/>
          <w:szCs w:val="24"/>
          <w:lang w:eastAsia="en-US"/>
        </w:rPr>
      </w:pPr>
      <w:r w:rsidRPr="00B313D3">
        <w:rPr>
          <w:rFonts w:ascii="Times New Roman" w:eastAsia="Calibri" w:hAnsi="Times New Roman" w:cs="Times New Roman"/>
          <w:color w:val="000000" w:themeColor="text1"/>
          <w:sz w:val="24"/>
          <w:szCs w:val="24"/>
          <w:shd w:val="clear" w:color="auto" w:fill="FFFFFF"/>
          <w:lang w:eastAsia="en-US"/>
        </w:rPr>
        <w:t xml:space="preserve">Bosco, A., Schneider, J., </w:t>
      </w:r>
      <w:proofErr w:type="spellStart"/>
      <w:r w:rsidRPr="00B313D3">
        <w:rPr>
          <w:rFonts w:ascii="Times New Roman" w:eastAsia="Calibri" w:hAnsi="Times New Roman" w:cs="Times New Roman"/>
          <w:color w:val="000000" w:themeColor="text1"/>
          <w:sz w:val="24"/>
          <w:szCs w:val="24"/>
          <w:shd w:val="clear" w:color="auto" w:fill="FFFFFF"/>
          <w:lang w:eastAsia="en-US"/>
        </w:rPr>
        <w:t>Coleston</w:t>
      </w:r>
      <w:proofErr w:type="spellEnd"/>
      <w:r w:rsidRPr="00B313D3">
        <w:rPr>
          <w:rFonts w:ascii="Times New Roman" w:eastAsia="Calibri" w:hAnsi="Times New Roman" w:cs="Times New Roman"/>
          <w:color w:val="000000" w:themeColor="text1"/>
          <w:sz w:val="24"/>
          <w:szCs w:val="24"/>
          <w:shd w:val="clear" w:color="auto" w:fill="FFFFFF"/>
          <w:lang w:eastAsia="en-US"/>
        </w:rPr>
        <w:t xml:space="preserve">-Shields, D.M., Sousa, L. and </w:t>
      </w:r>
      <w:proofErr w:type="spellStart"/>
      <w:r w:rsidRPr="00B313D3">
        <w:rPr>
          <w:rFonts w:ascii="Times New Roman" w:eastAsia="Calibri" w:hAnsi="Times New Roman" w:cs="Times New Roman"/>
          <w:color w:val="000000" w:themeColor="text1"/>
          <w:sz w:val="24"/>
          <w:szCs w:val="24"/>
          <w:shd w:val="clear" w:color="auto" w:fill="FFFFFF"/>
          <w:lang w:eastAsia="en-US"/>
        </w:rPr>
        <w:t>Orrell</w:t>
      </w:r>
      <w:proofErr w:type="spellEnd"/>
      <w:r w:rsidRPr="00B313D3">
        <w:rPr>
          <w:rFonts w:ascii="Times New Roman" w:eastAsia="Calibri" w:hAnsi="Times New Roman" w:cs="Times New Roman"/>
          <w:color w:val="000000" w:themeColor="text1"/>
          <w:sz w:val="24"/>
          <w:szCs w:val="24"/>
          <w:shd w:val="clear" w:color="auto" w:fill="FFFFFF"/>
          <w:lang w:eastAsia="en-US"/>
        </w:rPr>
        <w:t>, M., 2019. Dyadic construction of dementia: Meta-ethnography and behaviour-process synthesis. </w:t>
      </w:r>
      <w:r w:rsidRPr="00B313D3">
        <w:rPr>
          <w:rFonts w:ascii="Times New Roman" w:eastAsia="Calibri" w:hAnsi="Times New Roman" w:cs="Times New Roman"/>
          <w:i/>
          <w:iCs/>
          <w:color w:val="000000" w:themeColor="text1"/>
          <w:sz w:val="24"/>
          <w:szCs w:val="24"/>
          <w:shd w:val="clear" w:color="auto" w:fill="FFFFFF"/>
          <w:lang w:eastAsia="en-US"/>
        </w:rPr>
        <w:t>Aging &amp; mental health</w:t>
      </w:r>
      <w:r w:rsidRPr="00B313D3">
        <w:rPr>
          <w:rFonts w:ascii="Times New Roman" w:eastAsia="Calibri" w:hAnsi="Times New Roman" w:cs="Times New Roman"/>
          <w:color w:val="000000" w:themeColor="text1"/>
          <w:sz w:val="24"/>
          <w:szCs w:val="24"/>
          <w:shd w:val="clear" w:color="auto" w:fill="FFFFFF"/>
          <w:lang w:eastAsia="en-US"/>
        </w:rPr>
        <w:t>, </w:t>
      </w:r>
      <w:r w:rsidRPr="00B313D3">
        <w:rPr>
          <w:rFonts w:ascii="Times New Roman" w:eastAsia="Calibri" w:hAnsi="Times New Roman" w:cs="Times New Roman"/>
          <w:i/>
          <w:iCs/>
          <w:color w:val="000000" w:themeColor="text1"/>
          <w:sz w:val="24"/>
          <w:szCs w:val="24"/>
          <w:shd w:val="clear" w:color="auto" w:fill="FFFFFF"/>
          <w:lang w:eastAsia="en-US"/>
        </w:rPr>
        <w:t>23</w:t>
      </w:r>
      <w:r w:rsidRPr="00B313D3">
        <w:rPr>
          <w:rFonts w:ascii="Times New Roman" w:eastAsia="Calibri" w:hAnsi="Times New Roman" w:cs="Times New Roman"/>
          <w:color w:val="000000" w:themeColor="text1"/>
          <w:sz w:val="24"/>
          <w:szCs w:val="24"/>
          <w:shd w:val="clear" w:color="auto" w:fill="FFFFFF"/>
          <w:lang w:eastAsia="en-US"/>
        </w:rPr>
        <w:t>(6), pp.651-659.</w:t>
      </w:r>
    </w:p>
    <w:p w14:paraId="49864F4C" w14:textId="67E8D7C8" w:rsidR="00957DDC" w:rsidRDefault="00957DDC" w:rsidP="00957DDC">
      <w:pPr>
        <w:overflowPunct/>
        <w:autoSpaceDE/>
        <w:autoSpaceDN/>
        <w:adjustRightInd/>
        <w:spacing w:after="160" w:line="256" w:lineRule="auto"/>
        <w:textAlignment w:val="auto"/>
        <w:rPr>
          <w:rFonts w:ascii="Times New Roman" w:eastAsia="Calibri" w:hAnsi="Times New Roman" w:cs="Times New Roman"/>
          <w:color w:val="000000" w:themeColor="text1"/>
          <w:sz w:val="24"/>
          <w:szCs w:val="24"/>
          <w:shd w:val="clear" w:color="auto" w:fill="FFFFFF"/>
          <w:lang w:eastAsia="en-US"/>
        </w:rPr>
      </w:pPr>
      <w:r w:rsidRPr="00B313D3">
        <w:rPr>
          <w:rFonts w:ascii="Times New Roman" w:eastAsia="Calibri" w:hAnsi="Times New Roman" w:cs="Times New Roman"/>
          <w:color w:val="000000" w:themeColor="text1"/>
          <w:sz w:val="24"/>
          <w:szCs w:val="24"/>
          <w:shd w:val="clear" w:color="auto" w:fill="FFFFFF"/>
          <w:lang w:eastAsia="en-US"/>
        </w:rPr>
        <w:lastRenderedPageBreak/>
        <w:t xml:space="preserve">Caudill, B.D., Wilson, G.T. and Abrams, D.B., 1987. Alcohol and self-disclosure: analyses of interpersonal </w:t>
      </w:r>
      <w:proofErr w:type="spellStart"/>
      <w:r w:rsidRPr="00B313D3">
        <w:rPr>
          <w:rFonts w:ascii="Times New Roman" w:eastAsia="Calibri" w:hAnsi="Times New Roman" w:cs="Times New Roman"/>
          <w:color w:val="000000" w:themeColor="text1"/>
          <w:sz w:val="24"/>
          <w:szCs w:val="24"/>
          <w:shd w:val="clear" w:color="auto" w:fill="FFFFFF"/>
          <w:lang w:eastAsia="en-US"/>
        </w:rPr>
        <w:t>behavior</w:t>
      </w:r>
      <w:proofErr w:type="spellEnd"/>
      <w:r w:rsidRPr="00B313D3">
        <w:rPr>
          <w:rFonts w:ascii="Times New Roman" w:eastAsia="Calibri" w:hAnsi="Times New Roman" w:cs="Times New Roman"/>
          <w:color w:val="000000" w:themeColor="text1"/>
          <w:sz w:val="24"/>
          <w:szCs w:val="24"/>
          <w:shd w:val="clear" w:color="auto" w:fill="FFFFFF"/>
          <w:lang w:eastAsia="en-US"/>
        </w:rPr>
        <w:t xml:space="preserve"> in male and female social drinkers. </w:t>
      </w:r>
      <w:r w:rsidRPr="00B313D3">
        <w:rPr>
          <w:rFonts w:ascii="Times New Roman" w:eastAsia="Calibri" w:hAnsi="Times New Roman" w:cs="Times New Roman"/>
          <w:i/>
          <w:iCs/>
          <w:color w:val="000000" w:themeColor="text1"/>
          <w:sz w:val="24"/>
          <w:szCs w:val="24"/>
          <w:shd w:val="clear" w:color="auto" w:fill="FFFFFF"/>
          <w:lang w:eastAsia="en-US"/>
        </w:rPr>
        <w:t>Journal of Studies on Alcohol</w:t>
      </w:r>
      <w:r w:rsidRPr="00B313D3">
        <w:rPr>
          <w:rFonts w:ascii="Times New Roman" w:eastAsia="Calibri" w:hAnsi="Times New Roman" w:cs="Times New Roman"/>
          <w:color w:val="000000" w:themeColor="text1"/>
          <w:sz w:val="24"/>
          <w:szCs w:val="24"/>
          <w:shd w:val="clear" w:color="auto" w:fill="FFFFFF"/>
          <w:lang w:eastAsia="en-US"/>
        </w:rPr>
        <w:t>, </w:t>
      </w:r>
      <w:r w:rsidRPr="00B313D3">
        <w:rPr>
          <w:rFonts w:ascii="Times New Roman" w:eastAsia="Calibri" w:hAnsi="Times New Roman" w:cs="Times New Roman"/>
          <w:i/>
          <w:iCs/>
          <w:color w:val="000000" w:themeColor="text1"/>
          <w:sz w:val="24"/>
          <w:szCs w:val="24"/>
          <w:shd w:val="clear" w:color="auto" w:fill="FFFFFF"/>
          <w:lang w:eastAsia="en-US"/>
        </w:rPr>
        <w:t>48</w:t>
      </w:r>
      <w:r w:rsidRPr="00B313D3">
        <w:rPr>
          <w:rFonts w:ascii="Times New Roman" w:eastAsia="Calibri" w:hAnsi="Times New Roman" w:cs="Times New Roman"/>
          <w:color w:val="000000" w:themeColor="text1"/>
          <w:sz w:val="24"/>
          <w:szCs w:val="24"/>
          <w:shd w:val="clear" w:color="auto" w:fill="FFFFFF"/>
          <w:lang w:eastAsia="en-US"/>
        </w:rPr>
        <w:t xml:space="preserve">(5), pp.401-409. </w:t>
      </w:r>
    </w:p>
    <w:p w14:paraId="3F56B9E8" w14:textId="77777777" w:rsidR="00247AA4" w:rsidRDefault="00247AA4" w:rsidP="00247AA4">
      <w:pPr>
        <w:rPr>
          <w:rFonts w:ascii="Helvetica" w:hAnsi="Helvetica"/>
          <w:color w:val="000000" w:themeColor="text1"/>
          <w:shd w:val="clear" w:color="auto" w:fill="FFFFFF"/>
        </w:rPr>
      </w:pPr>
      <w:r>
        <w:rPr>
          <w:rFonts w:ascii="Times New Roman" w:hAnsi="Times New Roman" w:cs="Times New Roman"/>
          <w:color w:val="222222"/>
          <w:sz w:val="24"/>
          <w:szCs w:val="24"/>
          <w:shd w:val="clear" w:color="auto" w:fill="FFFFFF"/>
        </w:rPr>
        <w:t>College of Policing (2021)., available a</w:t>
      </w:r>
      <w:r w:rsidRPr="00247AA4">
        <w:rPr>
          <w:rFonts w:ascii="Times New Roman" w:hAnsi="Times New Roman" w:cs="Times New Roman"/>
          <w:color w:val="000000" w:themeColor="text1"/>
          <w:sz w:val="24"/>
          <w:szCs w:val="24"/>
          <w:shd w:val="clear" w:color="auto" w:fill="FFFFFF"/>
        </w:rPr>
        <w:t xml:space="preserve">t </w:t>
      </w:r>
      <w:hyperlink r:id="rId21" w:history="1">
        <w:r w:rsidRPr="00247AA4">
          <w:rPr>
            <w:rStyle w:val="Hyperlink"/>
            <w:rFonts w:ascii="Helvetica" w:hAnsi="Helvetica"/>
            <w:color w:val="000000" w:themeColor="text1"/>
            <w:shd w:val="clear" w:color="auto" w:fill="FFFFFF"/>
          </w:rPr>
          <w:t>https://www.college.police.uk</w:t>
        </w:r>
      </w:hyperlink>
    </w:p>
    <w:p w14:paraId="53E5F04C" w14:textId="77777777" w:rsidR="00247AA4" w:rsidRDefault="00247AA4" w:rsidP="00957DDC">
      <w:pPr>
        <w:overflowPunct/>
        <w:autoSpaceDE/>
        <w:autoSpaceDN/>
        <w:adjustRightInd/>
        <w:spacing w:after="160" w:line="256" w:lineRule="auto"/>
        <w:textAlignment w:val="auto"/>
        <w:rPr>
          <w:rFonts w:ascii="Times New Roman" w:eastAsia="Calibri" w:hAnsi="Times New Roman" w:cs="Times New Roman"/>
          <w:color w:val="000000" w:themeColor="text1"/>
          <w:sz w:val="24"/>
          <w:szCs w:val="24"/>
          <w:shd w:val="clear" w:color="auto" w:fill="FFFFFF"/>
          <w:lang w:eastAsia="en-US"/>
        </w:rPr>
      </w:pPr>
    </w:p>
    <w:p w14:paraId="409CEB5B" w14:textId="7D26C87A"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000000" w:themeColor="text1"/>
          <w:sz w:val="24"/>
          <w:szCs w:val="24"/>
          <w:shd w:val="clear" w:color="auto" w:fill="FFFFFF"/>
          <w:lang w:eastAsia="en-US"/>
        </w:rPr>
      </w:pPr>
      <w:bookmarkStart w:id="0" w:name="_GoBack"/>
      <w:bookmarkEnd w:id="0"/>
      <w:proofErr w:type="spellStart"/>
      <w:r w:rsidRPr="00B313D3">
        <w:rPr>
          <w:rFonts w:ascii="Times New Roman" w:eastAsia="Calibri" w:hAnsi="Times New Roman" w:cs="Times New Roman"/>
          <w:color w:val="000000" w:themeColor="text1"/>
          <w:sz w:val="24"/>
          <w:szCs w:val="24"/>
          <w:shd w:val="clear" w:color="auto" w:fill="FFFFFF"/>
          <w:lang w:eastAsia="en-US"/>
        </w:rPr>
        <w:t>Heardman</w:t>
      </w:r>
      <w:proofErr w:type="spellEnd"/>
      <w:r w:rsidRPr="00B313D3">
        <w:rPr>
          <w:rFonts w:ascii="Times New Roman" w:eastAsia="Calibri" w:hAnsi="Times New Roman" w:cs="Times New Roman"/>
          <w:color w:val="000000" w:themeColor="text1"/>
          <w:sz w:val="24"/>
          <w:szCs w:val="24"/>
          <w:shd w:val="clear" w:color="auto" w:fill="FFFFFF"/>
          <w:lang w:eastAsia="en-US"/>
        </w:rPr>
        <w:t>, J., 2014. Treating people with cardiac chest pain: role of paramedics. </w:t>
      </w:r>
      <w:r w:rsidRPr="00B313D3">
        <w:rPr>
          <w:rFonts w:ascii="Times New Roman" w:eastAsia="Calibri" w:hAnsi="Times New Roman" w:cs="Times New Roman"/>
          <w:i/>
          <w:iCs/>
          <w:color w:val="000000" w:themeColor="text1"/>
          <w:sz w:val="24"/>
          <w:szCs w:val="24"/>
          <w:shd w:val="clear" w:color="auto" w:fill="FFFFFF"/>
          <w:lang w:eastAsia="en-US"/>
        </w:rPr>
        <w:t>Emergency Nurse</w:t>
      </w:r>
      <w:r w:rsidRPr="00B313D3">
        <w:rPr>
          <w:rFonts w:ascii="Times New Roman" w:eastAsia="Calibri" w:hAnsi="Times New Roman" w:cs="Times New Roman"/>
          <w:color w:val="000000" w:themeColor="text1"/>
          <w:sz w:val="24"/>
          <w:szCs w:val="24"/>
          <w:shd w:val="clear" w:color="auto" w:fill="FFFFFF"/>
          <w:lang w:eastAsia="en-US"/>
        </w:rPr>
        <w:t>, </w:t>
      </w:r>
      <w:r w:rsidRPr="00B313D3">
        <w:rPr>
          <w:rFonts w:ascii="Times New Roman" w:eastAsia="Calibri" w:hAnsi="Times New Roman" w:cs="Times New Roman"/>
          <w:i/>
          <w:iCs/>
          <w:color w:val="000000" w:themeColor="text1"/>
          <w:sz w:val="24"/>
          <w:szCs w:val="24"/>
          <w:shd w:val="clear" w:color="auto" w:fill="FFFFFF"/>
          <w:lang w:eastAsia="en-US"/>
        </w:rPr>
        <w:t>21</w:t>
      </w:r>
      <w:r w:rsidRPr="00B313D3">
        <w:rPr>
          <w:rFonts w:ascii="Times New Roman" w:eastAsia="Calibri" w:hAnsi="Times New Roman" w:cs="Times New Roman"/>
          <w:color w:val="000000" w:themeColor="text1"/>
          <w:sz w:val="24"/>
          <w:szCs w:val="24"/>
          <w:shd w:val="clear" w:color="auto" w:fill="FFFFFF"/>
          <w:lang w:eastAsia="en-US"/>
        </w:rPr>
        <w:t>(10).</w:t>
      </w:r>
    </w:p>
    <w:p w14:paraId="6C4DC3D4" w14:textId="77777777" w:rsidR="00B4588E" w:rsidRPr="00B313D3" w:rsidRDefault="00B4588E" w:rsidP="00B4588E">
      <w:pPr>
        <w:overflowPunct/>
        <w:autoSpaceDE/>
        <w:autoSpaceDN/>
        <w:adjustRightInd/>
        <w:spacing w:after="160" w:line="256" w:lineRule="auto"/>
        <w:textAlignment w:val="auto"/>
        <w:rPr>
          <w:rFonts w:ascii="Times New Roman" w:eastAsia="Calibri" w:hAnsi="Times New Roman" w:cs="Times New Roman"/>
          <w:color w:val="FF0000"/>
          <w:sz w:val="24"/>
          <w:szCs w:val="24"/>
          <w:lang w:eastAsia="en-US"/>
        </w:rPr>
      </w:pPr>
      <w:proofErr w:type="spellStart"/>
      <w:r w:rsidRPr="00B313D3">
        <w:rPr>
          <w:rFonts w:ascii="Times New Roman" w:eastAsia="Calibri" w:hAnsi="Times New Roman" w:cs="Times New Roman"/>
          <w:color w:val="000000" w:themeColor="text1"/>
          <w:sz w:val="24"/>
          <w:szCs w:val="24"/>
          <w:shd w:val="clear" w:color="auto" w:fill="FFFFFF"/>
          <w:lang w:eastAsia="en-US"/>
        </w:rPr>
        <w:t>Karpman</w:t>
      </w:r>
      <w:proofErr w:type="spellEnd"/>
      <w:r w:rsidRPr="00B313D3">
        <w:rPr>
          <w:rFonts w:ascii="Times New Roman" w:eastAsia="Calibri" w:hAnsi="Times New Roman" w:cs="Times New Roman"/>
          <w:color w:val="000000" w:themeColor="text1"/>
          <w:sz w:val="24"/>
          <w:szCs w:val="24"/>
          <w:shd w:val="clear" w:color="auto" w:fill="FFFFFF"/>
          <w:lang w:eastAsia="en-US"/>
        </w:rPr>
        <w:t>, S., 1968. Fairy tales and script drama analysis. </w:t>
      </w:r>
      <w:r w:rsidRPr="00B313D3">
        <w:rPr>
          <w:rFonts w:ascii="Times New Roman" w:eastAsia="Calibri" w:hAnsi="Times New Roman" w:cs="Times New Roman"/>
          <w:i/>
          <w:iCs/>
          <w:color w:val="000000" w:themeColor="text1"/>
          <w:sz w:val="24"/>
          <w:szCs w:val="24"/>
          <w:shd w:val="clear" w:color="auto" w:fill="FFFFFF"/>
          <w:lang w:eastAsia="en-US"/>
        </w:rPr>
        <w:t>Transactional analysis bulletin</w:t>
      </w:r>
      <w:r w:rsidRPr="00B313D3">
        <w:rPr>
          <w:rFonts w:ascii="Times New Roman" w:eastAsia="Calibri" w:hAnsi="Times New Roman" w:cs="Times New Roman"/>
          <w:color w:val="000000" w:themeColor="text1"/>
          <w:sz w:val="24"/>
          <w:szCs w:val="24"/>
          <w:shd w:val="clear" w:color="auto" w:fill="FFFFFF"/>
          <w:lang w:eastAsia="en-US"/>
        </w:rPr>
        <w:t>, </w:t>
      </w:r>
      <w:r w:rsidRPr="00B313D3">
        <w:rPr>
          <w:rFonts w:ascii="Times New Roman" w:eastAsia="Calibri" w:hAnsi="Times New Roman" w:cs="Times New Roman"/>
          <w:i/>
          <w:iCs/>
          <w:color w:val="000000" w:themeColor="text1"/>
          <w:sz w:val="24"/>
          <w:szCs w:val="24"/>
          <w:shd w:val="clear" w:color="auto" w:fill="FFFFFF"/>
          <w:lang w:eastAsia="en-US"/>
        </w:rPr>
        <w:t>7</w:t>
      </w:r>
      <w:r w:rsidRPr="00B313D3">
        <w:rPr>
          <w:rFonts w:ascii="Times New Roman" w:eastAsia="Calibri" w:hAnsi="Times New Roman" w:cs="Times New Roman"/>
          <w:color w:val="000000" w:themeColor="text1"/>
          <w:sz w:val="24"/>
          <w:szCs w:val="24"/>
          <w:shd w:val="clear" w:color="auto" w:fill="FFFFFF"/>
          <w:lang w:eastAsia="en-US"/>
        </w:rPr>
        <w:t>(26), pp.39-43.</w:t>
      </w:r>
    </w:p>
    <w:p w14:paraId="48AB1D9A"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bCs/>
          <w:color w:val="000000" w:themeColor="text1"/>
          <w:sz w:val="24"/>
          <w:szCs w:val="24"/>
          <w:lang w:eastAsia="en-US"/>
        </w:rPr>
      </w:pPr>
      <w:proofErr w:type="spellStart"/>
      <w:r w:rsidRPr="00B313D3">
        <w:rPr>
          <w:rFonts w:ascii="Times New Roman" w:eastAsia="Calibri" w:hAnsi="Times New Roman" w:cs="Times New Roman"/>
          <w:color w:val="000000" w:themeColor="text1"/>
          <w:sz w:val="24"/>
          <w:szCs w:val="24"/>
          <w:shd w:val="clear" w:color="auto" w:fill="FFFFFF"/>
          <w:lang w:eastAsia="en-US"/>
        </w:rPr>
        <w:t>Reisig</w:t>
      </w:r>
      <w:proofErr w:type="spellEnd"/>
      <w:r w:rsidRPr="00B313D3">
        <w:rPr>
          <w:rFonts w:ascii="Times New Roman" w:eastAsia="Calibri" w:hAnsi="Times New Roman" w:cs="Times New Roman"/>
          <w:color w:val="000000" w:themeColor="text1"/>
          <w:sz w:val="24"/>
          <w:szCs w:val="24"/>
          <w:shd w:val="clear" w:color="auto" w:fill="FFFFFF"/>
          <w:lang w:eastAsia="en-US"/>
        </w:rPr>
        <w:t xml:space="preserve">, M.D. and </w:t>
      </w:r>
      <w:proofErr w:type="spellStart"/>
      <w:r w:rsidRPr="00B313D3">
        <w:rPr>
          <w:rFonts w:ascii="Times New Roman" w:eastAsia="Calibri" w:hAnsi="Times New Roman" w:cs="Times New Roman"/>
          <w:color w:val="000000" w:themeColor="text1"/>
          <w:sz w:val="24"/>
          <w:szCs w:val="24"/>
          <w:shd w:val="clear" w:color="auto" w:fill="FFFFFF"/>
          <w:lang w:eastAsia="en-US"/>
        </w:rPr>
        <w:t>Giacomazzi</w:t>
      </w:r>
      <w:proofErr w:type="spellEnd"/>
      <w:r w:rsidRPr="00B313D3">
        <w:rPr>
          <w:rFonts w:ascii="Times New Roman" w:eastAsia="Calibri" w:hAnsi="Times New Roman" w:cs="Times New Roman"/>
          <w:color w:val="000000" w:themeColor="text1"/>
          <w:sz w:val="24"/>
          <w:szCs w:val="24"/>
          <w:shd w:val="clear" w:color="auto" w:fill="FFFFFF"/>
          <w:lang w:eastAsia="en-US"/>
        </w:rPr>
        <w:t xml:space="preserve">, A.L., 1998. Citizen perceptions of community policing: are attitudes toward police </w:t>
      </w:r>
      <w:proofErr w:type="gramStart"/>
      <w:r w:rsidRPr="00B313D3">
        <w:rPr>
          <w:rFonts w:ascii="Times New Roman" w:eastAsia="Calibri" w:hAnsi="Times New Roman" w:cs="Times New Roman"/>
          <w:color w:val="000000" w:themeColor="text1"/>
          <w:sz w:val="24"/>
          <w:szCs w:val="24"/>
          <w:shd w:val="clear" w:color="auto" w:fill="FFFFFF"/>
          <w:lang w:eastAsia="en-US"/>
        </w:rPr>
        <w:t>important?.</w:t>
      </w:r>
      <w:proofErr w:type="gramEnd"/>
      <w:r w:rsidRPr="00B313D3">
        <w:rPr>
          <w:rFonts w:ascii="Times New Roman" w:eastAsia="Calibri" w:hAnsi="Times New Roman" w:cs="Times New Roman"/>
          <w:color w:val="000000" w:themeColor="text1"/>
          <w:sz w:val="24"/>
          <w:szCs w:val="24"/>
          <w:shd w:val="clear" w:color="auto" w:fill="FFFFFF"/>
          <w:lang w:eastAsia="en-US"/>
        </w:rPr>
        <w:t> </w:t>
      </w:r>
      <w:r w:rsidRPr="00B313D3">
        <w:rPr>
          <w:rFonts w:ascii="Times New Roman" w:eastAsia="Calibri" w:hAnsi="Times New Roman" w:cs="Times New Roman"/>
          <w:i/>
          <w:iCs/>
          <w:color w:val="000000" w:themeColor="text1"/>
          <w:sz w:val="24"/>
          <w:szCs w:val="24"/>
          <w:shd w:val="clear" w:color="auto" w:fill="FFFFFF"/>
          <w:lang w:eastAsia="en-US"/>
        </w:rPr>
        <w:t>Policing: An International Journal of Police Strategies &amp; Management</w:t>
      </w:r>
      <w:r w:rsidRPr="00B313D3">
        <w:rPr>
          <w:rFonts w:ascii="Times New Roman" w:eastAsia="Calibri" w:hAnsi="Times New Roman" w:cs="Times New Roman"/>
          <w:color w:val="000000" w:themeColor="text1"/>
          <w:sz w:val="24"/>
          <w:szCs w:val="24"/>
          <w:shd w:val="clear" w:color="auto" w:fill="FFFFFF"/>
          <w:lang w:eastAsia="en-US"/>
        </w:rPr>
        <w:t>.</w:t>
      </w:r>
    </w:p>
    <w:p w14:paraId="679B780E" w14:textId="77777777" w:rsidR="00957DDC" w:rsidRPr="00B313D3" w:rsidRDefault="00957DDC" w:rsidP="00957DDC">
      <w:pPr>
        <w:overflowPunct/>
        <w:autoSpaceDE/>
        <w:autoSpaceDN/>
        <w:adjustRightInd/>
        <w:spacing w:after="160" w:line="256" w:lineRule="auto"/>
        <w:textAlignment w:val="auto"/>
        <w:rPr>
          <w:rFonts w:ascii="Times New Roman" w:eastAsia="Calibri" w:hAnsi="Times New Roman" w:cs="Times New Roman"/>
          <w:color w:val="000000" w:themeColor="text1"/>
          <w:sz w:val="24"/>
          <w:szCs w:val="24"/>
          <w:shd w:val="clear" w:color="auto" w:fill="FFFFFF"/>
          <w:lang w:eastAsia="en-US"/>
        </w:rPr>
      </w:pPr>
      <w:r w:rsidRPr="00B313D3">
        <w:rPr>
          <w:rFonts w:ascii="Times New Roman" w:eastAsia="Calibri" w:hAnsi="Times New Roman" w:cs="Times New Roman"/>
          <w:color w:val="000000" w:themeColor="text1"/>
          <w:sz w:val="24"/>
          <w:szCs w:val="24"/>
          <w:shd w:val="clear" w:color="auto" w:fill="FFFFFF"/>
          <w:lang w:eastAsia="en-US"/>
        </w:rPr>
        <w:t>Worden, A.P., 1993. The attitudes of women and men in policing: Testing conventional and contemporary wisdom. </w:t>
      </w:r>
      <w:r w:rsidRPr="00B313D3">
        <w:rPr>
          <w:rFonts w:ascii="Times New Roman" w:eastAsia="Calibri" w:hAnsi="Times New Roman" w:cs="Times New Roman"/>
          <w:i/>
          <w:iCs/>
          <w:color w:val="000000" w:themeColor="text1"/>
          <w:sz w:val="24"/>
          <w:szCs w:val="24"/>
          <w:shd w:val="clear" w:color="auto" w:fill="FFFFFF"/>
          <w:lang w:eastAsia="en-US"/>
        </w:rPr>
        <w:t>Criminology</w:t>
      </w:r>
      <w:r w:rsidRPr="00B313D3">
        <w:rPr>
          <w:rFonts w:ascii="Times New Roman" w:eastAsia="Calibri" w:hAnsi="Times New Roman" w:cs="Times New Roman"/>
          <w:color w:val="000000" w:themeColor="text1"/>
          <w:sz w:val="24"/>
          <w:szCs w:val="24"/>
          <w:shd w:val="clear" w:color="auto" w:fill="FFFFFF"/>
          <w:lang w:eastAsia="en-US"/>
        </w:rPr>
        <w:t>, </w:t>
      </w:r>
      <w:r w:rsidRPr="00B313D3">
        <w:rPr>
          <w:rFonts w:ascii="Times New Roman" w:eastAsia="Calibri" w:hAnsi="Times New Roman" w:cs="Times New Roman"/>
          <w:i/>
          <w:iCs/>
          <w:color w:val="000000" w:themeColor="text1"/>
          <w:sz w:val="24"/>
          <w:szCs w:val="24"/>
          <w:shd w:val="clear" w:color="auto" w:fill="FFFFFF"/>
          <w:lang w:eastAsia="en-US"/>
        </w:rPr>
        <w:t>31</w:t>
      </w:r>
      <w:r w:rsidRPr="00B313D3">
        <w:rPr>
          <w:rFonts w:ascii="Times New Roman" w:eastAsia="Calibri" w:hAnsi="Times New Roman" w:cs="Times New Roman"/>
          <w:color w:val="000000" w:themeColor="text1"/>
          <w:sz w:val="24"/>
          <w:szCs w:val="24"/>
          <w:shd w:val="clear" w:color="auto" w:fill="FFFFFF"/>
          <w:lang w:eastAsia="en-US"/>
        </w:rPr>
        <w:t>(2), pp.203-241.</w:t>
      </w:r>
    </w:p>
    <w:p w14:paraId="24E6F5B1" w14:textId="77D11F03" w:rsidR="00957DDC" w:rsidRPr="00247AA4" w:rsidRDefault="00957DDC" w:rsidP="00957DDC">
      <w:pPr>
        <w:overflowPunct/>
        <w:autoSpaceDE/>
        <w:autoSpaceDN/>
        <w:adjustRightInd/>
        <w:ind w:right="107"/>
        <w:textAlignment w:val="auto"/>
        <w:rPr>
          <w:rFonts w:ascii="Times New Roman" w:eastAsia="Calibri" w:hAnsi="Times New Roman" w:cs="Times New Roman"/>
          <w:color w:val="222222"/>
          <w:sz w:val="24"/>
          <w:szCs w:val="24"/>
          <w:shd w:val="clear" w:color="auto" w:fill="FFFFFF"/>
          <w:lang w:eastAsia="en-US"/>
        </w:rPr>
      </w:pPr>
    </w:p>
    <w:p w14:paraId="2C9FAF07" w14:textId="1BE81259" w:rsidR="0082334E" w:rsidRPr="00247AA4" w:rsidRDefault="0082334E" w:rsidP="00957DDC">
      <w:pPr>
        <w:overflowPunct/>
        <w:autoSpaceDE/>
        <w:autoSpaceDN/>
        <w:adjustRightInd/>
        <w:ind w:right="107"/>
        <w:textAlignment w:val="auto"/>
        <w:rPr>
          <w:rFonts w:ascii="Times New Roman" w:eastAsia="Calibri" w:hAnsi="Times New Roman" w:cs="Times New Roman"/>
          <w:color w:val="222222"/>
          <w:sz w:val="24"/>
          <w:szCs w:val="24"/>
          <w:u w:val="single"/>
          <w:shd w:val="clear" w:color="auto" w:fill="FFFFFF"/>
          <w:lang w:eastAsia="en-US"/>
        </w:rPr>
      </w:pPr>
      <w:r w:rsidRPr="00247AA4">
        <w:rPr>
          <w:rFonts w:ascii="Times New Roman" w:eastAsia="Calibri" w:hAnsi="Times New Roman" w:cs="Times New Roman"/>
          <w:color w:val="222222"/>
          <w:sz w:val="24"/>
          <w:szCs w:val="24"/>
          <w:u w:val="single"/>
          <w:shd w:val="clear" w:color="auto" w:fill="FFFFFF"/>
          <w:lang w:eastAsia="en-US"/>
        </w:rPr>
        <w:t>REFERENCES – TASK 3</w:t>
      </w:r>
    </w:p>
    <w:p w14:paraId="3114B201" w14:textId="01FDA9C2" w:rsidR="0082334E" w:rsidRDefault="0082334E" w:rsidP="00957DDC">
      <w:pPr>
        <w:overflowPunct/>
        <w:autoSpaceDE/>
        <w:autoSpaceDN/>
        <w:adjustRightInd/>
        <w:ind w:right="107"/>
        <w:textAlignment w:val="auto"/>
        <w:rPr>
          <w:rFonts w:eastAsia="Calibri"/>
          <w:color w:val="222222"/>
          <w:u w:val="single"/>
          <w:shd w:val="clear" w:color="auto" w:fill="FFFFFF"/>
          <w:lang w:eastAsia="en-US"/>
        </w:rPr>
      </w:pPr>
    </w:p>
    <w:p w14:paraId="0568C243"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auto"/>
          <w:sz w:val="24"/>
          <w:szCs w:val="24"/>
          <w:lang w:eastAsia="en-US"/>
        </w:rPr>
      </w:pPr>
      <w:r w:rsidRPr="00957DDC">
        <w:rPr>
          <w:rFonts w:ascii="Times New Roman" w:eastAsia="Calibri" w:hAnsi="Times New Roman" w:cs="Times New Roman"/>
          <w:color w:val="222222"/>
          <w:sz w:val="24"/>
          <w:szCs w:val="24"/>
          <w:shd w:val="clear" w:color="auto" w:fill="FFFFFF"/>
          <w:lang w:eastAsia="en-US"/>
        </w:rPr>
        <w:t xml:space="preserve">Almond, L., McManus, M., Brian, D. and </w:t>
      </w:r>
      <w:proofErr w:type="spellStart"/>
      <w:r w:rsidRPr="00957DDC">
        <w:rPr>
          <w:rFonts w:ascii="Times New Roman" w:eastAsia="Calibri" w:hAnsi="Times New Roman" w:cs="Times New Roman"/>
          <w:color w:val="222222"/>
          <w:sz w:val="24"/>
          <w:szCs w:val="24"/>
          <w:shd w:val="clear" w:color="auto" w:fill="FFFFFF"/>
          <w:lang w:eastAsia="en-US"/>
        </w:rPr>
        <w:t>Merrington</w:t>
      </w:r>
      <w:proofErr w:type="spellEnd"/>
      <w:r w:rsidRPr="00957DDC">
        <w:rPr>
          <w:rFonts w:ascii="Times New Roman" w:eastAsia="Calibri" w:hAnsi="Times New Roman" w:cs="Times New Roman"/>
          <w:color w:val="222222"/>
          <w:sz w:val="24"/>
          <w:szCs w:val="24"/>
          <w:shd w:val="clear" w:color="auto" w:fill="FFFFFF"/>
          <w:lang w:eastAsia="en-US"/>
        </w:rPr>
        <w:t xml:space="preserve">, D.P., 2017. Exploration of the risk factors contained within the UK’s existing domestic abuse risk assessment tool (DASH): do these risk factors have individual predictive validity regarding </w:t>
      </w:r>
      <w:proofErr w:type="gramStart"/>
      <w:r w:rsidRPr="00957DDC">
        <w:rPr>
          <w:rFonts w:ascii="Times New Roman" w:eastAsia="Calibri" w:hAnsi="Times New Roman" w:cs="Times New Roman"/>
          <w:color w:val="222222"/>
          <w:sz w:val="24"/>
          <w:szCs w:val="24"/>
          <w:shd w:val="clear" w:color="auto" w:fill="FFFFFF"/>
          <w:lang w:eastAsia="en-US"/>
        </w:rPr>
        <w:t>recidivism?.</w:t>
      </w:r>
      <w:proofErr w:type="gramEnd"/>
      <w:r w:rsidRPr="00957DDC">
        <w:rPr>
          <w:rFonts w:ascii="Times New Roman" w:eastAsia="Calibri" w:hAnsi="Times New Roman" w:cs="Times New Roman"/>
          <w:color w:val="222222"/>
          <w:sz w:val="24"/>
          <w:szCs w:val="24"/>
          <w:shd w:val="clear" w:color="auto" w:fill="FFFFFF"/>
          <w:lang w:eastAsia="en-US"/>
        </w:rPr>
        <w:t> </w:t>
      </w:r>
      <w:r w:rsidRPr="00957DDC">
        <w:rPr>
          <w:rFonts w:ascii="Times New Roman" w:eastAsia="Calibri" w:hAnsi="Times New Roman" w:cs="Times New Roman"/>
          <w:i/>
          <w:iCs/>
          <w:color w:val="222222"/>
          <w:sz w:val="24"/>
          <w:szCs w:val="24"/>
          <w:shd w:val="clear" w:color="auto" w:fill="FFFFFF"/>
          <w:lang w:eastAsia="en-US"/>
        </w:rPr>
        <w:t>Journal of aggression, conflict and peace research</w:t>
      </w:r>
      <w:r w:rsidRPr="00957DDC">
        <w:rPr>
          <w:rFonts w:ascii="Times New Roman" w:eastAsia="Calibri" w:hAnsi="Times New Roman" w:cs="Times New Roman"/>
          <w:color w:val="222222"/>
          <w:sz w:val="24"/>
          <w:szCs w:val="24"/>
          <w:shd w:val="clear" w:color="auto" w:fill="FFFFFF"/>
          <w:lang w:eastAsia="en-US"/>
        </w:rPr>
        <w:t>.</w:t>
      </w:r>
    </w:p>
    <w:p w14:paraId="1EF142C2"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 xml:space="preserve">Elliott, I., Thomas, S. and </w:t>
      </w:r>
      <w:proofErr w:type="spellStart"/>
      <w:r w:rsidRPr="00957DDC">
        <w:rPr>
          <w:rFonts w:ascii="Times New Roman" w:eastAsia="Calibri" w:hAnsi="Times New Roman" w:cs="Times New Roman"/>
          <w:color w:val="222222"/>
          <w:sz w:val="24"/>
          <w:szCs w:val="24"/>
          <w:shd w:val="clear" w:color="auto" w:fill="FFFFFF"/>
          <w:lang w:eastAsia="en-US"/>
        </w:rPr>
        <w:t>Ogloff</w:t>
      </w:r>
      <w:proofErr w:type="spellEnd"/>
      <w:r w:rsidRPr="00957DDC">
        <w:rPr>
          <w:rFonts w:ascii="Times New Roman" w:eastAsia="Calibri" w:hAnsi="Times New Roman" w:cs="Times New Roman"/>
          <w:color w:val="222222"/>
          <w:sz w:val="24"/>
          <w:szCs w:val="24"/>
          <w:shd w:val="clear" w:color="auto" w:fill="FFFFFF"/>
          <w:lang w:eastAsia="en-US"/>
        </w:rPr>
        <w:t>, J., 2014. Procedural justice in victim-police interactions and victims' recovery from victimisation experiences. </w:t>
      </w:r>
      <w:r w:rsidRPr="00957DDC">
        <w:rPr>
          <w:rFonts w:ascii="Times New Roman" w:eastAsia="Calibri" w:hAnsi="Times New Roman" w:cs="Times New Roman"/>
          <w:i/>
          <w:iCs/>
          <w:color w:val="222222"/>
          <w:sz w:val="24"/>
          <w:szCs w:val="24"/>
          <w:shd w:val="clear" w:color="auto" w:fill="FFFFFF"/>
          <w:lang w:eastAsia="en-US"/>
        </w:rPr>
        <w:t>Policing and Society</w:t>
      </w:r>
      <w:r w:rsidRPr="00957DDC">
        <w:rPr>
          <w:rFonts w:ascii="Times New Roman" w:eastAsia="Calibri" w:hAnsi="Times New Roman" w:cs="Times New Roman"/>
          <w:color w:val="222222"/>
          <w:sz w:val="24"/>
          <w:szCs w:val="24"/>
          <w:shd w:val="clear" w:color="auto" w:fill="FFFFFF"/>
          <w:lang w:eastAsia="en-US"/>
        </w:rPr>
        <w:t>, </w:t>
      </w:r>
      <w:r w:rsidRPr="00957DDC">
        <w:rPr>
          <w:rFonts w:ascii="Times New Roman" w:eastAsia="Calibri" w:hAnsi="Times New Roman" w:cs="Times New Roman"/>
          <w:i/>
          <w:iCs/>
          <w:color w:val="222222"/>
          <w:sz w:val="24"/>
          <w:szCs w:val="24"/>
          <w:shd w:val="clear" w:color="auto" w:fill="FFFFFF"/>
          <w:lang w:eastAsia="en-US"/>
        </w:rPr>
        <w:t>24</w:t>
      </w:r>
      <w:r w:rsidRPr="00957DDC">
        <w:rPr>
          <w:rFonts w:ascii="Times New Roman" w:eastAsia="Calibri" w:hAnsi="Times New Roman" w:cs="Times New Roman"/>
          <w:color w:val="222222"/>
          <w:sz w:val="24"/>
          <w:szCs w:val="24"/>
          <w:shd w:val="clear" w:color="auto" w:fill="FFFFFF"/>
          <w:lang w:eastAsia="en-US"/>
        </w:rPr>
        <w:t>(5), pp.588-601.</w:t>
      </w:r>
    </w:p>
    <w:p w14:paraId="289ACBB8"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Haines, A., 2009. </w:t>
      </w:r>
      <w:r w:rsidRPr="00957DDC">
        <w:rPr>
          <w:rFonts w:ascii="Times New Roman" w:eastAsia="Calibri" w:hAnsi="Times New Roman" w:cs="Times New Roman"/>
          <w:i/>
          <w:iCs/>
          <w:color w:val="222222"/>
          <w:sz w:val="24"/>
          <w:szCs w:val="24"/>
          <w:shd w:val="clear" w:color="auto" w:fill="FFFFFF"/>
          <w:lang w:eastAsia="en-US"/>
        </w:rPr>
        <w:t>The role of automatic number plate recognition surveillance within policing and public reassurance</w:t>
      </w:r>
      <w:r w:rsidRPr="00957DDC">
        <w:rPr>
          <w:rFonts w:ascii="Times New Roman" w:eastAsia="Calibri" w:hAnsi="Times New Roman" w:cs="Times New Roman"/>
          <w:color w:val="222222"/>
          <w:sz w:val="24"/>
          <w:szCs w:val="24"/>
          <w:shd w:val="clear" w:color="auto" w:fill="FFFFFF"/>
          <w:lang w:eastAsia="en-US"/>
        </w:rPr>
        <w:t> (Doctoral dissertation, University of Huddersfield).</w:t>
      </w:r>
    </w:p>
    <w:p w14:paraId="55861102"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 xml:space="preserve">Newburn, T. and </w:t>
      </w:r>
      <w:proofErr w:type="spellStart"/>
      <w:r w:rsidRPr="00957DDC">
        <w:rPr>
          <w:rFonts w:ascii="Times New Roman" w:eastAsia="Calibri" w:hAnsi="Times New Roman" w:cs="Times New Roman"/>
          <w:color w:val="222222"/>
          <w:sz w:val="24"/>
          <w:szCs w:val="24"/>
          <w:shd w:val="clear" w:color="auto" w:fill="FFFFFF"/>
          <w:lang w:eastAsia="en-US"/>
        </w:rPr>
        <w:t>Neyroud</w:t>
      </w:r>
      <w:proofErr w:type="spellEnd"/>
      <w:r w:rsidRPr="00957DDC">
        <w:rPr>
          <w:rFonts w:ascii="Times New Roman" w:eastAsia="Calibri" w:hAnsi="Times New Roman" w:cs="Times New Roman"/>
          <w:color w:val="222222"/>
          <w:sz w:val="24"/>
          <w:szCs w:val="24"/>
          <w:shd w:val="clear" w:color="auto" w:fill="FFFFFF"/>
          <w:lang w:eastAsia="en-US"/>
        </w:rPr>
        <w:t>, P., 2013. </w:t>
      </w:r>
      <w:r w:rsidRPr="00957DDC">
        <w:rPr>
          <w:rFonts w:ascii="Times New Roman" w:eastAsia="Calibri" w:hAnsi="Times New Roman" w:cs="Times New Roman"/>
          <w:i/>
          <w:iCs/>
          <w:color w:val="222222"/>
          <w:sz w:val="24"/>
          <w:szCs w:val="24"/>
          <w:shd w:val="clear" w:color="auto" w:fill="FFFFFF"/>
          <w:lang w:eastAsia="en-US"/>
        </w:rPr>
        <w:t>Dictionary of policing</w:t>
      </w:r>
      <w:r w:rsidRPr="00957DDC">
        <w:rPr>
          <w:rFonts w:ascii="Times New Roman" w:eastAsia="Calibri" w:hAnsi="Times New Roman" w:cs="Times New Roman"/>
          <w:color w:val="222222"/>
          <w:sz w:val="24"/>
          <w:szCs w:val="24"/>
          <w:shd w:val="clear" w:color="auto" w:fill="FFFFFF"/>
          <w:lang w:eastAsia="en-US"/>
        </w:rPr>
        <w:t>. Willan.</w:t>
      </w:r>
    </w:p>
    <w:p w14:paraId="1347584A"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 xml:space="preserve">Richards, L., 2009. Domestic abuse, stalking and harassment and </w:t>
      </w:r>
      <w:proofErr w:type="gramStart"/>
      <w:r w:rsidRPr="00957DDC">
        <w:rPr>
          <w:rFonts w:ascii="Times New Roman" w:eastAsia="Calibri" w:hAnsi="Times New Roman" w:cs="Times New Roman"/>
          <w:color w:val="222222"/>
          <w:sz w:val="24"/>
          <w:szCs w:val="24"/>
          <w:shd w:val="clear" w:color="auto" w:fill="FFFFFF"/>
          <w:lang w:eastAsia="en-US"/>
        </w:rPr>
        <w:t>honour based</w:t>
      </w:r>
      <w:proofErr w:type="gramEnd"/>
      <w:r w:rsidRPr="00957DDC">
        <w:rPr>
          <w:rFonts w:ascii="Times New Roman" w:eastAsia="Calibri" w:hAnsi="Times New Roman" w:cs="Times New Roman"/>
          <w:color w:val="222222"/>
          <w:sz w:val="24"/>
          <w:szCs w:val="24"/>
          <w:shd w:val="clear" w:color="auto" w:fill="FFFFFF"/>
          <w:lang w:eastAsia="en-US"/>
        </w:rPr>
        <w:t xml:space="preserve"> violence (DASH, 2009) risk identification and assessment and management model. Association of Police Officers (ACPO).</w:t>
      </w:r>
    </w:p>
    <w:p w14:paraId="3312CB34" w14:textId="5D820F8C"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 xml:space="preserve">Robbins, R., McLaughlin, H., Banks, C., Bellamy, C. and </w:t>
      </w:r>
      <w:proofErr w:type="spellStart"/>
      <w:r w:rsidRPr="00957DDC">
        <w:rPr>
          <w:rFonts w:ascii="Times New Roman" w:eastAsia="Calibri" w:hAnsi="Times New Roman" w:cs="Times New Roman"/>
          <w:color w:val="222222"/>
          <w:sz w:val="24"/>
          <w:szCs w:val="24"/>
          <w:shd w:val="clear" w:color="auto" w:fill="FFFFFF"/>
          <w:lang w:eastAsia="en-US"/>
        </w:rPr>
        <w:t>Thackray</w:t>
      </w:r>
      <w:proofErr w:type="spellEnd"/>
      <w:r w:rsidRPr="00957DDC">
        <w:rPr>
          <w:rFonts w:ascii="Times New Roman" w:eastAsia="Calibri" w:hAnsi="Times New Roman" w:cs="Times New Roman"/>
          <w:color w:val="222222"/>
          <w:sz w:val="24"/>
          <w:szCs w:val="24"/>
          <w:shd w:val="clear" w:color="auto" w:fill="FFFFFF"/>
          <w:lang w:eastAsia="en-US"/>
        </w:rPr>
        <w:t>, D., 2014. Domestic violence and multi-agency risk assessment conferences (MARACs): a scoping review. </w:t>
      </w:r>
      <w:r w:rsidRPr="00957DDC">
        <w:rPr>
          <w:rFonts w:ascii="Times New Roman" w:eastAsia="Calibri" w:hAnsi="Times New Roman" w:cs="Times New Roman"/>
          <w:i/>
          <w:iCs/>
          <w:color w:val="222222"/>
          <w:sz w:val="24"/>
          <w:szCs w:val="24"/>
          <w:shd w:val="clear" w:color="auto" w:fill="FFFFFF"/>
          <w:lang w:eastAsia="en-US"/>
        </w:rPr>
        <w:t>The Journal of Adult Protection</w:t>
      </w:r>
      <w:r w:rsidRPr="00957DDC">
        <w:rPr>
          <w:rFonts w:ascii="Times New Roman" w:eastAsia="Calibri" w:hAnsi="Times New Roman" w:cs="Times New Roman"/>
          <w:color w:val="222222"/>
          <w:sz w:val="24"/>
          <w:szCs w:val="24"/>
          <w:shd w:val="clear" w:color="auto" w:fill="FFFFFF"/>
          <w:lang w:eastAsia="en-US"/>
        </w:rPr>
        <w:t>.</w:t>
      </w:r>
    </w:p>
    <w:p w14:paraId="730A45D5"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 xml:space="preserve">Robinson, A.L., </w:t>
      </w:r>
      <w:proofErr w:type="spellStart"/>
      <w:r w:rsidRPr="00957DDC">
        <w:rPr>
          <w:rFonts w:ascii="Times New Roman" w:eastAsia="Calibri" w:hAnsi="Times New Roman" w:cs="Times New Roman"/>
          <w:color w:val="222222"/>
          <w:sz w:val="24"/>
          <w:szCs w:val="24"/>
          <w:shd w:val="clear" w:color="auto" w:fill="FFFFFF"/>
          <w:lang w:eastAsia="en-US"/>
        </w:rPr>
        <w:t>Myhill</w:t>
      </w:r>
      <w:proofErr w:type="spellEnd"/>
      <w:r w:rsidRPr="00957DDC">
        <w:rPr>
          <w:rFonts w:ascii="Times New Roman" w:eastAsia="Calibri" w:hAnsi="Times New Roman" w:cs="Times New Roman"/>
          <w:color w:val="222222"/>
          <w:sz w:val="24"/>
          <w:szCs w:val="24"/>
          <w:shd w:val="clear" w:color="auto" w:fill="FFFFFF"/>
          <w:lang w:eastAsia="en-US"/>
        </w:rPr>
        <w:t>, A., Wire, J., Roberts, J. and Tilley, N., 2016. Risk-led policing of domestic abuse and the DASH risk model. </w:t>
      </w:r>
      <w:r w:rsidRPr="00957DDC">
        <w:rPr>
          <w:rFonts w:ascii="Times New Roman" w:eastAsia="Calibri" w:hAnsi="Times New Roman" w:cs="Times New Roman"/>
          <w:i/>
          <w:iCs/>
          <w:color w:val="222222"/>
          <w:sz w:val="24"/>
          <w:szCs w:val="24"/>
          <w:shd w:val="clear" w:color="auto" w:fill="FFFFFF"/>
          <w:lang w:eastAsia="en-US"/>
        </w:rPr>
        <w:t>What Works: Crime Reduction Research. Cardiff &amp; London: Cardiff University, College of Policing and UCL Department of Security and Crime Science</w:t>
      </w:r>
      <w:r w:rsidRPr="00957DDC">
        <w:rPr>
          <w:rFonts w:ascii="Times New Roman" w:eastAsia="Calibri" w:hAnsi="Times New Roman" w:cs="Times New Roman"/>
          <w:color w:val="222222"/>
          <w:sz w:val="24"/>
          <w:szCs w:val="24"/>
          <w:shd w:val="clear" w:color="auto" w:fill="FFFFFF"/>
          <w:lang w:eastAsia="en-US"/>
        </w:rPr>
        <w:t>.</w:t>
      </w:r>
    </w:p>
    <w:p w14:paraId="6C25E234" w14:textId="77777777" w:rsidR="0082334E" w:rsidRPr="00957DDC" w:rsidRDefault="0082334E" w:rsidP="0082334E">
      <w:pPr>
        <w:overflowPunct/>
        <w:autoSpaceDE/>
        <w:autoSpaceDN/>
        <w:adjustRightInd/>
        <w:spacing w:after="160" w:line="256" w:lineRule="auto"/>
        <w:textAlignment w:val="auto"/>
        <w:rPr>
          <w:rFonts w:ascii="Times New Roman" w:eastAsia="Calibri" w:hAnsi="Times New Roman" w:cs="Times New Roman"/>
          <w:i/>
          <w:iCs/>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Watson, B. and Walsh, K., 2008. The road safety implications of Automatic Number Plate Recognition technology (ANPR). </w:t>
      </w:r>
      <w:r w:rsidRPr="00957DDC">
        <w:rPr>
          <w:rFonts w:ascii="Times New Roman" w:eastAsia="Calibri" w:hAnsi="Times New Roman" w:cs="Times New Roman"/>
          <w:i/>
          <w:iCs/>
          <w:color w:val="222222"/>
          <w:sz w:val="24"/>
          <w:szCs w:val="24"/>
          <w:shd w:val="clear" w:color="auto" w:fill="FFFFFF"/>
          <w:lang w:eastAsia="en-US"/>
        </w:rPr>
        <w:t>The Centre for Accident Research and Road Safety, Queensland.</w:t>
      </w:r>
    </w:p>
    <w:p w14:paraId="0463DF67" w14:textId="3E9649B3" w:rsidR="0082334E" w:rsidRPr="00B4588E" w:rsidRDefault="0082334E" w:rsidP="0082334E">
      <w:pPr>
        <w:overflowPunct/>
        <w:autoSpaceDE/>
        <w:autoSpaceDN/>
        <w:adjustRightInd/>
        <w:spacing w:after="160" w:line="256" w:lineRule="auto"/>
        <w:textAlignment w:val="auto"/>
        <w:rPr>
          <w:rFonts w:ascii="Times New Roman" w:eastAsia="Calibri" w:hAnsi="Times New Roman" w:cs="Times New Roman"/>
          <w:color w:val="222222"/>
          <w:sz w:val="24"/>
          <w:szCs w:val="24"/>
          <w:shd w:val="clear" w:color="auto" w:fill="FFFFFF"/>
          <w:lang w:eastAsia="en-US"/>
        </w:rPr>
      </w:pPr>
      <w:r w:rsidRPr="00957DDC">
        <w:rPr>
          <w:rFonts w:ascii="Times New Roman" w:eastAsia="Calibri" w:hAnsi="Times New Roman" w:cs="Times New Roman"/>
          <w:color w:val="222222"/>
          <w:sz w:val="24"/>
          <w:szCs w:val="24"/>
          <w:shd w:val="clear" w:color="auto" w:fill="FFFFFF"/>
          <w:lang w:eastAsia="en-US"/>
        </w:rPr>
        <w:t>Wedlock, E. and Tapley, J.D., 2016. What works in supporting victims of crime: A rapid evidence assessment.</w:t>
      </w:r>
      <w:r w:rsidR="00B4588E">
        <w:rPr>
          <w:rFonts w:ascii="Times New Roman" w:eastAsia="Calibri" w:hAnsi="Times New Roman" w:cs="Times New Roman"/>
          <w:color w:val="222222"/>
          <w:sz w:val="24"/>
          <w:szCs w:val="24"/>
          <w:shd w:val="clear" w:color="auto" w:fill="FFFFFF"/>
          <w:lang w:eastAsia="en-US"/>
        </w:rPr>
        <w:t xml:space="preserve"> </w:t>
      </w:r>
    </w:p>
    <w:p w14:paraId="20A9A6B5" w14:textId="276D1EC2" w:rsidR="0082334E" w:rsidRDefault="0082334E" w:rsidP="0082334E">
      <w:pPr>
        <w:overflowPunct/>
        <w:autoSpaceDE/>
        <w:autoSpaceDN/>
        <w:adjustRightInd/>
        <w:spacing w:after="160" w:line="256" w:lineRule="auto"/>
        <w:textAlignment w:val="auto"/>
        <w:rPr>
          <w:rFonts w:eastAsia="Calibri"/>
          <w:color w:val="222222"/>
          <w:shd w:val="clear" w:color="auto" w:fill="FFFFFF"/>
          <w:lang w:eastAsia="en-US"/>
        </w:rPr>
      </w:pPr>
    </w:p>
    <w:p w14:paraId="111844E9" w14:textId="25B943F5" w:rsidR="00B4588E" w:rsidRPr="00247AA4" w:rsidRDefault="0082334E" w:rsidP="00247AA4">
      <w:pPr>
        <w:overflowPunct/>
        <w:autoSpaceDE/>
        <w:autoSpaceDN/>
        <w:adjustRightInd/>
        <w:spacing w:after="160" w:line="256" w:lineRule="auto"/>
        <w:textAlignment w:val="auto"/>
        <w:rPr>
          <w:rFonts w:ascii="Times New Roman" w:eastAsia="Calibri" w:hAnsi="Times New Roman" w:cs="Times New Roman"/>
          <w:color w:val="222222"/>
          <w:sz w:val="24"/>
          <w:szCs w:val="24"/>
          <w:u w:val="single"/>
          <w:shd w:val="clear" w:color="auto" w:fill="FFFFFF"/>
          <w:lang w:eastAsia="en-US"/>
        </w:rPr>
      </w:pPr>
      <w:r w:rsidRPr="00247AA4">
        <w:rPr>
          <w:rFonts w:ascii="Times New Roman" w:eastAsia="Calibri" w:hAnsi="Times New Roman" w:cs="Times New Roman"/>
          <w:color w:val="222222"/>
          <w:sz w:val="24"/>
          <w:szCs w:val="24"/>
          <w:u w:val="single"/>
          <w:shd w:val="clear" w:color="auto" w:fill="FFFFFF"/>
          <w:lang w:eastAsia="en-US"/>
        </w:rPr>
        <w:t>REFERENCES – TASK 4</w:t>
      </w:r>
    </w:p>
    <w:p w14:paraId="6B184CCC" w14:textId="4F70D662" w:rsidR="00B4588E" w:rsidRDefault="00B4588E" w:rsidP="00B4588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lastRenderedPageBreak/>
        <w:t>Brown, D., 1989. </w:t>
      </w:r>
      <w:r>
        <w:rPr>
          <w:rFonts w:ascii="Times New Roman" w:hAnsi="Times New Roman" w:cs="Times New Roman"/>
          <w:i/>
          <w:iCs/>
          <w:color w:val="222222"/>
          <w:sz w:val="24"/>
          <w:szCs w:val="24"/>
          <w:shd w:val="clear" w:color="auto" w:fill="FFFFFF"/>
        </w:rPr>
        <w:t>Detention at the police station under the Police and Criminal Evidence Act 1984</w:t>
      </w:r>
      <w:r>
        <w:rPr>
          <w:rFonts w:ascii="Times New Roman" w:hAnsi="Times New Roman" w:cs="Times New Roman"/>
          <w:color w:val="222222"/>
          <w:sz w:val="24"/>
          <w:szCs w:val="24"/>
          <w:shd w:val="clear" w:color="auto" w:fill="FFFFFF"/>
        </w:rPr>
        <w:t xml:space="preserve"> (No. 104). HM Stationery Office. </w:t>
      </w:r>
    </w:p>
    <w:p w14:paraId="36DD5946" w14:textId="77777777" w:rsidR="00247AA4" w:rsidRDefault="00247AA4" w:rsidP="00B4588E">
      <w:pPr>
        <w:rPr>
          <w:rFonts w:ascii="Times New Roman" w:hAnsi="Times New Roman" w:cs="Times New Roman"/>
          <w:color w:val="222222"/>
          <w:sz w:val="24"/>
          <w:szCs w:val="24"/>
          <w:shd w:val="clear" w:color="auto" w:fill="FFFFFF"/>
        </w:rPr>
      </w:pPr>
    </w:p>
    <w:p w14:paraId="1AF549EE" w14:textId="226E9535" w:rsidR="00247AA4" w:rsidRDefault="00247AA4" w:rsidP="00B4588E">
      <w:pPr>
        <w:rPr>
          <w:rFonts w:ascii="Helvetica" w:hAnsi="Helvetica"/>
          <w:color w:val="000000" w:themeColor="text1"/>
          <w:shd w:val="clear" w:color="auto" w:fill="FFFFFF"/>
        </w:rPr>
      </w:pPr>
      <w:r>
        <w:rPr>
          <w:rFonts w:ascii="Times New Roman" w:hAnsi="Times New Roman" w:cs="Times New Roman"/>
          <w:color w:val="222222"/>
          <w:sz w:val="24"/>
          <w:szCs w:val="24"/>
          <w:shd w:val="clear" w:color="auto" w:fill="FFFFFF"/>
        </w:rPr>
        <w:t>College of Policing (2021)., available a</w:t>
      </w:r>
      <w:r w:rsidRPr="00247AA4">
        <w:rPr>
          <w:rFonts w:ascii="Times New Roman" w:hAnsi="Times New Roman" w:cs="Times New Roman"/>
          <w:color w:val="000000" w:themeColor="text1"/>
          <w:sz w:val="24"/>
          <w:szCs w:val="24"/>
          <w:shd w:val="clear" w:color="auto" w:fill="FFFFFF"/>
        </w:rPr>
        <w:t xml:space="preserve">t </w:t>
      </w:r>
      <w:hyperlink r:id="rId22" w:history="1">
        <w:r w:rsidRPr="00247AA4">
          <w:rPr>
            <w:rStyle w:val="Hyperlink"/>
            <w:rFonts w:ascii="Helvetica" w:hAnsi="Helvetica"/>
            <w:color w:val="000000" w:themeColor="text1"/>
            <w:shd w:val="clear" w:color="auto" w:fill="FFFFFF"/>
          </w:rPr>
          <w:t>https://www.college.police.uk</w:t>
        </w:r>
      </w:hyperlink>
    </w:p>
    <w:p w14:paraId="4F158393" w14:textId="77777777" w:rsidR="00247AA4" w:rsidRPr="00247AA4" w:rsidRDefault="00247AA4" w:rsidP="00B4588E">
      <w:pPr>
        <w:rPr>
          <w:rFonts w:ascii="Times New Roman" w:hAnsi="Times New Roman" w:cs="Times New Roman"/>
          <w:color w:val="000000" w:themeColor="text1"/>
          <w:sz w:val="24"/>
          <w:szCs w:val="24"/>
          <w:shd w:val="clear" w:color="auto" w:fill="FFFFFF"/>
        </w:rPr>
      </w:pPr>
    </w:p>
    <w:p w14:paraId="7F94659B" w14:textId="7B0AEA9C" w:rsidR="00247AA4" w:rsidRPr="00247AA4" w:rsidRDefault="00B4588E" w:rsidP="00B4588E">
      <w:pPr>
        <w:rPr>
          <w:color w:val="000000" w:themeColor="text1"/>
        </w:rPr>
      </w:pPr>
      <w:r w:rsidRPr="00247AA4">
        <w:rPr>
          <w:rFonts w:ascii="Times New Roman" w:hAnsi="Times New Roman" w:cs="Times New Roman"/>
          <w:color w:val="000000" w:themeColor="text1"/>
          <w:sz w:val="24"/>
          <w:szCs w:val="24"/>
        </w:rPr>
        <w:t xml:space="preserve">HM Government (2021) </w:t>
      </w:r>
      <w:r w:rsidRPr="00247AA4">
        <w:rPr>
          <w:rFonts w:ascii="Times New Roman" w:hAnsi="Times New Roman" w:cs="Times New Roman"/>
          <w:i/>
          <w:iCs/>
          <w:color w:val="000000" w:themeColor="text1"/>
          <w:sz w:val="24"/>
          <w:szCs w:val="24"/>
        </w:rPr>
        <w:t>Guidance – Domestic violence and abuse</w:t>
      </w:r>
      <w:r w:rsidRPr="00247AA4">
        <w:rPr>
          <w:rFonts w:ascii="Times New Roman" w:hAnsi="Times New Roman" w:cs="Times New Roman"/>
          <w:color w:val="000000" w:themeColor="text1"/>
          <w:sz w:val="24"/>
          <w:szCs w:val="24"/>
        </w:rPr>
        <w:t xml:space="preserve">, available at </w:t>
      </w:r>
      <w:hyperlink r:id="rId23" w:history="1">
        <w:r w:rsidRPr="00247AA4">
          <w:rPr>
            <w:rStyle w:val="Hyperlink"/>
            <w:rFonts w:ascii="Times New Roman" w:hAnsi="Times New Roman" w:cs="Times New Roman"/>
            <w:color w:val="000000" w:themeColor="text1"/>
            <w:sz w:val="24"/>
            <w:szCs w:val="24"/>
          </w:rPr>
          <w:t>https://www.gov.uk/domestic-violence-and-abuse</w:t>
        </w:r>
      </w:hyperlink>
    </w:p>
    <w:p w14:paraId="2B278C0E" w14:textId="6CD753E3" w:rsidR="00B4588E" w:rsidRDefault="00B4588E" w:rsidP="00B4588E">
      <w:pPr>
        <w:rPr>
          <w:rFonts w:ascii="Times New Roman" w:hAnsi="Times New Roman" w:cs="Times New Roman"/>
          <w:color w:val="000000" w:themeColor="text1"/>
          <w:sz w:val="24"/>
          <w:szCs w:val="24"/>
          <w:shd w:val="clear" w:color="auto" w:fill="FFFFFF"/>
        </w:rPr>
      </w:pPr>
      <w:r w:rsidRPr="00247AA4">
        <w:rPr>
          <w:rFonts w:ascii="Times New Roman" w:hAnsi="Times New Roman" w:cs="Times New Roman"/>
          <w:color w:val="000000" w:themeColor="text1"/>
          <w:sz w:val="24"/>
          <w:szCs w:val="24"/>
          <w:shd w:val="clear" w:color="auto" w:fill="FFFFFF"/>
        </w:rPr>
        <w:t>Kelly, L. and Westmorland, N., 2016. Naming and defining ‘domestic violence’: Lessons from research with violent men. </w:t>
      </w:r>
      <w:r w:rsidRPr="00247AA4">
        <w:rPr>
          <w:rFonts w:ascii="Times New Roman" w:hAnsi="Times New Roman" w:cs="Times New Roman"/>
          <w:i/>
          <w:iCs/>
          <w:color w:val="000000" w:themeColor="text1"/>
          <w:sz w:val="24"/>
          <w:szCs w:val="24"/>
          <w:shd w:val="clear" w:color="auto" w:fill="FFFFFF"/>
        </w:rPr>
        <w:t>Feminist review</w:t>
      </w:r>
      <w:r w:rsidRPr="00247AA4">
        <w:rPr>
          <w:rFonts w:ascii="Times New Roman" w:hAnsi="Times New Roman" w:cs="Times New Roman"/>
          <w:color w:val="000000" w:themeColor="text1"/>
          <w:sz w:val="24"/>
          <w:szCs w:val="24"/>
          <w:shd w:val="clear" w:color="auto" w:fill="FFFFFF"/>
        </w:rPr>
        <w:t>, </w:t>
      </w:r>
      <w:r w:rsidRPr="00247AA4">
        <w:rPr>
          <w:rFonts w:ascii="Times New Roman" w:hAnsi="Times New Roman" w:cs="Times New Roman"/>
          <w:i/>
          <w:iCs/>
          <w:color w:val="000000" w:themeColor="text1"/>
          <w:sz w:val="24"/>
          <w:szCs w:val="24"/>
          <w:shd w:val="clear" w:color="auto" w:fill="FFFFFF"/>
        </w:rPr>
        <w:t>112</w:t>
      </w:r>
      <w:r w:rsidRPr="00247AA4">
        <w:rPr>
          <w:rFonts w:ascii="Times New Roman" w:hAnsi="Times New Roman" w:cs="Times New Roman"/>
          <w:color w:val="000000" w:themeColor="text1"/>
          <w:sz w:val="24"/>
          <w:szCs w:val="24"/>
          <w:shd w:val="clear" w:color="auto" w:fill="FFFFFF"/>
        </w:rPr>
        <w:t>(1), pp.113-127.</w:t>
      </w:r>
    </w:p>
    <w:p w14:paraId="1BBA16FD" w14:textId="77777777" w:rsidR="00247AA4" w:rsidRPr="00247AA4" w:rsidRDefault="00247AA4" w:rsidP="00B4588E">
      <w:pPr>
        <w:rPr>
          <w:rFonts w:ascii="Times New Roman" w:hAnsi="Times New Roman" w:cs="Times New Roman"/>
          <w:color w:val="000000" w:themeColor="text1"/>
          <w:sz w:val="24"/>
          <w:szCs w:val="24"/>
          <w:shd w:val="clear" w:color="auto" w:fill="FFFFFF"/>
        </w:rPr>
      </w:pPr>
    </w:p>
    <w:p w14:paraId="2734AFAF" w14:textId="4D10B490" w:rsidR="00B4588E" w:rsidRDefault="00B4588E" w:rsidP="00B4588E">
      <w:pPr>
        <w:rPr>
          <w:rFonts w:ascii="Times New Roman" w:hAnsi="Times New Roman" w:cs="Times New Roman"/>
          <w:color w:val="000000" w:themeColor="text1"/>
          <w:sz w:val="24"/>
          <w:szCs w:val="24"/>
          <w:shd w:val="clear" w:color="auto" w:fill="FFFFFF"/>
        </w:rPr>
      </w:pPr>
      <w:proofErr w:type="spellStart"/>
      <w:r w:rsidRPr="00247AA4">
        <w:rPr>
          <w:rFonts w:ascii="Times New Roman" w:hAnsi="Times New Roman" w:cs="Times New Roman"/>
          <w:color w:val="000000" w:themeColor="text1"/>
          <w:sz w:val="24"/>
          <w:szCs w:val="24"/>
          <w:shd w:val="clear" w:color="auto" w:fill="FFFFFF"/>
        </w:rPr>
        <w:t>Mastrofski</w:t>
      </w:r>
      <w:proofErr w:type="spellEnd"/>
      <w:r w:rsidRPr="00247AA4">
        <w:rPr>
          <w:rFonts w:ascii="Times New Roman" w:hAnsi="Times New Roman" w:cs="Times New Roman"/>
          <w:color w:val="000000" w:themeColor="text1"/>
          <w:sz w:val="24"/>
          <w:szCs w:val="24"/>
          <w:shd w:val="clear" w:color="auto" w:fill="FFFFFF"/>
        </w:rPr>
        <w:t>, S.D., 2004. Controlling street-level police discretion. </w:t>
      </w:r>
      <w:r w:rsidRPr="00247AA4">
        <w:rPr>
          <w:rFonts w:ascii="Times New Roman" w:hAnsi="Times New Roman" w:cs="Times New Roman"/>
          <w:i/>
          <w:iCs/>
          <w:color w:val="000000" w:themeColor="text1"/>
          <w:sz w:val="24"/>
          <w:szCs w:val="24"/>
          <w:shd w:val="clear" w:color="auto" w:fill="FFFFFF"/>
        </w:rPr>
        <w:t>The annals of the American academy of political and social science</w:t>
      </w:r>
      <w:r w:rsidRPr="00247AA4">
        <w:rPr>
          <w:rFonts w:ascii="Times New Roman" w:hAnsi="Times New Roman" w:cs="Times New Roman"/>
          <w:color w:val="000000" w:themeColor="text1"/>
          <w:sz w:val="24"/>
          <w:szCs w:val="24"/>
          <w:shd w:val="clear" w:color="auto" w:fill="FFFFFF"/>
        </w:rPr>
        <w:t>, </w:t>
      </w:r>
      <w:r w:rsidRPr="00247AA4">
        <w:rPr>
          <w:rFonts w:ascii="Times New Roman" w:hAnsi="Times New Roman" w:cs="Times New Roman"/>
          <w:i/>
          <w:iCs/>
          <w:color w:val="000000" w:themeColor="text1"/>
          <w:sz w:val="24"/>
          <w:szCs w:val="24"/>
          <w:shd w:val="clear" w:color="auto" w:fill="FFFFFF"/>
        </w:rPr>
        <w:t>593</w:t>
      </w:r>
      <w:r w:rsidRPr="00247AA4">
        <w:rPr>
          <w:rFonts w:ascii="Times New Roman" w:hAnsi="Times New Roman" w:cs="Times New Roman"/>
          <w:color w:val="000000" w:themeColor="text1"/>
          <w:sz w:val="24"/>
          <w:szCs w:val="24"/>
          <w:shd w:val="clear" w:color="auto" w:fill="FFFFFF"/>
        </w:rPr>
        <w:t>(1), pp.100-118.</w:t>
      </w:r>
    </w:p>
    <w:p w14:paraId="14EBCB30" w14:textId="77777777" w:rsidR="00247AA4" w:rsidRPr="00247AA4" w:rsidRDefault="00247AA4" w:rsidP="00B4588E">
      <w:pPr>
        <w:rPr>
          <w:rFonts w:ascii="Times New Roman" w:hAnsi="Times New Roman" w:cs="Times New Roman"/>
          <w:color w:val="000000" w:themeColor="text1"/>
          <w:sz w:val="24"/>
          <w:szCs w:val="24"/>
          <w:shd w:val="clear" w:color="auto" w:fill="FEF1C4"/>
        </w:rPr>
      </w:pPr>
    </w:p>
    <w:p w14:paraId="2B4481B3" w14:textId="34DE9FDE" w:rsidR="00B4588E" w:rsidRDefault="00B4588E" w:rsidP="00B4588E">
      <w:pPr>
        <w:rPr>
          <w:rFonts w:ascii="Times New Roman" w:hAnsi="Times New Roman" w:cs="Times New Roman"/>
          <w:color w:val="000000" w:themeColor="text1"/>
          <w:sz w:val="24"/>
          <w:szCs w:val="24"/>
        </w:rPr>
      </w:pPr>
      <w:r w:rsidRPr="00247AA4">
        <w:rPr>
          <w:rFonts w:ascii="Times New Roman" w:hAnsi="Times New Roman" w:cs="Times New Roman"/>
          <w:color w:val="000000" w:themeColor="text1"/>
          <w:sz w:val="24"/>
          <w:szCs w:val="24"/>
        </w:rPr>
        <w:t xml:space="preserve">Newburn, T., </w:t>
      </w:r>
      <w:proofErr w:type="spellStart"/>
      <w:r w:rsidRPr="00247AA4">
        <w:rPr>
          <w:rFonts w:ascii="Times New Roman" w:hAnsi="Times New Roman" w:cs="Times New Roman"/>
          <w:color w:val="000000" w:themeColor="text1"/>
          <w:sz w:val="24"/>
          <w:szCs w:val="24"/>
        </w:rPr>
        <w:t>Neyroud</w:t>
      </w:r>
      <w:proofErr w:type="spellEnd"/>
      <w:r w:rsidRPr="00247AA4">
        <w:rPr>
          <w:rFonts w:ascii="Times New Roman" w:hAnsi="Times New Roman" w:cs="Times New Roman"/>
          <w:color w:val="000000" w:themeColor="text1"/>
          <w:sz w:val="24"/>
          <w:szCs w:val="24"/>
        </w:rPr>
        <w:t>, P. (2008) ‘Dictionary of Policing’, Willan Publishing</w:t>
      </w:r>
    </w:p>
    <w:p w14:paraId="5BA7E0A9" w14:textId="77777777" w:rsidR="00247AA4" w:rsidRPr="00247AA4" w:rsidRDefault="00247AA4" w:rsidP="00B4588E">
      <w:pPr>
        <w:rPr>
          <w:rFonts w:ascii="Times New Roman" w:hAnsi="Times New Roman" w:cs="Times New Roman"/>
          <w:color w:val="000000" w:themeColor="text1"/>
          <w:sz w:val="24"/>
          <w:szCs w:val="24"/>
        </w:rPr>
      </w:pPr>
    </w:p>
    <w:p w14:paraId="7E30818C" w14:textId="5262AB81" w:rsidR="00B4588E" w:rsidRDefault="00B4588E" w:rsidP="00B4588E">
      <w:pPr>
        <w:rPr>
          <w:rFonts w:ascii="Times New Roman" w:hAnsi="Times New Roman" w:cs="Times New Roman"/>
          <w:color w:val="000000" w:themeColor="text1"/>
          <w:sz w:val="24"/>
          <w:szCs w:val="24"/>
          <w:shd w:val="clear" w:color="auto" w:fill="FFFFFF"/>
        </w:rPr>
      </w:pPr>
      <w:proofErr w:type="spellStart"/>
      <w:r w:rsidRPr="00247AA4">
        <w:rPr>
          <w:rFonts w:ascii="Times New Roman" w:hAnsi="Times New Roman" w:cs="Times New Roman"/>
          <w:color w:val="000000" w:themeColor="text1"/>
          <w:sz w:val="24"/>
          <w:szCs w:val="24"/>
          <w:shd w:val="clear" w:color="auto" w:fill="FFFFFF"/>
        </w:rPr>
        <w:t>Neyroud</w:t>
      </w:r>
      <w:proofErr w:type="spellEnd"/>
      <w:r w:rsidRPr="00247AA4">
        <w:rPr>
          <w:rFonts w:ascii="Times New Roman" w:hAnsi="Times New Roman" w:cs="Times New Roman"/>
          <w:color w:val="000000" w:themeColor="text1"/>
          <w:sz w:val="24"/>
          <w:szCs w:val="24"/>
          <w:shd w:val="clear" w:color="auto" w:fill="FFFFFF"/>
        </w:rPr>
        <w:t>, P. and Beckley, A., 2001. </w:t>
      </w:r>
      <w:r w:rsidRPr="00247AA4">
        <w:rPr>
          <w:rFonts w:ascii="Times New Roman" w:hAnsi="Times New Roman" w:cs="Times New Roman"/>
          <w:i/>
          <w:iCs/>
          <w:color w:val="000000" w:themeColor="text1"/>
          <w:sz w:val="24"/>
          <w:szCs w:val="24"/>
          <w:shd w:val="clear" w:color="auto" w:fill="FFFFFF"/>
        </w:rPr>
        <w:t>Policing, ethics and human rights</w:t>
      </w:r>
      <w:r w:rsidRPr="00247AA4">
        <w:rPr>
          <w:rFonts w:ascii="Times New Roman" w:hAnsi="Times New Roman" w:cs="Times New Roman"/>
          <w:color w:val="000000" w:themeColor="text1"/>
          <w:sz w:val="24"/>
          <w:szCs w:val="24"/>
          <w:shd w:val="clear" w:color="auto" w:fill="FFFFFF"/>
        </w:rPr>
        <w:t>. Routledge.</w:t>
      </w:r>
    </w:p>
    <w:p w14:paraId="2E5A5439" w14:textId="77777777" w:rsidR="00247AA4" w:rsidRPr="00247AA4" w:rsidRDefault="00247AA4" w:rsidP="00B4588E">
      <w:pPr>
        <w:rPr>
          <w:rFonts w:ascii="Times New Roman" w:hAnsi="Times New Roman" w:cs="Times New Roman"/>
          <w:color w:val="000000" w:themeColor="text1"/>
          <w:sz w:val="24"/>
          <w:szCs w:val="24"/>
          <w:shd w:val="clear" w:color="auto" w:fill="FFFFFF"/>
        </w:rPr>
      </w:pPr>
    </w:p>
    <w:p w14:paraId="25E6C9AD" w14:textId="77777777" w:rsidR="00B4588E" w:rsidRPr="00247AA4" w:rsidRDefault="00B4588E" w:rsidP="00B4588E">
      <w:pPr>
        <w:rPr>
          <w:rFonts w:ascii="Times New Roman" w:hAnsi="Times New Roman" w:cs="Times New Roman"/>
          <w:color w:val="000000" w:themeColor="text1"/>
          <w:sz w:val="24"/>
          <w:szCs w:val="24"/>
        </w:rPr>
      </w:pPr>
      <w:r w:rsidRPr="00247AA4">
        <w:rPr>
          <w:rFonts w:ascii="Times New Roman" w:hAnsi="Times New Roman" w:cs="Times New Roman"/>
          <w:color w:val="000000" w:themeColor="text1"/>
          <w:sz w:val="24"/>
          <w:szCs w:val="24"/>
          <w:shd w:val="clear" w:color="auto" w:fill="FFFFFF"/>
        </w:rPr>
        <w:t xml:space="preserve">Newburn, T. and </w:t>
      </w:r>
      <w:proofErr w:type="spellStart"/>
      <w:r w:rsidRPr="00247AA4">
        <w:rPr>
          <w:rFonts w:ascii="Times New Roman" w:hAnsi="Times New Roman" w:cs="Times New Roman"/>
          <w:color w:val="000000" w:themeColor="text1"/>
          <w:sz w:val="24"/>
          <w:szCs w:val="24"/>
          <w:shd w:val="clear" w:color="auto" w:fill="FFFFFF"/>
        </w:rPr>
        <w:t>Neyroud</w:t>
      </w:r>
      <w:proofErr w:type="spellEnd"/>
      <w:r w:rsidRPr="00247AA4">
        <w:rPr>
          <w:rFonts w:ascii="Times New Roman" w:hAnsi="Times New Roman" w:cs="Times New Roman"/>
          <w:color w:val="000000" w:themeColor="text1"/>
          <w:sz w:val="24"/>
          <w:szCs w:val="24"/>
          <w:shd w:val="clear" w:color="auto" w:fill="FFFFFF"/>
        </w:rPr>
        <w:t>, P., 2013. </w:t>
      </w:r>
      <w:r w:rsidRPr="00247AA4">
        <w:rPr>
          <w:rFonts w:ascii="Times New Roman" w:hAnsi="Times New Roman" w:cs="Times New Roman"/>
          <w:i/>
          <w:iCs/>
          <w:color w:val="000000" w:themeColor="text1"/>
          <w:sz w:val="24"/>
          <w:szCs w:val="24"/>
          <w:shd w:val="clear" w:color="auto" w:fill="FFFFFF"/>
        </w:rPr>
        <w:t>Dictionary of policing</w:t>
      </w:r>
      <w:r w:rsidRPr="00247AA4">
        <w:rPr>
          <w:rFonts w:ascii="Times New Roman" w:hAnsi="Times New Roman" w:cs="Times New Roman"/>
          <w:color w:val="000000" w:themeColor="text1"/>
          <w:sz w:val="24"/>
          <w:szCs w:val="24"/>
          <w:shd w:val="clear" w:color="auto" w:fill="FFFFFF"/>
        </w:rPr>
        <w:t>. Willan.</w:t>
      </w:r>
    </w:p>
    <w:p w14:paraId="5D536FB0" w14:textId="77777777" w:rsidR="00247AA4" w:rsidRDefault="00247AA4" w:rsidP="00B4588E">
      <w:pPr>
        <w:rPr>
          <w:rFonts w:ascii="Times New Roman" w:hAnsi="Times New Roman" w:cs="Times New Roman"/>
          <w:color w:val="000000" w:themeColor="text1"/>
          <w:sz w:val="24"/>
          <w:szCs w:val="24"/>
          <w:shd w:val="clear" w:color="auto" w:fill="FFFFFF"/>
        </w:rPr>
      </w:pPr>
    </w:p>
    <w:p w14:paraId="21D3C864" w14:textId="5A5DD8CF" w:rsidR="00B4588E" w:rsidRPr="00247AA4" w:rsidRDefault="00B4588E" w:rsidP="00B4588E">
      <w:pPr>
        <w:rPr>
          <w:rFonts w:ascii="Times New Roman" w:hAnsi="Times New Roman" w:cs="Times New Roman"/>
          <w:color w:val="000000" w:themeColor="text1"/>
          <w:sz w:val="24"/>
          <w:szCs w:val="24"/>
          <w:shd w:val="clear" w:color="auto" w:fill="FFFFFF"/>
        </w:rPr>
      </w:pPr>
      <w:r w:rsidRPr="00247AA4">
        <w:rPr>
          <w:rFonts w:ascii="Times New Roman" w:hAnsi="Times New Roman" w:cs="Times New Roman"/>
          <w:color w:val="000000" w:themeColor="text1"/>
          <w:sz w:val="24"/>
          <w:szCs w:val="24"/>
          <w:shd w:val="clear" w:color="auto" w:fill="FFFFFF"/>
        </w:rPr>
        <w:t xml:space="preserve">Office of National Statistics (2020). </w:t>
      </w:r>
      <w:r w:rsidRPr="00247AA4">
        <w:rPr>
          <w:rFonts w:ascii="Times New Roman" w:hAnsi="Times New Roman" w:cs="Times New Roman"/>
          <w:i/>
          <w:iCs/>
          <w:color w:val="000000" w:themeColor="text1"/>
          <w:sz w:val="24"/>
          <w:szCs w:val="24"/>
          <w:shd w:val="clear" w:color="auto" w:fill="FFFFFF"/>
        </w:rPr>
        <w:t>Home- Office for National Statistics</w:t>
      </w:r>
      <w:r w:rsidRPr="00247AA4">
        <w:rPr>
          <w:rFonts w:ascii="Times New Roman" w:hAnsi="Times New Roman" w:cs="Times New Roman"/>
          <w:color w:val="000000" w:themeColor="text1"/>
          <w:sz w:val="24"/>
          <w:szCs w:val="24"/>
          <w:shd w:val="clear" w:color="auto" w:fill="FFFFFF"/>
        </w:rPr>
        <w:t xml:space="preserve">. [online] Ons.gov.uk. Available at: </w:t>
      </w:r>
      <w:hyperlink r:id="rId24" w:history="1">
        <w:r w:rsidRPr="00247AA4">
          <w:rPr>
            <w:rStyle w:val="Hyperlink"/>
            <w:rFonts w:ascii="Times New Roman" w:hAnsi="Times New Roman" w:cs="Times New Roman"/>
            <w:color w:val="000000" w:themeColor="text1"/>
            <w:sz w:val="24"/>
            <w:szCs w:val="24"/>
            <w:shd w:val="clear" w:color="auto" w:fill="FFFFFF"/>
          </w:rPr>
          <w:t>https://www.ons.gov.uk/</w:t>
        </w:r>
      </w:hyperlink>
      <w:r w:rsidRPr="00247AA4">
        <w:rPr>
          <w:rFonts w:ascii="Times New Roman" w:hAnsi="Times New Roman" w:cs="Times New Roman"/>
          <w:color w:val="000000" w:themeColor="text1"/>
          <w:sz w:val="24"/>
          <w:szCs w:val="24"/>
          <w:shd w:val="clear" w:color="auto" w:fill="FFFFFF"/>
        </w:rPr>
        <w:t xml:space="preserve">. </w:t>
      </w:r>
    </w:p>
    <w:p w14:paraId="7E7A5BC0" w14:textId="77777777" w:rsidR="00247AA4" w:rsidRDefault="00247AA4" w:rsidP="00B4588E">
      <w:pPr>
        <w:rPr>
          <w:rFonts w:ascii="Times New Roman" w:hAnsi="Times New Roman" w:cs="Times New Roman"/>
          <w:color w:val="000000" w:themeColor="text1"/>
          <w:sz w:val="24"/>
          <w:szCs w:val="24"/>
          <w:shd w:val="clear" w:color="auto" w:fill="FFFFFF"/>
        </w:rPr>
      </w:pPr>
    </w:p>
    <w:p w14:paraId="54BB764C" w14:textId="64F0A1C1" w:rsidR="00B4588E" w:rsidRDefault="00B4588E" w:rsidP="00B4588E">
      <w:pPr>
        <w:rPr>
          <w:rFonts w:ascii="Times New Roman" w:hAnsi="Times New Roman" w:cs="Times New Roman"/>
          <w:color w:val="222222"/>
          <w:sz w:val="24"/>
          <w:szCs w:val="24"/>
          <w:shd w:val="clear" w:color="auto" w:fill="FFFFFF"/>
        </w:rPr>
      </w:pPr>
      <w:r w:rsidRPr="00247AA4">
        <w:rPr>
          <w:rFonts w:ascii="Times New Roman" w:hAnsi="Times New Roman" w:cs="Times New Roman"/>
          <w:color w:val="000000" w:themeColor="text1"/>
          <w:sz w:val="24"/>
          <w:szCs w:val="24"/>
          <w:shd w:val="clear" w:color="auto" w:fill="FFFFFF"/>
        </w:rPr>
        <w:t xml:space="preserve">Redmayne, M., 1997. Process gains and process </w:t>
      </w:r>
      <w:r>
        <w:rPr>
          <w:rFonts w:ascii="Times New Roman" w:hAnsi="Times New Roman" w:cs="Times New Roman"/>
          <w:color w:val="222222"/>
          <w:sz w:val="24"/>
          <w:szCs w:val="24"/>
          <w:shd w:val="clear" w:color="auto" w:fill="FFFFFF"/>
        </w:rPr>
        <w:t>values: The criminal procedure and investigations act 1996. </w:t>
      </w:r>
      <w:r>
        <w:rPr>
          <w:rFonts w:ascii="Times New Roman" w:hAnsi="Times New Roman" w:cs="Times New Roman"/>
          <w:i/>
          <w:iCs/>
          <w:color w:val="222222"/>
          <w:sz w:val="24"/>
          <w:szCs w:val="24"/>
          <w:shd w:val="clear" w:color="auto" w:fill="FFFFFF"/>
        </w:rPr>
        <w:t>The Modern Law Review</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60</w:t>
      </w:r>
      <w:r>
        <w:rPr>
          <w:rFonts w:ascii="Times New Roman" w:hAnsi="Times New Roman" w:cs="Times New Roman"/>
          <w:color w:val="222222"/>
          <w:sz w:val="24"/>
          <w:szCs w:val="24"/>
          <w:shd w:val="clear" w:color="auto" w:fill="FFFFFF"/>
        </w:rPr>
        <w:t>(1), pp.79-93.</w:t>
      </w:r>
    </w:p>
    <w:p w14:paraId="34582C56" w14:textId="77777777" w:rsidR="00247AA4" w:rsidRDefault="00247AA4" w:rsidP="00B4588E">
      <w:pPr>
        <w:rPr>
          <w:rFonts w:ascii="Times New Roman" w:hAnsi="Times New Roman" w:cs="Times New Roman"/>
          <w:color w:val="222222"/>
          <w:sz w:val="24"/>
          <w:szCs w:val="24"/>
          <w:shd w:val="clear" w:color="auto" w:fill="FFFFFF"/>
        </w:rPr>
      </w:pPr>
    </w:p>
    <w:p w14:paraId="36B636DF" w14:textId="371ED182" w:rsidR="00B4588E" w:rsidRDefault="00B4588E" w:rsidP="00B4588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Taylor, C., 2001. Advance Disclosure: reflections on the criminal Procedure and Investigations Act 1996. </w:t>
      </w:r>
      <w:r>
        <w:rPr>
          <w:rFonts w:ascii="Times New Roman" w:hAnsi="Times New Roman" w:cs="Times New Roman"/>
          <w:i/>
          <w:iCs/>
          <w:color w:val="222222"/>
          <w:sz w:val="24"/>
          <w:szCs w:val="24"/>
          <w:shd w:val="clear" w:color="auto" w:fill="FFFFFF"/>
        </w:rPr>
        <w:t>The Howard Journal of Criminal Justice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40</w:t>
      </w:r>
      <w:r>
        <w:rPr>
          <w:rFonts w:ascii="Times New Roman" w:hAnsi="Times New Roman" w:cs="Times New Roman"/>
          <w:color w:val="222222"/>
          <w:sz w:val="24"/>
          <w:szCs w:val="24"/>
          <w:shd w:val="clear" w:color="auto" w:fill="FFFFFF"/>
        </w:rPr>
        <w:t>(2), pp.114-125.</w:t>
      </w:r>
    </w:p>
    <w:p w14:paraId="4BD204EE" w14:textId="77777777" w:rsidR="00247AA4" w:rsidRDefault="00247AA4" w:rsidP="00B4588E">
      <w:pPr>
        <w:rPr>
          <w:rFonts w:ascii="Times New Roman" w:hAnsi="Times New Roman" w:cs="Times New Roman"/>
          <w:color w:val="222222"/>
          <w:sz w:val="24"/>
          <w:szCs w:val="24"/>
          <w:shd w:val="clear" w:color="auto" w:fill="FFFFFF"/>
        </w:rPr>
      </w:pPr>
    </w:p>
    <w:p w14:paraId="0763ED1F" w14:textId="35A9BD5A" w:rsidR="00B4588E" w:rsidRDefault="00B4588E" w:rsidP="00B4588E">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Verhage</w:t>
      </w:r>
      <w:proofErr w:type="spellEnd"/>
      <w:r>
        <w:rPr>
          <w:rFonts w:ascii="Times New Roman" w:hAnsi="Times New Roman" w:cs="Times New Roman"/>
          <w:color w:val="222222"/>
          <w:sz w:val="24"/>
          <w:szCs w:val="24"/>
          <w:shd w:val="clear" w:color="auto" w:fill="FFFFFF"/>
        </w:rPr>
        <w:t xml:space="preserve">, A., </w:t>
      </w:r>
      <w:proofErr w:type="spellStart"/>
      <w:r>
        <w:rPr>
          <w:rFonts w:ascii="Times New Roman" w:hAnsi="Times New Roman" w:cs="Times New Roman"/>
          <w:color w:val="222222"/>
          <w:sz w:val="24"/>
          <w:szCs w:val="24"/>
          <w:shd w:val="clear" w:color="auto" w:fill="FFFFFF"/>
        </w:rPr>
        <w:t>Noppe</w:t>
      </w:r>
      <w:proofErr w:type="spellEnd"/>
      <w:r>
        <w:rPr>
          <w:rFonts w:ascii="Times New Roman" w:hAnsi="Times New Roman" w:cs="Times New Roman"/>
          <w:color w:val="222222"/>
          <w:sz w:val="24"/>
          <w:szCs w:val="24"/>
          <w:shd w:val="clear" w:color="auto" w:fill="FFFFFF"/>
        </w:rPr>
        <w:t xml:space="preserve">, J., </w:t>
      </w:r>
      <w:proofErr w:type="spellStart"/>
      <w:r>
        <w:rPr>
          <w:rFonts w:ascii="Times New Roman" w:hAnsi="Times New Roman" w:cs="Times New Roman"/>
          <w:color w:val="222222"/>
          <w:sz w:val="24"/>
          <w:szCs w:val="24"/>
          <w:shd w:val="clear" w:color="auto" w:fill="FFFFFF"/>
        </w:rPr>
        <w:t>Feys</w:t>
      </w:r>
      <w:proofErr w:type="spellEnd"/>
      <w:r>
        <w:rPr>
          <w:rFonts w:ascii="Times New Roman" w:hAnsi="Times New Roman" w:cs="Times New Roman"/>
          <w:color w:val="222222"/>
          <w:sz w:val="24"/>
          <w:szCs w:val="24"/>
          <w:shd w:val="clear" w:color="auto" w:fill="FFFFFF"/>
        </w:rPr>
        <w:t xml:space="preserve">, Y. and </w:t>
      </w:r>
      <w:proofErr w:type="spellStart"/>
      <w:r>
        <w:rPr>
          <w:rFonts w:ascii="Times New Roman" w:hAnsi="Times New Roman" w:cs="Times New Roman"/>
          <w:color w:val="222222"/>
          <w:sz w:val="24"/>
          <w:szCs w:val="24"/>
          <w:shd w:val="clear" w:color="auto" w:fill="FFFFFF"/>
        </w:rPr>
        <w:t>Ledegen</w:t>
      </w:r>
      <w:proofErr w:type="spellEnd"/>
      <w:r>
        <w:rPr>
          <w:rFonts w:ascii="Times New Roman" w:hAnsi="Times New Roman" w:cs="Times New Roman"/>
          <w:color w:val="222222"/>
          <w:sz w:val="24"/>
          <w:szCs w:val="24"/>
          <w:shd w:val="clear" w:color="auto" w:fill="FFFFFF"/>
        </w:rPr>
        <w:t>, E., 2018. Force, stress, and decision-making within the Belgian police: the impact of stressful situations on police decision-making. </w:t>
      </w:r>
      <w:r>
        <w:rPr>
          <w:rFonts w:ascii="Times New Roman" w:hAnsi="Times New Roman" w:cs="Times New Roman"/>
          <w:i/>
          <w:iCs/>
          <w:color w:val="222222"/>
          <w:sz w:val="24"/>
          <w:szCs w:val="24"/>
          <w:shd w:val="clear" w:color="auto" w:fill="FFFFFF"/>
        </w:rPr>
        <w:t>Journal of Police and Criminal Psychology</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33</w:t>
      </w:r>
      <w:r>
        <w:rPr>
          <w:rFonts w:ascii="Times New Roman" w:hAnsi="Times New Roman" w:cs="Times New Roman"/>
          <w:color w:val="222222"/>
          <w:sz w:val="24"/>
          <w:szCs w:val="24"/>
          <w:shd w:val="clear" w:color="auto" w:fill="FFFFFF"/>
        </w:rPr>
        <w:t>(4), pp.345-357.</w:t>
      </w:r>
    </w:p>
    <w:p w14:paraId="6F729F1C" w14:textId="77777777" w:rsidR="00247AA4" w:rsidRDefault="00247AA4" w:rsidP="00B4588E">
      <w:pPr>
        <w:rPr>
          <w:rFonts w:ascii="Times New Roman" w:hAnsi="Times New Roman" w:cs="Times New Roman"/>
          <w:color w:val="222222"/>
          <w:sz w:val="24"/>
          <w:szCs w:val="24"/>
          <w:shd w:val="clear" w:color="auto" w:fill="FFFFFF"/>
        </w:rPr>
      </w:pPr>
    </w:p>
    <w:p w14:paraId="1F8C6527" w14:textId="584BCFE0" w:rsidR="00B4588E" w:rsidRDefault="00B4588E" w:rsidP="00B4588E">
      <w:pPr>
        <w:rPr>
          <w:rFonts w:ascii="Times New Roman" w:hAnsi="Times New Roman" w:cs="Times New Roman"/>
          <w:color w:val="auto"/>
          <w:sz w:val="24"/>
          <w:szCs w:val="24"/>
        </w:rPr>
      </w:pPr>
      <w:r>
        <w:rPr>
          <w:rFonts w:ascii="Times New Roman" w:hAnsi="Times New Roman" w:cs="Times New Roman"/>
          <w:color w:val="222222"/>
          <w:sz w:val="24"/>
          <w:szCs w:val="24"/>
          <w:shd w:val="clear" w:color="auto" w:fill="FFFFFF"/>
        </w:rPr>
        <w:t xml:space="preserve">Winterbottom, A., </w:t>
      </w:r>
      <w:proofErr w:type="spellStart"/>
      <w:r>
        <w:rPr>
          <w:rFonts w:ascii="Times New Roman" w:hAnsi="Times New Roman" w:cs="Times New Roman"/>
          <w:color w:val="222222"/>
          <w:sz w:val="24"/>
          <w:szCs w:val="24"/>
          <w:shd w:val="clear" w:color="auto" w:fill="FFFFFF"/>
        </w:rPr>
        <w:t>Bekker</w:t>
      </w:r>
      <w:proofErr w:type="spellEnd"/>
      <w:r>
        <w:rPr>
          <w:rFonts w:ascii="Times New Roman" w:hAnsi="Times New Roman" w:cs="Times New Roman"/>
          <w:color w:val="222222"/>
          <w:sz w:val="24"/>
          <w:szCs w:val="24"/>
          <w:shd w:val="clear" w:color="auto" w:fill="FFFFFF"/>
        </w:rPr>
        <w:t xml:space="preserve">, H.L., Conner, M. and Mooney, A., 2008. Does narrative information bias individual's decision </w:t>
      </w:r>
      <w:proofErr w:type="gramStart"/>
      <w:r>
        <w:rPr>
          <w:rFonts w:ascii="Times New Roman" w:hAnsi="Times New Roman" w:cs="Times New Roman"/>
          <w:color w:val="222222"/>
          <w:sz w:val="24"/>
          <w:szCs w:val="24"/>
          <w:shd w:val="clear" w:color="auto" w:fill="FFFFFF"/>
        </w:rPr>
        <w:t>making</w:t>
      </w:r>
      <w:proofErr w:type="gramEnd"/>
      <w:r>
        <w:rPr>
          <w:rFonts w:ascii="Times New Roman" w:hAnsi="Times New Roman" w:cs="Times New Roman"/>
          <w:color w:val="222222"/>
          <w:sz w:val="24"/>
          <w:szCs w:val="24"/>
          <w:shd w:val="clear" w:color="auto" w:fill="FFFFFF"/>
        </w:rPr>
        <w:t>? A systematic review. </w:t>
      </w:r>
      <w:r>
        <w:rPr>
          <w:rFonts w:ascii="Times New Roman" w:hAnsi="Times New Roman" w:cs="Times New Roman"/>
          <w:i/>
          <w:iCs/>
          <w:color w:val="222222"/>
          <w:sz w:val="24"/>
          <w:szCs w:val="24"/>
          <w:shd w:val="clear" w:color="auto" w:fill="FFFFFF"/>
        </w:rPr>
        <w:t>Social science &amp; medicine</w:t>
      </w:r>
      <w:r>
        <w:rPr>
          <w:rFonts w:ascii="Times New Roman" w:hAnsi="Times New Roman" w:cs="Times New Roman"/>
          <w:color w:val="222222"/>
          <w:sz w:val="24"/>
          <w:szCs w:val="24"/>
          <w:shd w:val="clear" w:color="auto" w:fill="FFFFFF"/>
        </w:rPr>
        <w:t>, </w:t>
      </w:r>
      <w:r>
        <w:rPr>
          <w:rFonts w:ascii="Times New Roman" w:hAnsi="Times New Roman" w:cs="Times New Roman"/>
          <w:i/>
          <w:iCs/>
          <w:color w:val="222222"/>
          <w:sz w:val="24"/>
          <w:szCs w:val="24"/>
          <w:shd w:val="clear" w:color="auto" w:fill="FFFFFF"/>
        </w:rPr>
        <w:t>67</w:t>
      </w:r>
      <w:r>
        <w:rPr>
          <w:rFonts w:ascii="Times New Roman" w:hAnsi="Times New Roman" w:cs="Times New Roman"/>
          <w:color w:val="222222"/>
          <w:sz w:val="24"/>
          <w:szCs w:val="24"/>
          <w:shd w:val="clear" w:color="auto" w:fill="FFFFFF"/>
        </w:rPr>
        <w:t>(12), pp.2079-2088.</w:t>
      </w:r>
    </w:p>
    <w:p w14:paraId="6811470E" w14:textId="77777777" w:rsidR="00B4588E" w:rsidRDefault="00B4588E" w:rsidP="00B4588E">
      <w:pPr>
        <w:rPr>
          <w:rFonts w:asciiTheme="minorHAnsi" w:hAnsiTheme="minorHAnsi" w:cstheme="minorBidi"/>
          <w:sz w:val="22"/>
          <w:szCs w:val="22"/>
        </w:rPr>
      </w:pPr>
    </w:p>
    <w:p w14:paraId="79DFE5A2" w14:textId="77777777" w:rsidR="00B4588E" w:rsidRDefault="00B4588E" w:rsidP="00B4588E"/>
    <w:p w14:paraId="1D797A3B" w14:textId="77777777" w:rsidR="00B4588E" w:rsidRPr="00270EEB" w:rsidRDefault="00B4588E" w:rsidP="00B4588E">
      <w:pPr>
        <w:ind w:right="107"/>
        <w:jc w:val="both"/>
        <w:rPr>
          <w:sz w:val="24"/>
          <w:szCs w:val="24"/>
        </w:rPr>
      </w:pPr>
    </w:p>
    <w:p w14:paraId="5852DF02" w14:textId="77777777" w:rsidR="00B4588E" w:rsidRPr="00270EEB" w:rsidRDefault="00B4588E" w:rsidP="00B4588E">
      <w:pPr>
        <w:ind w:right="107"/>
        <w:jc w:val="both"/>
        <w:rPr>
          <w:sz w:val="24"/>
          <w:szCs w:val="24"/>
        </w:rPr>
      </w:pPr>
    </w:p>
    <w:p w14:paraId="7E4224B1" w14:textId="77777777" w:rsidR="00B4588E" w:rsidRPr="00270EEB" w:rsidRDefault="00B4588E" w:rsidP="00B4588E">
      <w:pPr>
        <w:ind w:right="107"/>
        <w:jc w:val="both"/>
        <w:rPr>
          <w:sz w:val="24"/>
          <w:szCs w:val="24"/>
        </w:rPr>
      </w:pPr>
    </w:p>
    <w:p w14:paraId="4A8699C1" w14:textId="77777777" w:rsidR="00B4588E" w:rsidRPr="00270EEB" w:rsidRDefault="00B4588E" w:rsidP="00B4588E">
      <w:pPr>
        <w:ind w:right="107"/>
        <w:jc w:val="both"/>
        <w:rPr>
          <w:sz w:val="24"/>
          <w:szCs w:val="24"/>
        </w:rPr>
      </w:pPr>
    </w:p>
    <w:p w14:paraId="28C559E8" w14:textId="77777777" w:rsidR="00B4588E" w:rsidRPr="00270EEB" w:rsidRDefault="00B4588E" w:rsidP="00B4588E">
      <w:pPr>
        <w:ind w:right="107"/>
        <w:jc w:val="both"/>
        <w:rPr>
          <w:sz w:val="24"/>
          <w:szCs w:val="24"/>
        </w:rPr>
      </w:pPr>
    </w:p>
    <w:p w14:paraId="7B661F56" w14:textId="77777777" w:rsidR="0082334E" w:rsidRPr="0082334E" w:rsidRDefault="0082334E" w:rsidP="00957DDC">
      <w:pPr>
        <w:overflowPunct/>
        <w:autoSpaceDE/>
        <w:autoSpaceDN/>
        <w:adjustRightInd/>
        <w:ind w:right="107"/>
        <w:textAlignment w:val="auto"/>
        <w:rPr>
          <w:rFonts w:eastAsia="Calibri"/>
          <w:color w:val="222222"/>
          <w:shd w:val="clear" w:color="auto" w:fill="FFFFFF"/>
          <w:lang w:eastAsia="en-US"/>
        </w:rPr>
      </w:pPr>
    </w:p>
    <w:p w14:paraId="250CF227" w14:textId="2ADE1561" w:rsidR="006D4550" w:rsidRDefault="006D4550" w:rsidP="00957DDC">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4F695E4D" w:rsidR="28A9B94D" w:rsidRDefault="28A9B94D" w:rsidP="28A9B94D">
      <w:pPr>
        <w:jc w:val="both"/>
      </w:pPr>
      <w:r w:rsidRPr="2E5ED9CE">
        <w:rPr>
          <w:rFonts w:eastAsia="Arial"/>
          <w:sz w:val="24"/>
          <w:szCs w:val="24"/>
        </w:rPr>
        <w:t xml:space="preserve">Signed:  </w:t>
      </w:r>
      <w:r w:rsidR="00AA2F76">
        <w:rPr>
          <w:rFonts w:eastAsia="Arial"/>
          <w:sz w:val="24"/>
          <w:szCs w:val="24"/>
        </w:rPr>
        <w:t xml:space="preserve">Matthew Reynolds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10FB51E0" w:rsidR="28A9B94D" w:rsidRDefault="28A9B94D" w:rsidP="28A9B94D">
      <w:pPr>
        <w:jc w:val="both"/>
      </w:pPr>
      <w:r w:rsidRPr="28A9B94D">
        <w:rPr>
          <w:rFonts w:eastAsia="Arial"/>
          <w:sz w:val="24"/>
          <w:szCs w:val="24"/>
        </w:rPr>
        <w:t xml:space="preserve">Date: </w:t>
      </w:r>
      <w:r w:rsidR="00AA2F76">
        <w:rPr>
          <w:rFonts w:eastAsia="Arial"/>
          <w:sz w:val="24"/>
          <w:szCs w:val="24"/>
        </w:rPr>
        <w:t>10.10.2021</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67B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1E3C"/>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47AA4"/>
    <w:rsid w:val="0025394E"/>
    <w:rsid w:val="00255D8E"/>
    <w:rsid w:val="002657E9"/>
    <w:rsid w:val="00265DE8"/>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2032"/>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53FF"/>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0988"/>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334E"/>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57DDC"/>
    <w:rsid w:val="00964CC6"/>
    <w:rsid w:val="00991FDA"/>
    <w:rsid w:val="009927A1"/>
    <w:rsid w:val="00994466"/>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2F76"/>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B9C"/>
    <w:rsid w:val="00AF6CC6"/>
    <w:rsid w:val="00B0296A"/>
    <w:rsid w:val="00B03185"/>
    <w:rsid w:val="00B12295"/>
    <w:rsid w:val="00B137BE"/>
    <w:rsid w:val="00B17FA0"/>
    <w:rsid w:val="00B24344"/>
    <w:rsid w:val="00B26769"/>
    <w:rsid w:val="00B313D3"/>
    <w:rsid w:val="00B31C91"/>
    <w:rsid w:val="00B3747F"/>
    <w:rsid w:val="00B43194"/>
    <w:rsid w:val="00B4588E"/>
    <w:rsid w:val="00B47734"/>
    <w:rsid w:val="00B50FBA"/>
    <w:rsid w:val="00B558EB"/>
    <w:rsid w:val="00B577D3"/>
    <w:rsid w:val="00B60466"/>
    <w:rsid w:val="00B6548F"/>
    <w:rsid w:val="00B7502A"/>
    <w:rsid w:val="00B77305"/>
    <w:rsid w:val="00B82CC2"/>
    <w:rsid w:val="00B84A89"/>
    <w:rsid w:val="00B920C2"/>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024B"/>
    <w:rsid w:val="00CB143A"/>
    <w:rsid w:val="00CB258E"/>
    <w:rsid w:val="00CB3C8F"/>
    <w:rsid w:val="00CC02F1"/>
    <w:rsid w:val="00CC11A6"/>
    <w:rsid w:val="00CC135E"/>
    <w:rsid w:val="00CC4414"/>
    <w:rsid w:val="00CC5D73"/>
    <w:rsid w:val="00CD5D3F"/>
    <w:rsid w:val="00CF3DB3"/>
    <w:rsid w:val="00D052BC"/>
    <w:rsid w:val="00D07026"/>
    <w:rsid w:val="00D11888"/>
    <w:rsid w:val="00D22C8F"/>
    <w:rsid w:val="00D33491"/>
    <w:rsid w:val="00D41A93"/>
    <w:rsid w:val="00D44F8E"/>
    <w:rsid w:val="00D53DF5"/>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54F5"/>
    <w:rsid w:val="00EB62E6"/>
    <w:rsid w:val="00ED1B30"/>
    <w:rsid w:val="00ED250E"/>
    <w:rsid w:val="00ED6516"/>
    <w:rsid w:val="00EE1AC1"/>
    <w:rsid w:val="00EE39D6"/>
    <w:rsid w:val="00EE52AD"/>
    <w:rsid w:val="00F01F92"/>
    <w:rsid w:val="00F10A08"/>
    <w:rsid w:val="00F16D48"/>
    <w:rsid w:val="00F22AC5"/>
    <w:rsid w:val="00F254D1"/>
    <w:rsid w:val="00F32B82"/>
    <w:rsid w:val="00F4043E"/>
    <w:rsid w:val="00F41BBC"/>
    <w:rsid w:val="00F439D5"/>
    <w:rsid w:val="00F43B9D"/>
    <w:rsid w:val="00F43EEC"/>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247A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698933">
      <w:bodyDiv w:val="1"/>
      <w:marLeft w:val="0"/>
      <w:marRight w:val="0"/>
      <w:marTop w:val="0"/>
      <w:marBottom w:val="0"/>
      <w:divBdr>
        <w:top w:val="none" w:sz="0" w:space="0" w:color="auto"/>
        <w:left w:val="none" w:sz="0" w:space="0" w:color="auto"/>
        <w:bottom w:val="none" w:sz="0" w:space="0" w:color="auto"/>
        <w:right w:val="none" w:sz="0" w:space="0" w:color="auto"/>
      </w:divBdr>
    </w:div>
    <w:div w:id="801964864">
      <w:bodyDiv w:val="1"/>
      <w:marLeft w:val="0"/>
      <w:marRight w:val="0"/>
      <w:marTop w:val="0"/>
      <w:marBottom w:val="0"/>
      <w:divBdr>
        <w:top w:val="none" w:sz="0" w:space="0" w:color="auto"/>
        <w:left w:val="none" w:sz="0" w:space="0" w:color="auto"/>
        <w:bottom w:val="none" w:sz="0" w:space="0" w:color="auto"/>
        <w:right w:val="none" w:sz="0" w:space="0" w:color="auto"/>
      </w:divBdr>
    </w:div>
    <w:div w:id="109925626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7726994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gov.uk/domestic-violence-and-abus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5F3BAD13-5FD9-4105-B4EC-019AEA7AD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29</Pages>
  <Words>11301</Words>
  <Characters>61012</Characters>
  <Application>Microsoft Office Word</Application>
  <DocSecurity>0</DocSecurity>
  <Lines>508</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Reynolds,Matthew swp6846</cp:lastModifiedBy>
  <cp:revision>11</cp:revision>
  <cp:lastPrinted>2019-08-13T11:47:00Z</cp:lastPrinted>
  <dcterms:created xsi:type="dcterms:W3CDTF">2021-10-10T15:14:00Z</dcterms:created>
  <dcterms:modified xsi:type="dcterms:W3CDTF">2021-10-11T12:39:00Z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2021-10-10T12:52:53Z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47e2a306-b4cf-4116-aa67-183eda464a88</vt:lpwstr>
  </property>
  <property fmtid="{D5CDD505-2E9C-101B-9397-08002B2CF9AE}" pid="9" name="MSIP_Label_66cf8fe5-b7b7-4df7-b38d-1c61ac2f6639_ContentBits">
    <vt:lpwstr>0</vt:lpwstr>
  </property>
</Properties>
</file>