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3918B" w14:textId="77777777" w:rsidR="0027123C" w:rsidRPr="00721667" w:rsidRDefault="0027123C" w:rsidP="00721667">
      <w:pPr>
        <w:spacing w:before="100" w:beforeAutospacing="1" w:after="100" w:afterAutospacing="1" w:line="360" w:lineRule="auto"/>
        <w:jc w:val="center"/>
        <w:outlineLvl w:val="0"/>
        <w:rPr>
          <w:rFonts w:ascii="Arial" w:hAnsi="Arial" w:cs="Arial"/>
          <w:b/>
        </w:rPr>
      </w:pPr>
      <w:r w:rsidRPr="00721667">
        <w:rPr>
          <w:rFonts w:ascii="Arial" w:hAnsi="Arial" w:cs="Arial"/>
          <w:b/>
        </w:rPr>
        <w:t>Principles of Health and Social Care Practice</w:t>
      </w:r>
    </w:p>
    <w:p w14:paraId="3E737A81" w14:textId="77777777" w:rsidR="0027123C" w:rsidRPr="00721667" w:rsidRDefault="0027123C" w:rsidP="00721667">
      <w:pPr>
        <w:spacing w:before="100" w:beforeAutospacing="1" w:after="100" w:afterAutospacing="1" w:line="360" w:lineRule="auto"/>
        <w:jc w:val="center"/>
        <w:outlineLvl w:val="0"/>
        <w:rPr>
          <w:rFonts w:ascii="Arial" w:hAnsi="Arial" w:cs="Arial"/>
        </w:rPr>
      </w:pPr>
    </w:p>
    <w:p w14:paraId="6F2F8E1D" w14:textId="15B9E53B" w:rsidR="0027123C" w:rsidRPr="00721667" w:rsidRDefault="0027123C" w:rsidP="00721667">
      <w:pPr>
        <w:spacing w:before="100" w:beforeAutospacing="1" w:after="100" w:afterAutospacing="1" w:line="360" w:lineRule="auto"/>
        <w:jc w:val="center"/>
        <w:outlineLvl w:val="0"/>
        <w:rPr>
          <w:rFonts w:ascii="Arial" w:hAnsi="Arial" w:cs="Arial"/>
        </w:rPr>
      </w:pPr>
      <w:r w:rsidRPr="00721667">
        <w:rPr>
          <w:rFonts w:ascii="Arial" w:hAnsi="Arial" w:cs="Arial"/>
        </w:rPr>
        <w:t>Component 1</w:t>
      </w:r>
    </w:p>
    <w:p w14:paraId="0E6BD3EB" w14:textId="018CE137" w:rsidR="0027123C" w:rsidRDefault="005C3596" w:rsidP="00721667">
      <w:pPr>
        <w:spacing w:before="100" w:beforeAutospacing="1" w:after="100" w:afterAutospacing="1" w:line="360" w:lineRule="auto"/>
        <w:jc w:val="center"/>
        <w:outlineLvl w:val="0"/>
        <w:rPr>
          <w:rFonts w:ascii="Arial" w:eastAsia="Times New Roman" w:hAnsi="Arial" w:cs="Arial"/>
          <w:bCs/>
          <w:kern w:val="36"/>
        </w:rPr>
      </w:pPr>
      <w:r>
        <w:rPr>
          <w:rFonts w:ascii="Arial" w:eastAsia="Times New Roman" w:hAnsi="Arial" w:cs="Arial"/>
          <w:bCs/>
          <w:kern w:val="36"/>
        </w:rPr>
        <w:t>Shabana ali</w:t>
      </w:r>
    </w:p>
    <w:p w14:paraId="2647EF88" w14:textId="67654D5E" w:rsidR="005C3596" w:rsidRDefault="005C3596" w:rsidP="00721667">
      <w:pPr>
        <w:spacing w:before="100" w:beforeAutospacing="1" w:after="100" w:afterAutospacing="1" w:line="360" w:lineRule="auto"/>
        <w:jc w:val="center"/>
        <w:outlineLvl w:val="0"/>
        <w:rPr>
          <w:rFonts w:ascii="Arial" w:eastAsia="Times New Roman" w:hAnsi="Arial" w:cs="Arial"/>
          <w:bCs/>
          <w:kern w:val="36"/>
        </w:rPr>
      </w:pPr>
      <w:r>
        <w:rPr>
          <w:rFonts w:ascii="Arial" w:eastAsia="Times New Roman" w:hAnsi="Arial" w:cs="Arial"/>
          <w:bCs/>
          <w:kern w:val="36"/>
        </w:rPr>
        <w:t>2326747</w:t>
      </w:r>
    </w:p>
    <w:p w14:paraId="618144EE" w14:textId="06829CE3" w:rsidR="005C3596" w:rsidRPr="00721667" w:rsidRDefault="005C3596" w:rsidP="00721667">
      <w:pPr>
        <w:spacing w:before="100" w:beforeAutospacing="1" w:after="100" w:afterAutospacing="1" w:line="360" w:lineRule="auto"/>
        <w:jc w:val="center"/>
        <w:outlineLvl w:val="0"/>
        <w:rPr>
          <w:rFonts w:ascii="Arial" w:eastAsia="Times New Roman" w:hAnsi="Arial" w:cs="Arial"/>
          <w:bCs/>
          <w:kern w:val="36"/>
        </w:rPr>
      </w:pPr>
      <w:r>
        <w:rPr>
          <w:rFonts w:ascii="Arial" w:eastAsia="Times New Roman" w:hAnsi="Arial" w:cs="Arial"/>
          <w:bCs/>
          <w:kern w:val="36"/>
        </w:rPr>
        <w:t>BMHP5016</w:t>
      </w:r>
    </w:p>
    <w:p w14:paraId="6421CE97" w14:textId="77777777" w:rsidR="0027123C" w:rsidRPr="00721667" w:rsidRDefault="0027123C" w:rsidP="00721667">
      <w:pPr>
        <w:spacing w:line="360" w:lineRule="auto"/>
        <w:rPr>
          <w:rFonts w:ascii="Arial" w:hAnsi="Arial" w:cs="Arial"/>
          <w:b/>
        </w:rPr>
      </w:pPr>
    </w:p>
    <w:p w14:paraId="7FFF642C" w14:textId="77777777" w:rsidR="0027123C" w:rsidRPr="00721667" w:rsidRDefault="0027123C" w:rsidP="00721667">
      <w:pPr>
        <w:spacing w:line="360" w:lineRule="auto"/>
        <w:rPr>
          <w:rFonts w:ascii="Arial" w:hAnsi="Arial" w:cs="Arial"/>
          <w:b/>
        </w:rPr>
      </w:pPr>
      <w:r w:rsidRPr="00721667">
        <w:rPr>
          <w:rFonts w:ascii="Arial" w:hAnsi="Arial" w:cs="Arial"/>
          <w:b/>
        </w:rPr>
        <w:br w:type="page"/>
      </w:r>
    </w:p>
    <w:p w14:paraId="03B2ECB7" w14:textId="77777777" w:rsidR="009E3129" w:rsidRPr="00721667" w:rsidRDefault="009E3129" w:rsidP="00721667">
      <w:pPr>
        <w:spacing w:line="360" w:lineRule="auto"/>
        <w:rPr>
          <w:rFonts w:ascii="Arial" w:hAnsi="Arial" w:cs="Arial"/>
          <w:b/>
        </w:rPr>
      </w:pPr>
      <w:r w:rsidRPr="00721667">
        <w:rPr>
          <w:rFonts w:ascii="Arial" w:hAnsi="Arial" w:cs="Arial"/>
          <w:b/>
        </w:rPr>
        <w:lastRenderedPageBreak/>
        <w:t>Introduction</w:t>
      </w:r>
    </w:p>
    <w:p w14:paraId="022FDE5C" w14:textId="77777777" w:rsidR="009E3129" w:rsidRPr="00721667" w:rsidRDefault="009E3129" w:rsidP="00721667">
      <w:pPr>
        <w:spacing w:line="360" w:lineRule="auto"/>
        <w:rPr>
          <w:rFonts w:ascii="Arial" w:hAnsi="Arial" w:cs="Arial"/>
        </w:rPr>
      </w:pPr>
      <w:r w:rsidRPr="00721667">
        <w:rPr>
          <w:rFonts w:ascii="Arial" w:hAnsi="Arial" w:cs="Arial"/>
        </w:rPr>
        <w:t xml:space="preserve">Provision of effective health and social care is dependent on the capability of </w:t>
      </w:r>
      <w:proofErr w:type="spellStart"/>
      <w:r w:rsidRPr="00721667">
        <w:rPr>
          <w:rFonts w:ascii="Arial" w:hAnsi="Arial" w:cs="Arial"/>
        </w:rPr>
        <w:t>organisations</w:t>
      </w:r>
      <w:proofErr w:type="spellEnd"/>
      <w:r w:rsidRPr="00721667">
        <w:rPr>
          <w:rFonts w:ascii="Arial" w:hAnsi="Arial" w:cs="Arial"/>
        </w:rPr>
        <w:t xml:space="preserve"> to plan and adopt policies that promote safe, coordinated and person </w:t>
      </w:r>
      <w:proofErr w:type="spellStart"/>
      <w:r w:rsidRPr="00721667">
        <w:rPr>
          <w:rFonts w:ascii="Arial" w:hAnsi="Arial" w:cs="Arial"/>
        </w:rPr>
        <w:t>centred</w:t>
      </w:r>
      <w:proofErr w:type="spellEnd"/>
      <w:r w:rsidRPr="00721667">
        <w:rPr>
          <w:rFonts w:ascii="Arial" w:hAnsi="Arial" w:cs="Arial"/>
        </w:rPr>
        <w:t xml:space="preserve"> services. Safe discharge of patients out of the hospital into the community is one of the most chronic challenges in community NHS Trusts. The improperly conducted discharge processes may contribute to such negative consequences as readmissions, patient distress, and avoidable harm. This is not a clinical and social issue alone but also an </w:t>
      </w:r>
      <w:proofErr w:type="spellStart"/>
      <w:r w:rsidRPr="00721667">
        <w:rPr>
          <w:rFonts w:ascii="Arial" w:hAnsi="Arial" w:cs="Arial"/>
        </w:rPr>
        <w:t>organisational</w:t>
      </w:r>
      <w:proofErr w:type="spellEnd"/>
      <w:r w:rsidRPr="00721667">
        <w:rPr>
          <w:rFonts w:ascii="Arial" w:hAnsi="Arial" w:cs="Arial"/>
        </w:rPr>
        <w:t xml:space="preserve"> policy issue, which demonstrates the integration of systems, staff, and stakeholders.</w:t>
      </w:r>
    </w:p>
    <w:p w14:paraId="0172138B" w14:textId="77777777" w:rsidR="00B805AB" w:rsidRPr="00721667" w:rsidRDefault="009E3129" w:rsidP="00721667">
      <w:pPr>
        <w:spacing w:line="360" w:lineRule="auto"/>
        <w:rPr>
          <w:rFonts w:ascii="Arial" w:hAnsi="Arial" w:cs="Arial"/>
        </w:rPr>
      </w:pPr>
      <w:r w:rsidRPr="00721667">
        <w:rPr>
          <w:rFonts w:ascii="Arial" w:hAnsi="Arial" w:cs="Arial"/>
        </w:rPr>
        <w:t xml:space="preserve">This guidance paper will set out to offer operational guidelines on how to reinforce hospital discharge policy in a community NHS Trust that liaises with local authorities, and voluntary </w:t>
      </w:r>
      <w:proofErr w:type="spellStart"/>
      <w:r w:rsidRPr="00721667">
        <w:rPr>
          <w:rFonts w:ascii="Arial" w:hAnsi="Arial" w:cs="Arial"/>
        </w:rPr>
        <w:t>organisations</w:t>
      </w:r>
      <w:proofErr w:type="spellEnd"/>
      <w:r w:rsidRPr="00721667">
        <w:rPr>
          <w:rFonts w:ascii="Arial" w:hAnsi="Arial" w:cs="Arial"/>
        </w:rPr>
        <w:t xml:space="preserve">. It defines the policy issue of inconsistent and unsafe discharge procedures and discusses theoretical models that can be used to enhance the situation and provides action steps that should be taken by professionals and stakeholders. In aid of legislation, including the Care Act 2014 and the Health and Care Act 2022, will be mentioned where it is relevant, but the focus will mainly be on </w:t>
      </w:r>
      <w:proofErr w:type="spellStart"/>
      <w:r w:rsidRPr="00721667">
        <w:rPr>
          <w:rFonts w:ascii="Arial" w:hAnsi="Arial" w:cs="Arial"/>
        </w:rPr>
        <w:t>organisational</w:t>
      </w:r>
      <w:proofErr w:type="spellEnd"/>
      <w:r w:rsidRPr="00721667">
        <w:rPr>
          <w:rFonts w:ascii="Arial" w:hAnsi="Arial" w:cs="Arial"/>
        </w:rPr>
        <w:t xml:space="preserve"> practice</w:t>
      </w:r>
      <w:r w:rsidR="008A25D4" w:rsidRPr="00721667">
        <w:rPr>
          <w:rFonts w:ascii="Arial" w:hAnsi="Arial" w:cs="Arial"/>
        </w:rPr>
        <w:t xml:space="preserve"> </w:t>
      </w:r>
      <w:r w:rsidR="008A25D4" w:rsidRPr="00721667">
        <w:rPr>
          <w:rFonts w:ascii="Arial" w:hAnsi="Arial" w:cs="Arial"/>
          <w:color w:val="222222"/>
          <w:shd w:val="clear" w:color="auto" w:fill="FFFFFF"/>
        </w:rPr>
        <w:t>(UN Human Rights, 2023)</w:t>
      </w:r>
      <w:r w:rsidRPr="00721667">
        <w:rPr>
          <w:rFonts w:ascii="Arial" w:hAnsi="Arial" w:cs="Arial"/>
        </w:rPr>
        <w:t>. Lastly, the document gives the methods of assessing the effectiveness of these changes to be able to sustain positive changes on patient care.</w:t>
      </w:r>
    </w:p>
    <w:p w14:paraId="10645DBE" w14:textId="77777777" w:rsidR="009E3129" w:rsidRPr="00721667" w:rsidRDefault="009E3129" w:rsidP="00721667">
      <w:pPr>
        <w:spacing w:line="360" w:lineRule="auto"/>
        <w:rPr>
          <w:rFonts w:ascii="Arial" w:hAnsi="Arial" w:cs="Arial"/>
          <w:b/>
        </w:rPr>
      </w:pPr>
      <w:proofErr w:type="spellStart"/>
      <w:r w:rsidRPr="00721667">
        <w:rPr>
          <w:rFonts w:ascii="Arial" w:hAnsi="Arial" w:cs="Arial"/>
          <w:b/>
        </w:rPr>
        <w:t>Organisational</w:t>
      </w:r>
      <w:proofErr w:type="spellEnd"/>
      <w:r w:rsidRPr="00721667">
        <w:rPr>
          <w:rFonts w:ascii="Arial" w:hAnsi="Arial" w:cs="Arial"/>
          <w:b/>
        </w:rPr>
        <w:t xml:space="preserve"> Environment Community NHS Trust and Hospital Discharge Policy</w:t>
      </w:r>
    </w:p>
    <w:p w14:paraId="756D0CDE" w14:textId="77777777" w:rsidR="00EB04D2" w:rsidRPr="00721667" w:rsidRDefault="00EB04D2" w:rsidP="00721667">
      <w:pPr>
        <w:spacing w:line="360" w:lineRule="auto"/>
        <w:rPr>
          <w:rFonts w:ascii="Arial" w:hAnsi="Arial" w:cs="Arial"/>
        </w:rPr>
      </w:pPr>
      <w:r w:rsidRPr="00721667">
        <w:rPr>
          <w:rFonts w:ascii="Arial" w:hAnsi="Arial" w:cs="Arial"/>
        </w:rPr>
        <w:t>This advice is applicable to a medium sized Community NHS Trust providing the adult services in the form of district nursing services, rehabilitation services, mental health services, safeguarding services, and discharge coordination services</w:t>
      </w:r>
      <w:r w:rsidR="008A25D4" w:rsidRPr="00721667">
        <w:rPr>
          <w:rFonts w:ascii="Arial" w:hAnsi="Arial" w:cs="Arial"/>
        </w:rPr>
        <w:t xml:space="preserve"> (</w:t>
      </w:r>
      <w:r w:rsidR="008A25D4" w:rsidRPr="00721667">
        <w:rPr>
          <w:rFonts w:ascii="Arial" w:hAnsi="Arial" w:cs="Arial"/>
          <w:color w:val="222222"/>
          <w:shd w:val="clear" w:color="auto" w:fill="FFFFFF"/>
        </w:rPr>
        <w:t>UK, 2022)</w:t>
      </w:r>
      <w:r w:rsidRPr="00721667">
        <w:rPr>
          <w:rFonts w:ascii="Arial" w:hAnsi="Arial" w:cs="Arial"/>
        </w:rPr>
        <w:t xml:space="preserve">. The Trust collaborates with the local authorities, voluntary </w:t>
      </w:r>
      <w:proofErr w:type="spellStart"/>
      <w:r w:rsidRPr="00721667">
        <w:rPr>
          <w:rFonts w:ascii="Arial" w:hAnsi="Arial" w:cs="Arial"/>
        </w:rPr>
        <w:t>organisations</w:t>
      </w:r>
      <w:proofErr w:type="spellEnd"/>
      <w:r w:rsidRPr="00721667">
        <w:rPr>
          <w:rFonts w:ascii="Arial" w:hAnsi="Arial" w:cs="Arial"/>
        </w:rPr>
        <w:t>, and hospitals in order to handle safe transfers of patients to the community.</w:t>
      </w:r>
    </w:p>
    <w:p w14:paraId="73939F55" w14:textId="77777777" w:rsidR="00EB04D2" w:rsidRPr="00721667" w:rsidRDefault="00EB04D2" w:rsidP="00721667">
      <w:pPr>
        <w:pStyle w:val="ListParagraph"/>
        <w:numPr>
          <w:ilvl w:val="0"/>
          <w:numId w:val="11"/>
        </w:numPr>
        <w:spacing w:line="360" w:lineRule="auto"/>
        <w:rPr>
          <w:rFonts w:ascii="Arial" w:hAnsi="Arial" w:cs="Arial"/>
        </w:rPr>
      </w:pPr>
      <w:r w:rsidRPr="00721667">
        <w:rPr>
          <w:rFonts w:ascii="Arial" w:hAnsi="Arial" w:cs="Arial"/>
          <w:b/>
        </w:rPr>
        <w:t>Policy issue</w:t>
      </w:r>
    </w:p>
    <w:p w14:paraId="01546782" w14:textId="77777777" w:rsidR="00EB04D2" w:rsidRPr="00721667" w:rsidRDefault="00EB04D2" w:rsidP="00721667">
      <w:pPr>
        <w:spacing w:line="360" w:lineRule="auto"/>
        <w:rPr>
          <w:rFonts w:ascii="Arial" w:hAnsi="Arial" w:cs="Arial"/>
        </w:rPr>
      </w:pPr>
      <w:r w:rsidRPr="00721667">
        <w:rPr>
          <w:rFonts w:ascii="Arial" w:hAnsi="Arial" w:cs="Arial"/>
        </w:rPr>
        <w:t xml:space="preserve">Practices of discharge are not consistent. Issues such as late or incomplete summaries, poor medication checks, minimal notice to community team, poor carer engagement, </w:t>
      </w:r>
      <w:r w:rsidR="008A25D4" w:rsidRPr="00721667">
        <w:rPr>
          <w:rFonts w:ascii="Arial" w:hAnsi="Arial" w:cs="Arial"/>
        </w:rPr>
        <w:t>and delay</w:t>
      </w:r>
      <w:r w:rsidRPr="00721667">
        <w:rPr>
          <w:rFonts w:ascii="Arial" w:hAnsi="Arial" w:cs="Arial"/>
        </w:rPr>
        <w:t xml:space="preserve"> in equipment or home adaptations arrangements are included</w:t>
      </w:r>
      <w:r w:rsidR="008A25D4" w:rsidRPr="00721667">
        <w:rPr>
          <w:rFonts w:ascii="Arial" w:hAnsi="Arial" w:cs="Arial"/>
        </w:rPr>
        <w:t xml:space="preserve"> (</w:t>
      </w:r>
      <w:proofErr w:type="spellStart"/>
      <w:r w:rsidR="008A25D4" w:rsidRPr="00721667">
        <w:rPr>
          <w:rFonts w:ascii="Arial" w:hAnsi="Arial" w:cs="Arial"/>
          <w:color w:val="222222"/>
          <w:shd w:val="clear" w:color="auto" w:fill="FFFFFF"/>
        </w:rPr>
        <w:t>Omonaiye</w:t>
      </w:r>
      <w:proofErr w:type="spellEnd"/>
      <w:r w:rsidR="008A25D4" w:rsidRPr="00721667">
        <w:rPr>
          <w:rFonts w:ascii="Arial" w:hAnsi="Arial" w:cs="Arial"/>
          <w:color w:val="222222"/>
          <w:shd w:val="clear" w:color="auto" w:fill="FFFFFF"/>
        </w:rPr>
        <w:t xml:space="preserve"> et al., 2024, p.e0308042)</w:t>
      </w:r>
      <w:r w:rsidRPr="00721667">
        <w:rPr>
          <w:rFonts w:ascii="Arial" w:hAnsi="Arial" w:cs="Arial"/>
        </w:rPr>
        <w:t xml:space="preserve">. These loopholes are causing </w:t>
      </w:r>
      <w:r w:rsidR="00721667">
        <w:rPr>
          <w:rFonts w:ascii="Arial" w:hAnsi="Arial" w:cs="Arial"/>
        </w:rPr>
        <w:t>unsafe discharges, re-</w:t>
      </w:r>
      <w:proofErr w:type="spellStart"/>
      <w:r w:rsidR="00721667">
        <w:rPr>
          <w:rFonts w:ascii="Arial" w:hAnsi="Arial" w:cs="Arial"/>
        </w:rPr>
        <w:t>hospitalis</w:t>
      </w:r>
      <w:r w:rsidRPr="00721667">
        <w:rPr>
          <w:rFonts w:ascii="Arial" w:hAnsi="Arial" w:cs="Arial"/>
        </w:rPr>
        <w:t>ation</w:t>
      </w:r>
      <w:proofErr w:type="spellEnd"/>
      <w:r w:rsidRPr="00721667">
        <w:rPr>
          <w:rFonts w:ascii="Arial" w:hAnsi="Arial" w:cs="Arial"/>
        </w:rPr>
        <w:t xml:space="preserve"> and additional burden on carers and acute services.</w:t>
      </w:r>
    </w:p>
    <w:p w14:paraId="1E13A1CC" w14:textId="77777777" w:rsidR="00EB04D2" w:rsidRPr="00721667" w:rsidRDefault="00EB04D2" w:rsidP="00721667">
      <w:pPr>
        <w:pStyle w:val="ListParagraph"/>
        <w:numPr>
          <w:ilvl w:val="0"/>
          <w:numId w:val="11"/>
        </w:numPr>
        <w:spacing w:line="360" w:lineRule="auto"/>
        <w:rPr>
          <w:rFonts w:ascii="Arial" w:hAnsi="Arial" w:cs="Arial"/>
          <w:b/>
        </w:rPr>
      </w:pPr>
      <w:r w:rsidRPr="00721667">
        <w:rPr>
          <w:rFonts w:ascii="Arial" w:hAnsi="Arial" w:cs="Arial"/>
          <w:b/>
        </w:rPr>
        <w:t xml:space="preserve">Why </w:t>
      </w:r>
      <w:proofErr w:type="spellStart"/>
      <w:r w:rsidRPr="00721667">
        <w:rPr>
          <w:rFonts w:ascii="Arial" w:hAnsi="Arial" w:cs="Arial"/>
          <w:b/>
        </w:rPr>
        <w:t>organisational</w:t>
      </w:r>
      <w:proofErr w:type="spellEnd"/>
      <w:r w:rsidRPr="00721667">
        <w:rPr>
          <w:rFonts w:ascii="Arial" w:hAnsi="Arial" w:cs="Arial"/>
          <w:b/>
        </w:rPr>
        <w:t xml:space="preserve"> </w:t>
      </w:r>
    </w:p>
    <w:p w14:paraId="7232D218" w14:textId="77777777" w:rsidR="00EB04D2" w:rsidRPr="00721667" w:rsidRDefault="00EB04D2" w:rsidP="00721667">
      <w:pPr>
        <w:spacing w:line="360" w:lineRule="auto"/>
        <w:rPr>
          <w:rFonts w:ascii="Arial" w:hAnsi="Arial" w:cs="Arial"/>
        </w:rPr>
      </w:pPr>
      <w:r w:rsidRPr="00721667">
        <w:rPr>
          <w:rFonts w:ascii="Arial" w:hAnsi="Arial" w:cs="Arial"/>
        </w:rPr>
        <w:lastRenderedPageBreak/>
        <w:t>Although the failures are local (poor communication, lack of training, and weak escalation) and legislation establishes national responsibilities, national duties have not been met</w:t>
      </w:r>
      <w:r w:rsidR="008A25D4" w:rsidRPr="00721667">
        <w:rPr>
          <w:rFonts w:ascii="Arial" w:hAnsi="Arial" w:cs="Arial"/>
        </w:rPr>
        <w:t xml:space="preserve"> (</w:t>
      </w:r>
      <w:proofErr w:type="spellStart"/>
      <w:r w:rsidR="008A25D4" w:rsidRPr="00721667">
        <w:rPr>
          <w:rFonts w:ascii="Arial" w:hAnsi="Arial" w:cs="Arial"/>
          <w:color w:val="222222"/>
          <w:shd w:val="clear" w:color="auto" w:fill="FFFFFF"/>
        </w:rPr>
        <w:t>Mwilongo</w:t>
      </w:r>
      <w:proofErr w:type="spellEnd"/>
      <w:r w:rsidR="008A25D4" w:rsidRPr="00721667">
        <w:rPr>
          <w:rFonts w:ascii="Arial" w:hAnsi="Arial" w:cs="Arial"/>
          <w:color w:val="222222"/>
          <w:shd w:val="clear" w:color="auto" w:fill="FFFFFF"/>
        </w:rPr>
        <w:t xml:space="preserve"> et al., 2025, pp.19-35)</w:t>
      </w:r>
      <w:r w:rsidRPr="00721667">
        <w:rPr>
          <w:rFonts w:ascii="Arial" w:hAnsi="Arial" w:cs="Arial"/>
        </w:rPr>
        <w:t xml:space="preserve">. It is important to enforce internal policy of the Trust with a clear division of roles, </w:t>
      </w:r>
      <w:proofErr w:type="spellStart"/>
      <w:r w:rsidRPr="00721667">
        <w:rPr>
          <w:rFonts w:ascii="Arial" w:hAnsi="Arial" w:cs="Arial"/>
        </w:rPr>
        <w:t>standardised</w:t>
      </w:r>
      <w:proofErr w:type="spellEnd"/>
      <w:r w:rsidRPr="00721667">
        <w:rPr>
          <w:rFonts w:ascii="Arial" w:hAnsi="Arial" w:cs="Arial"/>
        </w:rPr>
        <w:t xml:space="preserve"> documentation and performance monitoring.</w:t>
      </w:r>
    </w:p>
    <w:p w14:paraId="22B2D6E6" w14:textId="77777777" w:rsidR="009E3129" w:rsidRPr="00721667" w:rsidRDefault="009E3129" w:rsidP="00721667">
      <w:pPr>
        <w:pStyle w:val="ListParagraph"/>
        <w:numPr>
          <w:ilvl w:val="0"/>
          <w:numId w:val="11"/>
        </w:numPr>
        <w:spacing w:line="360" w:lineRule="auto"/>
        <w:rPr>
          <w:rFonts w:ascii="Arial" w:hAnsi="Arial" w:cs="Arial"/>
        </w:rPr>
      </w:pPr>
      <w:r w:rsidRPr="00721667">
        <w:rPr>
          <w:rFonts w:ascii="Arial" w:hAnsi="Arial" w:cs="Arial"/>
          <w:b/>
        </w:rPr>
        <w:t>Implications on staff in practice</w:t>
      </w:r>
    </w:p>
    <w:p w14:paraId="41EAEE47" w14:textId="77777777" w:rsidR="009E3129" w:rsidRPr="00721667" w:rsidRDefault="009E3129" w:rsidP="00721667">
      <w:pPr>
        <w:spacing w:line="360" w:lineRule="auto"/>
        <w:rPr>
          <w:rFonts w:ascii="Arial" w:hAnsi="Arial" w:cs="Arial"/>
        </w:rPr>
      </w:pPr>
      <w:r w:rsidRPr="00721667">
        <w:rPr>
          <w:rFonts w:ascii="Arial" w:hAnsi="Arial" w:cs="Arial"/>
        </w:rPr>
        <w:t>An enhanced policy should give consistent directions on the frontline employees. This should include:</w:t>
      </w:r>
    </w:p>
    <w:p w14:paraId="6CC3E086" w14:textId="77777777" w:rsidR="009E3129" w:rsidRPr="00721667" w:rsidRDefault="009E3129" w:rsidP="00721667">
      <w:pPr>
        <w:pStyle w:val="ListParagraph"/>
        <w:numPr>
          <w:ilvl w:val="0"/>
          <w:numId w:val="2"/>
        </w:numPr>
        <w:spacing w:line="360" w:lineRule="auto"/>
        <w:rPr>
          <w:rFonts w:ascii="Arial" w:hAnsi="Arial" w:cs="Arial"/>
        </w:rPr>
      </w:pPr>
      <w:r w:rsidRPr="00721667">
        <w:rPr>
          <w:rFonts w:ascii="Arial" w:hAnsi="Arial" w:cs="Arial"/>
        </w:rPr>
        <w:t>Planned discharge preparedness standards to see to it that the patients are socially and clinically ready to leave the hospital.</w:t>
      </w:r>
    </w:p>
    <w:p w14:paraId="31896081" w14:textId="77777777" w:rsidR="009E3129" w:rsidRPr="00721667" w:rsidRDefault="009E3129" w:rsidP="00721667">
      <w:pPr>
        <w:pStyle w:val="ListParagraph"/>
        <w:numPr>
          <w:ilvl w:val="0"/>
          <w:numId w:val="2"/>
        </w:numPr>
        <w:spacing w:line="360" w:lineRule="auto"/>
        <w:rPr>
          <w:rFonts w:ascii="Arial" w:hAnsi="Arial" w:cs="Arial"/>
        </w:rPr>
      </w:pPr>
      <w:r w:rsidRPr="00721667">
        <w:rPr>
          <w:rFonts w:ascii="Arial" w:hAnsi="Arial" w:cs="Arial"/>
        </w:rPr>
        <w:t xml:space="preserve">A list of required information in </w:t>
      </w:r>
      <w:proofErr w:type="spellStart"/>
      <w:r w:rsidRPr="00721667">
        <w:rPr>
          <w:rFonts w:ascii="Arial" w:hAnsi="Arial" w:cs="Arial"/>
        </w:rPr>
        <w:t>standardised</w:t>
      </w:r>
      <w:proofErr w:type="spellEnd"/>
      <w:r w:rsidRPr="00721667">
        <w:rPr>
          <w:rFonts w:ascii="Arial" w:hAnsi="Arial" w:cs="Arial"/>
        </w:rPr>
        <w:t xml:space="preserve"> checklist.</w:t>
      </w:r>
    </w:p>
    <w:p w14:paraId="7E47F706" w14:textId="77777777" w:rsidR="009E3129" w:rsidRPr="00721667" w:rsidRDefault="009E3129" w:rsidP="00721667">
      <w:pPr>
        <w:pStyle w:val="ListParagraph"/>
        <w:numPr>
          <w:ilvl w:val="0"/>
          <w:numId w:val="2"/>
        </w:numPr>
        <w:spacing w:line="360" w:lineRule="auto"/>
        <w:rPr>
          <w:rFonts w:ascii="Arial" w:hAnsi="Arial" w:cs="Arial"/>
        </w:rPr>
      </w:pPr>
      <w:r w:rsidRPr="00721667">
        <w:rPr>
          <w:rFonts w:ascii="Arial" w:hAnsi="Arial" w:cs="Arial"/>
        </w:rPr>
        <w:t>Each patient would be assigned a named discharge coordinator, who would be held accountable and continuity ensured.</w:t>
      </w:r>
    </w:p>
    <w:p w14:paraId="29DC89EE" w14:textId="77777777" w:rsidR="009E3129" w:rsidRPr="00721667" w:rsidRDefault="009E3129" w:rsidP="00721667">
      <w:pPr>
        <w:pStyle w:val="ListParagraph"/>
        <w:numPr>
          <w:ilvl w:val="0"/>
          <w:numId w:val="2"/>
        </w:numPr>
        <w:spacing w:line="360" w:lineRule="auto"/>
        <w:rPr>
          <w:rFonts w:ascii="Arial" w:hAnsi="Arial" w:cs="Arial"/>
        </w:rPr>
      </w:pPr>
      <w:r w:rsidRPr="00721667">
        <w:rPr>
          <w:rFonts w:ascii="Arial" w:hAnsi="Arial" w:cs="Arial"/>
        </w:rPr>
        <w:t>A notice period to allow the community teams t</w:t>
      </w:r>
      <w:r w:rsidR="00721667">
        <w:rPr>
          <w:rFonts w:ascii="Arial" w:hAnsi="Arial" w:cs="Arial"/>
        </w:rPr>
        <w:t xml:space="preserve">o </w:t>
      </w:r>
      <w:proofErr w:type="spellStart"/>
      <w:r w:rsidR="00721667">
        <w:rPr>
          <w:rFonts w:ascii="Arial" w:hAnsi="Arial" w:cs="Arial"/>
        </w:rPr>
        <w:t>organis</w:t>
      </w:r>
      <w:r w:rsidRPr="00721667">
        <w:rPr>
          <w:rFonts w:ascii="Arial" w:hAnsi="Arial" w:cs="Arial"/>
        </w:rPr>
        <w:t>e</w:t>
      </w:r>
      <w:proofErr w:type="spellEnd"/>
      <w:r w:rsidRPr="00721667">
        <w:rPr>
          <w:rFonts w:ascii="Arial" w:hAnsi="Arial" w:cs="Arial"/>
        </w:rPr>
        <w:t xml:space="preserve"> post discharge care.</w:t>
      </w:r>
    </w:p>
    <w:p w14:paraId="0CA446E8" w14:textId="77777777" w:rsidR="009E3129" w:rsidRPr="00721667" w:rsidRDefault="009E3129" w:rsidP="00721667">
      <w:pPr>
        <w:pStyle w:val="ListParagraph"/>
        <w:numPr>
          <w:ilvl w:val="0"/>
          <w:numId w:val="2"/>
        </w:numPr>
        <w:spacing w:line="360" w:lineRule="auto"/>
        <w:rPr>
          <w:rFonts w:ascii="Arial" w:hAnsi="Arial" w:cs="Arial"/>
        </w:rPr>
      </w:pPr>
      <w:r w:rsidRPr="00721667">
        <w:rPr>
          <w:rFonts w:ascii="Arial" w:hAnsi="Arial" w:cs="Arial"/>
        </w:rPr>
        <w:t>Patient and carer formal engagement in the planning, education, and decision-making.</w:t>
      </w:r>
    </w:p>
    <w:p w14:paraId="1540E4C9" w14:textId="77777777" w:rsidR="009E3129" w:rsidRPr="00721667" w:rsidRDefault="009E3129" w:rsidP="00721667">
      <w:pPr>
        <w:pStyle w:val="ListParagraph"/>
        <w:numPr>
          <w:ilvl w:val="0"/>
          <w:numId w:val="2"/>
        </w:numPr>
        <w:spacing w:line="360" w:lineRule="auto"/>
        <w:rPr>
          <w:rFonts w:ascii="Arial" w:hAnsi="Arial" w:cs="Arial"/>
        </w:rPr>
      </w:pPr>
      <w:r w:rsidRPr="00721667">
        <w:rPr>
          <w:rFonts w:ascii="Arial" w:hAnsi="Arial" w:cs="Arial"/>
        </w:rPr>
        <w:t>Established steps of escalation in complicated situations, and contingency plans in the cases, in which safe community suppo</w:t>
      </w:r>
      <w:r w:rsidR="00721667">
        <w:rPr>
          <w:rFonts w:ascii="Arial" w:hAnsi="Arial" w:cs="Arial"/>
        </w:rPr>
        <w:t xml:space="preserve">rt is not possible to </w:t>
      </w:r>
      <w:proofErr w:type="spellStart"/>
      <w:r w:rsidR="00721667">
        <w:rPr>
          <w:rFonts w:ascii="Arial" w:hAnsi="Arial" w:cs="Arial"/>
        </w:rPr>
        <w:t>organis</w:t>
      </w:r>
      <w:r w:rsidRPr="00721667">
        <w:rPr>
          <w:rFonts w:ascii="Arial" w:hAnsi="Arial" w:cs="Arial"/>
        </w:rPr>
        <w:t>e</w:t>
      </w:r>
      <w:proofErr w:type="spellEnd"/>
      <w:r w:rsidRPr="00721667">
        <w:rPr>
          <w:rFonts w:ascii="Arial" w:hAnsi="Arial" w:cs="Arial"/>
        </w:rPr>
        <w:t>.</w:t>
      </w:r>
    </w:p>
    <w:p w14:paraId="7595B6D4" w14:textId="77777777" w:rsidR="009E3129" w:rsidRPr="00721667" w:rsidRDefault="009E3129" w:rsidP="00721667">
      <w:pPr>
        <w:pStyle w:val="ListParagraph"/>
        <w:numPr>
          <w:ilvl w:val="0"/>
          <w:numId w:val="2"/>
        </w:numPr>
        <w:spacing w:line="360" w:lineRule="auto"/>
        <w:rPr>
          <w:rFonts w:ascii="Arial" w:hAnsi="Arial" w:cs="Arial"/>
        </w:rPr>
      </w:pPr>
      <w:r w:rsidRPr="00721667">
        <w:rPr>
          <w:rFonts w:ascii="Arial" w:hAnsi="Arial" w:cs="Arial"/>
        </w:rPr>
        <w:t>Continue to train together and have common protocols to enhance cross-team consistency.</w:t>
      </w:r>
    </w:p>
    <w:p w14:paraId="0B93CB9E" w14:textId="77777777" w:rsidR="009E3129" w:rsidRPr="00721667" w:rsidRDefault="009E3129" w:rsidP="00721667">
      <w:pPr>
        <w:spacing w:line="360" w:lineRule="auto"/>
        <w:rPr>
          <w:rFonts w:ascii="Arial" w:hAnsi="Arial" w:cs="Arial"/>
          <w:b/>
        </w:rPr>
      </w:pPr>
      <w:r w:rsidRPr="00721667">
        <w:rPr>
          <w:rFonts w:ascii="Arial" w:hAnsi="Arial" w:cs="Arial"/>
          <w:b/>
        </w:rPr>
        <w:t>Theoretical Frameworks for Safe Hospital Discharge</w:t>
      </w:r>
    </w:p>
    <w:p w14:paraId="3FF735C1" w14:textId="77777777" w:rsidR="009E3129" w:rsidRPr="00721667" w:rsidRDefault="009E3129" w:rsidP="00721667">
      <w:pPr>
        <w:spacing w:line="360" w:lineRule="auto"/>
        <w:rPr>
          <w:rFonts w:ascii="Arial" w:hAnsi="Arial" w:cs="Arial"/>
        </w:rPr>
      </w:pPr>
      <w:r w:rsidRPr="00721667">
        <w:rPr>
          <w:rFonts w:ascii="Arial" w:hAnsi="Arial" w:cs="Arial"/>
        </w:rPr>
        <w:t xml:space="preserve">The need to improve the hospital discharge policy is not just an administrative requirement but it is also based on the accepted theoretical frameworks that describe the interplay of human needs, </w:t>
      </w:r>
      <w:proofErr w:type="spellStart"/>
      <w:r w:rsidRPr="00721667">
        <w:rPr>
          <w:rFonts w:ascii="Arial" w:hAnsi="Arial" w:cs="Arial"/>
        </w:rPr>
        <w:t>organisational</w:t>
      </w:r>
      <w:proofErr w:type="spellEnd"/>
      <w:r w:rsidRPr="00721667">
        <w:rPr>
          <w:rFonts w:ascii="Arial" w:hAnsi="Arial" w:cs="Arial"/>
        </w:rPr>
        <w:t xml:space="preserve"> systems, and professional practice. The three frameworks relevant, in particular, are the hierarchy of needs created by Maslow, person-</w:t>
      </w:r>
      <w:proofErr w:type="spellStart"/>
      <w:r w:rsidRPr="00721667">
        <w:rPr>
          <w:rFonts w:ascii="Arial" w:hAnsi="Arial" w:cs="Arial"/>
        </w:rPr>
        <w:t>centred</w:t>
      </w:r>
      <w:proofErr w:type="spellEnd"/>
      <w:r w:rsidRPr="00721667">
        <w:rPr>
          <w:rFonts w:ascii="Arial" w:hAnsi="Arial" w:cs="Arial"/>
        </w:rPr>
        <w:t xml:space="preserve"> care models, and the system theory.</w:t>
      </w:r>
    </w:p>
    <w:p w14:paraId="09D6004A" w14:textId="77777777" w:rsidR="00EB04D2" w:rsidRPr="00721667" w:rsidRDefault="00EB04D2" w:rsidP="00721667">
      <w:pPr>
        <w:pStyle w:val="ListParagraph"/>
        <w:numPr>
          <w:ilvl w:val="0"/>
          <w:numId w:val="10"/>
        </w:numPr>
        <w:spacing w:line="360" w:lineRule="auto"/>
        <w:rPr>
          <w:rFonts w:ascii="Arial" w:hAnsi="Arial" w:cs="Arial"/>
        </w:rPr>
      </w:pPr>
      <w:r w:rsidRPr="00721667">
        <w:rPr>
          <w:rFonts w:ascii="Arial" w:hAnsi="Arial" w:cs="Arial"/>
          <w:b/>
        </w:rPr>
        <w:t xml:space="preserve">Maslow’s hierarchy of needs- </w:t>
      </w:r>
      <w:r w:rsidRPr="00721667">
        <w:rPr>
          <w:rFonts w:ascii="Arial" w:hAnsi="Arial" w:cs="Arial"/>
        </w:rPr>
        <w:t>Safe discharge safeguards the fundamental needs of patients such as shelter, medication and security. In their absence there can be no independence and dignity</w:t>
      </w:r>
      <w:r w:rsidR="0027123C" w:rsidRPr="00721667">
        <w:rPr>
          <w:rFonts w:ascii="Arial" w:hAnsi="Arial" w:cs="Arial"/>
        </w:rPr>
        <w:t xml:space="preserve"> (</w:t>
      </w:r>
      <w:r w:rsidR="0027123C" w:rsidRPr="00721667">
        <w:rPr>
          <w:rFonts w:ascii="Arial" w:hAnsi="Arial" w:cs="Arial"/>
          <w:color w:val="222222"/>
          <w:shd w:val="clear" w:color="auto" w:fill="FFFFFF"/>
        </w:rPr>
        <w:t>Scerri et al., pp.83-92)</w:t>
      </w:r>
      <w:r w:rsidRPr="00721667">
        <w:rPr>
          <w:rFonts w:ascii="Arial" w:hAnsi="Arial" w:cs="Arial"/>
        </w:rPr>
        <w:t>. The maintenance of security is through a clear policy that gives equipment, instructions and carer support.</w:t>
      </w:r>
    </w:p>
    <w:p w14:paraId="71D5BBD2" w14:textId="77777777" w:rsidR="00EB04D2" w:rsidRPr="00721667" w:rsidRDefault="00EB04D2" w:rsidP="00721667">
      <w:pPr>
        <w:pStyle w:val="ListParagraph"/>
        <w:numPr>
          <w:ilvl w:val="0"/>
          <w:numId w:val="10"/>
        </w:numPr>
        <w:spacing w:line="360" w:lineRule="auto"/>
        <w:rPr>
          <w:rFonts w:ascii="Arial" w:hAnsi="Arial" w:cs="Arial"/>
        </w:rPr>
      </w:pPr>
      <w:r w:rsidRPr="00721667">
        <w:rPr>
          <w:rFonts w:ascii="Arial" w:hAnsi="Arial" w:cs="Arial"/>
          <w:b/>
        </w:rPr>
        <w:t>Person-</w:t>
      </w:r>
      <w:proofErr w:type="spellStart"/>
      <w:r w:rsidRPr="00721667">
        <w:rPr>
          <w:rFonts w:ascii="Arial" w:hAnsi="Arial" w:cs="Arial"/>
          <w:b/>
        </w:rPr>
        <w:t>centred</w:t>
      </w:r>
      <w:proofErr w:type="spellEnd"/>
      <w:r w:rsidRPr="00721667">
        <w:rPr>
          <w:rFonts w:ascii="Arial" w:hAnsi="Arial" w:cs="Arial"/>
          <w:b/>
        </w:rPr>
        <w:t xml:space="preserve"> care- </w:t>
      </w:r>
      <w:r w:rsidRPr="00721667">
        <w:rPr>
          <w:rFonts w:ascii="Arial" w:hAnsi="Arial" w:cs="Arial"/>
        </w:rPr>
        <w:t>Patients and carers should be actively engaged in discharge and support should be provided in a way that suits them and worries the patients less with decisions being made together</w:t>
      </w:r>
      <w:r w:rsidR="0027123C" w:rsidRPr="00721667">
        <w:rPr>
          <w:rFonts w:ascii="Arial" w:hAnsi="Arial" w:cs="Arial"/>
        </w:rPr>
        <w:t xml:space="preserve"> (</w:t>
      </w:r>
      <w:r w:rsidR="0027123C" w:rsidRPr="00721667">
        <w:rPr>
          <w:rFonts w:ascii="Arial" w:hAnsi="Arial" w:cs="Arial"/>
          <w:color w:val="222222"/>
          <w:shd w:val="clear" w:color="auto" w:fill="FFFFFF"/>
        </w:rPr>
        <w:t>Ulin et al., 2016, pp.e19-e26)</w:t>
      </w:r>
      <w:r w:rsidRPr="00721667">
        <w:rPr>
          <w:rFonts w:ascii="Arial" w:hAnsi="Arial" w:cs="Arial"/>
        </w:rPr>
        <w:t>.</w:t>
      </w:r>
    </w:p>
    <w:p w14:paraId="2F93562F" w14:textId="77777777" w:rsidR="00EB04D2" w:rsidRPr="00721667" w:rsidRDefault="00EB04D2" w:rsidP="00721667">
      <w:pPr>
        <w:pStyle w:val="ListParagraph"/>
        <w:numPr>
          <w:ilvl w:val="0"/>
          <w:numId w:val="10"/>
        </w:numPr>
        <w:spacing w:line="360" w:lineRule="auto"/>
        <w:rPr>
          <w:rFonts w:ascii="Arial" w:hAnsi="Arial" w:cs="Arial"/>
        </w:rPr>
      </w:pPr>
      <w:r w:rsidRPr="00721667">
        <w:rPr>
          <w:rFonts w:ascii="Arial" w:hAnsi="Arial" w:cs="Arial"/>
          <w:b/>
        </w:rPr>
        <w:lastRenderedPageBreak/>
        <w:t>Systems theory</w:t>
      </w:r>
      <w:r w:rsidRPr="00721667">
        <w:rPr>
          <w:rFonts w:ascii="Arial" w:hAnsi="Arial" w:cs="Arial"/>
        </w:rPr>
        <w:t>- The hospital, community and social care discharge is a system wide process. Good policies bring in the establishment of confidence in communication, accountability, and coordination</w:t>
      </w:r>
      <w:r w:rsidR="0027123C" w:rsidRPr="00721667">
        <w:rPr>
          <w:rFonts w:ascii="Arial" w:hAnsi="Arial" w:cs="Arial"/>
        </w:rPr>
        <w:t xml:space="preserve"> (</w:t>
      </w:r>
      <w:r w:rsidR="0027123C" w:rsidRPr="00721667">
        <w:rPr>
          <w:rFonts w:ascii="Arial" w:hAnsi="Arial" w:cs="Arial"/>
          <w:color w:val="222222"/>
          <w:shd w:val="clear" w:color="auto" w:fill="FFFFFF"/>
        </w:rPr>
        <w:t>Glasby, 2003)</w:t>
      </w:r>
      <w:r w:rsidRPr="00721667">
        <w:rPr>
          <w:rFonts w:ascii="Arial" w:hAnsi="Arial" w:cs="Arial"/>
        </w:rPr>
        <w:t>.</w:t>
      </w:r>
    </w:p>
    <w:p w14:paraId="425E1C52" w14:textId="77777777" w:rsidR="0008363C" w:rsidRPr="00721667" w:rsidRDefault="0008363C" w:rsidP="00721667">
      <w:pPr>
        <w:spacing w:line="360" w:lineRule="auto"/>
        <w:rPr>
          <w:rFonts w:ascii="Arial" w:hAnsi="Arial" w:cs="Arial"/>
          <w:b/>
        </w:rPr>
      </w:pPr>
      <w:r w:rsidRPr="00721667">
        <w:rPr>
          <w:rFonts w:ascii="Arial" w:hAnsi="Arial" w:cs="Arial"/>
          <w:b/>
        </w:rPr>
        <w:t>Partnership and Stakeholders Working</w:t>
      </w:r>
    </w:p>
    <w:p w14:paraId="2F714810" w14:textId="77777777" w:rsidR="0008363C" w:rsidRPr="00721667" w:rsidRDefault="0008363C" w:rsidP="00721667">
      <w:pPr>
        <w:spacing w:line="360" w:lineRule="auto"/>
        <w:rPr>
          <w:rFonts w:ascii="Arial" w:hAnsi="Arial" w:cs="Arial"/>
        </w:rPr>
      </w:pPr>
      <w:r w:rsidRPr="00721667">
        <w:rPr>
          <w:rFonts w:ascii="Arial" w:hAnsi="Arial" w:cs="Arial"/>
        </w:rPr>
        <w:t>Hospital discharge is a multi-agency task that involves working with a very broad spectrum of stakeholders. An enhanced discharge policy then should not only acknowledge the roles of individual professionals, but also health, social care and voluntary service interdependence</w:t>
      </w:r>
      <w:r w:rsidR="001E7661" w:rsidRPr="00721667">
        <w:rPr>
          <w:rFonts w:ascii="Arial" w:hAnsi="Arial" w:cs="Arial"/>
        </w:rPr>
        <w:t xml:space="preserve"> (</w:t>
      </w:r>
      <w:r w:rsidR="001E7661" w:rsidRPr="00721667">
        <w:rPr>
          <w:rFonts w:ascii="Arial" w:hAnsi="Arial" w:cs="Arial"/>
          <w:color w:val="222222"/>
          <w:shd w:val="clear" w:color="auto" w:fill="FFFFFF"/>
        </w:rPr>
        <w:t>Cantrell et al., 2024, pp.1-116</w:t>
      </w:r>
      <w:r w:rsidR="001E7661" w:rsidRPr="00721667">
        <w:rPr>
          <w:rFonts w:ascii="Arial" w:hAnsi="Arial" w:cs="Arial"/>
        </w:rPr>
        <w:t>).</w:t>
      </w:r>
    </w:p>
    <w:p w14:paraId="27E65239" w14:textId="77777777" w:rsidR="0008363C" w:rsidRPr="00721667" w:rsidRDefault="0008363C" w:rsidP="00721667">
      <w:pPr>
        <w:pStyle w:val="ListParagraph"/>
        <w:numPr>
          <w:ilvl w:val="0"/>
          <w:numId w:val="3"/>
        </w:numPr>
        <w:spacing w:line="360" w:lineRule="auto"/>
        <w:rPr>
          <w:rFonts w:ascii="Arial" w:hAnsi="Arial" w:cs="Arial"/>
        </w:rPr>
      </w:pPr>
      <w:r w:rsidRPr="00721667">
        <w:rPr>
          <w:rFonts w:ascii="Arial" w:hAnsi="Arial" w:cs="Arial"/>
          <w:b/>
        </w:rPr>
        <w:t>Hospital staff</w:t>
      </w:r>
    </w:p>
    <w:p w14:paraId="49ED2854" w14:textId="77777777" w:rsidR="0008363C" w:rsidRPr="00721667" w:rsidRDefault="0008363C" w:rsidP="00721667">
      <w:pPr>
        <w:spacing w:line="360" w:lineRule="auto"/>
        <w:rPr>
          <w:rFonts w:ascii="Arial" w:hAnsi="Arial" w:cs="Arial"/>
        </w:rPr>
      </w:pPr>
      <w:r w:rsidRPr="00721667">
        <w:rPr>
          <w:rFonts w:ascii="Arial" w:hAnsi="Arial" w:cs="Arial"/>
        </w:rPr>
        <w:t>Ward nurses, physicians and pharmacists serve as a front line in the evaluation of discharge preparedness, medication reconciliation and discharge summary preparation. Community services cannot offer safe follow-up care without the correct and timely information of the hospital teams.</w:t>
      </w:r>
    </w:p>
    <w:p w14:paraId="2A30ED44" w14:textId="77777777" w:rsidR="0008363C" w:rsidRPr="00721667" w:rsidRDefault="0008363C" w:rsidP="00721667">
      <w:pPr>
        <w:pStyle w:val="ListParagraph"/>
        <w:numPr>
          <w:ilvl w:val="0"/>
          <w:numId w:val="3"/>
        </w:numPr>
        <w:spacing w:line="360" w:lineRule="auto"/>
        <w:rPr>
          <w:rFonts w:ascii="Arial" w:hAnsi="Arial" w:cs="Arial"/>
          <w:b/>
        </w:rPr>
      </w:pPr>
      <w:r w:rsidRPr="00721667">
        <w:rPr>
          <w:rFonts w:ascii="Arial" w:hAnsi="Arial" w:cs="Arial"/>
          <w:b/>
        </w:rPr>
        <w:t>Community health teams</w:t>
      </w:r>
    </w:p>
    <w:p w14:paraId="320B1FDF" w14:textId="77777777" w:rsidR="0008363C" w:rsidRPr="00721667" w:rsidRDefault="0008363C" w:rsidP="00721667">
      <w:pPr>
        <w:spacing w:line="360" w:lineRule="auto"/>
        <w:rPr>
          <w:rFonts w:ascii="Arial" w:hAnsi="Arial" w:cs="Arial"/>
        </w:rPr>
      </w:pPr>
      <w:r w:rsidRPr="00721667">
        <w:rPr>
          <w:rFonts w:ascii="Arial" w:hAnsi="Arial" w:cs="Arial"/>
        </w:rPr>
        <w:t xml:space="preserve">District nurses, community rehabilitation workers and </w:t>
      </w:r>
      <w:r w:rsidR="008A25D4" w:rsidRPr="00721667">
        <w:rPr>
          <w:rFonts w:ascii="Arial" w:hAnsi="Arial" w:cs="Arial"/>
        </w:rPr>
        <w:t>rabblement</w:t>
      </w:r>
      <w:r w:rsidRPr="00721667">
        <w:rPr>
          <w:rFonts w:ascii="Arial" w:hAnsi="Arial" w:cs="Arial"/>
        </w:rPr>
        <w:t xml:space="preserve"> workers maintain continuity of care after the patients go home. They can receive early intervention through discharge planning, and this intervention can include wound management, medication support, and moving assistance to prevent the deterioration and readmission.</w:t>
      </w:r>
    </w:p>
    <w:p w14:paraId="6FD28381" w14:textId="77777777" w:rsidR="0008363C" w:rsidRPr="00721667" w:rsidRDefault="0008363C" w:rsidP="00721667">
      <w:pPr>
        <w:pStyle w:val="ListParagraph"/>
        <w:numPr>
          <w:ilvl w:val="0"/>
          <w:numId w:val="3"/>
        </w:numPr>
        <w:spacing w:line="360" w:lineRule="auto"/>
        <w:rPr>
          <w:rFonts w:ascii="Arial" w:hAnsi="Arial" w:cs="Arial"/>
          <w:b/>
        </w:rPr>
      </w:pPr>
      <w:r w:rsidRPr="00721667">
        <w:rPr>
          <w:rFonts w:ascii="Arial" w:hAnsi="Arial" w:cs="Arial"/>
          <w:b/>
        </w:rPr>
        <w:t>Teams of social workers and local authorities</w:t>
      </w:r>
    </w:p>
    <w:p w14:paraId="7A0BCF5D" w14:textId="77777777" w:rsidR="0008363C" w:rsidRPr="00721667" w:rsidRDefault="0008363C" w:rsidP="00721667">
      <w:pPr>
        <w:spacing w:line="360" w:lineRule="auto"/>
        <w:rPr>
          <w:rFonts w:ascii="Arial" w:hAnsi="Arial" w:cs="Arial"/>
        </w:rPr>
      </w:pPr>
      <w:r w:rsidRPr="00721667">
        <w:rPr>
          <w:rFonts w:ascii="Arial" w:hAnsi="Arial" w:cs="Arial"/>
        </w:rPr>
        <w:t>Numerous releases are reliant on efficient social care provision, e.g., setting up domiciliary care, equipment, housing modifications or financial help. The social workers offer critical risk, vulnerable needs, and family situation analysis.</w:t>
      </w:r>
    </w:p>
    <w:p w14:paraId="321F2B61" w14:textId="77777777" w:rsidR="0008363C" w:rsidRPr="00721667" w:rsidRDefault="0008363C" w:rsidP="00721667">
      <w:pPr>
        <w:pStyle w:val="ListParagraph"/>
        <w:numPr>
          <w:ilvl w:val="0"/>
          <w:numId w:val="3"/>
        </w:numPr>
        <w:spacing w:line="360" w:lineRule="auto"/>
        <w:rPr>
          <w:rFonts w:ascii="Arial" w:hAnsi="Arial" w:cs="Arial"/>
          <w:b/>
        </w:rPr>
      </w:pPr>
      <w:r w:rsidRPr="00721667">
        <w:rPr>
          <w:rFonts w:ascii="Arial" w:hAnsi="Arial" w:cs="Arial"/>
          <w:b/>
        </w:rPr>
        <w:t>General practitioners (GPs)</w:t>
      </w:r>
    </w:p>
    <w:p w14:paraId="70D0072B" w14:textId="77777777" w:rsidR="0008363C" w:rsidRPr="00721667" w:rsidRDefault="0008363C" w:rsidP="00721667">
      <w:pPr>
        <w:spacing w:line="360" w:lineRule="auto"/>
        <w:rPr>
          <w:rFonts w:ascii="Arial" w:hAnsi="Arial" w:cs="Arial"/>
        </w:rPr>
      </w:pPr>
      <w:r w:rsidRPr="00721667">
        <w:rPr>
          <w:rFonts w:ascii="Arial" w:hAnsi="Arial" w:cs="Arial"/>
        </w:rPr>
        <w:t>The medical follow-ups post discharge are the responsibility of GPs. Timely reporting of hospital results and prescriptions facilitates immediate follow-up of primary care.</w:t>
      </w:r>
    </w:p>
    <w:p w14:paraId="77B00224" w14:textId="77777777" w:rsidR="0008363C" w:rsidRPr="00721667" w:rsidRDefault="0008363C" w:rsidP="00721667">
      <w:pPr>
        <w:pStyle w:val="ListParagraph"/>
        <w:numPr>
          <w:ilvl w:val="0"/>
          <w:numId w:val="3"/>
        </w:numPr>
        <w:spacing w:line="360" w:lineRule="auto"/>
        <w:rPr>
          <w:rFonts w:ascii="Arial" w:hAnsi="Arial" w:cs="Arial"/>
          <w:b/>
        </w:rPr>
      </w:pPr>
      <w:r w:rsidRPr="00721667">
        <w:rPr>
          <w:rFonts w:ascii="Arial" w:hAnsi="Arial" w:cs="Arial"/>
          <w:b/>
        </w:rPr>
        <w:t>Carers and families</w:t>
      </w:r>
    </w:p>
    <w:p w14:paraId="364F134B" w14:textId="77777777" w:rsidR="0008363C" w:rsidRPr="00721667" w:rsidRDefault="0008363C" w:rsidP="00721667">
      <w:pPr>
        <w:spacing w:line="360" w:lineRule="auto"/>
        <w:rPr>
          <w:rFonts w:ascii="Arial" w:hAnsi="Arial" w:cs="Arial"/>
        </w:rPr>
      </w:pPr>
      <w:r w:rsidRPr="00721667">
        <w:rPr>
          <w:rFonts w:ascii="Arial" w:hAnsi="Arial" w:cs="Arial"/>
        </w:rPr>
        <w:t>The carers and relatives of patients tend to be the primary source of post-discharge support. They should play an important role in discharge planning to not only be ready to take on the tasks they</w:t>
      </w:r>
      <w:r w:rsidR="00721667">
        <w:rPr>
          <w:rFonts w:ascii="Arial" w:hAnsi="Arial" w:cs="Arial"/>
        </w:rPr>
        <w:t xml:space="preserve"> will undertake but also </w:t>
      </w:r>
      <w:proofErr w:type="spellStart"/>
      <w:r w:rsidR="00721667">
        <w:rPr>
          <w:rFonts w:ascii="Arial" w:hAnsi="Arial" w:cs="Arial"/>
        </w:rPr>
        <w:t>minimis</w:t>
      </w:r>
      <w:r w:rsidRPr="00721667">
        <w:rPr>
          <w:rFonts w:ascii="Arial" w:hAnsi="Arial" w:cs="Arial"/>
        </w:rPr>
        <w:t>e</w:t>
      </w:r>
      <w:proofErr w:type="spellEnd"/>
      <w:r w:rsidRPr="00721667">
        <w:rPr>
          <w:rFonts w:ascii="Arial" w:hAnsi="Arial" w:cs="Arial"/>
        </w:rPr>
        <w:t xml:space="preserve"> the chances of carer burnout.</w:t>
      </w:r>
    </w:p>
    <w:p w14:paraId="12A3F399" w14:textId="77777777" w:rsidR="0008363C" w:rsidRPr="00721667" w:rsidRDefault="0008363C" w:rsidP="00721667">
      <w:pPr>
        <w:pStyle w:val="ListParagraph"/>
        <w:numPr>
          <w:ilvl w:val="0"/>
          <w:numId w:val="3"/>
        </w:numPr>
        <w:spacing w:line="360" w:lineRule="auto"/>
        <w:rPr>
          <w:rFonts w:ascii="Arial" w:hAnsi="Arial" w:cs="Arial"/>
          <w:b/>
        </w:rPr>
      </w:pPr>
      <w:r w:rsidRPr="00721667">
        <w:rPr>
          <w:rFonts w:ascii="Arial" w:hAnsi="Arial" w:cs="Arial"/>
          <w:b/>
        </w:rPr>
        <w:lastRenderedPageBreak/>
        <w:t xml:space="preserve">Non-governmental </w:t>
      </w:r>
      <w:proofErr w:type="spellStart"/>
      <w:r w:rsidRPr="00721667">
        <w:rPr>
          <w:rFonts w:ascii="Arial" w:hAnsi="Arial" w:cs="Arial"/>
          <w:b/>
        </w:rPr>
        <w:t>organisations</w:t>
      </w:r>
      <w:proofErr w:type="spellEnd"/>
    </w:p>
    <w:p w14:paraId="36C4F5C5" w14:textId="77777777" w:rsidR="0008363C" w:rsidRPr="00721667" w:rsidRDefault="0008363C" w:rsidP="00721667">
      <w:pPr>
        <w:spacing w:line="360" w:lineRule="auto"/>
        <w:rPr>
          <w:rFonts w:ascii="Arial" w:hAnsi="Arial" w:cs="Arial"/>
        </w:rPr>
      </w:pPr>
      <w:r w:rsidRPr="00721667">
        <w:rPr>
          <w:rFonts w:ascii="Arial" w:hAnsi="Arial" w:cs="Arial"/>
        </w:rPr>
        <w:t>The prevention and supporting role is taken up by charities and local community groups. Transport, befriending, and respite care are some of the services used to integrate patients who would otherwise be socially isolated.</w:t>
      </w:r>
    </w:p>
    <w:p w14:paraId="3D156174" w14:textId="77777777" w:rsidR="0008363C" w:rsidRPr="00721667" w:rsidRDefault="0008363C" w:rsidP="00721667">
      <w:pPr>
        <w:pStyle w:val="ListParagraph"/>
        <w:numPr>
          <w:ilvl w:val="0"/>
          <w:numId w:val="3"/>
        </w:numPr>
        <w:spacing w:line="360" w:lineRule="auto"/>
        <w:rPr>
          <w:rFonts w:ascii="Arial" w:hAnsi="Arial" w:cs="Arial"/>
          <w:b/>
        </w:rPr>
      </w:pPr>
      <w:r w:rsidRPr="00721667">
        <w:rPr>
          <w:rFonts w:ascii="Arial" w:hAnsi="Arial" w:cs="Arial"/>
          <w:b/>
        </w:rPr>
        <w:t>Safeguarding partners</w:t>
      </w:r>
    </w:p>
    <w:p w14:paraId="784885A4" w14:textId="77777777" w:rsidR="0008363C" w:rsidRPr="00721667" w:rsidRDefault="0008363C" w:rsidP="00721667">
      <w:pPr>
        <w:spacing w:line="360" w:lineRule="auto"/>
        <w:rPr>
          <w:rFonts w:ascii="Arial" w:hAnsi="Arial" w:cs="Arial"/>
        </w:rPr>
      </w:pPr>
      <w:r w:rsidRPr="00721667">
        <w:rPr>
          <w:rFonts w:ascii="Arial" w:hAnsi="Arial" w:cs="Arial"/>
        </w:rPr>
        <w:t>In risk or neglect situations, the protection of adult boards (consisting of local authorities, NHS services and the police) are in place to make sure that policies are based on protection and accountability.</w:t>
      </w:r>
    </w:p>
    <w:p w14:paraId="113BD101" w14:textId="77777777" w:rsidR="0008363C" w:rsidRPr="00721667" w:rsidRDefault="0008363C" w:rsidP="00721667">
      <w:pPr>
        <w:pStyle w:val="ListParagraph"/>
        <w:numPr>
          <w:ilvl w:val="0"/>
          <w:numId w:val="3"/>
        </w:numPr>
        <w:spacing w:line="360" w:lineRule="auto"/>
        <w:rPr>
          <w:rFonts w:ascii="Arial" w:hAnsi="Arial" w:cs="Arial"/>
          <w:b/>
        </w:rPr>
      </w:pPr>
      <w:r w:rsidRPr="00721667">
        <w:rPr>
          <w:rFonts w:ascii="Arial" w:hAnsi="Arial" w:cs="Arial"/>
          <w:b/>
        </w:rPr>
        <w:t xml:space="preserve">The patient </w:t>
      </w:r>
    </w:p>
    <w:p w14:paraId="3ECDC08C" w14:textId="77777777" w:rsidR="0008363C" w:rsidRPr="00721667" w:rsidRDefault="0008363C" w:rsidP="00721667">
      <w:pPr>
        <w:spacing w:line="360" w:lineRule="auto"/>
        <w:rPr>
          <w:rFonts w:ascii="Arial" w:hAnsi="Arial" w:cs="Arial"/>
        </w:rPr>
      </w:pPr>
      <w:r w:rsidRPr="00721667">
        <w:rPr>
          <w:rFonts w:ascii="Arial" w:hAnsi="Arial" w:cs="Arial"/>
        </w:rPr>
        <w:t>Most importantly, the patient should be regarded as an active partner and not a passive recipient. Policies, which require the participation of patients in planning, support the values of autonomy and dignity.</w:t>
      </w:r>
    </w:p>
    <w:p w14:paraId="766082A3" w14:textId="77777777" w:rsidR="0008363C" w:rsidRPr="00721667" w:rsidRDefault="0008363C" w:rsidP="00721667">
      <w:pPr>
        <w:spacing w:line="360" w:lineRule="auto"/>
        <w:rPr>
          <w:rFonts w:ascii="Arial" w:hAnsi="Arial" w:cs="Arial"/>
          <w:b/>
        </w:rPr>
      </w:pPr>
      <w:r w:rsidRPr="00721667">
        <w:rPr>
          <w:rFonts w:ascii="Arial" w:hAnsi="Arial" w:cs="Arial"/>
          <w:b/>
        </w:rPr>
        <w:t>Implementation of Guidance</w:t>
      </w:r>
    </w:p>
    <w:p w14:paraId="6F80A7DD" w14:textId="77777777" w:rsidR="0008363C" w:rsidRPr="00721667" w:rsidRDefault="0008363C" w:rsidP="00721667">
      <w:pPr>
        <w:spacing w:line="360" w:lineRule="auto"/>
        <w:rPr>
          <w:rFonts w:ascii="Arial" w:hAnsi="Arial" w:cs="Arial"/>
        </w:rPr>
      </w:pPr>
      <w:r w:rsidRPr="00721667">
        <w:rPr>
          <w:rFonts w:ascii="Arial" w:hAnsi="Arial" w:cs="Arial"/>
        </w:rPr>
        <w:t xml:space="preserve">The Community NHS Trust needs to implement a more robust </w:t>
      </w:r>
      <w:proofErr w:type="spellStart"/>
      <w:r w:rsidRPr="00721667">
        <w:rPr>
          <w:rFonts w:ascii="Arial" w:hAnsi="Arial" w:cs="Arial"/>
        </w:rPr>
        <w:t>organisational</w:t>
      </w:r>
      <w:proofErr w:type="spellEnd"/>
      <w:r w:rsidRPr="00721667">
        <w:rPr>
          <w:rFonts w:ascii="Arial" w:hAnsi="Arial" w:cs="Arial"/>
        </w:rPr>
        <w:t xml:space="preserve"> policy to overcome the limitations in the existing discharge practices that need to be clear, uniform, and enforceable within all the wards and community services. This is the guidance that can be given to staff and stakeholders on the steps to be taken in managing hospital discharges in a practical manner.</w:t>
      </w:r>
    </w:p>
    <w:p w14:paraId="35B4C4D8" w14:textId="77777777" w:rsidR="0008363C" w:rsidRPr="00721667" w:rsidRDefault="0008363C" w:rsidP="00721667">
      <w:pPr>
        <w:pStyle w:val="ListParagraph"/>
        <w:numPr>
          <w:ilvl w:val="0"/>
          <w:numId w:val="4"/>
        </w:numPr>
        <w:spacing w:line="360" w:lineRule="auto"/>
        <w:rPr>
          <w:rFonts w:ascii="Arial" w:hAnsi="Arial" w:cs="Arial"/>
          <w:b/>
        </w:rPr>
      </w:pPr>
      <w:r w:rsidRPr="00721667">
        <w:rPr>
          <w:rFonts w:ascii="Arial" w:hAnsi="Arial" w:cs="Arial"/>
          <w:b/>
        </w:rPr>
        <w:t>Determine discharge preparedness</w:t>
      </w:r>
    </w:p>
    <w:p w14:paraId="72F05A2C" w14:textId="77777777" w:rsidR="0008363C" w:rsidRPr="00721667" w:rsidRDefault="0008363C" w:rsidP="00721667">
      <w:pPr>
        <w:spacing w:line="360" w:lineRule="auto"/>
        <w:rPr>
          <w:rFonts w:ascii="Arial" w:hAnsi="Arial" w:cs="Arial"/>
        </w:rPr>
      </w:pPr>
      <w:r w:rsidRPr="00721667">
        <w:rPr>
          <w:rFonts w:ascii="Arial" w:hAnsi="Arial" w:cs="Arial"/>
        </w:rPr>
        <w:t>All patients have to be evaluated in relation to a list of clinical and social readiness assessment indicators before they can be discharged. This incorporates medical stability, clarity of medication plans, mobility and equipment requirements, availability of carers and safety issues. The multidisciplinary team (MDT) should ensure that these criteria are met before the patients are discharged.</w:t>
      </w:r>
    </w:p>
    <w:p w14:paraId="09C043AC" w14:textId="77777777" w:rsidR="0008363C" w:rsidRPr="00721667" w:rsidRDefault="0008363C" w:rsidP="00721667">
      <w:pPr>
        <w:pStyle w:val="ListParagraph"/>
        <w:numPr>
          <w:ilvl w:val="0"/>
          <w:numId w:val="4"/>
        </w:numPr>
        <w:spacing w:line="360" w:lineRule="auto"/>
        <w:rPr>
          <w:rFonts w:ascii="Arial" w:hAnsi="Arial" w:cs="Arial"/>
          <w:b/>
        </w:rPr>
      </w:pPr>
      <w:r w:rsidRPr="00721667">
        <w:rPr>
          <w:rFonts w:ascii="Arial" w:hAnsi="Arial" w:cs="Arial"/>
          <w:b/>
        </w:rPr>
        <w:t>Appoint a discharge coordinator</w:t>
      </w:r>
    </w:p>
    <w:p w14:paraId="2FF0D05D" w14:textId="77777777" w:rsidR="0008363C" w:rsidRPr="00721667" w:rsidRDefault="0008363C" w:rsidP="00721667">
      <w:pPr>
        <w:spacing w:line="360" w:lineRule="auto"/>
        <w:rPr>
          <w:rFonts w:ascii="Arial" w:hAnsi="Arial" w:cs="Arial"/>
        </w:rPr>
      </w:pPr>
      <w:r w:rsidRPr="00721667">
        <w:rPr>
          <w:rFonts w:ascii="Arial" w:hAnsi="Arial" w:cs="Arial"/>
        </w:rPr>
        <w:t>The process of discharge of any patient to a single professional should be held accountable. This position will involve making sure that documentation is accurate, connecting with community teams as well as serving as the point of contact between patients and families.</w:t>
      </w:r>
    </w:p>
    <w:p w14:paraId="44764013" w14:textId="77777777" w:rsidR="0008363C" w:rsidRPr="00721667" w:rsidRDefault="0008363C" w:rsidP="00721667">
      <w:pPr>
        <w:pStyle w:val="ListParagraph"/>
        <w:numPr>
          <w:ilvl w:val="0"/>
          <w:numId w:val="4"/>
        </w:numPr>
        <w:spacing w:line="360" w:lineRule="auto"/>
        <w:rPr>
          <w:rFonts w:ascii="Arial" w:hAnsi="Arial" w:cs="Arial"/>
          <w:b/>
        </w:rPr>
      </w:pPr>
      <w:proofErr w:type="spellStart"/>
      <w:r w:rsidRPr="00721667">
        <w:rPr>
          <w:rFonts w:ascii="Arial" w:hAnsi="Arial" w:cs="Arial"/>
          <w:b/>
        </w:rPr>
        <w:t>Standardise</w:t>
      </w:r>
      <w:proofErr w:type="spellEnd"/>
      <w:r w:rsidRPr="00721667">
        <w:rPr>
          <w:rFonts w:ascii="Arial" w:hAnsi="Arial" w:cs="Arial"/>
          <w:b/>
        </w:rPr>
        <w:t xml:space="preserve"> discharge documents</w:t>
      </w:r>
    </w:p>
    <w:p w14:paraId="0784ECE7" w14:textId="77777777" w:rsidR="0008363C" w:rsidRPr="00721667" w:rsidRDefault="0008363C" w:rsidP="00721667">
      <w:pPr>
        <w:spacing w:line="360" w:lineRule="auto"/>
        <w:rPr>
          <w:rFonts w:ascii="Arial" w:hAnsi="Arial" w:cs="Arial"/>
        </w:rPr>
      </w:pPr>
      <w:r w:rsidRPr="00721667">
        <w:rPr>
          <w:rFonts w:ascii="Arial" w:hAnsi="Arial" w:cs="Arial"/>
        </w:rPr>
        <w:lastRenderedPageBreak/>
        <w:t>The Trust needs to introduce a standard discharge summary template with required information: diagnosis, treatment given, medication reconciliation, follow-up appointment, social support requirements, and risks. Digital systems have to be aligned to facilitate sharing of information between the hospital, community and GP services.</w:t>
      </w:r>
    </w:p>
    <w:p w14:paraId="1180FEC9" w14:textId="77777777" w:rsidR="0008363C" w:rsidRPr="00721667" w:rsidRDefault="0008363C" w:rsidP="00721667">
      <w:pPr>
        <w:pStyle w:val="ListParagraph"/>
        <w:numPr>
          <w:ilvl w:val="0"/>
          <w:numId w:val="4"/>
        </w:numPr>
        <w:spacing w:line="360" w:lineRule="auto"/>
        <w:rPr>
          <w:rFonts w:ascii="Arial" w:hAnsi="Arial" w:cs="Arial"/>
          <w:b/>
        </w:rPr>
      </w:pPr>
      <w:r w:rsidRPr="00721667">
        <w:rPr>
          <w:rFonts w:ascii="Arial" w:hAnsi="Arial" w:cs="Arial"/>
          <w:b/>
        </w:rPr>
        <w:t>Engage the patients and carers</w:t>
      </w:r>
    </w:p>
    <w:p w14:paraId="1CBB2696" w14:textId="77777777" w:rsidR="0008363C" w:rsidRPr="00721667" w:rsidRDefault="0008363C" w:rsidP="00721667">
      <w:pPr>
        <w:spacing w:line="360" w:lineRule="auto"/>
        <w:rPr>
          <w:rFonts w:ascii="Arial" w:hAnsi="Arial" w:cs="Arial"/>
        </w:rPr>
      </w:pPr>
      <w:r w:rsidRPr="00721667">
        <w:rPr>
          <w:rFonts w:ascii="Arial" w:hAnsi="Arial" w:cs="Arial"/>
        </w:rPr>
        <w:t>There should be policies requiring discharge planning meetings to involve the patient and his primary carer. Before discharge, education on medication administration, equipment and warning signs of deterioration should be offered. This helps them to be self-reliant a</w:t>
      </w:r>
      <w:r w:rsidR="00721667">
        <w:rPr>
          <w:rFonts w:ascii="Arial" w:hAnsi="Arial" w:cs="Arial"/>
        </w:rPr>
        <w:t xml:space="preserve">nd </w:t>
      </w:r>
      <w:proofErr w:type="spellStart"/>
      <w:r w:rsidR="00721667">
        <w:rPr>
          <w:rFonts w:ascii="Arial" w:hAnsi="Arial" w:cs="Arial"/>
        </w:rPr>
        <w:t>minimis</w:t>
      </w:r>
      <w:r w:rsidRPr="00721667">
        <w:rPr>
          <w:rFonts w:ascii="Arial" w:hAnsi="Arial" w:cs="Arial"/>
        </w:rPr>
        <w:t>e</w:t>
      </w:r>
      <w:proofErr w:type="spellEnd"/>
      <w:r w:rsidRPr="00721667">
        <w:rPr>
          <w:rFonts w:ascii="Arial" w:hAnsi="Arial" w:cs="Arial"/>
        </w:rPr>
        <w:t xml:space="preserve"> unsafe transitions.</w:t>
      </w:r>
    </w:p>
    <w:p w14:paraId="52C3F97F" w14:textId="77777777" w:rsidR="0008363C" w:rsidRPr="00721667" w:rsidRDefault="0008363C" w:rsidP="00721667">
      <w:pPr>
        <w:pStyle w:val="ListParagraph"/>
        <w:numPr>
          <w:ilvl w:val="0"/>
          <w:numId w:val="4"/>
        </w:numPr>
        <w:spacing w:line="360" w:lineRule="auto"/>
        <w:rPr>
          <w:rFonts w:ascii="Arial" w:hAnsi="Arial" w:cs="Arial"/>
          <w:b/>
        </w:rPr>
      </w:pPr>
      <w:r w:rsidRPr="00721667">
        <w:rPr>
          <w:rFonts w:ascii="Arial" w:hAnsi="Arial" w:cs="Arial"/>
          <w:b/>
        </w:rPr>
        <w:t>Improve communication channels</w:t>
      </w:r>
    </w:p>
    <w:p w14:paraId="43474F09" w14:textId="77777777" w:rsidR="0008363C" w:rsidRPr="00721667" w:rsidRDefault="0008363C" w:rsidP="00721667">
      <w:pPr>
        <w:spacing w:line="360" w:lineRule="auto"/>
        <w:rPr>
          <w:rFonts w:ascii="Arial" w:hAnsi="Arial" w:cs="Arial"/>
        </w:rPr>
      </w:pPr>
      <w:r w:rsidRPr="00721667">
        <w:rPr>
          <w:rFonts w:ascii="Arial" w:hAnsi="Arial" w:cs="Arial"/>
        </w:rPr>
        <w:t xml:space="preserve">It should have a minimum notice period (e.g. 48 hours) to inform community teams of an impending discharge with real-time information in urgent situations. There should be escalation routes in case there is no community care in </w:t>
      </w:r>
      <w:r w:rsidR="00AD18AF" w:rsidRPr="00721667">
        <w:rPr>
          <w:rFonts w:ascii="Arial" w:hAnsi="Arial" w:cs="Arial"/>
        </w:rPr>
        <w:t>the timeframe that is required.</w:t>
      </w:r>
    </w:p>
    <w:p w14:paraId="21AFD434" w14:textId="77777777" w:rsidR="0008363C" w:rsidRPr="00721667" w:rsidRDefault="0008363C" w:rsidP="00721667">
      <w:pPr>
        <w:pStyle w:val="ListParagraph"/>
        <w:numPr>
          <w:ilvl w:val="0"/>
          <w:numId w:val="4"/>
        </w:numPr>
        <w:spacing w:line="360" w:lineRule="auto"/>
        <w:rPr>
          <w:rFonts w:ascii="Arial" w:hAnsi="Arial" w:cs="Arial"/>
          <w:b/>
        </w:rPr>
      </w:pPr>
      <w:r w:rsidRPr="00721667">
        <w:rPr>
          <w:rFonts w:ascii="Arial" w:hAnsi="Arial" w:cs="Arial"/>
          <w:b/>
        </w:rPr>
        <w:t>Construct contingent plans</w:t>
      </w:r>
    </w:p>
    <w:p w14:paraId="716C90C0" w14:textId="77777777" w:rsidR="0008363C" w:rsidRPr="00721667" w:rsidRDefault="0008363C" w:rsidP="00721667">
      <w:pPr>
        <w:spacing w:line="360" w:lineRule="auto"/>
        <w:rPr>
          <w:rFonts w:ascii="Arial" w:hAnsi="Arial" w:cs="Arial"/>
        </w:rPr>
      </w:pPr>
      <w:r w:rsidRPr="00721667">
        <w:rPr>
          <w:rFonts w:ascii="Arial" w:hAnsi="Arial" w:cs="Arial"/>
        </w:rPr>
        <w:t>In areas where discharge is not safe, the policy must mandate the senior managers and provide protection to the teams. To avoid unsafe discharge interim measures should be provided in terms of short-term community beds or extra hospital support.</w:t>
      </w:r>
    </w:p>
    <w:p w14:paraId="6CFA08FD" w14:textId="77777777" w:rsidR="0008363C" w:rsidRPr="00721667" w:rsidRDefault="0008363C" w:rsidP="00721667">
      <w:pPr>
        <w:pStyle w:val="ListParagraph"/>
        <w:numPr>
          <w:ilvl w:val="0"/>
          <w:numId w:val="4"/>
        </w:numPr>
        <w:spacing w:line="360" w:lineRule="auto"/>
        <w:rPr>
          <w:rFonts w:ascii="Arial" w:hAnsi="Arial" w:cs="Arial"/>
          <w:b/>
        </w:rPr>
      </w:pPr>
      <w:r w:rsidRPr="00721667">
        <w:rPr>
          <w:rFonts w:ascii="Arial" w:hAnsi="Arial" w:cs="Arial"/>
          <w:b/>
        </w:rPr>
        <w:t>Invest in joint training</w:t>
      </w:r>
    </w:p>
    <w:p w14:paraId="4F37B9D6" w14:textId="77777777" w:rsidR="0008363C" w:rsidRPr="00721667" w:rsidRDefault="0008363C" w:rsidP="00721667">
      <w:pPr>
        <w:spacing w:line="360" w:lineRule="auto"/>
        <w:rPr>
          <w:rFonts w:ascii="Arial" w:hAnsi="Arial" w:cs="Arial"/>
        </w:rPr>
      </w:pPr>
      <w:r w:rsidRPr="00721667">
        <w:rPr>
          <w:rFonts w:ascii="Arial" w:hAnsi="Arial" w:cs="Arial"/>
        </w:rPr>
        <w:t>General training on the discharge policy of the Trust, the protocol of information sharing, and interprofessional collaboration should be provided to all its staff involved in discharging. Coupled workshops with the staff of the hospital, community, and social care will encourage the understanding and regularity.</w:t>
      </w:r>
    </w:p>
    <w:p w14:paraId="27E11E2F" w14:textId="77777777" w:rsidR="0008363C" w:rsidRPr="00721667" w:rsidRDefault="0008363C" w:rsidP="00721667">
      <w:pPr>
        <w:pStyle w:val="ListParagraph"/>
        <w:numPr>
          <w:ilvl w:val="0"/>
          <w:numId w:val="4"/>
        </w:numPr>
        <w:spacing w:line="360" w:lineRule="auto"/>
        <w:rPr>
          <w:rFonts w:ascii="Arial" w:hAnsi="Arial" w:cs="Arial"/>
          <w:b/>
        </w:rPr>
      </w:pPr>
      <w:r w:rsidRPr="00721667">
        <w:rPr>
          <w:rFonts w:ascii="Arial" w:hAnsi="Arial" w:cs="Arial"/>
          <w:b/>
        </w:rPr>
        <w:t>Monitor compliance</w:t>
      </w:r>
    </w:p>
    <w:p w14:paraId="024FC9F1" w14:textId="77777777" w:rsidR="0008363C" w:rsidRPr="00721667" w:rsidRDefault="0008363C" w:rsidP="00721667">
      <w:pPr>
        <w:spacing w:line="360" w:lineRule="auto"/>
        <w:rPr>
          <w:rFonts w:ascii="Arial" w:hAnsi="Arial" w:cs="Arial"/>
        </w:rPr>
      </w:pPr>
      <w:r w:rsidRPr="00721667">
        <w:rPr>
          <w:rFonts w:ascii="Arial" w:hAnsi="Arial" w:cs="Arial"/>
        </w:rPr>
        <w:t>The compliance with the policy should be checked by the discharge coordinators and managers with the help of the case reviews, tracking of readmission, and patient feedback. The results must be incorporated into cycles of continuous improvement.</w:t>
      </w:r>
    </w:p>
    <w:p w14:paraId="4A02E65C" w14:textId="77777777" w:rsidR="00D20137" w:rsidRPr="00721667" w:rsidRDefault="00D20137" w:rsidP="00721667">
      <w:pPr>
        <w:spacing w:line="360" w:lineRule="auto"/>
        <w:rPr>
          <w:rFonts w:ascii="Arial" w:hAnsi="Arial" w:cs="Arial"/>
          <w:b/>
        </w:rPr>
      </w:pPr>
      <w:r w:rsidRPr="00721667">
        <w:rPr>
          <w:rFonts w:ascii="Arial" w:hAnsi="Arial" w:cs="Arial"/>
          <w:b/>
        </w:rPr>
        <w:t>Benefits and Challenges of Enforced Discharge Policy</w:t>
      </w:r>
    </w:p>
    <w:p w14:paraId="6C4C4006" w14:textId="77777777" w:rsidR="00D20137" w:rsidRPr="00721667" w:rsidRDefault="00D20137" w:rsidP="00721667">
      <w:pPr>
        <w:pStyle w:val="ListParagraph"/>
        <w:numPr>
          <w:ilvl w:val="0"/>
          <w:numId w:val="5"/>
        </w:numPr>
        <w:spacing w:line="360" w:lineRule="auto"/>
        <w:rPr>
          <w:rFonts w:ascii="Arial" w:hAnsi="Arial" w:cs="Arial"/>
          <w:b/>
        </w:rPr>
      </w:pPr>
      <w:r w:rsidRPr="00721667">
        <w:rPr>
          <w:rFonts w:ascii="Arial" w:hAnsi="Arial" w:cs="Arial"/>
          <w:b/>
        </w:rPr>
        <w:t>Benefits</w:t>
      </w:r>
    </w:p>
    <w:p w14:paraId="4441068A" w14:textId="77777777" w:rsidR="00D20137" w:rsidRPr="00721667" w:rsidRDefault="00D20137" w:rsidP="00721667">
      <w:pPr>
        <w:pStyle w:val="ListParagraph"/>
        <w:numPr>
          <w:ilvl w:val="0"/>
          <w:numId w:val="6"/>
        </w:numPr>
        <w:spacing w:line="360" w:lineRule="auto"/>
        <w:rPr>
          <w:rFonts w:ascii="Arial" w:hAnsi="Arial" w:cs="Arial"/>
          <w:b/>
        </w:rPr>
      </w:pPr>
      <w:r w:rsidRPr="00721667">
        <w:rPr>
          <w:rFonts w:ascii="Arial" w:hAnsi="Arial" w:cs="Arial"/>
          <w:b/>
        </w:rPr>
        <w:t>Better patient health and safety</w:t>
      </w:r>
    </w:p>
    <w:p w14:paraId="0DA4A664" w14:textId="77777777" w:rsidR="00D20137" w:rsidRPr="00721667" w:rsidRDefault="00D20137" w:rsidP="00721667">
      <w:pPr>
        <w:spacing w:line="360" w:lineRule="auto"/>
        <w:rPr>
          <w:rFonts w:ascii="Arial" w:hAnsi="Arial" w:cs="Arial"/>
        </w:rPr>
      </w:pPr>
      <w:r w:rsidRPr="00721667">
        <w:rPr>
          <w:rFonts w:ascii="Arial" w:hAnsi="Arial" w:cs="Arial"/>
        </w:rPr>
        <w:lastRenderedPageBreak/>
        <w:t xml:space="preserve">More transparent </w:t>
      </w:r>
      <w:r w:rsidR="00721667">
        <w:rPr>
          <w:rFonts w:ascii="Arial" w:hAnsi="Arial" w:cs="Arial"/>
        </w:rPr>
        <w:t xml:space="preserve">discharge procedures can </w:t>
      </w:r>
      <w:proofErr w:type="spellStart"/>
      <w:r w:rsidR="00721667">
        <w:rPr>
          <w:rFonts w:ascii="Arial" w:hAnsi="Arial" w:cs="Arial"/>
        </w:rPr>
        <w:t>minimis</w:t>
      </w:r>
      <w:r w:rsidRPr="00721667">
        <w:rPr>
          <w:rFonts w:ascii="Arial" w:hAnsi="Arial" w:cs="Arial"/>
        </w:rPr>
        <w:t>e</w:t>
      </w:r>
      <w:proofErr w:type="spellEnd"/>
      <w:r w:rsidRPr="00721667">
        <w:rPr>
          <w:rFonts w:ascii="Arial" w:hAnsi="Arial" w:cs="Arial"/>
        </w:rPr>
        <w:t xml:space="preserve"> the risk of making mistakes, including medication oversights, insufficient equipment, or follow-ups</w:t>
      </w:r>
      <w:r w:rsidR="00721667" w:rsidRPr="00721667">
        <w:rPr>
          <w:rFonts w:ascii="Arial" w:hAnsi="Arial" w:cs="Arial"/>
        </w:rPr>
        <w:t xml:space="preserve"> (</w:t>
      </w:r>
      <w:r w:rsidR="00721667" w:rsidRPr="00721667">
        <w:rPr>
          <w:rFonts w:ascii="Arial" w:hAnsi="Arial" w:cs="Arial"/>
          <w:color w:val="222222"/>
          <w:shd w:val="clear" w:color="auto" w:fill="FFFFFF"/>
        </w:rPr>
        <w:t>Phillips, 2025)</w:t>
      </w:r>
      <w:r w:rsidRPr="00721667">
        <w:rPr>
          <w:rFonts w:ascii="Arial" w:hAnsi="Arial" w:cs="Arial"/>
        </w:rPr>
        <w:t>. Patients will enjoy the ease of the transition, decreased readmission risks, and greater feeling of security.</w:t>
      </w:r>
    </w:p>
    <w:p w14:paraId="008FFE08" w14:textId="77777777" w:rsidR="00D20137" w:rsidRPr="00721667" w:rsidRDefault="00D20137" w:rsidP="00721667">
      <w:pPr>
        <w:pStyle w:val="ListParagraph"/>
        <w:numPr>
          <w:ilvl w:val="0"/>
          <w:numId w:val="6"/>
        </w:numPr>
        <w:spacing w:line="360" w:lineRule="auto"/>
        <w:rPr>
          <w:rFonts w:ascii="Arial" w:hAnsi="Arial" w:cs="Arial"/>
          <w:b/>
        </w:rPr>
      </w:pPr>
      <w:r w:rsidRPr="00721667">
        <w:rPr>
          <w:rFonts w:ascii="Arial" w:hAnsi="Arial" w:cs="Arial"/>
          <w:b/>
        </w:rPr>
        <w:t>Whole person, person-</w:t>
      </w:r>
      <w:proofErr w:type="spellStart"/>
      <w:r w:rsidRPr="00721667">
        <w:rPr>
          <w:rFonts w:ascii="Arial" w:hAnsi="Arial" w:cs="Arial"/>
          <w:b/>
        </w:rPr>
        <w:t>centred</w:t>
      </w:r>
      <w:proofErr w:type="spellEnd"/>
      <w:r w:rsidRPr="00721667">
        <w:rPr>
          <w:rFonts w:ascii="Arial" w:hAnsi="Arial" w:cs="Arial"/>
          <w:b/>
        </w:rPr>
        <w:t xml:space="preserve"> care</w:t>
      </w:r>
    </w:p>
    <w:p w14:paraId="2F11391F" w14:textId="77777777" w:rsidR="00D20137" w:rsidRPr="00721667" w:rsidRDefault="00D20137" w:rsidP="00721667">
      <w:pPr>
        <w:spacing w:line="360" w:lineRule="auto"/>
        <w:rPr>
          <w:rFonts w:ascii="Arial" w:hAnsi="Arial" w:cs="Arial"/>
        </w:rPr>
      </w:pPr>
      <w:r w:rsidRPr="00721667">
        <w:rPr>
          <w:rFonts w:ascii="Arial" w:hAnsi="Arial" w:cs="Arial"/>
        </w:rPr>
        <w:t>The policy, by including the planning with patients and carers, is in line with the person-</w:t>
      </w:r>
      <w:proofErr w:type="spellStart"/>
      <w:r w:rsidRPr="00721667">
        <w:rPr>
          <w:rFonts w:ascii="Arial" w:hAnsi="Arial" w:cs="Arial"/>
        </w:rPr>
        <w:t>centred</w:t>
      </w:r>
      <w:proofErr w:type="spellEnd"/>
      <w:r w:rsidRPr="00721667">
        <w:rPr>
          <w:rFonts w:ascii="Arial" w:hAnsi="Arial" w:cs="Arial"/>
        </w:rPr>
        <w:t xml:space="preserve"> models of care. The patients become empowered to learn and cope with their conditions, and the carers become supported and educated. This is not only focusing on clinical needs but also psychological and social wellbeing.</w:t>
      </w:r>
    </w:p>
    <w:p w14:paraId="42C9274A" w14:textId="77777777" w:rsidR="00D20137" w:rsidRPr="00721667" w:rsidRDefault="00D20137" w:rsidP="00721667">
      <w:pPr>
        <w:pStyle w:val="ListParagraph"/>
        <w:numPr>
          <w:ilvl w:val="0"/>
          <w:numId w:val="6"/>
        </w:numPr>
        <w:spacing w:line="360" w:lineRule="auto"/>
        <w:rPr>
          <w:rFonts w:ascii="Arial" w:hAnsi="Arial" w:cs="Arial"/>
          <w:b/>
        </w:rPr>
      </w:pPr>
      <w:r w:rsidRPr="00721667">
        <w:rPr>
          <w:rFonts w:ascii="Arial" w:hAnsi="Arial" w:cs="Arial"/>
          <w:b/>
        </w:rPr>
        <w:t>Less pressure on the system and reduced readmission to the hospital</w:t>
      </w:r>
    </w:p>
    <w:p w14:paraId="39F51CBC" w14:textId="77777777" w:rsidR="00D20137" w:rsidRPr="00721667" w:rsidRDefault="00D20137" w:rsidP="00721667">
      <w:pPr>
        <w:spacing w:line="360" w:lineRule="auto"/>
        <w:rPr>
          <w:rFonts w:ascii="Arial" w:hAnsi="Arial" w:cs="Arial"/>
        </w:rPr>
      </w:pPr>
      <w:r w:rsidRPr="00721667">
        <w:rPr>
          <w:rFonts w:ascii="Arial" w:hAnsi="Arial" w:cs="Arial"/>
        </w:rPr>
        <w:t>The presence of a healthy discharge policy can prevent unnecessary readmissions and release acute beds, which can relieve the overstretched hospitals. This enhances the flow of patients and financial sustainability.</w:t>
      </w:r>
    </w:p>
    <w:p w14:paraId="0B5C282D" w14:textId="77777777" w:rsidR="00D20137" w:rsidRPr="00721667" w:rsidRDefault="00D20137" w:rsidP="00721667">
      <w:pPr>
        <w:pStyle w:val="ListParagraph"/>
        <w:numPr>
          <w:ilvl w:val="0"/>
          <w:numId w:val="6"/>
        </w:numPr>
        <w:spacing w:line="360" w:lineRule="auto"/>
        <w:rPr>
          <w:rFonts w:ascii="Arial" w:hAnsi="Arial" w:cs="Arial"/>
          <w:b/>
        </w:rPr>
      </w:pPr>
      <w:r w:rsidRPr="00721667">
        <w:rPr>
          <w:rFonts w:ascii="Arial" w:hAnsi="Arial" w:cs="Arial"/>
          <w:b/>
        </w:rPr>
        <w:t>Improved inter-professional interaction</w:t>
      </w:r>
    </w:p>
    <w:p w14:paraId="697DEB96" w14:textId="77777777" w:rsidR="00D20137" w:rsidRPr="00721667" w:rsidRDefault="00D20137" w:rsidP="00721667">
      <w:pPr>
        <w:spacing w:line="360" w:lineRule="auto"/>
        <w:rPr>
          <w:rFonts w:ascii="Arial" w:hAnsi="Arial" w:cs="Arial"/>
        </w:rPr>
      </w:pPr>
      <w:r w:rsidRPr="00721667">
        <w:rPr>
          <w:rFonts w:ascii="Arial" w:hAnsi="Arial" w:cs="Arial"/>
        </w:rPr>
        <w:t>Training together, maintaining records, and improved communication networks develop trust and reliability between hospital, community and social care groups. With time this develops a culture of collaboration.</w:t>
      </w:r>
    </w:p>
    <w:p w14:paraId="1EC3BDE6" w14:textId="77777777" w:rsidR="00D20137" w:rsidRPr="00721667" w:rsidRDefault="00D20137" w:rsidP="00721667">
      <w:pPr>
        <w:pStyle w:val="ListParagraph"/>
        <w:numPr>
          <w:ilvl w:val="0"/>
          <w:numId w:val="6"/>
        </w:numPr>
        <w:spacing w:line="360" w:lineRule="auto"/>
        <w:rPr>
          <w:rFonts w:ascii="Arial" w:hAnsi="Arial" w:cs="Arial"/>
          <w:b/>
        </w:rPr>
      </w:pPr>
      <w:r w:rsidRPr="00721667">
        <w:rPr>
          <w:rFonts w:ascii="Arial" w:hAnsi="Arial" w:cs="Arial"/>
          <w:b/>
        </w:rPr>
        <w:t>Time-saving and effectiveness</w:t>
      </w:r>
    </w:p>
    <w:p w14:paraId="5658E351" w14:textId="77777777" w:rsidR="00D20137" w:rsidRPr="00721667" w:rsidRDefault="00D20137" w:rsidP="00721667">
      <w:pPr>
        <w:spacing w:line="360" w:lineRule="auto"/>
        <w:rPr>
          <w:rFonts w:ascii="Arial" w:hAnsi="Arial" w:cs="Arial"/>
        </w:rPr>
      </w:pPr>
      <w:r w:rsidRPr="00721667">
        <w:rPr>
          <w:rFonts w:ascii="Arial" w:hAnsi="Arial" w:cs="Arial"/>
        </w:rPr>
        <w:t xml:space="preserve">Cases of duplication of assessments and wastage of resources are reduced when discharges are well </w:t>
      </w:r>
      <w:proofErr w:type="spellStart"/>
      <w:r w:rsidRPr="00721667">
        <w:rPr>
          <w:rFonts w:ascii="Arial" w:hAnsi="Arial" w:cs="Arial"/>
        </w:rPr>
        <w:t>co-ordinated</w:t>
      </w:r>
      <w:proofErr w:type="spellEnd"/>
      <w:r w:rsidRPr="00721667">
        <w:rPr>
          <w:rFonts w:ascii="Arial" w:hAnsi="Arial" w:cs="Arial"/>
        </w:rPr>
        <w:t>. Community services are able to better plan their workloads and the acute hospitals are able to cut the delays of patient throughput.</w:t>
      </w:r>
    </w:p>
    <w:p w14:paraId="2B156E32" w14:textId="77777777" w:rsidR="00D20137" w:rsidRPr="00721667" w:rsidRDefault="00D20137" w:rsidP="00721667">
      <w:pPr>
        <w:pStyle w:val="ListParagraph"/>
        <w:numPr>
          <w:ilvl w:val="0"/>
          <w:numId w:val="5"/>
        </w:numPr>
        <w:spacing w:line="360" w:lineRule="auto"/>
        <w:rPr>
          <w:rFonts w:ascii="Arial" w:hAnsi="Arial" w:cs="Arial"/>
          <w:b/>
        </w:rPr>
      </w:pPr>
      <w:r w:rsidRPr="00721667">
        <w:rPr>
          <w:rFonts w:ascii="Arial" w:hAnsi="Arial" w:cs="Arial"/>
          <w:b/>
        </w:rPr>
        <w:t>Challenges</w:t>
      </w:r>
    </w:p>
    <w:p w14:paraId="703150D9" w14:textId="77777777" w:rsidR="00D20137" w:rsidRPr="00721667" w:rsidRDefault="00D20137" w:rsidP="00721667">
      <w:pPr>
        <w:pStyle w:val="ListParagraph"/>
        <w:numPr>
          <w:ilvl w:val="0"/>
          <w:numId w:val="7"/>
        </w:numPr>
        <w:spacing w:line="360" w:lineRule="auto"/>
        <w:rPr>
          <w:rFonts w:ascii="Arial" w:hAnsi="Arial" w:cs="Arial"/>
          <w:b/>
        </w:rPr>
      </w:pPr>
      <w:r w:rsidRPr="00721667">
        <w:rPr>
          <w:rFonts w:ascii="Arial" w:hAnsi="Arial" w:cs="Arial"/>
          <w:b/>
        </w:rPr>
        <w:t>Cultural as well as professional obstacles</w:t>
      </w:r>
    </w:p>
    <w:p w14:paraId="2EF7891F" w14:textId="77777777" w:rsidR="00D20137" w:rsidRPr="00721667" w:rsidRDefault="00D20137" w:rsidP="00721667">
      <w:pPr>
        <w:spacing w:line="360" w:lineRule="auto"/>
        <w:rPr>
          <w:rFonts w:ascii="Arial" w:hAnsi="Arial" w:cs="Arial"/>
        </w:rPr>
      </w:pPr>
      <w:r w:rsidRPr="00721667">
        <w:rPr>
          <w:rFonts w:ascii="Arial" w:hAnsi="Arial" w:cs="Arial"/>
        </w:rPr>
        <w:t>The various professional teams (e.g., doctors, nurses, social workers) could have different priorities. This may cause friction in terms of assenting readiness to discharge or amount of community support needed.</w:t>
      </w:r>
    </w:p>
    <w:p w14:paraId="69544081" w14:textId="77777777" w:rsidR="00D20137" w:rsidRPr="00721667" w:rsidRDefault="00D20137" w:rsidP="00721667">
      <w:pPr>
        <w:pStyle w:val="ListParagraph"/>
        <w:numPr>
          <w:ilvl w:val="0"/>
          <w:numId w:val="7"/>
        </w:numPr>
        <w:spacing w:line="360" w:lineRule="auto"/>
        <w:rPr>
          <w:rFonts w:ascii="Arial" w:hAnsi="Arial" w:cs="Arial"/>
          <w:b/>
        </w:rPr>
      </w:pPr>
      <w:r w:rsidRPr="00721667">
        <w:rPr>
          <w:rFonts w:ascii="Arial" w:hAnsi="Arial" w:cs="Arial"/>
          <w:b/>
        </w:rPr>
        <w:t>Workforce pressures</w:t>
      </w:r>
    </w:p>
    <w:p w14:paraId="603B7153" w14:textId="77777777" w:rsidR="00D20137" w:rsidRPr="00721667" w:rsidRDefault="00D20137" w:rsidP="00721667">
      <w:pPr>
        <w:spacing w:line="360" w:lineRule="auto"/>
        <w:rPr>
          <w:rFonts w:ascii="Arial" w:hAnsi="Arial" w:cs="Arial"/>
        </w:rPr>
      </w:pPr>
      <w:r w:rsidRPr="00721667">
        <w:rPr>
          <w:rFonts w:ascii="Arial" w:hAnsi="Arial" w:cs="Arial"/>
        </w:rPr>
        <w:t>High caseloads and shortages of staff might provide insufficient time to adequately plan discharge. Practically this can lead to hasty discharges or corners being cut invalidating the policy.</w:t>
      </w:r>
    </w:p>
    <w:p w14:paraId="63775C89" w14:textId="77777777" w:rsidR="00D20137" w:rsidRPr="00721667" w:rsidRDefault="00D20137" w:rsidP="00721667">
      <w:pPr>
        <w:pStyle w:val="ListParagraph"/>
        <w:numPr>
          <w:ilvl w:val="0"/>
          <w:numId w:val="7"/>
        </w:numPr>
        <w:spacing w:line="360" w:lineRule="auto"/>
        <w:rPr>
          <w:rFonts w:ascii="Arial" w:hAnsi="Arial" w:cs="Arial"/>
          <w:b/>
        </w:rPr>
      </w:pPr>
      <w:r w:rsidRPr="00721667">
        <w:rPr>
          <w:rFonts w:ascii="Arial" w:hAnsi="Arial" w:cs="Arial"/>
          <w:b/>
        </w:rPr>
        <w:lastRenderedPageBreak/>
        <w:t>Disjointed IT and communication networks</w:t>
      </w:r>
    </w:p>
    <w:p w14:paraId="7525D65F" w14:textId="77777777" w:rsidR="00D20137" w:rsidRPr="00721667" w:rsidRDefault="00D20137" w:rsidP="00721667">
      <w:pPr>
        <w:spacing w:line="360" w:lineRule="auto"/>
        <w:rPr>
          <w:rFonts w:ascii="Arial" w:hAnsi="Arial" w:cs="Arial"/>
        </w:rPr>
      </w:pPr>
      <w:r w:rsidRPr="00721667">
        <w:rPr>
          <w:rFonts w:ascii="Arial" w:hAnsi="Arial" w:cs="Arial"/>
        </w:rPr>
        <w:t xml:space="preserve">Various </w:t>
      </w:r>
      <w:proofErr w:type="spellStart"/>
      <w:r w:rsidRPr="00721667">
        <w:rPr>
          <w:rFonts w:ascii="Arial" w:hAnsi="Arial" w:cs="Arial"/>
        </w:rPr>
        <w:t>organisations</w:t>
      </w:r>
      <w:proofErr w:type="spellEnd"/>
      <w:r w:rsidRPr="00721667">
        <w:rPr>
          <w:rFonts w:ascii="Arial" w:hAnsi="Arial" w:cs="Arial"/>
        </w:rPr>
        <w:t xml:space="preserve"> (local authorities, voluntary providers, NHS) tend to have systems that are not compatible. Investment in interoperability will make it hard to exchange discharge information in a timely manner</w:t>
      </w:r>
      <w:r w:rsidR="008A25D4" w:rsidRPr="00721667">
        <w:rPr>
          <w:rFonts w:ascii="Arial" w:hAnsi="Arial" w:cs="Arial"/>
        </w:rPr>
        <w:t xml:space="preserve"> (</w:t>
      </w:r>
      <w:r w:rsidR="008A25D4" w:rsidRPr="00721667">
        <w:rPr>
          <w:rFonts w:ascii="Arial" w:hAnsi="Arial" w:cs="Arial"/>
          <w:color w:val="222222"/>
          <w:shd w:val="clear" w:color="auto" w:fill="FFFFFF"/>
        </w:rPr>
        <w:t>Benson &amp; Grieve, 2021)</w:t>
      </w:r>
      <w:r w:rsidRPr="00721667">
        <w:rPr>
          <w:rFonts w:ascii="Arial" w:hAnsi="Arial" w:cs="Arial"/>
        </w:rPr>
        <w:t>.</w:t>
      </w:r>
    </w:p>
    <w:p w14:paraId="479DFC36" w14:textId="77777777" w:rsidR="00D20137" w:rsidRPr="00721667" w:rsidRDefault="00D20137" w:rsidP="00721667">
      <w:pPr>
        <w:pStyle w:val="ListParagraph"/>
        <w:numPr>
          <w:ilvl w:val="0"/>
          <w:numId w:val="7"/>
        </w:numPr>
        <w:spacing w:line="360" w:lineRule="auto"/>
        <w:rPr>
          <w:rFonts w:ascii="Arial" w:hAnsi="Arial" w:cs="Arial"/>
          <w:b/>
        </w:rPr>
      </w:pPr>
      <w:r w:rsidRPr="00721667">
        <w:rPr>
          <w:rFonts w:ascii="Arial" w:hAnsi="Arial" w:cs="Arial"/>
          <w:b/>
        </w:rPr>
        <w:t>Funding constraints</w:t>
      </w:r>
    </w:p>
    <w:p w14:paraId="12E18DA5" w14:textId="77777777" w:rsidR="00D20137" w:rsidRPr="00721667" w:rsidRDefault="00D20137" w:rsidP="00721667">
      <w:pPr>
        <w:spacing w:line="360" w:lineRule="auto"/>
        <w:rPr>
          <w:rFonts w:ascii="Arial" w:hAnsi="Arial" w:cs="Arial"/>
        </w:rPr>
      </w:pPr>
      <w:r w:rsidRPr="00721667">
        <w:rPr>
          <w:rFonts w:ascii="Arial" w:hAnsi="Arial" w:cs="Arial"/>
        </w:rPr>
        <w:t>Community services might not have the capacity to take discharged patients early especially in social care strained areas. Policies will be idealistic instead of practical unless they are properly resourced.</w:t>
      </w:r>
    </w:p>
    <w:p w14:paraId="7203A73D" w14:textId="77777777" w:rsidR="00D20137" w:rsidRPr="00721667" w:rsidRDefault="00D20137" w:rsidP="00721667">
      <w:pPr>
        <w:pStyle w:val="ListParagraph"/>
        <w:numPr>
          <w:ilvl w:val="0"/>
          <w:numId w:val="7"/>
        </w:numPr>
        <w:spacing w:line="360" w:lineRule="auto"/>
        <w:rPr>
          <w:rFonts w:ascii="Arial" w:hAnsi="Arial" w:cs="Arial"/>
          <w:b/>
        </w:rPr>
      </w:pPr>
      <w:r w:rsidRPr="00721667">
        <w:rPr>
          <w:rFonts w:ascii="Arial" w:hAnsi="Arial" w:cs="Arial"/>
          <w:b/>
        </w:rPr>
        <w:t>Resistance to change</w:t>
      </w:r>
    </w:p>
    <w:p w14:paraId="1133C720" w14:textId="77777777" w:rsidR="00AD18AF" w:rsidRPr="00721667" w:rsidRDefault="00D20137" w:rsidP="00721667">
      <w:pPr>
        <w:spacing w:line="360" w:lineRule="auto"/>
        <w:rPr>
          <w:rFonts w:ascii="Arial" w:hAnsi="Arial" w:cs="Arial"/>
        </w:rPr>
      </w:pPr>
      <w:r w:rsidRPr="00721667">
        <w:rPr>
          <w:rFonts w:ascii="Arial" w:hAnsi="Arial" w:cs="Arial"/>
        </w:rPr>
        <w:t xml:space="preserve">Resistance to new policies and training </w:t>
      </w:r>
      <w:proofErr w:type="spellStart"/>
      <w:r w:rsidRPr="00721667">
        <w:rPr>
          <w:rFonts w:ascii="Arial" w:hAnsi="Arial" w:cs="Arial"/>
        </w:rPr>
        <w:t>programmes</w:t>
      </w:r>
      <w:proofErr w:type="spellEnd"/>
      <w:r w:rsidRPr="00721667">
        <w:rPr>
          <w:rFonts w:ascii="Arial" w:hAnsi="Arial" w:cs="Arial"/>
        </w:rPr>
        <w:t xml:space="preserve"> can be introduced by employees who are used to doing everything in a certain way. Buy-in is to be ensured with the help of powerful leadership and evident benefits.</w:t>
      </w:r>
    </w:p>
    <w:p w14:paraId="0A6AC2C3" w14:textId="77777777" w:rsidR="00AD18AF" w:rsidRPr="00721667" w:rsidRDefault="00AD18AF" w:rsidP="00721667">
      <w:pPr>
        <w:spacing w:line="360" w:lineRule="auto"/>
        <w:rPr>
          <w:rFonts w:ascii="Arial" w:hAnsi="Arial" w:cs="Arial"/>
          <w:b/>
        </w:rPr>
      </w:pPr>
      <w:r w:rsidRPr="00721667">
        <w:rPr>
          <w:rFonts w:ascii="Arial" w:hAnsi="Arial" w:cs="Arial"/>
          <w:b/>
        </w:rPr>
        <w:t>Evaluation Methods</w:t>
      </w:r>
    </w:p>
    <w:p w14:paraId="3CBE65CB" w14:textId="77777777" w:rsidR="00AD18AF" w:rsidRPr="00721667" w:rsidRDefault="00AD18AF" w:rsidP="00721667">
      <w:pPr>
        <w:spacing w:line="360" w:lineRule="auto"/>
        <w:rPr>
          <w:rFonts w:ascii="Arial" w:hAnsi="Arial" w:cs="Arial"/>
        </w:rPr>
      </w:pPr>
      <w:r w:rsidRPr="00721667">
        <w:rPr>
          <w:rFonts w:ascii="Arial" w:hAnsi="Arial" w:cs="Arial"/>
        </w:rPr>
        <w:t>To make the revised discharge policy efficient, it is vital to evaluate its effectiveness and make sure that the policy enhances the outcomes instead of turning it into a procedural matter. The Trust ought to implement a mix of a quantitative and qualitative approach:</w:t>
      </w:r>
    </w:p>
    <w:p w14:paraId="6F53E400" w14:textId="77777777" w:rsidR="00AD18AF" w:rsidRPr="00721667" w:rsidRDefault="00AD18AF" w:rsidP="00721667">
      <w:pPr>
        <w:pStyle w:val="ListParagraph"/>
        <w:numPr>
          <w:ilvl w:val="0"/>
          <w:numId w:val="8"/>
        </w:numPr>
        <w:spacing w:line="360" w:lineRule="auto"/>
        <w:rPr>
          <w:rFonts w:ascii="Arial" w:hAnsi="Arial" w:cs="Arial"/>
        </w:rPr>
      </w:pPr>
      <w:r w:rsidRPr="00721667">
        <w:rPr>
          <w:rFonts w:ascii="Arial" w:hAnsi="Arial" w:cs="Arial"/>
          <w:b/>
        </w:rPr>
        <w:t>Clinical outcomes:</w:t>
      </w:r>
      <w:r w:rsidRPr="00721667">
        <w:rPr>
          <w:rFonts w:ascii="Arial" w:hAnsi="Arial" w:cs="Arial"/>
        </w:rPr>
        <w:t xml:space="preserve"> 30-day readmission rates, the number of delayed discharges, and negative events related to ineffective handover.</w:t>
      </w:r>
    </w:p>
    <w:p w14:paraId="005ECA3E" w14:textId="77777777" w:rsidR="00AD18AF" w:rsidRPr="00721667" w:rsidRDefault="00AD18AF" w:rsidP="00721667">
      <w:pPr>
        <w:pStyle w:val="ListParagraph"/>
        <w:numPr>
          <w:ilvl w:val="0"/>
          <w:numId w:val="8"/>
        </w:numPr>
        <w:spacing w:line="360" w:lineRule="auto"/>
        <w:rPr>
          <w:rFonts w:ascii="Arial" w:hAnsi="Arial" w:cs="Arial"/>
        </w:rPr>
      </w:pPr>
      <w:r w:rsidRPr="00721667">
        <w:rPr>
          <w:rFonts w:ascii="Arial" w:hAnsi="Arial" w:cs="Arial"/>
          <w:b/>
        </w:rPr>
        <w:t>Process measures:</w:t>
      </w:r>
      <w:r w:rsidRPr="00721667">
        <w:rPr>
          <w:rFonts w:ascii="Arial" w:hAnsi="Arial" w:cs="Arial"/>
        </w:rPr>
        <w:t xml:space="preserve"> share of discharge summaries transmitted within 24 hours, punctuality of community team notifications, and adherence to discharge preparedness criteria.</w:t>
      </w:r>
    </w:p>
    <w:p w14:paraId="4F8151E9" w14:textId="77777777" w:rsidR="00AD18AF" w:rsidRPr="00721667" w:rsidRDefault="00AD18AF" w:rsidP="00721667">
      <w:pPr>
        <w:pStyle w:val="ListParagraph"/>
        <w:numPr>
          <w:ilvl w:val="0"/>
          <w:numId w:val="8"/>
        </w:numPr>
        <w:spacing w:line="360" w:lineRule="auto"/>
        <w:rPr>
          <w:rFonts w:ascii="Arial" w:hAnsi="Arial" w:cs="Arial"/>
        </w:rPr>
      </w:pPr>
      <w:r w:rsidRPr="00721667">
        <w:rPr>
          <w:rFonts w:ascii="Arial" w:hAnsi="Arial" w:cs="Arial"/>
          <w:b/>
        </w:rPr>
        <w:t>Patient and carer feedback:</w:t>
      </w:r>
      <w:r w:rsidRPr="00721667">
        <w:rPr>
          <w:rFonts w:ascii="Arial" w:hAnsi="Arial" w:cs="Arial"/>
        </w:rPr>
        <w:t xml:space="preserve"> survey and focus groups to determine whether patients imagine that they are safe, informed, and supported upon hospital discharge.</w:t>
      </w:r>
    </w:p>
    <w:p w14:paraId="2F3049FD" w14:textId="77777777" w:rsidR="00AD18AF" w:rsidRPr="00721667" w:rsidRDefault="00AD18AF" w:rsidP="00721667">
      <w:pPr>
        <w:pStyle w:val="ListParagraph"/>
        <w:numPr>
          <w:ilvl w:val="0"/>
          <w:numId w:val="8"/>
        </w:numPr>
        <w:spacing w:line="360" w:lineRule="auto"/>
        <w:rPr>
          <w:rFonts w:ascii="Arial" w:hAnsi="Arial" w:cs="Arial"/>
        </w:rPr>
      </w:pPr>
      <w:r w:rsidRPr="00721667">
        <w:rPr>
          <w:rFonts w:ascii="Arial" w:hAnsi="Arial" w:cs="Arial"/>
          <w:b/>
        </w:rPr>
        <w:t>Staff reflections:</w:t>
      </w:r>
      <w:r w:rsidRPr="00721667">
        <w:rPr>
          <w:rFonts w:ascii="Arial" w:hAnsi="Arial" w:cs="Arial"/>
        </w:rPr>
        <w:t xml:space="preserve"> frequent debriefs and case audits to get a grasp of the professional experiences and pinpoint recurrent barriers.</w:t>
      </w:r>
    </w:p>
    <w:p w14:paraId="6A9337D0" w14:textId="77777777" w:rsidR="00AD18AF" w:rsidRPr="00721667" w:rsidRDefault="00AD18AF" w:rsidP="00721667">
      <w:pPr>
        <w:spacing w:line="360" w:lineRule="auto"/>
        <w:rPr>
          <w:rFonts w:ascii="Arial" w:hAnsi="Arial" w:cs="Arial"/>
          <w:b/>
        </w:rPr>
      </w:pPr>
      <w:r w:rsidRPr="00721667">
        <w:rPr>
          <w:rFonts w:ascii="Arial" w:hAnsi="Arial" w:cs="Arial"/>
          <w:b/>
        </w:rPr>
        <w:t>Recommendations</w:t>
      </w:r>
    </w:p>
    <w:p w14:paraId="2CD11CA7" w14:textId="77777777" w:rsidR="00AD18AF" w:rsidRPr="00721667" w:rsidRDefault="00AD18AF" w:rsidP="00721667">
      <w:pPr>
        <w:spacing w:line="360" w:lineRule="auto"/>
        <w:rPr>
          <w:rFonts w:ascii="Arial" w:hAnsi="Arial" w:cs="Arial"/>
        </w:rPr>
      </w:pPr>
      <w:r w:rsidRPr="00721667">
        <w:rPr>
          <w:rFonts w:ascii="Arial" w:hAnsi="Arial" w:cs="Arial"/>
        </w:rPr>
        <w:t>In order to enhance the policy affordability of hospital discharge, the Community NHS Trust must:</w:t>
      </w:r>
    </w:p>
    <w:p w14:paraId="6D44F055" w14:textId="77777777" w:rsidR="00AD18AF" w:rsidRPr="00721667" w:rsidRDefault="00AD18AF" w:rsidP="00721667">
      <w:pPr>
        <w:pStyle w:val="ListParagraph"/>
        <w:numPr>
          <w:ilvl w:val="0"/>
          <w:numId w:val="9"/>
        </w:numPr>
        <w:spacing w:line="360" w:lineRule="auto"/>
        <w:rPr>
          <w:rFonts w:ascii="Arial" w:hAnsi="Arial" w:cs="Arial"/>
        </w:rPr>
      </w:pPr>
      <w:r w:rsidRPr="00721667">
        <w:rPr>
          <w:rFonts w:ascii="Arial" w:hAnsi="Arial" w:cs="Arial"/>
        </w:rPr>
        <w:t xml:space="preserve">Introduce evident discharge preparedness provisions using </w:t>
      </w:r>
      <w:proofErr w:type="spellStart"/>
      <w:r w:rsidRPr="00721667">
        <w:rPr>
          <w:rFonts w:ascii="Arial" w:hAnsi="Arial" w:cs="Arial"/>
        </w:rPr>
        <w:t>standardised</w:t>
      </w:r>
      <w:proofErr w:type="spellEnd"/>
      <w:r w:rsidRPr="00721667">
        <w:rPr>
          <w:rFonts w:ascii="Arial" w:hAnsi="Arial" w:cs="Arial"/>
        </w:rPr>
        <w:t xml:space="preserve"> documentation.</w:t>
      </w:r>
    </w:p>
    <w:p w14:paraId="08C4D987" w14:textId="77777777" w:rsidR="00AD18AF" w:rsidRPr="00721667" w:rsidRDefault="00AD18AF" w:rsidP="00721667">
      <w:pPr>
        <w:pStyle w:val="ListParagraph"/>
        <w:numPr>
          <w:ilvl w:val="0"/>
          <w:numId w:val="9"/>
        </w:numPr>
        <w:spacing w:line="360" w:lineRule="auto"/>
        <w:rPr>
          <w:rFonts w:ascii="Arial" w:hAnsi="Arial" w:cs="Arial"/>
        </w:rPr>
      </w:pPr>
      <w:r w:rsidRPr="00721667">
        <w:rPr>
          <w:rFonts w:ascii="Arial" w:hAnsi="Arial" w:cs="Arial"/>
        </w:rPr>
        <w:lastRenderedPageBreak/>
        <w:t>Have a coordinator assigned to each patient discharge to make them accountable.</w:t>
      </w:r>
    </w:p>
    <w:p w14:paraId="02D9D235" w14:textId="77777777" w:rsidR="00AD18AF" w:rsidRPr="00721667" w:rsidRDefault="00AD18AF" w:rsidP="00721667">
      <w:pPr>
        <w:pStyle w:val="ListParagraph"/>
        <w:numPr>
          <w:ilvl w:val="0"/>
          <w:numId w:val="9"/>
        </w:numPr>
        <w:spacing w:line="360" w:lineRule="auto"/>
        <w:rPr>
          <w:rFonts w:ascii="Arial" w:hAnsi="Arial" w:cs="Arial"/>
        </w:rPr>
      </w:pPr>
      <w:r w:rsidRPr="00721667">
        <w:rPr>
          <w:rFonts w:ascii="Arial" w:hAnsi="Arial" w:cs="Arial"/>
        </w:rPr>
        <w:t>Require that patients and carers engage in discharge planning, and learn about care and medication.</w:t>
      </w:r>
    </w:p>
    <w:p w14:paraId="7961FDA3" w14:textId="77777777" w:rsidR="00AD18AF" w:rsidRPr="00721667" w:rsidRDefault="00AD18AF" w:rsidP="00721667">
      <w:pPr>
        <w:pStyle w:val="ListParagraph"/>
        <w:numPr>
          <w:ilvl w:val="0"/>
          <w:numId w:val="9"/>
        </w:numPr>
        <w:spacing w:line="360" w:lineRule="auto"/>
        <w:rPr>
          <w:rFonts w:ascii="Arial" w:hAnsi="Arial" w:cs="Arial"/>
        </w:rPr>
      </w:pPr>
      <w:r w:rsidRPr="00721667">
        <w:rPr>
          <w:rFonts w:ascii="Arial" w:hAnsi="Arial" w:cs="Arial"/>
        </w:rPr>
        <w:t>Create minimum notice time and escalation channels of community teams.</w:t>
      </w:r>
    </w:p>
    <w:p w14:paraId="3F4C53DF" w14:textId="77777777" w:rsidR="00AD18AF" w:rsidRPr="00721667" w:rsidRDefault="00AD18AF" w:rsidP="00721667">
      <w:pPr>
        <w:pStyle w:val="ListParagraph"/>
        <w:numPr>
          <w:ilvl w:val="0"/>
          <w:numId w:val="9"/>
        </w:numPr>
        <w:spacing w:line="360" w:lineRule="auto"/>
        <w:rPr>
          <w:rFonts w:ascii="Arial" w:hAnsi="Arial" w:cs="Arial"/>
        </w:rPr>
      </w:pPr>
      <w:r w:rsidRPr="00721667">
        <w:rPr>
          <w:rFonts w:ascii="Arial" w:hAnsi="Arial" w:cs="Arial"/>
        </w:rPr>
        <w:t>Invest in interoperable IT systems in order to facilitate real-time communication between health and social care.</w:t>
      </w:r>
    </w:p>
    <w:p w14:paraId="6E3A73F1" w14:textId="77777777" w:rsidR="00AD18AF" w:rsidRPr="00721667" w:rsidRDefault="00AD18AF" w:rsidP="00721667">
      <w:pPr>
        <w:pStyle w:val="ListParagraph"/>
        <w:numPr>
          <w:ilvl w:val="0"/>
          <w:numId w:val="9"/>
        </w:numPr>
        <w:spacing w:line="360" w:lineRule="auto"/>
        <w:rPr>
          <w:rFonts w:ascii="Arial" w:hAnsi="Arial" w:cs="Arial"/>
        </w:rPr>
      </w:pPr>
      <w:r w:rsidRPr="00721667">
        <w:rPr>
          <w:rFonts w:ascii="Arial" w:hAnsi="Arial" w:cs="Arial"/>
        </w:rPr>
        <w:t>Offer combined hospital, community and social care staff training to encourage uniformity.</w:t>
      </w:r>
    </w:p>
    <w:p w14:paraId="537ECDE6" w14:textId="77777777" w:rsidR="00AD18AF" w:rsidRPr="00721667" w:rsidRDefault="00AD18AF" w:rsidP="00721667">
      <w:pPr>
        <w:pStyle w:val="ListParagraph"/>
        <w:numPr>
          <w:ilvl w:val="0"/>
          <w:numId w:val="9"/>
        </w:numPr>
        <w:spacing w:line="360" w:lineRule="auto"/>
        <w:rPr>
          <w:rFonts w:ascii="Arial" w:hAnsi="Arial" w:cs="Arial"/>
        </w:rPr>
      </w:pPr>
      <w:r w:rsidRPr="00721667">
        <w:rPr>
          <w:rFonts w:ascii="Arial" w:hAnsi="Arial" w:cs="Arial"/>
        </w:rPr>
        <w:t>Assess the performance using audits, readmission rates, and user feedback to secure ongoing improvement.</w:t>
      </w:r>
    </w:p>
    <w:p w14:paraId="42ADD961" w14:textId="77777777" w:rsidR="00AD18AF" w:rsidRPr="00721667" w:rsidRDefault="00AD18AF" w:rsidP="00721667">
      <w:pPr>
        <w:spacing w:line="360" w:lineRule="auto"/>
        <w:rPr>
          <w:rFonts w:ascii="Arial" w:hAnsi="Arial" w:cs="Arial"/>
          <w:b/>
        </w:rPr>
      </w:pPr>
      <w:r w:rsidRPr="00721667">
        <w:rPr>
          <w:rFonts w:ascii="Arial" w:hAnsi="Arial" w:cs="Arial"/>
          <w:b/>
        </w:rPr>
        <w:t>Conclusion</w:t>
      </w:r>
    </w:p>
    <w:p w14:paraId="22793C80" w14:textId="77777777" w:rsidR="00721667" w:rsidRPr="00721667" w:rsidRDefault="00AD18AF" w:rsidP="00721667">
      <w:pPr>
        <w:spacing w:line="360" w:lineRule="auto"/>
        <w:rPr>
          <w:rFonts w:ascii="Arial" w:hAnsi="Arial" w:cs="Arial"/>
        </w:rPr>
      </w:pPr>
      <w:r w:rsidRPr="00721667">
        <w:rPr>
          <w:rFonts w:ascii="Arial" w:hAnsi="Arial" w:cs="Arial"/>
        </w:rPr>
        <w:t xml:space="preserve">Patient safety and continuity of care focus on safe hospital discharge but involves inconsistent practices, which is a major </w:t>
      </w:r>
      <w:proofErr w:type="spellStart"/>
      <w:r w:rsidRPr="00721667">
        <w:rPr>
          <w:rFonts w:ascii="Arial" w:hAnsi="Arial" w:cs="Arial"/>
        </w:rPr>
        <w:t>organisational</w:t>
      </w:r>
      <w:proofErr w:type="spellEnd"/>
      <w:r w:rsidRPr="00721667">
        <w:rPr>
          <w:rFonts w:ascii="Arial" w:hAnsi="Arial" w:cs="Arial"/>
        </w:rPr>
        <w:t xml:space="preserve"> weakness. This guidance document has shown that unsafe discharge compromises the fundamental human requirements, interferes with professional cooperation, and puts more patients at a risk of readmission. There are obvious advantages of strengthening discharge policy and they are better safety, less strain on acute services and the improved results of patients and carers. Issues like shortages in workforce and disjointed IT systems should be expected but can be addressed through effective leadership, dedication of resources and collective training. With the help of incorporating person-</w:t>
      </w:r>
      <w:proofErr w:type="spellStart"/>
      <w:r w:rsidRPr="00721667">
        <w:rPr>
          <w:rFonts w:ascii="Arial" w:hAnsi="Arial" w:cs="Arial"/>
        </w:rPr>
        <w:t>centred</w:t>
      </w:r>
      <w:proofErr w:type="spellEnd"/>
      <w:r w:rsidRPr="00721667">
        <w:rPr>
          <w:rFonts w:ascii="Arial" w:hAnsi="Arial" w:cs="Arial"/>
        </w:rPr>
        <w:t xml:space="preserve"> principles, systems thinking, and Maslow hierarchy of needs into the practice, the Trust will be able to make discharge a coordinated and accountable process instead of a fragmented event. Finally, good discharge policy is not just a question of </w:t>
      </w:r>
      <w:proofErr w:type="spellStart"/>
      <w:r w:rsidRPr="00721667">
        <w:rPr>
          <w:rFonts w:ascii="Arial" w:hAnsi="Arial" w:cs="Arial"/>
        </w:rPr>
        <w:t>organisational</w:t>
      </w:r>
      <w:proofErr w:type="spellEnd"/>
      <w:r w:rsidRPr="00721667">
        <w:rPr>
          <w:rFonts w:ascii="Arial" w:hAnsi="Arial" w:cs="Arial"/>
        </w:rPr>
        <w:t xml:space="preserve"> efficiency but also pledge of dignity, independence and sustainable healthcare.</w:t>
      </w:r>
    </w:p>
    <w:p w14:paraId="2012C14F" w14:textId="77777777" w:rsidR="00721667" w:rsidRPr="00721667" w:rsidRDefault="00721667" w:rsidP="00721667">
      <w:pPr>
        <w:spacing w:line="360" w:lineRule="auto"/>
        <w:rPr>
          <w:rFonts w:ascii="Arial" w:hAnsi="Arial" w:cs="Arial"/>
        </w:rPr>
      </w:pPr>
    </w:p>
    <w:p w14:paraId="0A8EC021" w14:textId="77777777" w:rsidR="00721667" w:rsidRPr="00721667" w:rsidRDefault="00721667" w:rsidP="00721667">
      <w:pPr>
        <w:spacing w:line="360" w:lineRule="auto"/>
        <w:rPr>
          <w:rFonts w:ascii="Arial" w:hAnsi="Arial" w:cs="Arial"/>
        </w:rPr>
      </w:pPr>
    </w:p>
    <w:p w14:paraId="216D6FF5" w14:textId="77777777" w:rsidR="00721667" w:rsidRPr="00721667" w:rsidRDefault="00721667" w:rsidP="00721667">
      <w:pPr>
        <w:spacing w:line="360" w:lineRule="auto"/>
        <w:rPr>
          <w:rFonts w:ascii="Arial" w:hAnsi="Arial" w:cs="Arial"/>
          <w:b/>
        </w:rPr>
      </w:pPr>
      <w:r w:rsidRPr="00721667">
        <w:rPr>
          <w:rFonts w:ascii="Arial" w:hAnsi="Arial" w:cs="Arial"/>
          <w:b/>
        </w:rPr>
        <w:br w:type="page"/>
      </w:r>
    </w:p>
    <w:p w14:paraId="7E6CC5CB" w14:textId="77777777" w:rsidR="00721667" w:rsidRPr="00721667" w:rsidRDefault="00721667" w:rsidP="00721667">
      <w:pPr>
        <w:spacing w:line="360" w:lineRule="auto"/>
        <w:rPr>
          <w:rFonts w:ascii="Arial" w:hAnsi="Arial" w:cs="Arial"/>
          <w:b/>
        </w:rPr>
      </w:pPr>
      <w:r w:rsidRPr="00721667">
        <w:rPr>
          <w:rFonts w:ascii="Arial" w:hAnsi="Arial" w:cs="Arial"/>
          <w:b/>
        </w:rPr>
        <w:lastRenderedPageBreak/>
        <w:t>Reference List</w:t>
      </w:r>
    </w:p>
    <w:p w14:paraId="2DECFB00" w14:textId="77777777" w:rsidR="00721667" w:rsidRPr="00721667" w:rsidRDefault="00721667" w:rsidP="00721667">
      <w:pPr>
        <w:spacing w:line="360" w:lineRule="auto"/>
        <w:ind w:left="720" w:hanging="720"/>
        <w:rPr>
          <w:rFonts w:ascii="Arial" w:hAnsi="Arial" w:cs="Arial"/>
        </w:rPr>
      </w:pPr>
      <w:r w:rsidRPr="00721667">
        <w:rPr>
          <w:rFonts w:ascii="Arial" w:hAnsi="Arial" w:cs="Arial"/>
          <w:color w:val="222222"/>
          <w:shd w:val="clear" w:color="auto" w:fill="FFFFFF"/>
        </w:rPr>
        <w:t>Benson, T. and Grieve, G., 2021. </w:t>
      </w:r>
      <w:r w:rsidRPr="00721667">
        <w:rPr>
          <w:rFonts w:ascii="Arial" w:hAnsi="Arial" w:cs="Arial"/>
          <w:i/>
          <w:iCs/>
          <w:color w:val="222222"/>
          <w:shd w:val="clear" w:color="auto" w:fill="FFFFFF"/>
        </w:rPr>
        <w:t>Principles of health interoperability</w:t>
      </w:r>
      <w:r w:rsidRPr="00721667">
        <w:rPr>
          <w:rFonts w:ascii="Arial" w:hAnsi="Arial" w:cs="Arial"/>
          <w:color w:val="222222"/>
          <w:shd w:val="clear" w:color="auto" w:fill="FFFFFF"/>
        </w:rPr>
        <w:t>. Springer International Publishing.</w:t>
      </w:r>
    </w:p>
    <w:p w14:paraId="77660B62" w14:textId="77777777" w:rsidR="00721667" w:rsidRPr="00721667" w:rsidRDefault="00721667" w:rsidP="00721667">
      <w:pPr>
        <w:spacing w:line="360" w:lineRule="auto"/>
        <w:ind w:left="720" w:hanging="720"/>
        <w:rPr>
          <w:rFonts w:ascii="Arial" w:hAnsi="Arial" w:cs="Arial"/>
          <w:color w:val="222222"/>
          <w:shd w:val="clear" w:color="auto" w:fill="FFFFFF"/>
        </w:rPr>
      </w:pPr>
      <w:r w:rsidRPr="00721667">
        <w:rPr>
          <w:rFonts w:ascii="Arial" w:hAnsi="Arial" w:cs="Arial"/>
          <w:color w:val="222222"/>
          <w:shd w:val="clear" w:color="auto" w:fill="FFFFFF"/>
        </w:rPr>
        <w:t xml:space="preserve">Cantrell, A., Chambers, D. and Booth, A., 2024. Interventions to </w:t>
      </w:r>
      <w:proofErr w:type="spellStart"/>
      <w:r w:rsidRPr="00721667">
        <w:rPr>
          <w:rFonts w:ascii="Arial" w:hAnsi="Arial" w:cs="Arial"/>
          <w:color w:val="222222"/>
          <w:shd w:val="clear" w:color="auto" w:fill="FFFFFF"/>
        </w:rPr>
        <w:t>minimise</w:t>
      </w:r>
      <w:proofErr w:type="spellEnd"/>
      <w:r w:rsidRPr="00721667">
        <w:rPr>
          <w:rFonts w:ascii="Arial" w:hAnsi="Arial" w:cs="Arial"/>
          <w:color w:val="222222"/>
          <w:shd w:val="clear" w:color="auto" w:fill="FFFFFF"/>
        </w:rPr>
        <w:t xml:space="preserve"> hospital winter pressures related to discharge planning and integrated care: a rapid mapping review of UK evidence. </w:t>
      </w:r>
      <w:r w:rsidRPr="00721667">
        <w:rPr>
          <w:rFonts w:ascii="Arial" w:hAnsi="Arial" w:cs="Arial"/>
          <w:i/>
          <w:iCs/>
          <w:color w:val="222222"/>
          <w:shd w:val="clear" w:color="auto" w:fill="FFFFFF"/>
        </w:rPr>
        <w:t>Health and Social Care Delivery Research</w:t>
      </w:r>
      <w:r w:rsidRPr="00721667">
        <w:rPr>
          <w:rFonts w:ascii="Arial" w:hAnsi="Arial" w:cs="Arial"/>
          <w:color w:val="222222"/>
          <w:shd w:val="clear" w:color="auto" w:fill="FFFFFF"/>
        </w:rPr>
        <w:t>, </w:t>
      </w:r>
      <w:r w:rsidRPr="00721667">
        <w:rPr>
          <w:rFonts w:ascii="Arial" w:hAnsi="Arial" w:cs="Arial"/>
          <w:i/>
          <w:iCs/>
          <w:color w:val="222222"/>
          <w:shd w:val="clear" w:color="auto" w:fill="FFFFFF"/>
        </w:rPr>
        <w:t>12</w:t>
      </w:r>
      <w:r w:rsidRPr="00721667">
        <w:rPr>
          <w:rFonts w:ascii="Arial" w:hAnsi="Arial" w:cs="Arial"/>
          <w:color w:val="222222"/>
          <w:shd w:val="clear" w:color="auto" w:fill="FFFFFF"/>
        </w:rPr>
        <w:t>(31), pp.1-116.</w:t>
      </w:r>
    </w:p>
    <w:p w14:paraId="20CFAD62" w14:textId="77777777" w:rsidR="00721667" w:rsidRPr="00721667" w:rsidRDefault="00721667" w:rsidP="00721667">
      <w:pPr>
        <w:spacing w:line="360" w:lineRule="auto"/>
        <w:ind w:left="720" w:hanging="720"/>
        <w:rPr>
          <w:rFonts w:ascii="Arial" w:hAnsi="Arial" w:cs="Arial"/>
        </w:rPr>
      </w:pPr>
      <w:r w:rsidRPr="00721667">
        <w:rPr>
          <w:rFonts w:ascii="Arial" w:hAnsi="Arial" w:cs="Arial"/>
          <w:color w:val="222222"/>
          <w:shd w:val="clear" w:color="auto" w:fill="FFFFFF"/>
        </w:rPr>
        <w:t>Glasby, J., 2003. </w:t>
      </w:r>
      <w:r w:rsidRPr="00721667">
        <w:rPr>
          <w:rFonts w:ascii="Arial" w:hAnsi="Arial" w:cs="Arial"/>
          <w:i/>
          <w:iCs/>
          <w:color w:val="222222"/>
          <w:shd w:val="clear" w:color="auto" w:fill="FFFFFF"/>
        </w:rPr>
        <w:t>Hospital discharge: integrating health and social care</w:t>
      </w:r>
      <w:r w:rsidRPr="00721667">
        <w:rPr>
          <w:rFonts w:ascii="Arial" w:hAnsi="Arial" w:cs="Arial"/>
          <w:color w:val="222222"/>
          <w:shd w:val="clear" w:color="auto" w:fill="FFFFFF"/>
        </w:rPr>
        <w:t>. Radcliffe Publishing.</w:t>
      </w:r>
    </w:p>
    <w:p w14:paraId="5A3B48F7" w14:textId="77777777" w:rsidR="00721667" w:rsidRPr="00721667" w:rsidRDefault="00721667" w:rsidP="00721667">
      <w:pPr>
        <w:spacing w:line="360" w:lineRule="auto"/>
        <w:ind w:left="720" w:hanging="720"/>
        <w:rPr>
          <w:rFonts w:ascii="Arial" w:hAnsi="Arial" w:cs="Arial"/>
        </w:rPr>
      </w:pPr>
      <w:proofErr w:type="spellStart"/>
      <w:r w:rsidRPr="00721667">
        <w:rPr>
          <w:rFonts w:ascii="Arial" w:hAnsi="Arial" w:cs="Arial"/>
          <w:color w:val="222222"/>
          <w:shd w:val="clear" w:color="auto" w:fill="FFFFFF"/>
        </w:rPr>
        <w:t>Mwilongo</w:t>
      </w:r>
      <w:proofErr w:type="spellEnd"/>
      <w:r w:rsidRPr="00721667">
        <w:rPr>
          <w:rFonts w:ascii="Arial" w:hAnsi="Arial" w:cs="Arial"/>
          <w:color w:val="222222"/>
          <w:shd w:val="clear" w:color="auto" w:fill="FFFFFF"/>
        </w:rPr>
        <w:t xml:space="preserve">, N., </w:t>
      </w:r>
      <w:proofErr w:type="spellStart"/>
      <w:r w:rsidRPr="00721667">
        <w:rPr>
          <w:rFonts w:ascii="Arial" w:hAnsi="Arial" w:cs="Arial"/>
          <w:color w:val="222222"/>
          <w:shd w:val="clear" w:color="auto" w:fill="FFFFFF"/>
        </w:rPr>
        <w:t>Kaamo</w:t>
      </w:r>
      <w:proofErr w:type="spellEnd"/>
      <w:r w:rsidRPr="00721667">
        <w:rPr>
          <w:rFonts w:ascii="Arial" w:hAnsi="Arial" w:cs="Arial"/>
          <w:color w:val="222222"/>
          <w:shd w:val="clear" w:color="auto" w:fill="FFFFFF"/>
        </w:rPr>
        <w:t xml:space="preserve">, K. and </w:t>
      </w:r>
      <w:proofErr w:type="spellStart"/>
      <w:r w:rsidRPr="00721667">
        <w:rPr>
          <w:rFonts w:ascii="Arial" w:hAnsi="Arial" w:cs="Arial"/>
          <w:color w:val="222222"/>
          <w:shd w:val="clear" w:color="auto" w:fill="FFFFFF"/>
        </w:rPr>
        <w:t>Tumbo</w:t>
      </w:r>
      <w:proofErr w:type="spellEnd"/>
      <w:r w:rsidRPr="00721667">
        <w:rPr>
          <w:rFonts w:ascii="Arial" w:hAnsi="Arial" w:cs="Arial"/>
          <w:color w:val="222222"/>
          <w:shd w:val="clear" w:color="auto" w:fill="FFFFFF"/>
        </w:rPr>
        <w:t>, E., 2025. Challenges in Public Policy Implementation in Local Government Authorities: Who to Blame for Policy Failure?. </w:t>
      </w:r>
      <w:r w:rsidRPr="00721667">
        <w:rPr>
          <w:rFonts w:ascii="Arial" w:hAnsi="Arial" w:cs="Arial"/>
          <w:i/>
          <w:iCs/>
          <w:color w:val="222222"/>
          <w:shd w:val="clear" w:color="auto" w:fill="FFFFFF"/>
        </w:rPr>
        <w:t>Eminent Journal of Business and Management</w:t>
      </w:r>
      <w:r w:rsidRPr="00721667">
        <w:rPr>
          <w:rFonts w:ascii="Arial" w:hAnsi="Arial" w:cs="Arial"/>
          <w:color w:val="222222"/>
          <w:shd w:val="clear" w:color="auto" w:fill="FFFFFF"/>
        </w:rPr>
        <w:t>, </w:t>
      </w:r>
      <w:r w:rsidRPr="00721667">
        <w:rPr>
          <w:rFonts w:ascii="Arial" w:hAnsi="Arial" w:cs="Arial"/>
          <w:i/>
          <w:iCs/>
          <w:color w:val="222222"/>
          <w:shd w:val="clear" w:color="auto" w:fill="FFFFFF"/>
        </w:rPr>
        <w:t>1</w:t>
      </w:r>
      <w:r w:rsidRPr="00721667">
        <w:rPr>
          <w:rFonts w:ascii="Arial" w:hAnsi="Arial" w:cs="Arial"/>
          <w:color w:val="222222"/>
          <w:shd w:val="clear" w:color="auto" w:fill="FFFFFF"/>
        </w:rPr>
        <w:t>(1), pp.19-35.</w:t>
      </w:r>
    </w:p>
    <w:p w14:paraId="2F6B06B2" w14:textId="77777777" w:rsidR="00721667" w:rsidRPr="00721667" w:rsidRDefault="00721667" w:rsidP="00721667">
      <w:pPr>
        <w:spacing w:line="360" w:lineRule="auto"/>
        <w:ind w:left="720" w:hanging="720"/>
        <w:rPr>
          <w:rFonts w:ascii="Arial" w:hAnsi="Arial" w:cs="Arial"/>
        </w:rPr>
      </w:pPr>
      <w:proofErr w:type="spellStart"/>
      <w:r w:rsidRPr="00721667">
        <w:rPr>
          <w:rFonts w:ascii="Arial" w:hAnsi="Arial" w:cs="Arial"/>
          <w:color w:val="222222"/>
          <w:shd w:val="clear" w:color="auto" w:fill="FFFFFF"/>
        </w:rPr>
        <w:t>Omonaiye</w:t>
      </w:r>
      <w:proofErr w:type="spellEnd"/>
      <w:r w:rsidRPr="00721667">
        <w:rPr>
          <w:rFonts w:ascii="Arial" w:hAnsi="Arial" w:cs="Arial"/>
          <w:color w:val="222222"/>
          <w:shd w:val="clear" w:color="auto" w:fill="FFFFFF"/>
        </w:rPr>
        <w:t xml:space="preserve">, O., Ward-Stockham, K., </w:t>
      </w:r>
      <w:proofErr w:type="spellStart"/>
      <w:r w:rsidRPr="00721667">
        <w:rPr>
          <w:rFonts w:ascii="Arial" w:hAnsi="Arial" w:cs="Arial"/>
          <w:color w:val="222222"/>
          <w:shd w:val="clear" w:color="auto" w:fill="FFFFFF"/>
        </w:rPr>
        <w:t>Darzins</w:t>
      </w:r>
      <w:proofErr w:type="spellEnd"/>
      <w:r w:rsidRPr="00721667">
        <w:rPr>
          <w:rFonts w:ascii="Arial" w:hAnsi="Arial" w:cs="Arial"/>
          <w:color w:val="222222"/>
          <w:shd w:val="clear" w:color="auto" w:fill="FFFFFF"/>
        </w:rPr>
        <w:t>, P., Kitt, C., Newnham, E., Taylor, N.F. and Considine, J., 2024. Hospital discharge processes: Insights from patients, caregivers, and staff in an Australian healthcare setting. </w:t>
      </w:r>
      <w:proofErr w:type="spellStart"/>
      <w:r w:rsidRPr="00721667">
        <w:rPr>
          <w:rFonts w:ascii="Arial" w:hAnsi="Arial" w:cs="Arial"/>
          <w:i/>
          <w:iCs/>
          <w:color w:val="222222"/>
          <w:shd w:val="clear" w:color="auto" w:fill="FFFFFF"/>
        </w:rPr>
        <w:t>Plos</w:t>
      </w:r>
      <w:proofErr w:type="spellEnd"/>
      <w:r w:rsidRPr="00721667">
        <w:rPr>
          <w:rFonts w:ascii="Arial" w:hAnsi="Arial" w:cs="Arial"/>
          <w:i/>
          <w:iCs/>
          <w:color w:val="222222"/>
          <w:shd w:val="clear" w:color="auto" w:fill="FFFFFF"/>
        </w:rPr>
        <w:t xml:space="preserve"> one</w:t>
      </w:r>
      <w:r w:rsidRPr="00721667">
        <w:rPr>
          <w:rFonts w:ascii="Arial" w:hAnsi="Arial" w:cs="Arial"/>
          <w:color w:val="222222"/>
          <w:shd w:val="clear" w:color="auto" w:fill="FFFFFF"/>
        </w:rPr>
        <w:t>, </w:t>
      </w:r>
      <w:r w:rsidRPr="00721667">
        <w:rPr>
          <w:rFonts w:ascii="Arial" w:hAnsi="Arial" w:cs="Arial"/>
          <w:i/>
          <w:iCs/>
          <w:color w:val="222222"/>
          <w:shd w:val="clear" w:color="auto" w:fill="FFFFFF"/>
        </w:rPr>
        <w:t>19</w:t>
      </w:r>
      <w:r w:rsidRPr="00721667">
        <w:rPr>
          <w:rFonts w:ascii="Arial" w:hAnsi="Arial" w:cs="Arial"/>
          <w:color w:val="222222"/>
          <w:shd w:val="clear" w:color="auto" w:fill="FFFFFF"/>
        </w:rPr>
        <w:t>(9), p.e0308042.</w:t>
      </w:r>
    </w:p>
    <w:p w14:paraId="37ECA1C6" w14:textId="77777777" w:rsidR="00721667" w:rsidRPr="00721667" w:rsidRDefault="00721667" w:rsidP="00721667">
      <w:pPr>
        <w:spacing w:line="360" w:lineRule="auto"/>
        <w:ind w:left="720" w:hanging="720"/>
        <w:rPr>
          <w:rFonts w:ascii="Arial" w:hAnsi="Arial" w:cs="Arial"/>
          <w:color w:val="222222"/>
          <w:shd w:val="clear" w:color="auto" w:fill="FFFFFF"/>
        </w:rPr>
      </w:pPr>
      <w:r w:rsidRPr="00721667">
        <w:rPr>
          <w:rFonts w:ascii="Arial" w:hAnsi="Arial" w:cs="Arial"/>
          <w:color w:val="222222"/>
          <w:shd w:val="clear" w:color="auto" w:fill="FFFFFF"/>
        </w:rPr>
        <w:t xml:space="preserve">Phillips, M., 2025. Improving Patient Outcomes Post-Discharge: Implementing Evidence-Based Discharge Planning for High-Risk Mental Health and Substance Use Disorder Populations. Retrieved from: </w:t>
      </w:r>
      <w:hyperlink r:id="rId7" w:history="1">
        <w:r w:rsidRPr="00721667">
          <w:rPr>
            <w:rStyle w:val="Hyperlink"/>
            <w:rFonts w:ascii="Arial" w:hAnsi="Arial" w:cs="Arial"/>
            <w:shd w:val="clear" w:color="auto" w:fill="FFFFFF"/>
          </w:rPr>
          <w:t>https://arch.astate.edu/cgi/viewcontent.cgi?article=1183&amp;context=dnp-projects</w:t>
        </w:r>
      </w:hyperlink>
    </w:p>
    <w:p w14:paraId="0C06EADF" w14:textId="77777777" w:rsidR="00721667" w:rsidRPr="00721667" w:rsidRDefault="00721667" w:rsidP="00721667">
      <w:pPr>
        <w:spacing w:line="360" w:lineRule="auto"/>
        <w:ind w:left="720" w:hanging="720"/>
        <w:rPr>
          <w:rFonts w:ascii="Arial" w:hAnsi="Arial" w:cs="Arial"/>
          <w:color w:val="222222"/>
          <w:shd w:val="clear" w:color="auto" w:fill="FFFFFF"/>
        </w:rPr>
      </w:pPr>
      <w:r w:rsidRPr="00721667">
        <w:rPr>
          <w:rFonts w:ascii="Arial" w:hAnsi="Arial" w:cs="Arial"/>
          <w:color w:val="222222"/>
          <w:shd w:val="clear" w:color="auto" w:fill="FFFFFF"/>
        </w:rPr>
        <w:t>Scerri, A., Scerri, C. and Innes, A., The perceived and observed needs of patients with. </w:t>
      </w:r>
      <w:r w:rsidRPr="00721667">
        <w:rPr>
          <w:rFonts w:ascii="Arial" w:hAnsi="Arial" w:cs="Arial"/>
          <w:i/>
          <w:iCs/>
          <w:color w:val="222222"/>
          <w:shd w:val="clear" w:color="auto" w:fill="FFFFFF"/>
        </w:rPr>
        <w:t>Journal of Older People Nursing</w:t>
      </w:r>
      <w:r w:rsidRPr="00721667">
        <w:rPr>
          <w:rFonts w:ascii="Arial" w:hAnsi="Arial" w:cs="Arial"/>
          <w:color w:val="222222"/>
          <w:shd w:val="clear" w:color="auto" w:fill="FFFFFF"/>
        </w:rPr>
        <w:t>, </w:t>
      </w:r>
      <w:r w:rsidRPr="00721667">
        <w:rPr>
          <w:rFonts w:ascii="Arial" w:hAnsi="Arial" w:cs="Arial"/>
          <w:i/>
          <w:iCs/>
          <w:color w:val="222222"/>
          <w:shd w:val="clear" w:color="auto" w:fill="FFFFFF"/>
        </w:rPr>
        <w:t>5</w:t>
      </w:r>
      <w:r w:rsidRPr="00721667">
        <w:rPr>
          <w:rFonts w:ascii="Arial" w:hAnsi="Arial" w:cs="Arial"/>
          <w:color w:val="222222"/>
          <w:shd w:val="clear" w:color="auto" w:fill="FFFFFF"/>
        </w:rPr>
        <w:t xml:space="preserve">(2), pp.83-92. Retrieved from: </w:t>
      </w:r>
      <w:hyperlink r:id="rId8" w:history="1">
        <w:r w:rsidRPr="00721667">
          <w:rPr>
            <w:rStyle w:val="Hyperlink"/>
            <w:rFonts w:ascii="Arial" w:hAnsi="Arial" w:cs="Arial"/>
            <w:shd w:val="clear" w:color="auto" w:fill="FFFFFF"/>
          </w:rPr>
          <w:t>https://d1wqtxts1xzle7.cloudfront.net/74007854/Dementia_2520paper_2520FINAL_2520following_2520reviewers_2520comments_2520pre_2520publication_5B1_5D-libre.pdf?1635780903=&amp;response-content-disposition=inline%3B+filename%3DThe_perceived_and_observed_needs_of_pati.pdf&amp;Expires=1759409455&amp;Signature=ELFDHvEM5mGoDyprcHlPDrh0tsCMK9R9mcTrKPhiCqDT7Yk40tyDZLjk391pSWv~x57G965eRTgneofDAPuVUe3QL2BV8DWYmfpG07Or3KAVZRL6oVtYVYakB9~pRJyh7JcevsN~kXf7y0e7oKOQAb8Qf1t4V1io-Ed51dtPPthikfC3R1~mW3XHf6OVRRSbpV-0jv2vx-HEvhuj-MZJTdR7-Aa5HE37zwa~Sujzt2zX4DEtCIM6Jmwzp34oGHP3b~1eINFozb2NG~3D0Xt1fldTrIiR3-Y24ZwY~1JL9XAdT18EDLdUjIamcPJ6bimoXwrpnxEQ8uPPN3r~K0KMvw__&amp;Key-Pair-Id=APKAJLOHF5GGSLRBV4ZA</w:t>
        </w:r>
      </w:hyperlink>
    </w:p>
    <w:p w14:paraId="006D1A7F" w14:textId="77777777" w:rsidR="00721667" w:rsidRPr="00721667" w:rsidRDefault="00721667" w:rsidP="00721667">
      <w:pPr>
        <w:spacing w:line="360" w:lineRule="auto"/>
        <w:ind w:left="720" w:hanging="720"/>
        <w:rPr>
          <w:rFonts w:ascii="Arial" w:hAnsi="Arial" w:cs="Arial"/>
        </w:rPr>
      </w:pPr>
      <w:r w:rsidRPr="00721667">
        <w:rPr>
          <w:rFonts w:ascii="Arial" w:hAnsi="Arial" w:cs="Arial"/>
          <w:color w:val="222222"/>
          <w:shd w:val="clear" w:color="auto" w:fill="FFFFFF"/>
        </w:rPr>
        <w:lastRenderedPageBreak/>
        <w:t>UK, N.G.A., 2022. Service coordination: barriers and facilitators to accessing rehabilitation services following discharge to the community.</w:t>
      </w:r>
    </w:p>
    <w:p w14:paraId="749E376D" w14:textId="77777777" w:rsidR="00721667" w:rsidRPr="00721667" w:rsidRDefault="00721667" w:rsidP="00721667">
      <w:pPr>
        <w:spacing w:line="360" w:lineRule="auto"/>
        <w:rPr>
          <w:rFonts w:ascii="Arial" w:hAnsi="Arial" w:cs="Arial"/>
          <w:color w:val="222222"/>
          <w:shd w:val="clear" w:color="auto" w:fill="FFFFFF"/>
        </w:rPr>
      </w:pPr>
      <w:r w:rsidRPr="00721667">
        <w:rPr>
          <w:rFonts w:ascii="Arial" w:hAnsi="Arial" w:cs="Arial"/>
          <w:color w:val="222222"/>
          <w:shd w:val="clear" w:color="auto" w:fill="FFFFFF"/>
        </w:rPr>
        <w:t>Ulin, K., Olsson, L.E., Wolf, A. and Ekman, I., 2016. Person-</w:t>
      </w:r>
      <w:proofErr w:type="spellStart"/>
      <w:r w:rsidRPr="00721667">
        <w:rPr>
          <w:rFonts w:ascii="Arial" w:hAnsi="Arial" w:cs="Arial"/>
          <w:color w:val="222222"/>
          <w:shd w:val="clear" w:color="auto" w:fill="FFFFFF"/>
        </w:rPr>
        <w:t>centred</w:t>
      </w:r>
      <w:proofErr w:type="spellEnd"/>
      <w:r w:rsidRPr="00721667">
        <w:rPr>
          <w:rFonts w:ascii="Arial" w:hAnsi="Arial" w:cs="Arial"/>
          <w:color w:val="222222"/>
          <w:shd w:val="clear" w:color="auto" w:fill="FFFFFF"/>
        </w:rPr>
        <w:t xml:space="preserve"> care–An approach that improves the discharge process. </w:t>
      </w:r>
      <w:r w:rsidRPr="00721667">
        <w:rPr>
          <w:rFonts w:ascii="Arial" w:hAnsi="Arial" w:cs="Arial"/>
          <w:i/>
          <w:iCs/>
          <w:color w:val="222222"/>
          <w:shd w:val="clear" w:color="auto" w:fill="FFFFFF"/>
        </w:rPr>
        <w:t>European Journal of Cardiovascular Nursing</w:t>
      </w:r>
      <w:r w:rsidRPr="00721667">
        <w:rPr>
          <w:rFonts w:ascii="Arial" w:hAnsi="Arial" w:cs="Arial"/>
          <w:color w:val="222222"/>
          <w:shd w:val="clear" w:color="auto" w:fill="FFFFFF"/>
        </w:rPr>
        <w:t>, </w:t>
      </w:r>
      <w:r w:rsidRPr="00721667">
        <w:rPr>
          <w:rFonts w:ascii="Arial" w:hAnsi="Arial" w:cs="Arial"/>
          <w:i/>
          <w:iCs/>
          <w:color w:val="222222"/>
          <w:shd w:val="clear" w:color="auto" w:fill="FFFFFF"/>
        </w:rPr>
        <w:t>15</w:t>
      </w:r>
      <w:r w:rsidRPr="00721667">
        <w:rPr>
          <w:rFonts w:ascii="Arial" w:hAnsi="Arial" w:cs="Arial"/>
          <w:color w:val="222222"/>
          <w:shd w:val="clear" w:color="auto" w:fill="FFFFFF"/>
        </w:rPr>
        <w:t xml:space="preserve">(3), pp.e19-e26. Retrieved from: </w:t>
      </w:r>
      <w:hyperlink r:id="rId9" w:history="1">
        <w:r w:rsidRPr="00721667">
          <w:rPr>
            <w:rStyle w:val="Hyperlink"/>
            <w:rFonts w:ascii="Arial" w:hAnsi="Arial" w:cs="Arial"/>
            <w:shd w:val="clear" w:color="auto" w:fill="FFFFFF"/>
          </w:rPr>
          <w:t>https://www.researchgate.net/profile/Kerstin-Ulin/publication/271593461_Author's_response/links/54e5bc470cf2cd2e028b2e12/Authors-response.pdf</w:t>
        </w:r>
      </w:hyperlink>
    </w:p>
    <w:p w14:paraId="74C140C3" w14:textId="77777777" w:rsidR="00721667" w:rsidRPr="00721667" w:rsidRDefault="00721667" w:rsidP="00721667">
      <w:pPr>
        <w:spacing w:line="360" w:lineRule="auto"/>
        <w:rPr>
          <w:rFonts w:ascii="Arial" w:hAnsi="Arial" w:cs="Arial"/>
          <w:color w:val="222222"/>
          <w:shd w:val="clear" w:color="auto" w:fill="FFFFFF"/>
        </w:rPr>
      </w:pPr>
      <w:r w:rsidRPr="00721667">
        <w:rPr>
          <w:rFonts w:ascii="Arial" w:hAnsi="Arial" w:cs="Arial"/>
          <w:color w:val="222222"/>
          <w:shd w:val="clear" w:color="auto" w:fill="FFFFFF"/>
        </w:rPr>
        <w:t>World Health Organization and Office of the United Nations High Commissioner for Human Rights (UN Human Rights), 2023. </w:t>
      </w:r>
      <w:r w:rsidRPr="00721667">
        <w:rPr>
          <w:rFonts w:ascii="Arial" w:hAnsi="Arial" w:cs="Arial"/>
          <w:i/>
          <w:iCs/>
          <w:color w:val="222222"/>
          <w:shd w:val="clear" w:color="auto" w:fill="FFFFFF"/>
        </w:rPr>
        <w:t>Mental health, human rights and legislation: guidance and practice</w:t>
      </w:r>
      <w:r w:rsidRPr="00721667">
        <w:rPr>
          <w:rFonts w:ascii="Arial" w:hAnsi="Arial" w:cs="Arial"/>
          <w:color w:val="222222"/>
          <w:shd w:val="clear" w:color="auto" w:fill="FFFFFF"/>
        </w:rPr>
        <w:t xml:space="preserve">. World Health Organization.  Retrieved from: </w:t>
      </w:r>
      <w:hyperlink r:id="rId10" w:anchor="v=onepage&amp;q&amp;f=false" w:history="1">
        <w:r w:rsidRPr="00721667">
          <w:rPr>
            <w:rStyle w:val="Hyperlink"/>
            <w:rFonts w:ascii="Arial" w:hAnsi="Arial" w:cs="Arial"/>
            <w:shd w:val="clear" w:color="auto" w:fill="FFFFFF"/>
          </w:rPr>
          <w:t>https://books.google.co.ke/books?hl=en&amp;lr=&amp;id=46MOEQAAQBAJ&amp;oi=fnd&amp;pg=PR7&amp;dq=.+In+aid+of+legislation,+including+the+Care+Act+2014+and+the+Health+and+Care+Act+2022,+will+be+mentioned+where+it+is+relevant,+but+the+focus+will+mainly+be+on+organisational+practice.+&amp;ots=-jDGQH4kNA&amp;sig=cIEDonyidDCBRZZ0l0Zv-ACfBIc&amp;redir_esc=y#v=onepage&amp;q&amp;f=false</w:t>
        </w:r>
      </w:hyperlink>
    </w:p>
    <w:p w14:paraId="34DE816F" w14:textId="77777777" w:rsidR="00721667" w:rsidRPr="00721667" w:rsidRDefault="00721667" w:rsidP="00721667">
      <w:pPr>
        <w:spacing w:line="360" w:lineRule="auto"/>
        <w:rPr>
          <w:rFonts w:ascii="Arial" w:hAnsi="Arial" w:cs="Arial"/>
        </w:rPr>
      </w:pPr>
    </w:p>
    <w:p w14:paraId="57185E42" w14:textId="77777777" w:rsidR="00AD18AF" w:rsidRPr="00721667" w:rsidRDefault="00AD18AF" w:rsidP="00721667">
      <w:pPr>
        <w:spacing w:line="360" w:lineRule="auto"/>
        <w:rPr>
          <w:rFonts w:ascii="Arial" w:hAnsi="Arial" w:cs="Arial"/>
        </w:rPr>
      </w:pPr>
    </w:p>
    <w:sectPr w:rsidR="00AD18AF" w:rsidRPr="00721667">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BECB2" w14:textId="77777777" w:rsidR="004F525E" w:rsidRDefault="004F525E" w:rsidP="0027123C">
      <w:pPr>
        <w:spacing w:after="0" w:line="240" w:lineRule="auto"/>
      </w:pPr>
      <w:r>
        <w:separator/>
      </w:r>
    </w:p>
  </w:endnote>
  <w:endnote w:type="continuationSeparator" w:id="0">
    <w:p w14:paraId="27354B25" w14:textId="77777777" w:rsidR="004F525E" w:rsidRDefault="004F525E" w:rsidP="00271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13150" w14:textId="77777777" w:rsidR="004F525E" w:rsidRDefault="004F525E" w:rsidP="0027123C">
      <w:pPr>
        <w:spacing w:after="0" w:line="240" w:lineRule="auto"/>
      </w:pPr>
      <w:r>
        <w:separator/>
      </w:r>
    </w:p>
  </w:footnote>
  <w:footnote w:type="continuationSeparator" w:id="0">
    <w:p w14:paraId="0CA6B60E" w14:textId="77777777" w:rsidR="004F525E" w:rsidRDefault="004F525E" w:rsidP="002712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14785"/>
      <w:docPartObj>
        <w:docPartGallery w:val="Page Numbers (Top of Page)"/>
        <w:docPartUnique/>
      </w:docPartObj>
    </w:sdtPr>
    <w:sdtEndPr>
      <w:rPr>
        <w:noProof/>
      </w:rPr>
    </w:sdtEndPr>
    <w:sdtContent>
      <w:p w14:paraId="7CA4E1FF" w14:textId="77777777" w:rsidR="0027123C" w:rsidRDefault="0027123C">
        <w:pPr>
          <w:pStyle w:val="Header"/>
          <w:jc w:val="right"/>
        </w:pPr>
        <w:r>
          <w:fldChar w:fldCharType="begin"/>
        </w:r>
        <w:r>
          <w:instrText xml:space="preserve"> PAGE   \* MERGEFORMAT </w:instrText>
        </w:r>
        <w:r>
          <w:fldChar w:fldCharType="separate"/>
        </w:r>
        <w:r w:rsidR="00721667">
          <w:rPr>
            <w:noProof/>
          </w:rPr>
          <w:t>3</w:t>
        </w:r>
        <w:r>
          <w:rPr>
            <w:noProof/>
          </w:rPr>
          <w:fldChar w:fldCharType="end"/>
        </w:r>
      </w:p>
    </w:sdtContent>
  </w:sdt>
  <w:p w14:paraId="5C7EF436" w14:textId="77777777" w:rsidR="0027123C" w:rsidRDefault="002712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03D3"/>
    <w:multiLevelType w:val="hybridMultilevel"/>
    <w:tmpl w:val="D338A628"/>
    <w:lvl w:ilvl="0" w:tplc="2000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42310"/>
    <w:multiLevelType w:val="hybridMultilevel"/>
    <w:tmpl w:val="97B0B47C"/>
    <w:lvl w:ilvl="0" w:tplc="2000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2674AD"/>
    <w:multiLevelType w:val="hybridMultilevel"/>
    <w:tmpl w:val="C5B667AC"/>
    <w:lvl w:ilvl="0" w:tplc="2000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1E39E9"/>
    <w:multiLevelType w:val="hybridMultilevel"/>
    <w:tmpl w:val="737E0F9E"/>
    <w:lvl w:ilvl="0" w:tplc="2000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58704A"/>
    <w:multiLevelType w:val="hybridMultilevel"/>
    <w:tmpl w:val="EE5AA0DA"/>
    <w:lvl w:ilvl="0" w:tplc="2000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C057ED"/>
    <w:multiLevelType w:val="hybridMultilevel"/>
    <w:tmpl w:val="D5F0F36A"/>
    <w:lvl w:ilvl="0" w:tplc="2000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106311"/>
    <w:multiLevelType w:val="hybridMultilevel"/>
    <w:tmpl w:val="5712E516"/>
    <w:lvl w:ilvl="0" w:tplc="2000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3C291D"/>
    <w:multiLevelType w:val="hybridMultilevel"/>
    <w:tmpl w:val="B8DC84E0"/>
    <w:lvl w:ilvl="0" w:tplc="2000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5C72EA"/>
    <w:multiLevelType w:val="hybridMultilevel"/>
    <w:tmpl w:val="D46A9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BF00DD"/>
    <w:multiLevelType w:val="hybridMultilevel"/>
    <w:tmpl w:val="C1B4977E"/>
    <w:lvl w:ilvl="0" w:tplc="2000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DB5B38"/>
    <w:multiLevelType w:val="hybridMultilevel"/>
    <w:tmpl w:val="902C6BEA"/>
    <w:lvl w:ilvl="0" w:tplc="2000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6363768">
    <w:abstractNumId w:val="8"/>
  </w:num>
  <w:num w:numId="2" w16cid:durableId="806318090">
    <w:abstractNumId w:val="1"/>
  </w:num>
  <w:num w:numId="3" w16cid:durableId="1251550370">
    <w:abstractNumId w:val="2"/>
  </w:num>
  <w:num w:numId="4" w16cid:durableId="38823977">
    <w:abstractNumId w:val="6"/>
  </w:num>
  <w:num w:numId="5" w16cid:durableId="150222285">
    <w:abstractNumId w:val="4"/>
  </w:num>
  <w:num w:numId="6" w16cid:durableId="2126263194">
    <w:abstractNumId w:val="7"/>
  </w:num>
  <w:num w:numId="7" w16cid:durableId="597299513">
    <w:abstractNumId w:val="9"/>
  </w:num>
  <w:num w:numId="8" w16cid:durableId="614095080">
    <w:abstractNumId w:val="5"/>
  </w:num>
  <w:num w:numId="9" w16cid:durableId="1893691228">
    <w:abstractNumId w:val="0"/>
  </w:num>
  <w:num w:numId="10" w16cid:durableId="1574468937">
    <w:abstractNumId w:val="10"/>
  </w:num>
  <w:num w:numId="11" w16cid:durableId="21029877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129"/>
    <w:rsid w:val="0008363C"/>
    <w:rsid w:val="001E7661"/>
    <w:rsid w:val="0027123C"/>
    <w:rsid w:val="004F525E"/>
    <w:rsid w:val="005C3596"/>
    <w:rsid w:val="00721667"/>
    <w:rsid w:val="00725FC1"/>
    <w:rsid w:val="008A25D4"/>
    <w:rsid w:val="009E3129"/>
    <w:rsid w:val="00AD18AF"/>
    <w:rsid w:val="00B805AB"/>
    <w:rsid w:val="00C652F5"/>
    <w:rsid w:val="00D20137"/>
    <w:rsid w:val="00EB04D2"/>
    <w:rsid w:val="00F53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91725"/>
  <w15:chartTrackingRefBased/>
  <w15:docId w15:val="{F02821CC-5AC1-4E4F-BEE7-6F1C29FEB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3129"/>
    <w:pPr>
      <w:ind w:left="720"/>
      <w:contextualSpacing/>
    </w:pPr>
  </w:style>
  <w:style w:type="paragraph" w:styleId="Header">
    <w:name w:val="header"/>
    <w:basedOn w:val="Normal"/>
    <w:link w:val="HeaderChar"/>
    <w:uiPriority w:val="99"/>
    <w:unhideWhenUsed/>
    <w:rsid w:val="002712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123C"/>
  </w:style>
  <w:style w:type="paragraph" w:styleId="Footer">
    <w:name w:val="footer"/>
    <w:basedOn w:val="Normal"/>
    <w:link w:val="FooterChar"/>
    <w:uiPriority w:val="99"/>
    <w:unhideWhenUsed/>
    <w:rsid w:val="002712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123C"/>
  </w:style>
  <w:style w:type="character" w:styleId="Hyperlink">
    <w:name w:val="Hyperlink"/>
    <w:basedOn w:val="DefaultParagraphFont"/>
    <w:uiPriority w:val="99"/>
    <w:unhideWhenUsed/>
    <w:rsid w:val="007216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74007854/Dementia_2520paper_2520FINAL_2520following_2520reviewers_2520comments_2520pre_2520publication_5B1_5D-libre.pdf?1635780903=&amp;response-content-disposition=inline%3B+filename%3DThe_perceived_and_observed_needs_of_pati.pdf&amp;Expires=1759409455&amp;Signature=ELFDHvEM5mGoDyprcHlPDrh0tsCMK9R9mcTrKPhiCqDT7Yk40tyDZLjk391pSWv~x57G965eRTgneofDAPuVUe3QL2BV8DWYmfpG07Or3KAVZRL6oVtYVYakB9~pRJyh7JcevsN~kXf7y0e7oKOQAb8Qf1t4V1io-Ed51dtPPthikfC3R1~mW3XHf6OVRRSbpV-0jv2vx-HEvhuj-MZJTdR7-Aa5HE37zwa~Sujzt2zX4DEtCIM6Jmwzp34oGHP3b~1eINFozb2NG~3D0Xt1fldTrIiR3-Y24ZwY~1JL9XAdT18EDLdUjIamcPJ6bimoXwrpnxEQ8uPPN3r~K0KMvw__&amp;Key-Pair-Id=APKAJLOHF5GGSLRBV4Z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rch.astate.edu/cgi/viewcontent.cgi?article=1183&amp;context=dnp-projec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books.google.co.ke/books?hl=en&amp;lr=&amp;id=46MOEQAAQBAJ&amp;oi=fnd&amp;pg=PR7&amp;dq=.+In+aid+of+legislation,+including+the+Care+Act+2014+and+the+Health+and+Care+Act+2022,+will+be+mentioned+where+it+is+relevant,+but+the+focus+will+mainly+be+on+organisational+practice.+&amp;ots=-jDGQH4kNA&amp;sig=cIEDonyidDCBRZZ0l0Zv-ACfBIc&amp;redir_esc=y" TargetMode="External"/><Relationship Id="rId4" Type="http://schemas.openxmlformats.org/officeDocument/2006/relationships/webSettings" Target="webSettings.xml"/><Relationship Id="rId9" Type="http://schemas.openxmlformats.org/officeDocument/2006/relationships/hyperlink" Target="https://www.researchgate.net/profile/Kerstin-Ulin/publication/271593461_Author's_response/links/54e5bc470cf2cd2e028b2e12/Authors-respons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3016</Words>
  <Characters>17193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Gwaro</dc:creator>
  <cp:keywords/>
  <dc:description/>
  <cp:lastModifiedBy>shabana ali</cp:lastModifiedBy>
  <cp:revision>2</cp:revision>
  <dcterms:created xsi:type="dcterms:W3CDTF">2025-10-08T22:13:00Z</dcterms:created>
  <dcterms:modified xsi:type="dcterms:W3CDTF">2025-10-08T22:13:00Z</dcterms:modified>
</cp:coreProperties>
</file>