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A45B9" w14:textId="6F8660AF" w:rsidR="008B2A6F" w:rsidRDefault="4A666FC3" w:rsidP="191104DE">
      <w:pPr>
        <w:jc w:val="center"/>
        <w:rPr>
          <w:rFonts w:ascii="Arial" w:eastAsia="Arial" w:hAnsi="Arial" w:cs="Arial"/>
          <w:color w:val="000000" w:themeColor="text1"/>
          <w:sz w:val="36"/>
          <w:szCs w:val="36"/>
        </w:rPr>
      </w:pPr>
      <w:r w:rsidRPr="191104DE">
        <w:rPr>
          <w:rFonts w:ascii="Arial" w:eastAsia="Arial" w:hAnsi="Arial" w:cs="Arial"/>
          <w:b/>
          <w:bCs/>
          <w:i/>
          <w:iCs/>
          <w:color w:val="000000" w:themeColor="text1"/>
          <w:sz w:val="36"/>
          <w:szCs w:val="36"/>
        </w:rPr>
        <w:t xml:space="preserve">Principles of Health and Social Care Practice </w:t>
      </w:r>
    </w:p>
    <w:p w14:paraId="4C72ED22" w14:textId="7AE6CF4E"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Name</w:t>
      </w:r>
      <w:r w:rsidRPr="191104DE">
        <w:rPr>
          <w:rFonts w:ascii="Arial" w:eastAsia="Arial" w:hAnsi="Arial" w:cs="Arial"/>
          <w:color w:val="000000" w:themeColor="text1"/>
        </w:rPr>
        <w:t xml:space="preserve">: </w:t>
      </w:r>
      <w:r w:rsidRPr="191104DE">
        <w:rPr>
          <w:rFonts w:ascii="Arial" w:eastAsia="Arial" w:hAnsi="Arial" w:cs="Arial"/>
          <w:b/>
          <w:bCs/>
          <w:color w:val="000000" w:themeColor="text1"/>
          <w:sz w:val="28"/>
          <w:szCs w:val="28"/>
        </w:rPr>
        <w:t>Rosiane Hatchodji Tchoumte Epse Tchounkeu</w:t>
      </w:r>
    </w:p>
    <w:p w14:paraId="289177D2" w14:textId="2ED9A380"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Student Number:</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2439419</w:t>
      </w:r>
    </w:p>
    <w:p w14:paraId="2B543FF5" w14:textId="4E97B4C4"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Module code and title:</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BMHP5016</w:t>
      </w:r>
    </w:p>
    <w:p w14:paraId="24C99A6B" w14:textId="52FCB7B4"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b/>
          <w:bCs/>
          <w:color w:val="000000" w:themeColor="text1"/>
          <w:sz w:val="28"/>
          <w:szCs w:val="28"/>
        </w:rPr>
        <w:t>Component 2: Written Assignment (Report)</w:t>
      </w:r>
    </w:p>
    <w:p w14:paraId="717E52E0" w14:textId="2337129B" w:rsidR="008B2A6F" w:rsidRDefault="4A666FC3" w:rsidP="191104DE">
      <w:pPr>
        <w:spacing w:line="360" w:lineRule="auto"/>
        <w:jc w:val="center"/>
        <w:rPr>
          <w:rFonts w:ascii="Arial" w:eastAsia="Arial" w:hAnsi="Arial" w:cs="Arial"/>
          <w:color w:val="000000" w:themeColor="text1"/>
          <w:sz w:val="28"/>
          <w:szCs w:val="28"/>
        </w:rPr>
      </w:pPr>
      <w:r w:rsidRPr="191104DE">
        <w:rPr>
          <w:rFonts w:ascii="Arial" w:eastAsia="Arial" w:hAnsi="Arial" w:cs="Arial"/>
          <w:color w:val="000000" w:themeColor="text1"/>
          <w:u w:val="single"/>
        </w:rPr>
        <w:t>Lecturer:</w:t>
      </w:r>
      <w:r w:rsidRPr="191104DE">
        <w:rPr>
          <w:rFonts w:ascii="Arial" w:eastAsia="Arial" w:hAnsi="Arial" w:cs="Arial"/>
          <w:b/>
          <w:bCs/>
          <w:color w:val="000000" w:themeColor="text1"/>
          <w:sz w:val="32"/>
          <w:szCs w:val="32"/>
        </w:rPr>
        <w:t xml:space="preserve"> </w:t>
      </w:r>
      <w:r w:rsidRPr="191104DE">
        <w:rPr>
          <w:rFonts w:ascii="Arial" w:eastAsia="Arial" w:hAnsi="Arial" w:cs="Arial"/>
          <w:b/>
          <w:bCs/>
          <w:color w:val="000000" w:themeColor="text1"/>
          <w:sz w:val="28"/>
          <w:szCs w:val="28"/>
        </w:rPr>
        <w:t>Mr Rizwan Nadim</w:t>
      </w:r>
    </w:p>
    <w:p w14:paraId="218BE138" w14:textId="31183C68" w:rsidR="008B2A6F" w:rsidRDefault="008B2A6F" w:rsidP="191104DE">
      <w:pPr>
        <w:spacing w:line="360" w:lineRule="auto"/>
        <w:jc w:val="center"/>
        <w:rPr>
          <w:rFonts w:ascii="Arial" w:eastAsia="Arial" w:hAnsi="Arial" w:cs="Arial"/>
          <w:color w:val="000000" w:themeColor="text1"/>
          <w:sz w:val="28"/>
          <w:szCs w:val="28"/>
        </w:rPr>
      </w:pPr>
    </w:p>
    <w:p w14:paraId="0AB1F7F6" w14:textId="58E2398C" w:rsidR="008B2A6F" w:rsidRDefault="008B2A6F" w:rsidP="191104DE">
      <w:pPr>
        <w:spacing w:line="360" w:lineRule="auto"/>
        <w:jc w:val="center"/>
        <w:rPr>
          <w:rFonts w:ascii="Arial" w:eastAsia="Arial" w:hAnsi="Arial" w:cs="Arial"/>
          <w:color w:val="000000" w:themeColor="text1"/>
          <w:sz w:val="28"/>
          <w:szCs w:val="28"/>
        </w:rPr>
      </w:pPr>
    </w:p>
    <w:p w14:paraId="5B3ECB76" w14:textId="4C42A869" w:rsidR="008B2A6F" w:rsidRDefault="008B2A6F" w:rsidP="191104DE">
      <w:pPr>
        <w:spacing w:line="360" w:lineRule="auto"/>
        <w:jc w:val="center"/>
        <w:rPr>
          <w:rFonts w:ascii="Arial" w:eastAsia="Arial" w:hAnsi="Arial" w:cs="Arial"/>
          <w:color w:val="000000" w:themeColor="text1"/>
          <w:sz w:val="28"/>
          <w:szCs w:val="28"/>
        </w:rPr>
      </w:pPr>
    </w:p>
    <w:p w14:paraId="3A3ADE1C" w14:textId="6B171394" w:rsidR="008B2A6F" w:rsidRDefault="008B2A6F" w:rsidP="191104DE">
      <w:pPr>
        <w:spacing w:line="360" w:lineRule="auto"/>
        <w:jc w:val="center"/>
        <w:rPr>
          <w:rFonts w:ascii="Arial" w:eastAsia="Arial" w:hAnsi="Arial" w:cs="Arial"/>
          <w:color w:val="000000" w:themeColor="text1"/>
          <w:sz w:val="28"/>
          <w:szCs w:val="28"/>
        </w:rPr>
      </w:pPr>
    </w:p>
    <w:p w14:paraId="5E5787A5" w14:textId="56AC7F1B" w:rsidR="008B2A6F" w:rsidRDefault="008B2A6F" w:rsidP="191104DE">
      <w:pPr>
        <w:rPr>
          <w:sz w:val="22"/>
          <w:szCs w:val="22"/>
        </w:rPr>
      </w:pPr>
    </w:p>
    <w:p w14:paraId="7C3962B0" w14:textId="74D004D5" w:rsidR="191104DE" w:rsidRDefault="191104DE" w:rsidP="191104DE">
      <w:pPr>
        <w:rPr>
          <w:sz w:val="22"/>
          <w:szCs w:val="22"/>
        </w:rPr>
      </w:pPr>
    </w:p>
    <w:p w14:paraId="3F0D953D" w14:textId="0334D4A4" w:rsidR="191104DE" w:rsidRDefault="191104DE" w:rsidP="191104DE">
      <w:pPr>
        <w:rPr>
          <w:sz w:val="22"/>
          <w:szCs w:val="22"/>
        </w:rPr>
      </w:pPr>
    </w:p>
    <w:p w14:paraId="0B4CDBE9" w14:textId="7C990F91" w:rsidR="191104DE" w:rsidRDefault="191104DE" w:rsidP="191104DE">
      <w:pPr>
        <w:rPr>
          <w:sz w:val="22"/>
          <w:szCs w:val="22"/>
        </w:rPr>
      </w:pPr>
    </w:p>
    <w:p w14:paraId="039F8685" w14:textId="35BF9CAD" w:rsidR="191104DE" w:rsidRDefault="191104DE" w:rsidP="191104DE">
      <w:pPr>
        <w:rPr>
          <w:sz w:val="22"/>
          <w:szCs w:val="22"/>
        </w:rPr>
      </w:pPr>
    </w:p>
    <w:p w14:paraId="168EB96D" w14:textId="1339D975" w:rsidR="191104DE" w:rsidRDefault="191104DE" w:rsidP="191104DE">
      <w:pPr>
        <w:rPr>
          <w:sz w:val="22"/>
          <w:szCs w:val="22"/>
        </w:rPr>
      </w:pPr>
    </w:p>
    <w:p w14:paraId="1DF67293" w14:textId="49328E1F" w:rsidR="191104DE" w:rsidRDefault="191104DE" w:rsidP="191104DE">
      <w:pPr>
        <w:rPr>
          <w:sz w:val="22"/>
          <w:szCs w:val="22"/>
        </w:rPr>
      </w:pPr>
    </w:p>
    <w:p w14:paraId="0007B685" w14:textId="7E486972" w:rsidR="191104DE" w:rsidRDefault="191104DE" w:rsidP="191104DE">
      <w:pPr>
        <w:rPr>
          <w:sz w:val="22"/>
          <w:szCs w:val="22"/>
        </w:rPr>
      </w:pPr>
    </w:p>
    <w:p w14:paraId="2D867EDD" w14:textId="1631C1B5" w:rsidR="191104DE" w:rsidRDefault="191104DE" w:rsidP="191104DE">
      <w:pPr>
        <w:rPr>
          <w:sz w:val="22"/>
          <w:szCs w:val="22"/>
        </w:rPr>
      </w:pPr>
    </w:p>
    <w:p w14:paraId="6DD1D800" w14:textId="22582AE3" w:rsidR="191104DE" w:rsidRDefault="191104DE" w:rsidP="191104DE">
      <w:pPr>
        <w:rPr>
          <w:sz w:val="22"/>
          <w:szCs w:val="22"/>
        </w:rPr>
      </w:pPr>
    </w:p>
    <w:p w14:paraId="5EE83005" w14:textId="3843B223" w:rsidR="191104DE" w:rsidRDefault="191104DE" w:rsidP="191104DE">
      <w:pPr>
        <w:rPr>
          <w:sz w:val="22"/>
          <w:szCs w:val="22"/>
        </w:rPr>
      </w:pPr>
    </w:p>
    <w:p w14:paraId="1E43BF81" w14:textId="509BAE11" w:rsidR="191104DE" w:rsidRDefault="191104DE" w:rsidP="191104DE">
      <w:pPr>
        <w:rPr>
          <w:sz w:val="22"/>
          <w:szCs w:val="22"/>
        </w:rPr>
      </w:pPr>
    </w:p>
    <w:p w14:paraId="37E9C2D0" w14:textId="041EC9C6" w:rsidR="191104DE" w:rsidRDefault="191104DE" w:rsidP="191104DE">
      <w:pPr>
        <w:rPr>
          <w:sz w:val="22"/>
          <w:szCs w:val="22"/>
        </w:rPr>
      </w:pPr>
    </w:p>
    <w:p w14:paraId="5E595247" w14:textId="46BA395D" w:rsidR="191104DE" w:rsidRDefault="191104DE" w:rsidP="191104DE">
      <w:pPr>
        <w:rPr>
          <w:sz w:val="22"/>
          <w:szCs w:val="22"/>
        </w:rPr>
      </w:pPr>
    </w:p>
    <w:p w14:paraId="32FF727D" w14:textId="2E0993BA" w:rsidR="191104DE" w:rsidRPr="001A1C62" w:rsidRDefault="4FE9A6E8" w:rsidP="001A1C62">
      <w:pPr>
        <w:spacing w:line="360" w:lineRule="auto"/>
        <w:jc w:val="center"/>
        <w:rPr>
          <w:rFonts w:ascii="Arial" w:eastAsia="Arial" w:hAnsi="Arial" w:cs="Arial"/>
          <w:b/>
          <w:bCs/>
          <w:color w:val="000000" w:themeColor="text1"/>
          <w:u w:val="single"/>
        </w:rPr>
      </w:pPr>
      <w:r w:rsidRPr="27CEA506">
        <w:rPr>
          <w:rFonts w:ascii="Arial" w:eastAsia="Arial" w:hAnsi="Arial" w:cs="Arial"/>
          <w:b/>
          <w:bCs/>
          <w:color w:val="000000" w:themeColor="text1"/>
          <w:u w:val="single"/>
        </w:rPr>
        <w:t>An evaluation of Person-Centred Care and Partnership Working in Health and Social Care Practi</w:t>
      </w:r>
      <w:r w:rsidR="555C8A35" w:rsidRPr="27CEA506">
        <w:rPr>
          <w:rFonts w:ascii="Arial" w:eastAsia="Arial" w:hAnsi="Arial" w:cs="Arial"/>
          <w:b/>
          <w:bCs/>
          <w:color w:val="000000" w:themeColor="text1"/>
          <w:u w:val="single"/>
        </w:rPr>
        <w:t>ce</w:t>
      </w:r>
    </w:p>
    <w:p w14:paraId="2879FDAD" w14:textId="54631EF1" w:rsidR="004D2E2A" w:rsidRPr="004D2E2A" w:rsidRDefault="004D2E2A" w:rsidP="23E0DD9B">
      <w:pPr>
        <w:jc w:val="center"/>
        <w:rPr>
          <w:sz w:val="22"/>
          <w:szCs w:val="22"/>
        </w:rPr>
      </w:pPr>
    </w:p>
    <w:p w14:paraId="6B059F80" w14:textId="1810C73D" w:rsidR="004D2E2A" w:rsidRPr="004D2E2A" w:rsidRDefault="004D2E2A" w:rsidP="061172E1">
      <w:pPr>
        <w:spacing w:line="360" w:lineRule="auto"/>
        <w:jc w:val="both"/>
        <w:rPr>
          <w:b/>
          <w:bCs/>
          <w:sz w:val="22"/>
          <w:szCs w:val="22"/>
        </w:rPr>
      </w:pPr>
      <w:r w:rsidRPr="2D537112">
        <w:rPr>
          <w:b/>
          <w:bCs/>
          <w:sz w:val="22"/>
          <w:szCs w:val="22"/>
        </w:rPr>
        <w:t xml:space="preserve">1. </w:t>
      </w:r>
      <w:r w:rsidR="7689C999" w:rsidRPr="2D537112">
        <w:rPr>
          <w:b/>
          <w:bCs/>
          <w:sz w:val="22"/>
          <w:szCs w:val="22"/>
        </w:rPr>
        <w:t>Introduction</w:t>
      </w:r>
    </w:p>
    <w:p w14:paraId="51C4E08B" w14:textId="77777777" w:rsidR="004D2E2A" w:rsidRPr="004D2E2A" w:rsidRDefault="004D2E2A" w:rsidP="061172E1">
      <w:pPr>
        <w:spacing w:line="360" w:lineRule="auto"/>
        <w:jc w:val="both"/>
        <w:rPr>
          <w:sz w:val="22"/>
          <w:szCs w:val="22"/>
        </w:rPr>
      </w:pPr>
      <w:r w:rsidRPr="004D2E2A">
        <w:rPr>
          <w:sz w:val="22"/>
          <w:szCs w:val="22"/>
        </w:rPr>
        <w:t>Person-centred care (PCC) and collaborative practice (PW) are essential tenets that support the provision of superior health and social services in the United Kingdom. These methodologies prioritise individuals in the decision-making process, guaranteeing that care is customised to their specific requirements, choices, and values, while fostering dignity, autonomy, and independence (NHS England, 2019). Collaborative partnerships enhance person-centred care by fostering efficient cooperation among healthcare professionals, service users, families, carers, and other groups to provide cohesive, comprehensive, and integrated care. Collectively, these strategies lead to better health results, enriched patient experiences, and more effective utilisation of healthcare and social service resources.</w:t>
      </w:r>
    </w:p>
    <w:p w14:paraId="08E715AF" w14:textId="77777777" w:rsidR="004D2E2A" w:rsidRPr="004D2E2A" w:rsidRDefault="004D2E2A" w:rsidP="061172E1">
      <w:pPr>
        <w:spacing w:line="360" w:lineRule="auto"/>
        <w:jc w:val="both"/>
        <w:rPr>
          <w:sz w:val="22"/>
          <w:szCs w:val="22"/>
        </w:rPr>
      </w:pPr>
      <w:r w:rsidRPr="004D2E2A">
        <w:rPr>
          <w:sz w:val="22"/>
          <w:szCs w:val="22"/>
        </w:rPr>
        <w:t>The execution of person-centred care and collaborative practices is underpinned by essential legislation and policy, such as the Care Act 2014, the Health and Care Act 2022, guidelines from the National Institute for Health and Care Excellence (NICE), and the fundamental requirements set by the Care Quality Commission (CQC). These frameworks advocate for individualised care, collaborative decision-making, protection measures, and cohesive service provision within health and social care environments.</w:t>
      </w:r>
    </w:p>
    <w:p w14:paraId="7FF2D5AE" w14:textId="15640C4C" w:rsidR="004D2E2A" w:rsidRPr="004D2E2A" w:rsidRDefault="004D2E2A" w:rsidP="061172E1">
      <w:pPr>
        <w:spacing w:line="360" w:lineRule="auto"/>
        <w:jc w:val="both"/>
        <w:rPr>
          <w:sz w:val="22"/>
          <w:szCs w:val="22"/>
        </w:rPr>
      </w:pPr>
      <w:r w:rsidRPr="004D2E2A">
        <w:rPr>
          <w:sz w:val="22"/>
          <w:szCs w:val="22"/>
        </w:rPr>
        <w:t xml:space="preserve">This document rigorously assesses the tenets of person-centred care and collaborative practice in professional health and social care settings. It investigates the advantages and drawbacks of person-centred care, rigorously assesses pertinent theoretical frameworks that support practice, delves into the ethical principles of care, appraises collaborative efforts, and implements these ideas in a </w:t>
      </w:r>
      <w:r w:rsidR="1234C827" w:rsidRPr="5D36D571">
        <w:rPr>
          <w:sz w:val="22"/>
          <w:szCs w:val="22"/>
        </w:rPr>
        <w:t>diabetic</w:t>
      </w:r>
      <w:r w:rsidR="1234C827" w:rsidRPr="53902D51">
        <w:rPr>
          <w:sz w:val="22"/>
          <w:szCs w:val="22"/>
        </w:rPr>
        <w:t xml:space="preserve"> </w:t>
      </w:r>
      <w:r w:rsidR="1234C827" w:rsidRPr="3E7DE4AD">
        <w:rPr>
          <w:sz w:val="22"/>
          <w:szCs w:val="22"/>
        </w:rPr>
        <w:t xml:space="preserve">type </w:t>
      </w:r>
      <w:r w:rsidR="1234C827" w:rsidRPr="1045B162">
        <w:rPr>
          <w:sz w:val="22"/>
          <w:szCs w:val="22"/>
        </w:rPr>
        <w:t>2 resident</w:t>
      </w:r>
      <w:r w:rsidRPr="327AB240">
        <w:rPr>
          <w:sz w:val="22"/>
          <w:szCs w:val="22"/>
        </w:rPr>
        <w:t xml:space="preserve"> </w:t>
      </w:r>
      <w:r w:rsidR="1234C827" w:rsidRPr="5F44C773">
        <w:rPr>
          <w:sz w:val="22"/>
          <w:szCs w:val="22"/>
        </w:rPr>
        <w:t>with</w:t>
      </w:r>
      <w:r w:rsidRPr="7C8E9397">
        <w:rPr>
          <w:sz w:val="22"/>
          <w:szCs w:val="22"/>
        </w:rPr>
        <w:t xml:space="preserve"> </w:t>
      </w:r>
      <w:r w:rsidR="1234C827" w:rsidRPr="437E420A">
        <w:rPr>
          <w:sz w:val="22"/>
          <w:szCs w:val="22"/>
        </w:rPr>
        <w:t xml:space="preserve">dementia </w:t>
      </w:r>
      <w:r w:rsidR="1234C827" w:rsidRPr="1E96BDBD">
        <w:rPr>
          <w:sz w:val="22"/>
          <w:szCs w:val="22"/>
        </w:rPr>
        <w:t>living in a</w:t>
      </w:r>
      <w:r w:rsidRPr="1E4EE1DA">
        <w:rPr>
          <w:sz w:val="22"/>
          <w:szCs w:val="22"/>
        </w:rPr>
        <w:t xml:space="preserve"> </w:t>
      </w:r>
      <w:r w:rsidR="1234C827" w:rsidRPr="13B9CDA6">
        <w:rPr>
          <w:sz w:val="22"/>
          <w:szCs w:val="22"/>
        </w:rPr>
        <w:t>care</w:t>
      </w:r>
      <w:r w:rsidRPr="13B9CDA6">
        <w:rPr>
          <w:sz w:val="22"/>
          <w:szCs w:val="22"/>
        </w:rPr>
        <w:t xml:space="preserve"> </w:t>
      </w:r>
      <w:r w:rsidR="1234C827" w:rsidRPr="40DDA6CA">
        <w:rPr>
          <w:sz w:val="22"/>
          <w:szCs w:val="22"/>
        </w:rPr>
        <w:t>home</w:t>
      </w:r>
      <w:r w:rsidRPr="04181770">
        <w:rPr>
          <w:sz w:val="22"/>
          <w:szCs w:val="22"/>
        </w:rPr>
        <w:t>.</w:t>
      </w:r>
      <w:r w:rsidRPr="004D2E2A">
        <w:rPr>
          <w:sz w:val="22"/>
          <w:szCs w:val="22"/>
        </w:rPr>
        <w:t xml:space="preserve"> Ultimately, the research examines pertinent UK legislation and offers suggestions for enhancing person-centred care and collaborative efforts within modern health and social care organisations.</w:t>
      </w:r>
    </w:p>
    <w:p w14:paraId="21FC6727" w14:textId="770229AD" w:rsidR="004D2E2A" w:rsidRPr="004D2E2A" w:rsidRDefault="6E327F3B" w:rsidP="061172E1">
      <w:pPr>
        <w:spacing w:line="360" w:lineRule="auto"/>
        <w:jc w:val="both"/>
        <w:rPr>
          <w:b/>
          <w:bCs/>
          <w:sz w:val="22"/>
          <w:szCs w:val="22"/>
        </w:rPr>
      </w:pPr>
      <w:r w:rsidRPr="39FF08B8">
        <w:rPr>
          <w:b/>
          <w:bCs/>
          <w:sz w:val="22"/>
          <w:szCs w:val="22"/>
        </w:rPr>
        <w:t xml:space="preserve">2/ </w:t>
      </w:r>
      <w:r w:rsidR="004D2E2A" w:rsidRPr="39FF08B8">
        <w:rPr>
          <w:b/>
          <w:bCs/>
          <w:sz w:val="22"/>
          <w:szCs w:val="22"/>
        </w:rPr>
        <w:t>Definition of Person-Centred Care: Advantages and Disadvantages</w:t>
      </w:r>
    </w:p>
    <w:p w14:paraId="6B0E0F11" w14:textId="77777777" w:rsidR="004D2E2A" w:rsidRPr="004D2E2A" w:rsidRDefault="004D2E2A" w:rsidP="061172E1">
      <w:pPr>
        <w:spacing w:line="360" w:lineRule="auto"/>
        <w:jc w:val="both"/>
        <w:rPr>
          <w:sz w:val="22"/>
          <w:szCs w:val="22"/>
        </w:rPr>
      </w:pPr>
      <w:r w:rsidRPr="004D2E2A">
        <w:rPr>
          <w:sz w:val="22"/>
          <w:szCs w:val="22"/>
        </w:rPr>
        <w:t>As per NHS, person-centred methodologies constitute a fundamental skills education and training framework that delineates the essence of being person-centred and outlines strategies for cultivating and assisting the workforce in this approach (NHS England, 2024). Person-centred care (PCC) is a comprehensive methodology in health and social services that prioritises the individual in the processes of planning, decision-making, and service provision. Instead of concentrating exclusively on an individual's ailment or impairment, person-centred care acknowledges the person's values, preferences, experiences, and aspirations, allowing them to engage actively in care-related decisions (NHS England, 2023). The notion is grounded on Maslow’s Hierarchy of Needs theory, which posits that individuals must fulfil physiological, safety, social, esteem, and self-actualization requirements to attain well-being (Maslow, 1943).  In the United Kingdom, legislation such as the Care Act 2014 mandates that health and social care providers prioritise individual welfare, choice, dignity, and tailored support.</w:t>
      </w:r>
    </w:p>
    <w:p w14:paraId="1564FF75" w14:textId="77777777" w:rsidR="004D2E2A" w:rsidRPr="004D2E2A" w:rsidRDefault="004D2E2A" w:rsidP="061172E1">
      <w:pPr>
        <w:spacing w:line="360" w:lineRule="auto"/>
        <w:jc w:val="both"/>
        <w:rPr>
          <w:sz w:val="22"/>
          <w:szCs w:val="22"/>
        </w:rPr>
      </w:pPr>
      <w:r w:rsidRPr="004D2E2A">
        <w:rPr>
          <w:sz w:val="22"/>
          <w:szCs w:val="22"/>
        </w:rPr>
        <w:t>The execution of person-centred care provides numerous advantages for service recipients, practitioners, and healthcare institutions. Studies demonstrate that engaging individuals in their care decisions enhances patient satisfaction, compliance with treatment, self-management, and overall health results (NICE, 2024). Moreover, person-centred care promotes collaborative decision-making, allowing healthcare practitioners to formulate treatment strategies that align with personal needs and desires. This method fortifies therapeutic connections, cultivates trust, and upholds dignity and independence. From an organisational standpoint, efficient person-centred care can diminish superfluous hospital admissions, enhance service efficacy, and aid in optimal resource utilisation via early intervention and coordinated care (NHS England, 2023).</w:t>
      </w:r>
    </w:p>
    <w:p w14:paraId="0F5116EE" w14:textId="7E59D9CB" w:rsidR="004D2E2A" w:rsidRPr="004D2E2A" w:rsidRDefault="004D2E2A" w:rsidP="061172E1">
      <w:pPr>
        <w:spacing w:line="360" w:lineRule="auto"/>
        <w:jc w:val="both"/>
        <w:rPr>
          <w:sz w:val="22"/>
          <w:szCs w:val="22"/>
        </w:rPr>
      </w:pPr>
      <w:r w:rsidRPr="004D2E2A">
        <w:rPr>
          <w:sz w:val="22"/>
          <w:szCs w:val="22"/>
        </w:rPr>
        <w:t>Notwithstanding these benefits, the execution of person-centred care entails numerous difficulties. Labour deficits, escalating service requirements, and constrained financial assets may hinder the time allocated for substantive communication and individualised care planning. Moreover, persons with intricate circumstances, cognitive deficits, or communication challenges may necessitate supplementary assistance to engage comprehensively in decision-making. Variations in corporate culture, insufficient employee training, and ineffective multidisciplinary communication can obstruct the uniform application of person-centred methodologies. Thus, healthcare practitioners must exhibit superior communication abilities, cultural awareness, and clinical expertise to reconcile personal preferences with evidence-based methodologies while safeguarding patient safety. Tackling these obstacles necessitates ongoing investment in personnel enhancement, cohesive services, and organisational strategies that emphasise individualised care. Consequently, despite the obstacles in implementing person-centred care, it continues to be a core tenet for providing safe, effective, and compassionate health and social services.</w:t>
      </w:r>
    </w:p>
    <w:p w14:paraId="34E950B3" w14:textId="398F4120" w:rsidR="004D2E2A" w:rsidRPr="004D2E2A" w:rsidRDefault="4FE61B39" w:rsidP="061172E1">
      <w:pPr>
        <w:spacing w:line="360" w:lineRule="auto"/>
        <w:jc w:val="both"/>
        <w:rPr>
          <w:b/>
          <w:bCs/>
          <w:sz w:val="22"/>
          <w:szCs w:val="22"/>
        </w:rPr>
      </w:pPr>
      <w:r w:rsidRPr="12D610E5">
        <w:rPr>
          <w:b/>
          <w:bCs/>
          <w:sz w:val="22"/>
          <w:szCs w:val="22"/>
        </w:rPr>
        <w:t xml:space="preserve">3/ </w:t>
      </w:r>
      <w:r w:rsidR="004D2E2A" w:rsidRPr="12D610E5">
        <w:rPr>
          <w:b/>
          <w:bCs/>
          <w:sz w:val="22"/>
          <w:szCs w:val="22"/>
        </w:rPr>
        <w:t>Conduct a thorough analysis of a theory that supports Person-Centred Care (Maslow’s Hierarchy of Needs).</w:t>
      </w:r>
    </w:p>
    <w:p w14:paraId="75C9AB41" w14:textId="77777777" w:rsidR="004D2E2A" w:rsidRPr="004D2E2A" w:rsidRDefault="004D2E2A" w:rsidP="061172E1">
      <w:pPr>
        <w:spacing w:line="360" w:lineRule="auto"/>
        <w:jc w:val="both"/>
        <w:rPr>
          <w:sz w:val="22"/>
          <w:szCs w:val="22"/>
        </w:rPr>
      </w:pPr>
      <w:r w:rsidRPr="004D2E2A">
        <w:rPr>
          <w:sz w:val="22"/>
          <w:szCs w:val="22"/>
        </w:rPr>
        <w:t>Maslow's Hierarchy of Needs is a significant psychological framework that supports person-centred care in health and social care practices. Formulated by Abraham Maslow in 1943, the theory posits that human necessities are structured within a five-tier hierarchy that includes physiological needs, safety, love and belonging, esteem, and self-actualization. Maslow posited that foundational needs must be sufficiently satisfied prior to persons advancing towards elevated psychological needs and self-actualization. This paradigm is in harmony with the tenets of person-centred care, acknowledging that persons possess varied physical, emotional, psychological, and social requirements that must be treated comprehensively rather than merely concentrating on disease treatment.</w:t>
      </w:r>
    </w:p>
    <w:p w14:paraId="54BBE0B6" w14:textId="77777777" w:rsidR="004D2E2A" w:rsidRPr="004D2E2A" w:rsidRDefault="004D2E2A" w:rsidP="061172E1">
      <w:pPr>
        <w:spacing w:line="360" w:lineRule="auto"/>
        <w:jc w:val="both"/>
        <w:rPr>
          <w:sz w:val="22"/>
          <w:szCs w:val="22"/>
        </w:rPr>
      </w:pPr>
      <w:r w:rsidRPr="004D2E2A">
        <w:rPr>
          <w:sz w:val="22"/>
          <w:szCs w:val="22"/>
        </w:rPr>
        <w:t>In the realm of health and social care, Maslow's theory underpins person-centred practice by prompting healthcare practitioners to evaluate the complete individual and customise interventions based on unique situations. For instance, addressing a patient's physiological requirements, including feeding, pain control, and medication compliance, establishes the basis for fostering safety, emotional health, and autonomy. This methodology is evident in NHS England’s Universal Personalised Care Framework (2023), which promotes collaborative decision-making and individualised care planning to enhance health results. Thus, Maslow’s theory underscores the significance of acknowledging personal objectives and enabling service users to engage proactively in their care.</w:t>
      </w:r>
    </w:p>
    <w:p w14:paraId="46A888F3" w14:textId="77777777" w:rsidR="004D2E2A" w:rsidRPr="004D2E2A" w:rsidRDefault="004D2E2A" w:rsidP="061172E1">
      <w:pPr>
        <w:spacing w:line="360" w:lineRule="auto"/>
        <w:jc w:val="both"/>
        <w:rPr>
          <w:sz w:val="22"/>
          <w:szCs w:val="22"/>
        </w:rPr>
      </w:pPr>
      <w:r w:rsidRPr="004D2E2A">
        <w:rPr>
          <w:sz w:val="22"/>
          <w:szCs w:val="22"/>
        </w:rPr>
        <w:t>Notwithstanding its role in person-centred care, Maslow’s theory has faced scrutiny. The hierarchical model posits that needs are satisfied in a predetermined order; yet, research indicates that individuals could prioritise their needs variably based on cultural context, personal principles, and life experiences (Tay and Diener, 2011). For instance, those with chronic conditions might prioritise social assistance or the preservation of autonomy even when facing unfulfilled physiological requirements. Moreover, the theory has faced criticism due to its scant empirical support and Western-centric viewpoint, which may fail to accurately represent collectivist societies that value communal and familial needs over individual self-fulfilment. Thus, depending exclusively on Maslow's hierarchy could trivialise the intricacies of human behaviour and health-related choices.</w:t>
      </w:r>
    </w:p>
    <w:p w14:paraId="4A9A9C28" w14:textId="77777777" w:rsidR="004D2E2A" w:rsidRPr="004D2E2A" w:rsidRDefault="004D2E2A" w:rsidP="061172E1">
      <w:pPr>
        <w:spacing w:line="360" w:lineRule="auto"/>
        <w:jc w:val="both"/>
        <w:rPr>
          <w:sz w:val="22"/>
          <w:szCs w:val="22"/>
        </w:rPr>
      </w:pPr>
      <w:r w:rsidRPr="004D2E2A">
        <w:rPr>
          <w:sz w:val="22"/>
          <w:szCs w:val="22"/>
        </w:rPr>
        <w:t>Nonetheless, Maslow’s Hierarchy of Needs continues to serve as a significant framework for facilitating person-centred care as it fosters comprehensive evaluation, advocates for tailored therapies, and acknowledges the interrelated aspects of physical, emotional, and social health. When integrated with evidence-based practice, professional discernment, and cooperative decision-making, the idea establishes a robust basis for providing empathetic, individualised, and superior health and social care.</w:t>
      </w:r>
    </w:p>
    <w:p w14:paraId="2865881E" w14:textId="77777777" w:rsidR="004D2E2A" w:rsidRPr="004D2E2A" w:rsidRDefault="004D2E2A" w:rsidP="061172E1">
      <w:pPr>
        <w:spacing w:line="360" w:lineRule="auto"/>
        <w:jc w:val="both"/>
        <w:rPr>
          <w:b/>
          <w:bCs/>
          <w:sz w:val="22"/>
          <w:szCs w:val="22"/>
        </w:rPr>
      </w:pPr>
      <w:r w:rsidRPr="13A24895">
        <w:rPr>
          <w:b/>
          <w:bCs/>
          <w:sz w:val="22"/>
          <w:szCs w:val="22"/>
        </w:rPr>
        <w:t>4/Ethical principles underpinning Health and Social Care</w:t>
      </w:r>
    </w:p>
    <w:p w14:paraId="5A23BBB7" w14:textId="77777777" w:rsidR="004D2E2A" w:rsidRPr="004D2E2A" w:rsidRDefault="004D2E2A" w:rsidP="061172E1">
      <w:pPr>
        <w:spacing w:line="360" w:lineRule="auto"/>
        <w:jc w:val="both"/>
        <w:rPr>
          <w:sz w:val="22"/>
          <w:szCs w:val="22"/>
        </w:rPr>
      </w:pPr>
      <w:r w:rsidRPr="004D2E2A">
        <w:rPr>
          <w:sz w:val="22"/>
          <w:szCs w:val="22"/>
        </w:rPr>
        <w:t>Ethical principles underpin professional conduct in health and social care by directing decision-making and guaranteeing that care is administered in a way that honours the rights, dignity, and welfare of individuals. The four fundamental ethical tenets—autonomy, beneficence, non-maleficence, and justice—establish a foundation for administering secure, empathetic, and individualised care (Beauchamp and Childress, 2019). Autonomy pertains to honouring a person's entitlement to make knowledgeable choices about their treatment, but beneficence mandates that healthcare practitioners prioritise the welfare of patients by fostering health and wellness. Non-maleficence underscores the duty to refrain from inflicting damage, whereas justice mandates fairness, equality, and equitable access to healthcare services irrespective of age, handicap, ethnicity, or socioeconomic status.</w:t>
      </w:r>
    </w:p>
    <w:p w14:paraId="27E54D00" w14:textId="77777777" w:rsidR="004D2E2A" w:rsidRPr="004D2E2A" w:rsidRDefault="004D2E2A" w:rsidP="061172E1">
      <w:pPr>
        <w:spacing w:line="360" w:lineRule="auto"/>
        <w:jc w:val="both"/>
        <w:rPr>
          <w:sz w:val="22"/>
          <w:szCs w:val="22"/>
        </w:rPr>
      </w:pPr>
      <w:r w:rsidRPr="004D2E2A">
        <w:rPr>
          <w:sz w:val="22"/>
          <w:szCs w:val="22"/>
        </w:rPr>
        <w:t>These moral tenets enhance person-centred care by guaranteeing that individuals are engaged in decisions regarding their treatment and assistance. The Nursing and Midwifery Council (NMC) Code (2018) emphasises these principles by mandating that practitioners prioritise individuals, ensure safety, perform competently, and foster professionalism and trust. The Care Act 2014 similarly advocates for personal welfare, dignity, and tailored care via collaborative decision-making and protective duties.</w:t>
      </w:r>
    </w:p>
    <w:p w14:paraId="22C7B399" w14:textId="77777777" w:rsidR="004D2E2A" w:rsidRPr="004D2E2A" w:rsidRDefault="004D2E2A" w:rsidP="061172E1">
      <w:pPr>
        <w:spacing w:line="360" w:lineRule="auto"/>
        <w:jc w:val="both"/>
        <w:rPr>
          <w:sz w:val="22"/>
          <w:szCs w:val="22"/>
        </w:rPr>
      </w:pPr>
      <w:r w:rsidRPr="004D2E2A">
        <w:rPr>
          <w:sz w:val="22"/>
          <w:szCs w:val="22"/>
        </w:rPr>
        <w:t>Nevertheless, ethical quandaries can emerge when reconciling personal autonomy with professional obligations to safeguard at-risk individuals. Individuals afflicted with dementia could decline therapy even when there are apprehensions about their ability to make informed choices. In these situations, healthcare practitioners must reconcile the respect for autonomy with the tenets of beneficence and non-maleficence, all while adhering to the Mental Capacity Act 2005. Thus, ethical decision-making necessitates expert discernment, proficient communication, and interdisciplinary cooperation to guarantee that care is compliant with the law, grounded in evidence, and focused on the individual's optimal welfare.</w:t>
      </w:r>
    </w:p>
    <w:p w14:paraId="6241A9B4" w14:textId="77777777" w:rsidR="004D2E2A" w:rsidRPr="004D2E2A" w:rsidRDefault="004D2E2A" w:rsidP="061172E1">
      <w:pPr>
        <w:spacing w:line="360" w:lineRule="auto"/>
        <w:jc w:val="both"/>
        <w:rPr>
          <w:b/>
          <w:bCs/>
          <w:sz w:val="22"/>
          <w:szCs w:val="22"/>
        </w:rPr>
      </w:pPr>
      <w:r w:rsidRPr="4188978C">
        <w:rPr>
          <w:b/>
          <w:bCs/>
          <w:sz w:val="22"/>
          <w:szCs w:val="22"/>
        </w:rPr>
        <w:t>5/ Analytical assessment of Collaborative Efforts in Health and Social Care</w:t>
      </w:r>
    </w:p>
    <w:p w14:paraId="0C185648" w14:textId="77777777" w:rsidR="004D2E2A" w:rsidRPr="004D2E2A" w:rsidRDefault="004D2E2A" w:rsidP="061172E1">
      <w:pPr>
        <w:spacing w:line="360" w:lineRule="auto"/>
        <w:jc w:val="both"/>
        <w:rPr>
          <w:sz w:val="22"/>
          <w:szCs w:val="22"/>
        </w:rPr>
      </w:pPr>
      <w:r w:rsidRPr="004D2E2A">
        <w:rPr>
          <w:sz w:val="22"/>
          <w:szCs w:val="22"/>
        </w:rPr>
        <w:t>Collaborative efforts involve health and social care professionals, service users, families, carers, and external entities uniting to attain common objectives and enhance health results. Collaborative partnerships are essential for person-centred care since they facilitate coordinated, comprehensive, and integrated service provision that meets individuals' physical, psychological, and social requirements (NHS England, 2023). The Health and Care Act 2022 enhances this strategy by advocating for Integrated Care Systems (ICSs), allowing health and social care entities to collaborate in diminishing disparities and enhancing public health.</w:t>
      </w:r>
    </w:p>
    <w:p w14:paraId="1CB2AD40" w14:textId="77777777" w:rsidR="004D2E2A" w:rsidRPr="004D2E2A" w:rsidRDefault="004D2E2A" w:rsidP="061172E1">
      <w:pPr>
        <w:spacing w:line="360" w:lineRule="auto"/>
        <w:jc w:val="both"/>
        <w:rPr>
          <w:sz w:val="22"/>
          <w:szCs w:val="22"/>
        </w:rPr>
      </w:pPr>
      <w:r w:rsidRPr="004D2E2A">
        <w:rPr>
          <w:sz w:val="22"/>
          <w:szCs w:val="22"/>
        </w:rPr>
        <w:t>A notable advantage of collaborative efforts is their capacity to enhance communication and collective decision-making among interdisciplinary teams. Through the collaboration of specialists from several fields, clients obtain holistic treatment strategies that cater to their unique requirements and desires. Moreover, engaging patients and their families in the decision-making process fosters autonomy, improves treatment compliance, and elevates patient satisfaction (NICE, 2021). Studies indicate that successful collaborative efforts enhance care continuity, decrease hospitalisations, and optimise healthcare resource utilisation via synchronised service provision (The Health Foundation, 2025).</w:t>
      </w:r>
    </w:p>
    <w:p w14:paraId="0DAD205B" w14:textId="384D8286" w:rsidR="004D2E2A" w:rsidRPr="004D2E2A" w:rsidRDefault="004D2E2A" w:rsidP="061172E1">
      <w:pPr>
        <w:spacing w:line="360" w:lineRule="auto"/>
        <w:jc w:val="both"/>
        <w:rPr>
          <w:sz w:val="22"/>
          <w:szCs w:val="22"/>
        </w:rPr>
      </w:pPr>
      <w:r w:rsidRPr="004D2E2A">
        <w:rPr>
          <w:sz w:val="22"/>
          <w:szCs w:val="22"/>
        </w:rPr>
        <w:t xml:space="preserve">Nevertheless, executing collaborative partnerships poses numerous difficulties. Divergent organisational structures, ineffective communication, incompatible information technologies, and ambiguous professional responsibilities might obstruct collaboration and postpone decision-making. Moreover, deficits in personnel, escalating service requirements, and constrained financial resources could hinder the prospects for multidisciplinary gatherings and cohesive care </w:t>
      </w:r>
      <w:r w:rsidR="3426BEC1" w:rsidRPr="2BD2473E">
        <w:rPr>
          <w:sz w:val="22"/>
          <w:szCs w:val="22"/>
        </w:rPr>
        <w:t>strategizing</w:t>
      </w:r>
      <w:r w:rsidRPr="2BD2473E">
        <w:rPr>
          <w:sz w:val="22"/>
          <w:szCs w:val="22"/>
        </w:rPr>
        <w:t>.</w:t>
      </w:r>
      <w:r w:rsidRPr="004D2E2A">
        <w:rPr>
          <w:sz w:val="22"/>
          <w:szCs w:val="22"/>
        </w:rPr>
        <w:t xml:space="preserve"> The confidentiality and information-sharing stipulations of the UK General Data Protection Regulation (UK GDPR) may induce ambiguity when practitioners share sensitive patient data between businesses. As a result, poor communication might result in disjointed care and adversely impact patient results.</w:t>
      </w:r>
    </w:p>
    <w:p w14:paraId="4D8B4ED5" w14:textId="2DB9644A" w:rsidR="004D2E2A" w:rsidRPr="004D2E2A" w:rsidRDefault="004D2E2A" w:rsidP="061172E1">
      <w:pPr>
        <w:spacing w:line="360" w:lineRule="auto"/>
        <w:jc w:val="both"/>
        <w:rPr>
          <w:sz w:val="22"/>
          <w:szCs w:val="22"/>
        </w:rPr>
      </w:pPr>
      <w:r w:rsidRPr="004D2E2A">
        <w:rPr>
          <w:sz w:val="22"/>
          <w:szCs w:val="22"/>
        </w:rPr>
        <w:t>Notwithstanding these obstacles, collaborative efforts are crucial for providing secure, efficient, and individualised treatment. Successful collaboration necessitates robust leadership, well-defined professional positions, efficient communication tactics, and a collective dedication to enhancing patient welfare. Ongoing investment in cohesive services, workforce enhancement, digital health innovations, and interdisciplinary education will bolster collaborative efforts and facilitate the provision of superior, coordinated health and social care throughout the United Kingdom.</w:t>
      </w:r>
    </w:p>
    <w:p w14:paraId="745C251B" w14:textId="77777777" w:rsidR="004D2E2A" w:rsidRPr="004D2E2A" w:rsidRDefault="004D2E2A" w:rsidP="061172E1">
      <w:pPr>
        <w:spacing w:line="360" w:lineRule="auto"/>
        <w:jc w:val="both"/>
        <w:rPr>
          <w:b/>
          <w:bCs/>
          <w:sz w:val="22"/>
          <w:szCs w:val="22"/>
        </w:rPr>
      </w:pPr>
      <w:r w:rsidRPr="6A043DB2">
        <w:rPr>
          <w:b/>
          <w:bCs/>
          <w:sz w:val="22"/>
          <w:szCs w:val="22"/>
        </w:rPr>
        <w:t>6/Implementation in practice with a diabetic individual with dementia residing in a care facility</w:t>
      </w:r>
    </w:p>
    <w:p w14:paraId="0E0873F3" w14:textId="1BED46D7" w:rsidR="004D2E2A" w:rsidRPr="004D2E2A" w:rsidRDefault="004D2E2A" w:rsidP="061172E1">
      <w:pPr>
        <w:spacing w:line="360" w:lineRule="auto"/>
        <w:jc w:val="both"/>
        <w:rPr>
          <w:sz w:val="22"/>
          <w:szCs w:val="22"/>
        </w:rPr>
      </w:pPr>
      <w:r w:rsidRPr="004D2E2A">
        <w:rPr>
          <w:sz w:val="22"/>
          <w:szCs w:val="22"/>
        </w:rPr>
        <w:t xml:space="preserve">The use of person-centred care, collaborative efforts, and ethical standards is crucial when attending to patients with dementia and Type 2 diabetes in residential facilities. Person-centred care guarantees that assistance is customised to the unique requirements, desires, and capabilities of the person, while fostering dignity, autonomy, and overall quality of life (NHS England, 2023). Care plans include the resident's desired schedules: showering at approximately 10:00 am, applying makeup, and nail polish to enhance her experience. Her food preferences consist of crackers topped with cheese and a glass of wine, and she often remarked, “I have </w:t>
      </w:r>
      <w:r w:rsidR="181AE9D0" w:rsidRPr="20839C8F">
        <w:rPr>
          <w:sz w:val="22"/>
          <w:szCs w:val="22"/>
        </w:rPr>
        <w:t xml:space="preserve">worked hard </w:t>
      </w:r>
      <w:r w:rsidR="181AE9D0" w:rsidRPr="33368018">
        <w:rPr>
          <w:sz w:val="22"/>
          <w:szCs w:val="22"/>
        </w:rPr>
        <w:t xml:space="preserve">for </w:t>
      </w:r>
      <w:r w:rsidRPr="33368018">
        <w:rPr>
          <w:sz w:val="22"/>
          <w:szCs w:val="22"/>
        </w:rPr>
        <w:t>it.”</w:t>
      </w:r>
      <w:r w:rsidRPr="004D2E2A">
        <w:rPr>
          <w:sz w:val="22"/>
          <w:szCs w:val="22"/>
        </w:rPr>
        <w:t xml:space="preserve"> Furthermore, there is a necessity for communication to facilitate proper blood glucose monitoring and medication administration. Frequent evaluations allow her treatment to be modified as dementia advances and health requirements evolve.</w:t>
      </w:r>
    </w:p>
    <w:p w14:paraId="7554DD68" w14:textId="77777777" w:rsidR="004D2E2A" w:rsidRPr="004D2E2A" w:rsidRDefault="004D2E2A" w:rsidP="061172E1">
      <w:pPr>
        <w:spacing w:line="360" w:lineRule="auto"/>
        <w:jc w:val="both"/>
        <w:rPr>
          <w:sz w:val="22"/>
          <w:szCs w:val="22"/>
        </w:rPr>
      </w:pPr>
      <w:r w:rsidRPr="004D2E2A">
        <w:rPr>
          <w:sz w:val="22"/>
          <w:szCs w:val="22"/>
        </w:rPr>
        <w:t>Collaborative efforts are essential for delivering integrated care. Cooperation among care home personnel, general practitioners, diabetes speciality nurses, nutritionists, chemists, residents, and family members promotes collaborative decision-making and seamless care continuity. This comprehensive strategy aids in minimising medication mistakes, averting problems associated with diabetes, and enhancing general health (NICE, 2023). Frequent visits from her relatives enhance her sense of affection.</w:t>
      </w:r>
    </w:p>
    <w:p w14:paraId="53BEDE75" w14:textId="77777777" w:rsidR="004D2E2A" w:rsidRPr="004D2E2A" w:rsidRDefault="004D2E2A" w:rsidP="061172E1">
      <w:pPr>
        <w:spacing w:line="360" w:lineRule="auto"/>
        <w:jc w:val="both"/>
        <w:rPr>
          <w:sz w:val="22"/>
          <w:szCs w:val="22"/>
        </w:rPr>
      </w:pPr>
      <w:r w:rsidRPr="004D2E2A">
        <w:rPr>
          <w:sz w:val="22"/>
          <w:szCs w:val="22"/>
        </w:rPr>
        <w:t>Ethical tenets form the foundation of every facet of care provision. Respect for autonomy necessitates the inclusion of residents in decision-making wherever feasible, while beneficence and non-maleficence guarantee that care enhances wellbeing and reduces damage. When individuals are unable to make informed choices, the Mental Capacity Act 2005 mandates that professionals act in their best interests, engaging with family members and advocates. Incorporating these concepts fosters secure, empathetic, and evidence-informed care, resulting in better health outcomes and an elevated quality of life for those with dementia and Type 2 diabetes. This case exemplifies that the incorporation of person-centred care, collaborative multidisciplinary efforts, and ethical decision-making can empower individuals with chronic diseases, boost clinical results, and elevate overall quality of life.</w:t>
      </w:r>
    </w:p>
    <w:p w14:paraId="5C691C1F" w14:textId="77777777" w:rsidR="004D2E2A" w:rsidRPr="004D2E2A" w:rsidRDefault="004D2E2A" w:rsidP="061172E1">
      <w:pPr>
        <w:spacing w:line="360" w:lineRule="auto"/>
        <w:jc w:val="both"/>
        <w:rPr>
          <w:b/>
          <w:bCs/>
          <w:sz w:val="22"/>
          <w:szCs w:val="22"/>
        </w:rPr>
      </w:pPr>
      <w:r w:rsidRPr="244F755E">
        <w:rPr>
          <w:b/>
          <w:bCs/>
          <w:sz w:val="22"/>
          <w:szCs w:val="22"/>
        </w:rPr>
        <w:t>7/ Pertinent UK Policies and Legislation</w:t>
      </w:r>
    </w:p>
    <w:p w14:paraId="19BA451B" w14:textId="4EADB765" w:rsidR="004D2E2A" w:rsidRPr="004D2E2A" w:rsidRDefault="004D2E2A" w:rsidP="061172E1">
      <w:pPr>
        <w:spacing w:line="360" w:lineRule="auto"/>
        <w:jc w:val="both"/>
        <w:rPr>
          <w:sz w:val="22"/>
          <w:szCs w:val="22"/>
        </w:rPr>
      </w:pPr>
      <w:r w:rsidRPr="004D2E2A">
        <w:rPr>
          <w:sz w:val="22"/>
          <w:szCs w:val="22"/>
        </w:rPr>
        <w:t>Person-centred care and collaborative partnerships are underpinned by various essential policies and legal frameworks in the United Kingdom. The Care Act 2014 prioritises individual welfare in adult social care by advocating for tailored care, autonomy, protection, and collaborative decision-making (Department of Health and Social Care, 2014). The Health and Care Act 2022 similarly enhances cooperation across health and social care entities via Integrated Care Systems (ICSs), facilitating synchronised and individualised service provision. The National Institute for Health and Care Excellence (NICE) Guideline NG197: Shared Decision Making (2021) advocates for the inclusion of individuals in their care decisions to enhance health outcomes and patient contentment. Additionally, the Nursing and Midwifery Council (NMC) Code (2018) mandates that healthcare practitioners prioritise individuals, ensure safety, perform competently, and maintain professional standards. These legal and professional structures collectively advocate for ethical conduct, interdisciplinary cooperation, and individualised care, guaranteeing that health and social care services are secure, efficient, and attuned to individual requirements.</w:t>
      </w:r>
    </w:p>
    <w:p w14:paraId="19F9DADA" w14:textId="77777777" w:rsidR="004D2E2A" w:rsidRPr="004D2E2A" w:rsidRDefault="004D2E2A" w:rsidP="061172E1">
      <w:pPr>
        <w:spacing w:line="360" w:lineRule="auto"/>
        <w:jc w:val="both"/>
        <w:rPr>
          <w:b/>
          <w:bCs/>
          <w:sz w:val="22"/>
          <w:szCs w:val="22"/>
        </w:rPr>
      </w:pPr>
      <w:r w:rsidRPr="1129EDCB">
        <w:rPr>
          <w:b/>
          <w:bCs/>
          <w:sz w:val="22"/>
          <w:szCs w:val="22"/>
        </w:rPr>
        <w:t>8/Suggestions for prospective advancement</w:t>
      </w:r>
    </w:p>
    <w:p w14:paraId="39FE4DC6" w14:textId="743E60AC" w:rsidR="004D2E2A" w:rsidRPr="004D2E2A" w:rsidRDefault="004D2E2A" w:rsidP="061172E1">
      <w:pPr>
        <w:spacing w:line="360" w:lineRule="auto"/>
        <w:jc w:val="both"/>
        <w:rPr>
          <w:sz w:val="22"/>
          <w:szCs w:val="22"/>
        </w:rPr>
      </w:pPr>
      <w:r w:rsidRPr="004D2E2A">
        <w:rPr>
          <w:sz w:val="22"/>
          <w:szCs w:val="22"/>
        </w:rPr>
        <w:t>Enhancements in the management of individuals with dementia and Type 2 diabetes in residential facilities should prioritise the advancement of person-centred care via consistent staff training, interdisciplinary cooperation, and the implementation of evidence-based care strategies. Healthcare practitioners must to engage in continuous training focused on diabetes management unique to dementia to enhance their ability to identify hypoglycaemia, hyperglycaemia, and alterations in cognitive function. Personalised care plans must undergo frequent evaluations, engaging residents, relatives, and the multidisciplinary team to foster collaborative decision-making and uphold quality of life. Embracing technologies like continuous glucose monitoring, when suitable, could enhance diabetes management safety and decrease unnecessary hospitalisations (NICE, 2024).</w:t>
      </w:r>
    </w:p>
    <w:p w14:paraId="6BFA819D" w14:textId="732243FC" w:rsidR="004D2E2A" w:rsidRPr="004D2E2A" w:rsidRDefault="004D2E2A" w:rsidP="061172E1">
      <w:pPr>
        <w:spacing w:line="360" w:lineRule="auto"/>
        <w:jc w:val="both"/>
        <w:rPr>
          <w:b/>
          <w:bCs/>
          <w:sz w:val="22"/>
          <w:szCs w:val="22"/>
        </w:rPr>
      </w:pPr>
      <w:r w:rsidRPr="21A1ED99">
        <w:rPr>
          <w:b/>
          <w:bCs/>
          <w:sz w:val="22"/>
          <w:szCs w:val="22"/>
        </w:rPr>
        <w:t>9/</w:t>
      </w:r>
      <w:r w:rsidR="049ACADB" w:rsidRPr="21A1ED99">
        <w:rPr>
          <w:b/>
          <w:bCs/>
          <w:sz w:val="22"/>
          <w:szCs w:val="22"/>
        </w:rPr>
        <w:t>Conclusion</w:t>
      </w:r>
    </w:p>
    <w:p w14:paraId="578DB494" w14:textId="563256C8" w:rsidR="157AB8C1" w:rsidRDefault="004D2E2A" w:rsidP="478EF8AE">
      <w:pPr>
        <w:spacing w:line="360" w:lineRule="auto"/>
        <w:jc w:val="both"/>
      </w:pPr>
      <w:r w:rsidRPr="004D2E2A">
        <w:rPr>
          <w:sz w:val="22"/>
          <w:szCs w:val="22"/>
        </w:rPr>
        <w:t>In summary, individualised care and collaborative efforts are essential for providing superior, comprehensive health and social services. Grounded in ethical principles, Maslow's framework, and UK law, these methodologies boost health results, foster autonomy, and elevate wellbeing. Ongoing cooperation and evidence-informed methodologies are crucial for addressing the intricate and evolving care requirements of individuals.</w:t>
      </w:r>
    </w:p>
    <w:p w14:paraId="7A1851D3" w14:textId="1D9757EB" w:rsidR="157AB8C1" w:rsidRDefault="157AB8C1" w:rsidP="191104DE">
      <w:pPr>
        <w:spacing w:line="360" w:lineRule="auto"/>
        <w:jc w:val="center"/>
        <w:rPr>
          <w:rFonts w:ascii="Arial" w:eastAsia="Arial" w:hAnsi="Arial" w:cs="Arial"/>
          <w:color w:val="000000" w:themeColor="text1"/>
          <w:sz w:val="22"/>
          <w:szCs w:val="22"/>
        </w:rPr>
      </w:pPr>
      <w:r w:rsidRPr="191104DE">
        <w:rPr>
          <w:rFonts w:ascii="Arial" w:eastAsia="Arial" w:hAnsi="Arial" w:cs="Arial"/>
          <w:b/>
          <w:bCs/>
          <w:i/>
          <w:iCs/>
          <w:color w:val="000000" w:themeColor="text1"/>
          <w:sz w:val="22"/>
          <w:szCs w:val="22"/>
          <w:u w:val="single"/>
        </w:rPr>
        <w:t>REFERENCES</w:t>
      </w:r>
    </w:p>
    <w:p w14:paraId="057C8BF4" w14:textId="1DFE9CA9" w:rsidR="157AB8C1" w:rsidRDefault="157AB8C1" w:rsidP="191104DE">
      <w:pPr>
        <w:spacing w:before="240" w:after="0" w:line="48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Beauchamp, T.L. and Childress, J.F. (2019). </w:t>
      </w:r>
      <w:r w:rsidRPr="191104DE">
        <w:rPr>
          <w:rFonts w:ascii="Arial" w:eastAsia="Arial" w:hAnsi="Arial" w:cs="Arial"/>
          <w:i/>
          <w:iCs/>
          <w:color w:val="000000" w:themeColor="text1"/>
          <w:sz w:val="22"/>
          <w:szCs w:val="22"/>
        </w:rPr>
        <w:t>Principles of Biomedical Ethics</w:t>
      </w:r>
      <w:r w:rsidRPr="191104DE">
        <w:rPr>
          <w:rFonts w:ascii="Arial" w:eastAsia="Arial" w:hAnsi="Arial" w:cs="Arial"/>
          <w:color w:val="000000" w:themeColor="text1"/>
          <w:sz w:val="22"/>
          <w:szCs w:val="22"/>
        </w:rPr>
        <w:t>. 7th ed. New York, N.Y.: Oxford University Press.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5110005D" w14:textId="31E92714" w:rsidR="157AB8C1" w:rsidRDefault="157AB8C1" w:rsidP="191104DE">
      <w:pPr>
        <w:spacing w:after="0" w:line="480" w:lineRule="auto"/>
        <w:ind w:left="720" w:hanging="720"/>
        <w:jc w:val="both"/>
        <w:rPr>
          <w:rFonts w:ascii="Times New Roman" w:eastAsia="Times New Roman" w:hAnsi="Times New Roman" w:cs="Times New Roman"/>
          <w:color w:val="000000" w:themeColor="text1"/>
          <w:sz w:val="22"/>
          <w:szCs w:val="22"/>
        </w:rPr>
      </w:pPr>
      <w:r w:rsidRPr="191104DE">
        <w:rPr>
          <w:rFonts w:ascii="Times New Roman" w:eastAsia="Times New Roman" w:hAnsi="Times New Roman" w:cs="Times New Roman"/>
          <w:color w:val="000000" w:themeColor="text1"/>
          <w:sz w:val="22"/>
          <w:szCs w:val="22"/>
        </w:rPr>
        <w:t xml:space="preserve">Care Act. “Care Act 2014.” </w:t>
      </w:r>
      <w:r w:rsidRPr="191104DE">
        <w:rPr>
          <w:rFonts w:ascii="Times New Roman" w:eastAsia="Times New Roman" w:hAnsi="Times New Roman" w:cs="Times New Roman"/>
          <w:i/>
          <w:iCs/>
          <w:color w:val="000000" w:themeColor="text1"/>
          <w:sz w:val="22"/>
          <w:szCs w:val="22"/>
        </w:rPr>
        <w:t>Legislation.Gov.Uk</w:t>
      </w:r>
      <w:r w:rsidRPr="191104DE">
        <w:rPr>
          <w:rFonts w:ascii="Times New Roman" w:eastAsia="Times New Roman" w:hAnsi="Times New Roman" w:cs="Times New Roman"/>
          <w:color w:val="000000" w:themeColor="text1"/>
          <w:sz w:val="22"/>
          <w:szCs w:val="22"/>
        </w:rPr>
        <w:t xml:space="preserve">, 2014, </w:t>
      </w:r>
      <w:hyperlink r:id="rId4">
        <w:r w:rsidRPr="191104DE">
          <w:rPr>
            <w:rStyle w:val="Hyperlink"/>
          </w:rPr>
          <w:t>https://www.legislation.gov.uk/ukpga/2014/23/contents</w:t>
        </w:r>
      </w:hyperlink>
      <w:r w:rsidRPr="191104DE">
        <w:rPr>
          <w:rFonts w:ascii="Times New Roman" w:eastAsia="Times New Roman" w:hAnsi="Times New Roman" w:cs="Times New Roman"/>
          <w:color w:val="000000" w:themeColor="text1"/>
          <w:sz w:val="22"/>
          <w:szCs w:val="22"/>
        </w:rPr>
        <w:t>. Accessed 17 July 2026.</w:t>
      </w:r>
    </w:p>
    <w:p w14:paraId="5BFDAFFA" w14:textId="5112032E"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Care Quality Commission (CQC)</w:t>
      </w:r>
    </w:p>
    <w:p w14:paraId="705B9855" w14:textId="6ADBEC2A" w:rsidR="157AB8C1" w:rsidRDefault="157AB8C1" w:rsidP="191104DE">
      <w:pPr>
        <w:spacing w:before="240" w:after="0" w:line="480" w:lineRule="auto"/>
        <w:ind w:left="720" w:hanging="720"/>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Department for Constitutional Affairs (2007). </w:t>
      </w:r>
      <w:r w:rsidRPr="191104DE">
        <w:rPr>
          <w:rFonts w:ascii="Arial" w:eastAsia="Arial" w:hAnsi="Arial" w:cs="Arial"/>
          <w:i/>
          <w:iCs/>
          <w:color w:val="000000" w:themeColor="text1"/>
          <w:sz w:val="22"/>
          <w:szCs w:val="22"/>
        </w:rPr>
        <w:t>Code of Practice Mental Capacity Act 2005</w:t>
      </w:r>
      <w:r w:rsidRPr="191104DE">
        <w:rPr>
          <w:rFonts w:ascii="Arial" w:eastAsia="Arial" w:hAnsi="Arial" w:cs="Arial"/>
          <w:color w:val="000000" w:themeColor="text1"/>
          <w:sz w:val="22"/>
          <w:szCs w:val="22"/>
        </w:rPr>
        <w:t xml:space="preserve">. [online] </w:t>
      </w:r>
      <w:r w:rsidRPr="191104DE">
        <w:rPr>
          <w:rFonts w:ascii="Arial" w:eastAsia="Arial" w:hAnsi="Arial" w:cs="Arial"/>
          <w:i/>
          <w:iCs/>
          <w:color w:val="000000" w:themeColor="text1"/>
          <w:sz w:val="22"/>
          <w:szCs w:val="22"/>
        </w:rPr>
        <w:t>Gov.uk</w:t>
      </w:r>
      <w:r w:rsidRPr="191104DE">
        <w:rPr>
          <w:rFonts w:ascii="Arial" w:eastAsia="Arial" w:hAnsi="Arial" w:cs="Arial"/>
          <w:color w:val="000000" w:themeColor="text1"/>
          <w:sz w:val="22"/>
          <w:szCs w:val="22"/>
        </w:rPr>
        <w:t xml:space="preserve">. Available at: </w:t>
      </w:r>
      <w:hyperlink r:id="rId5">
        <w:r w:rsidRPr="191104DE">
          <w:rPr>
            <w:rStyle w:val="Hyperlink"/>
          </w:rPr>
          <w:t>https://assets.publishing.service.gov.uk/media/5f6cc6138fa8f541f6763295/Mental-capacity-act-code-of-practice.pdf</w:t>
        </w:r>
      </w:hyperlink>
      <w:r w:rsidRPr="191104DE">
        <w:rPr>
          <w:rFonts w:ascii="Arial" w:eastAsia="Arial" w:hAnsi="Arial" w:cs="Arial"/>
          <w:color w:val="000000" w:themeColor="text1"/>
          <w:sz w:val="22"/>
          <w:szCs w:val="22"/>
        </w:rPr>
        <w:t>.(accessed,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6CECFBD0" w14:textId="544CBC96" w:rsidR="157AB8C1" w:rsidRDefault="157AB8C1" w:rsidP="191104DE">
      <w:pPr>
        <w:spacing w:beforeAutospacing="1" w:afterAutospacing="1" w:line="240" w:lineRule="auto"/>
        <w:rPr>
          <w:rFonts w:ascii="Times New Roman" w:eastAsia="Times New Roman" w:hAnsi="Times New Roman" w:cs="Times New Roman"/>
          <w:color w:val="000000" w:themeColor="text1"/>
        </w:rPr>
      </w:pPr>
      <w:r w:rsidRPr="191104DE">
        <w:rPr>
          <w:rFonts w:ascii="Times New Roman" w:eastAsia="Times New Roman" w:hAnsi="Times New Roman" w:cs="Times New Roman"/>
          <w:color w:val="000000" w:themeColor="text1"/>
        </w:rPr>
        <w:t xml:space="preserve">Department for Constitutional Affairs (2005) </w:t>
      </w:r>
      <w:r w:rsidRPr="191104DE">
        <w:rPr>
          <w:rFonts w:ascii="Times New Roman" w:eastAsia="Times New Roman" w:hAnsi="Times New Roman" w:cs="Times New Roman"/>
          <w:i/>
          <w:iCs/>
          <w:color w:val="000000" w:themeColor="text1"/>
        </w:rPr>
        <w:t>Mental Capacity Act 2005</w:t>
      </w:r>
      <w:r w:rsidRPr="191104DE">
        <w:rPr>
          <w:rFonts w:ascii="Times New Roman" w:eastAsia="Times New Roman" w:hAnsi="Times New Roman" w:cs="Times New Roman"/>
          <w:color w:val="000000" w:themeColor="text1"/>
        </w:rPr>
        <w:t>. London: The Stationery Office.</w:t>
      </w:r>
    </w:p>
    <w:p w14:paraId="0A23D963" w14:textId="52133C3F"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Hibbard, J.H. and Tusler, M. (2007). Assessing Activation Stage and Employing a ‘Next Steps’ Approach to Supporting Patient Self-Management. </w:t>
      </w:r>
      <w:r w:rsidRPr="191104DE">
        <w:rPr>
          <w:rFonts w:ascii="Arial" w:eastAsia="Arial" w:hAnsi="Arial" w:cs="Arial"/>
          <w:i/>
          <w:iCs/>
          <w:color w:val="000000" w:themeColor="text1"/>
          <w:sz w:val="22"/>
          <w:szCs w:val="22"/>
        </w:rPr>
        <w:t>Journal of Ambulatory Care Management</w:t>
      </w:r>
      <w:r w:rsidRPr="191104DE">
        <w:rPr>
          <w:rFonts w:ascii="Arial" w:eastAsia="Arial" w:hAnsi="Arial" w:cs="Arial"/>
          <w:color w:val="000000" w:themeColor="text1"/>
          <w:sz w:val="22"/>
          <w:szCs w:val="22"/>
        </w:rPr>
        <w:t>, 30(1), pp.2–8. doi:https://doi.org/10.1097/00004479-200701000-00002.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4FB0F567" w14:textId="379F7E06" w:rsidR="157AB8C1" w:rsidRDefault="157AB8C1" w:rsidP="191104DE">
      <w:pPr>
        <w:spacing w:after="0"/>
        <w:jc w:val="both"/>
        <w:rPr>
          <w:rFonts w:ascii="Arial" w:eastAsia="Arial" w:hAnsi="Arial" w:cs="Arial"/>
          <w:color w:val="000000" w:themeColor="text1"/>
          <w:sz w:val="22"/>
          <w:szCs w:val="22"/>
        </w:rPr>
      </w:pPr>
      <w:r w:rsidRPr="191104DE">
        <w:rPr>
          <w:rFonts w:ascii="Calibri" w:eastAsia="Calibri" w:hAnsi="Calibri" w:cs="Calibri"/>
          <w:color w:val="000000" w:themeColor="text1"/>
          <w:sz w:val="27"/>
          <w:szCs w:val="27"/>
        </w:rPr>
        <w:t>L</w:t>
      </w:r>
      <w:r w:rsidRPr="191104DE">
        <w:rPr>
          <w:rFonts w:ascii="Arial" w:eastAsia="Arial" w:hAnsi="Arial" w:cs="Arial"/>
          <w:color w:val="000000" w:themeColor="text1"/>
          <w:sz w:val="22"/>
          <w:szCs w:val="22"/>
        </w:rPr>
        <w:t xml:space="preserve">egislation.gov.uk. (2022). </w:t>
      </w:r>
      <w:r w:rsidRPr="191104DE">
        <w:rPr>
          <w:rFonts w:ascii="Arial" w:eastAsia="Arial" w:hAnsi="Arial" w:cs="Arial"/>
          <w:i/>
          <w:iCs/>
          <w:color w:val="000000" w:themeColor="text1"/>
          <w:sz w:val="22"/>
          <w:szCs w:val="22"/>
        </w:rPr>
        <w:t>Health and Care Act 2022</w:t>
      </w:r>
      <w:r w:rsidRPr="191104DE">
        <w:rPr>
          <w:rFonts w:ascii="Arial" w:eastAsia="Arial" w:hAnsi="Arial" w:cs="Arial"/>
          <w:color w:val="000000" w:themeColor="text1"/>
          <w:sz w:val="22"/>
          <w:szCs w:val="22"/>
        </w:rPr>
        <w:t xml:space="preserve">. [online] Available at: </w:t>
      </w:r>
      <w:hyperlink r:id="rId6">
        <w:r w:rsidRPr="191104DE">
          <w:rPr>
            <w:rStyle w:val="Hyperlink"/>
          </w:rPr>
          <w:t>https://www.legislation.gov.uk/ukpga/2022/31/section/1</w:t>
        </w:r>
      </w:hyperlink>
      <w:r w:rsidRPr="191104DE">
        <w:rPr>
          <w:rFonts w:ascii="Arial" w:eastAsia="Arial" w:hAnsi="Arial" w:cs="Arial"/>
          <w:color w:val="000000" w:themeColor="text1"/>
          <w:sz w:val="22"/>
          <w:szCs w:val="22"/>
        </w:rPr>
        <w:t>.(accessed 26</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June2026)</w:t>
      </w:r>
    </w:p>
    <w:p w14:paraId="3EEB41ED" w14:textId="79C4D1BD"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Maslow, A. (1943). </w:t>
      </w:r>
      <w:r w:rsidRPr="191104DE">
        <w:rPr>
          <w:rFonts w:ascii="Arial" w:eastAsia="Arial" w:hAnsi="Arial" w:cs="Arial"/>
          <w:i/>
          <w:iCs/>
          <w:color w:val="000000" w:themeColor="text1"/>
          <w:sz w:val="22"/>
          <w:szCs w:val="22"/>
        </w:rPr>
        <w:t>A Theory of Human Motivation</w:t>
      </w:r>
      <w:r w:rsidRPr="191104DE">
        <w:rPr>
          <w:rFonts w:ascii="Arial" w:eastAsia="Arial" w:hAnsi="Arial" w:cs="Arial"/>
          <w:color w:val="000000" w:themeColor="text1"/>
          <w:sz w:val="22"/>
          <w:szCs w:val="22"/>
        </w:rPr>
        <w:t xml:space="preserve">. [online] Psychological Review. Available at: </w:t>
      </w:r>
      <w:hyperlink r:id="rId7">
        <w:r w:rsidRPr="191104DE">
          <w:rPr>
            <w:rStyle w:val="Hyperlink"/>
          </w:rPr>
          <w:t>https://psychclassics.yorku.ca/Maslow/motivation.htm</w:t>
        </w:r>
      </w:hyperlink>
      <w:r w:rsidRPr="191104DE">
        <w:rPr>
          <w:rFonts w:ascii="Arial" w:eastAsia="Arial" w:hAnsi="Arial" w:cs="Arial"/>
          <w:color w:val="000000" w:themeColor="text1"/>
          <w:sz w:val="22"/>
          <w:szCs w:val="22"/>
        </w:rPr>
        <w:t>.(accessed, 11</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 </w:t>
      </w:r>
    </w:p>
    <w:p w14:paraId="0BCF1946" w14:textId="3697253F"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(2019). </w:t>
      </w:r>
      <w:r w:rsidRPr="191104DE">
        <w:rPr>
          <w:rFonts w:ascii="Arial" w:eastAsia="Arial" w:hAnsi="Arial" w:cs="Arial"/>
          <w:i/>
          <w:iCs/>
          <w:color w:val="000000" w:themeColor="text1"/>
          <w:sz w:val="22"/>
          <w:szCs w:val="22"/>
        </w:rPr>
        <w:t>NHS England» Universal Personalised Care: Implementing the Comprehensive Model</w:t>
      </w:r>
      <w:r w:rsidRPr="191104DE">
        <w:rPr>
          <w:rFonts w:ascii="Arial" w:eastAsia="Arial" w:hAnsi="Arial" w:cs="Arial"/>
          <w:color w:val="000000" w:themeColor="text1"/>
          <w:sz w:val="22"/>
          <w:szCs w:val="22"/>
        </w:rPr>
        <w:t xml:space="preserve">. [online] </w:t>
      </w:r>
      <w:hyperlink r:id="rId8">
        <w:r w:rsidRPr="191104DE">
          <w:rPr>
            <w:rStyle w:val="Hyperlink"/>
          </w:rPr>
          <w:t>www.england.nhs.uk</w:t>
        </w:r>
      </w:hyperlink>
      <w:r w:rsidRPr="191104DE">
        <w:rPr>
          <w:rFonts w:ascii="Arial" w:eastAsia="Arial" w:hAnsi="Arial" w:cs="Arial"/>
          <w:color w:val="000000" w:themeColor="text1"/>
          <w:sz w:val="22"/>
          <w:szCs w:val="22"/>
        </w:rPr>
        <w:t xml:space="preserve">. Available at: </w:t>
      </w:r>
      <w:hyperlink r:id="rId9">
        <w:r w:rsidRPr="191104DE">
          <w:rPr>
            <w:rStyle w:val="Hyperlink"/>
          </w:rPr>
          <w:t>https://www.england.nhs.uk/personalisedcare/comprehensive-model/</w:t>
        </w:r>
      </w:hyperlink>
      <w:r w:rsidRPr="191104DE">
        <w:rPr>
          <w:rFonts w:ascii="Arial" w:eastAsia="Arial" w:hAnsi="Arial" w:cs="Arial"/>
          <w:color w:val="000000" w:themeColor="text1"/>
          <w:sz w:val="22"/>
          <w:szCs w:val="22"/>
        </w:rPr>
        <w:t>. (accessed, 2</w:t>
      </w:r>
      <w:r w:rsidRPr="191104DE">
        <w:rPr>
          <w:rFonts w:ascii="Arial" w:eastAsia="Arial" w:hAnsi="Arial" w:cs="Arial"/>
          <w:color w:val="000000" w:themeColor="text1"/>
          <w:sz w:val="22"/>
          <w:szCs w:val="22"/>
          <w:vertAlign w:val="superscript"/>
        </w:rPr>
        <w:t>nd</w:t>
      </w:r>
      <w:r w:rsidRPr="191104DE">
        <w:rPr>
          <w:rFonts w:ascii="Arial" w:eastAsia="Arial" w:hAnsi="Arial" w:cs="Arial"/>
          <w:color w:val="000000" w:themeColor="text1"/>
          <w:sz w:val="22"/>
          <w:szCs w:val="22"/>
        </w:rPr>
        <w:t xml:space="preserve"> July 2026)</w:t>
      </w:r>
    </w:p>
    <w:p w14:paraId="694ED79D" w14:textId="65AB09FD"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(2023). </w:t>
      </w:r>
      <w:r w:rsidRPr="191104DE">
        <w:rPr>
          <w:rFonts w:ascii="Arial" w:eastAsia="Arial" w:hAnsi="Arial" w:cs="Arial"/>
          <w:i/>
          <w:iCs/>
          <w:color w:val="000000" w:themeColor="text1"/>
          <w:sz w:val="22"/>
          <w:szCs w:val="22"/>
        </w:rPr>
        <w:t>Person-centred Care</w:t>
      </w:r>
      <w:r w:rsidRPr="191104DE">
        <w:rPr>
          <w:rFonts w:ascii="Arial" w:eastAsia="Arial" w:hAnsi="Arial" w:cs="Arial"/>
          <w:color w:val="000000" w:themeColor="text1"/>
          <w:sz w:val="22"/>
          <w:szCs w:val="22"/>
        </w:rPr>
        <w:t xml:space="preserve">. [online] NHS England. Available at: </w:t>
      </w:r>
      <w:hyperlink r:id="rId10">
        <w:r w:rsidRPr="191104DE">
          <w:rPr>
            <w:rStyle w:val="Hyperlink"/>
          </w:rPr>
          <w:t>https://www.hee.nhs.uk/our-work/person-centred-care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4CF4D12D" w14:textId="01C349F2" w:rsidR="157AB8C1" w:rsidRDefault="157AB8C1" w:rsidP="191104DE">
      <w:pPr>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NHS England (2024). </w:t>
      </w:r>
      <w:r w:rsidRPr="191104DE">
        <w:rPr>
          <w:rFonts w:ascii="Arial" w:eastAsia="Arial" w:hAnsi="Arial" w:cs="Arial"/>
          <w:i/>
          <w:iCs/>
          <w:color w:val="000000" w:themeColor="text1"/>
          <w:sz w:val="22"/>
          <w:szCs w:val="22"/>
        </w:rPr>
        <w:t>Person-centred Care</w:t>
      </w:r>
      <w:r w:rsidRPr="191104DE">
        <w:rPr>
          <w:rFonts w:ascii="Arial" w:eastAsia="Arial" w:hAnsi="Arial" w:cs="Arial"/>
          <w:color w:val="000000" w:themeColor="text1"/>
          <w:sz w:val="22"/>
          <w:szCs w:val="22"/>
        </w:rPr>
        <w:t xml:space="preserve">. [online] NHS England. Available at: </w:t>
      </w:r>
      <w:hyperlink r:id="rId11">
        <w:r w:rsidRPr="191104DE">
          <w:rPr>
            <w:rStyle w:val="Hyperlink"/>
          </w:rPr>
          <w:t>https://www.hee.nhs.uk/our-work/person-centred-care</w:t>
        </w:r>
      </w:hyperlink>
      <w:r w:rsidRPr="191104DE">
        <w:rPr>
          <w:rFonts w:ascii="Arial" w:eastAsia="Arial" w:hAnsi="Arial" w:cs="Arial"/>
          <w:color w:val="000000" w:themeColor="text1"/>
          <w:sz w:val="22"/>
          <w:szCs w:val="22"/>
        </w:rPr>
        <w:t>.(accessed, 11</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7EFBEE94" w14:textId="203BD073"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NICE (2024). NICE Guidance. [online] NICE. Available at: </w:t>
      </w:r>
      <w:hyperlink r:id="rId12">
        <w:r w:rsidRPr="191104DE">
          <w:rPr>
            <w:rStyle w:val="Hyperlink"/>
          </w:rPr>
          <w:t>https://www.nice.org.uk/guidance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6CF6234F" w14:textId="7A050406"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Tay, L. and Diener, E. (2011). Needs and subjective well-being around the world. </w:t>
      </w:r>
      <w:r w:rsidRPr="191104DE">
        <w:rPr>
          <w:rFonts w:ascii="Arial" w:eastAsia="Arial" w:hAnsi="Arial" w:cs="Arial"/>
          <w:i/>
          <w:iCs/>
          <w:color w:val="000000" w:themeColor="text1"/>
          <w:sz w:val="22"/>
          <w:szCs w:val="22"/>
        </w:rPr>
        <w:t>Journal of Personality and Social Psychology</w:t>
      </w:r>
      <w:r w:rsidRPr="191104DE">
        <w:rPr>
          <w:rFonts w:ascii="Arial" w:eastAsia="Arial" w:hAnsi="Arial" w:cs="Arial"/>
          <w:color w:val="000000" w:themeColor="text1"/>
          <w:sz w:val="22"/>
          <w:szCs w:val="22"/>
        </w:rPr>
        <w:t>, 101(2), pp.354–365. doi:https://doi.org/10.1037/a0023779. (accessed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3488F098" w14:textId="13E39E0B" w:rsidR="157AB8C1" w:rsidRDefault="157AB8C1" w:rsidP="191104DE">
      <w:pPr>
        <w:spacing w:after="0" w:line="360" w:lineRule="auto"/>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Nursing and Midwifery Council (2018). </w:t>
      </w:r>
      <w:r w:rsidRPr="191104DE">
        <w:rPr>
          <w:rFonts w:ascii="Arial" w:eastAsia="Arial" w:hAnsi="Arial" w:cs="Arial"/>
          <w:i/>
          <w:iCs/>
          <w:color w:val="000000" w:themeColor="text1"/>
          <w:sz w:val="22"/>
          <w:szCs w:val="22"/>
        </w:rPr>
        <w:t>The Code</w:t>
      </w:r>
      <w:r w:rsidRPr="191104DE">
        <w:rPr>
          <w:rFonts w:ascii="Arial" w:eastAsia="Arial" w:hAnsi="Arial" w:cs="Arial"/>
          <w:color w:val="000000" w:themeColor="text1"/>
          <w:sz w:val="22"/>
          <w:szCs w:val="22"/>
        </w:rPr>
        <w:t xml:space="preserve">. [online] Nursing and Midwifery Council. Available at: </w:t>
      </w:r>
      <w:hyperlink r:id="rId13">
        <w:r w:rsidRPr="191104DE">
          <w:rPr>
            <w:rStyle w:val="Hyperlink"/>
          </w:rPr>
          <w:t>https://www.nmc.org.uk/standards/code/read-the-code-online/</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74DC1E5D" w14:textId="1FA742D3"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NMC (2018). </w:t>
      </w:r>
      <w:r w:rsidRPr="191104DE">
        <w:rPr>
          <w:rFonts w:ascii="Arial" w:eastAsia="Arial" w:hAnsi="Arial" w:cs="Arial"/>
          <w:i/>
          <w:iCs/>
          <w:color w:val="000000" w:themeColor="text1"/>
          <w:sz w:val="22"/>
          <w:szCs w:val="22"/>
        </w:rPr>
        <w:t>Standards for Competence for Registered Nurses</w:t>
      </w:r>
      <w:r w:rsidRPr="191104DE">
        <w:rPr>
          <w:rFonts w:ascii="Arial" w:eastAsia="Arial" w:hAnsi="Arial" w:cs="Arial"/>
          <w:color w:val="000000" w:themeColor="text1"/>
          <w:sz w:val="22"/>
          <w:szCs w:val="22"/>
        </w:rPr>
        <w:t xml:space="preserve">. [online] </w:t>
      </w:r>
      <w:r w:rsidRPr="191104DE">
        <w:rPr>
          <w:rFonts w:ascii="Arial" w:eastAsia="Arial" w:hAnsi="Arial" w:cs="Arial"/>
          <w:i/>
          <w:iCs/>
          <w:color w:val="000000" w:themeColor="text1"/>
          <w:sz w:val="22"/>
          <w:szCs w:val="22"/>
        </w:rPr>
        <w:t>Nursing and Midwifery Council</w:t>
      </w:r>
      <w:r w:rsidRPr="191104DE">
        <w:rPr>
          <w:rFonts w:ascii="Arial" w:eastAsia="Arial" w:hAnsi="Arial" w:cs="Arial"/>
          <w:color w:val="000000" w:themeColor="text1"/>
          <w:sz w:val="22"/>
          <w:szCs w:val="22"/>
        </w:rPr>
        <w:t xml:space="preserve">. Nursing and Midwifery Council. Available at: </w:t>
      </w:r>
      <w:hyperlink r:id="rId14">
        <w:r w:rsidRPr="191104DE">
          <w:rPr>
            <w:rStyle w:val="Hyperlink"/>
          </w:rPr>
          <w:t>https://www.nmc.org.uk/globalassets/sitedocuments/standards/nmc-standards-for-competence-for-registered-nurses.pdf</w:t>
        </w:r>
      </w:hyperlink>
      <w:r w:rsidRPr="191104DE">
        <w:rPr>
          <w:rFonts w:ascii="Arial" w:eastAsia="Arial" w:hAnsi="Arial" w:cs="Arial"/>
          <w:color w:val="000000" w:themeColor="text1"/>
          <w:sz w:val="22"/>
          <w:szCs w:val="22"/>
        </w:rPr>
        <w:t>. (accessed 10</w:t>
      </w:r>
      <w:r w:rsidRPr="191104DE">
        <w:rPr>
          <w:rFonts w:ascii="Arial" w:eastAsia="Arial" w:hAnsi="Arial" w:cs="Arial"/>
          <w:color w:val="000000" w:themeColor="text1"/>
          <w:sz w:val="22"/>
          <w:szCs w:val="22"/>
          <w:vertAlign w:val="superscript"/>
        </w:rPr>
        <w:t>th</w:t>
      </w:r>
      <w:r w:rsidRPr="191104DE">
        <w:rPr>
          <w:rFonts w:ascii="Arial" w:eastAsia="Arial" w:hAnsi="Arial" w:cs="Arial"/>
          <w:color w:val="000000" w:themeColor="text1"/>
          <w:sz w:val="22"/>
          <w:szCs w:val="22"/>
        </w:rPr>
        <w:t xml:space="preserve"> June 2026)</w:t>
      </w:r>
    </w:p>
    <w:p w14:paraId="27972EE4" w14:textId="398AB974" w:rsidR="157AB8C1" w:rsidRDefault="157AB8C1" w:rsidP="191104DE">
      <w:pPr>
        <w:spacing w:after="0"/>
        <w:jc w:val="both"/>
        <w:rPr>
          <w:rFonts w:ascii="Arial" w:eastAsia="Arial" w:hAnsi="Arial" w:cs="Arial"/>
          <w:color w:val="000000" w:themeColor="text1"/>
          <w:sz w:val="22"/>
          <w:szCs w:val="22"/>
        </w:rPr>
      </w:pPr>
      <w:r w:rsidRPr="191104DE">
        <w:rPr>
          <w:rFonts w:ascii="Arial" w:eastAsia="Arial" w:hAnsi="Arial" w:cs="Arial"/>
          <w:color w:val="000000" w:themeColor="text1"/>
          <w:sz w:val="22"/>
          <w:szCs w:val="22"/>
        </w:rPr>
        <w:t xml:space="preserve">The Health Foundation. (2025). </w:t>
      </w:r>
      <w:r w:rsidRPr="191104DE">
        <w:rPr>
          <w:rFonts w:ascii="Arial" w:eastAsia="Arial" w:hAnsi="Arial" w:cs="Arial"/>
          <w:i/>
          <w:iCs/>
          <w:color w:val="000000" w:themeColor="text1"/>
          <w:sz w:val="22"/>
          <w:szCs w:val="22"/>
        </w:rPr>
        <w:t>Bridging the great divide: coordination of primary and secondary care in the management of chronic disease</w:t>
      </w:r>
      <w:r w:rsidRPr="191104DE">
        <w:rPr>
          <w:rFonts w:ascii="Arial" w:eastAsia="Arial" w:hAnsi="Arial" w:cs="Arial"/>
          <w:color w:val="000000" w:themeColor="text1"/>
          <w:sz w:val="22"/>
          <w:szCs w:val="22"/>
        </w:rPr>
        <w:t xml:space="preserve">. [online] Available at: </w:t>
      </w:r>
      <w:hyperlink r:id="rId15">
        <w:r w:rsidRPr="191104DE">
          <w:rPr>
            <w:rStyle w:val="Hyperlink"/>
          </w:rPr>
          <w:t>https://www.health.org.uk/reports-and-analysis/briefings/bridging-the-great-divide-coordination-of-primary-and-secondary-care</w:t>
        </w:r>
      </w:hyperlink>
      <w:r w:rsidRPr="191104DE">
        <w:rPr>
          <w:rFonts w:ascii="Arial" w:eastAsia="Arial" w:hAnsi="Arial" w:cs="Arial"/>
          <w:color w:val="000000" w:themeColor="text1"/>
          <w:sz w:val="22"/>
          <w:szCs w:val="22"/>
        </w:rPr>
        <w:t>.(accessed 3</w:t>
      </w:r>
      <w:r w:rsidRPr="191104DE">
        <w:rPr>
          <w:rFonts w:ascii="Arial" w:eastAsia="Arial" w:hAnsi="Arial" w:cs="Arial"/>
          <w:color w:val="000000" w:themeColor="text1"/>
          <w:sz w:val="22"/>
          <w:szCs w:val="22"/>
          <w:vertAlign w:val="superscript"/>
        </w:rPr>
        <w:t>rd</w:t>
      </w:r>
      <w:r w:rsidRPr="191104DE">
        <w:rPr>
          <w:rFonts w:ascii="Arial" w:eastAsia="Arial" w:hAnsi="Arial" w:cs="Arial"/>
          <w:color w:val="000000" w:themeColor="text1"/>
          <w:sz w:val="22"/>
          <w:szCs w:val="22"/>
        </w:rPr>
        <w:t xml:space="preserve"> July 2026)</w:t>
      </w:r>
    </w:p>
    <w:p w14:paraId="570B6008" w14:textId="11409A52" w:rsidR="191104DE" w:rsidRDefault="191104DE" w:rsidP="191104DE">
      <w:pPr>
        <w:rPr>
          <w:sz w:val="22"/>
          <w:szCs w:val="22"/>
        </w:rPr>
      </w:pPr>
    </w:p>
    <w:sectPr w:rsidR="191104D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6A3B36"/>
    <w:rsid w:val="00015BFD"/>
    <w:rsid w:val="00025D0A"/>
    <w:rsid w:val="000312A1"/>
    <w:rsid w:val="0004697D"/>
    <w:rsid w:val="000A7BDD"/>
    <w:rsid w:val="000C4831"/>
    <w:rsid w:val="000D4915"/>
    <w:rsid w:val="000E6D23"/>
    <w:rsid w:val="000F560F"/>
    <w:rsid w:val="00106647"/>
    <w:rsid w:val="001321F4"/>
    <w:rsid w:val="00184B5B"/>
    <w:rsid w:val="001960C7"/>
    <w:rsid w:val="001A1C62"/>
    <w:rsid w:val="001B096F"/>
    <w:rsid w:val="001B1146"/>
    <w:rsid w:val="001D649C"/>
    <w:rsid w:val="001E3B0D"/>
    <w:rsid w:val="00221227"/>
    <w:rsid w:val="00236289"/>
    <w:rsid w:val="00236B6E"/>
    <w:rsid w:val="003242E5"/>
    <w:rsid w:val="00330927"/>
    <w:rsid w:val="00353BA7"/>
    <w:rsid w:val="00354D53"/>
    <w:rsid w:val="00362991"/>
    <w:rsid w:val="003D3035"/>
    <w:rsid w:val="003D37C1"/>
    <w:rsid w:val="0043005A"/>
    <w:rsid w:val="004325F8"/>
    <w:rsid w:val="004355AB"/>
    <w:rsid w:val="004C3105"/>
    <w:rsid w:val="004D233C"/>
    <w:rsid w:val="004D2E2A"/>
    <w:rsid w:val="004F21EF"/>
    <w:rsid w:val="00514FF1"/>
    <w:rsid w:val="00531268"/>
    <w:rsid w:val="005958AC"/>
    <w:rsid w:val="00596079"/>
    <w:rsid w:val="005E4C6E"/>
    <w:rsid w:val="005F6609"/>
    <w:rsid w:val="00653879"/>
    <w:rsid w:val="00681E7B"/>
    <w:rsid w:val="00685C60"/>
    <w:rsid w:val="00686C46"/>
    <w:rsid w:val="006A2B7E"/>
    <w:rsid w:val="006A314B"/>
    <w:rsid w:val="006F5AF2"/>
    <w:rsid w:val="006F6CC0"/>
    <w:rsid w:val="00713BD4"/>
    <w:rsid w:val="0072458A"/>
    <w:rsid w:val="00735349"/>
    <w:rsid w:val="007521A2"/>
    <w:rsid w:val="007B3BB1"/>
    <w:rsid w:val="007F5EDA"/>
    <w:rsid w:val="00804DCA"/>
    <w:rsid w:val="00815D94"/>
    <w:rsid w:val="008214FC"/>
    <w:rsid w:val="008B2A6F"/>
    <w:rsid w:val="008B790A"/>
    <w:rsid w:val="008D0FBA"/>
    <w:rsid w:val="008D3C4D"/>
    <w:rsid w:val="008F1003"/>
    <w:rsid w:val="0095578A"/>
    <w:rsid w:val="00985113"/>
    <w:rsid w:val="009C339E"/>
    <w:rsid w:val="00A36A8F"/>
    <w:rsid w:val="00A5098C"/>
    <w:rsid w:val="00A67F94"/>
    <w:rsid w:val="00A871D6"/>
    <w:rsid w:val="00AA373E"/>
    <w:rsid w:val="00AB646C"/>
    <w:rsid w:val="00AB755B"/>
    <w:rsid w:val="00AB7793"/>
    <w:rsid w:val="00AE0145"/>
    <w:rsid w:val="00B03302"/>
    <w:rsid w:val="00B63840"/>
    <w:rsid w:val="00B8125F"/>
    <w:rsid w:val="00B95E4D"/>
    <w:rsid w:val="00BA537B"/>
    <w:rsid w:val="00BD499D"/>
    <w:rsid w:val="00C54904"/>
    <w:rsid w:val="00C91B16"/>
    <w:rsid w:val="00D1628C"/>
    <w:rsid w:val="00D531BB"/>
    <w:rsid w:val="00D908D3"/>
    <w:rsid w:val="00DB0CEA"/>
    <w:rsid w:val="00E01BB3"/>
    <w:rsid w:val="00E5734E"/>
    <w:rsid w:val="00EB32E0"/>
    <w:rsid w:val="00ED01E9"/>
    <w:rsid w:val="00F02C59"/>
    <w:rsid w:val="00F53851"/>
    <w:rsid w:val="00FC237A"/>
    <w:rsid w:val="00FD67C3"/>
    <w:rsid w:val="00FE1F7F"/>
    <w:rsid w:val="04181770"/>
    <w:rsid w:val="049ACADB"/>
    <w:rsid w:val="0547A184"/>
    <w:rsid w:val="061172E1"/>
    <w:rsid w:val="07241DA0"/>
    <w:rsid w:val="0840ADB9"/>
    <w:rsid w:val="0AA63664"/>
    <w:rsid w:val="0BCCEE52"/>
    <w:rsid w:val="0BF12A9B"/>
    <w:rsid w:val="0D09CD09"/>
    <w:rsid w:val="0E619C35"/>
    <w:rsid w:val="1045B162"/>
    <w:rsid w:val="1129EDCB"/>
    <w:rsid w:val="11FF8D2F"/>
    <w:rsid w:val="1234C827"/>
    <w:rsid w:val="1291BCA0"/>
    <w:rsid w:val="12C1A1F7"/>
    <w:rsid w:val="12D610E5"/>
    <w:rsid w:val="138A5262"/>
    <w:rsid w:val="13A24895"/>
    <w:rsid w:val="13B9CDA6"/>
    <w:rsid w:val="15119183"/>
    <w:rsid w:val="15400496"/>
    <w:rsid w:val="157AB8C1"/>
    <w:rsid w:val="16670748"/>
    <w:rsid w:val="181AE9D0"/>
    <w:rsid w:val="191104DE"/>
    <w:rsid w:val="1A6C4FF2"/>
    <w:rsid w:val="1E49AEA6"/>
    <w:rsid w:val="1E4EE1DA"/>
    <w:rsid w:val="1E96BDBD"/>
    <w:rsid w:val="1FC5E646"/>
    <w:rsid w:val="20332C17"/>
    <w:rsid w:val="20839C8F"/>
    <w:rsid w:val="21A1ED99"/>
    <w:rsid w:val="22C80BBD"/>
    <w:rsid w:val="23E0DD9B"/>
    <w:rsid w:val="244F755E"/>
    <w:rsid w:val="25331FC3"/>
    <w:rsid w:val="25B337D5"/>
    <w:rsid w:val="269BF86E"/>
    <w:rsid w:val="270956C4"/>
    <w:rsid w:val="27CEA506"/>
    <w:rsid w:val="2BD2473E"/>
    <w:rsid w:val="2D537112"/>
    <w:rsid w:val="2F3E4AF4"/>
    <w:rsid w:val="305B824F"/>
    <w:rsid w:val="322BC5C2"/>
    <w:rsid w:val="327AB240"/>
    <w:rsid w:val="32B50025"/>
    <w:rsid w:val="33368018"/>
    <w:rsid w:val="3426BEC1"/>
    <w:rsid w:val="39FF08B8"/>
    <w:rsid w:val="3B22043D"/>
    <w:rsid w:val="3E1D3A8B"/>
    <w:rsid w:val="3E7DE4AD"/>
    <w:rsid w:val="40DDA6CA"/>
    <w:rsid w:val="4188978C"/>
    <w:rsid w:val="426A3B36"/>
    <w:rsid w:val="437E420A"/>
    <w:rsid w:val="44021770"/>
    <w:rsid w:val="4697ECB1"/>
    <w:rsid w:val="478EF8AE"/>
    <w:rsid w:val="4A666FC3"/>
    <w:rsid w:val="4B737DE1"/>
    <w:rsid w:val="4FA68A81"/>
    <w:rsid w:val="4FE61B39"/>
    <w:rsid w:val="4FE9A6E8"/>
    <w:rsid w:val="501CCD1E"/>
    <w:rsid w:val="5316389C"/>
    <w:rsid w:val="53902D51"/>
    <w:rsid w:val="54DA1C30"/>
    <w:rsid w:val="555C8A35"/>
    <w:rsid w:val="56428C13"/>
    <w:rsid w:val="58362D01"/>
    <w:rsid w:val="5840FAB8"/>
    <w:rsid w:val="59659F40"/>
    <w:rsid w:val="5997F950"/>
    <w:rsid w:val="5A0D677C"/>
    <w:rsid w:val="5BB2CCCE"/>
    <w:rsid w:val="5D36D571"/>
    <w:rsid w:val="5F44C773"/>
    <w:rsid w:val="5F73264F"/>
    <w:rsid w:val="5FDF6CE0"/>
    <w:rsid w:val="60C09F00"/>
    <w:rsid w:val="669C850C"/>
    <w:rsid w:val="68030A2A"/>
    <w:rsid w:val="681D9E05"/>
    <w:rsid w:val="6A043DB2"/>
    <w:rsid w:val="6D9A2452"/>
    <w:rsid w:val="6DF0C673"/>
    <w:rsid w:val="6E327F3B"/>
    <w:rsid w:val="6E4A6755"/>
    <w:rsid w:val="6FDC4EB7"/>
    <w:rsid w:val="713A782A"/>
    <w:rsid w:val="7271AF46"/>
    <w:rsid w:val="72981445"/>
    <w:rsid w:val="7330F5C3"/>
    <w:rsid w:val="73E74CCD"/>
    <w:rsid w:val="7689C999"/>
    <w:rsid w:val="76C45179"/>
    <w:rsid w:val="794C42FE"/>
    <w:rsid w:val="7C8E93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00D2CD9"/>
  <w15:chartTrackingRefBased/>
  <w15:docId w15:val="{054A01B2-FAE0-4E87-A860-77C7D8B78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91104D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www.nmc.org.uk/standards/code/read-the-code-online/" TargetMode="External"/><Relationship Id="rId3" Type="http://schemas.openxmlformats.org/officeDocument/2006/relationships/webSettings" Target="webSettings.xml"/><Relationship Id="rId7" Type="http://schemas.openxmlformats.org/officeDocument/2006/relationships/hyperlink" Target="https://psychclassics.yorku.ca/Maslow/motivation.htm" TargetMode="External"/><Relationship Id="rId12" Type="http://schemas.openxmlformats.org/officeDocument/2006/relationships/hyperlink" Target="https://www.nice.org.uk/guida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2022/31/section/1" TargetMode="External"/><Relationship Id="rId11" Type="http://schemas.openxmlformats.org/officeDocument/2006/relationships/hyperlink" Target="https://www.hee.nhs.uk/our-work/person-centred-care" TargetMode="External"/><Relationship Id="rId5" Type="http://schemas.openxmlformats.org/officeDocument/2006/relationships/hyperlink" Target="https://assets.publishing.service.gov.uk/media/5f6cc6138fa8f541f6763295/Mental-capacity-act-code-of-practice.pdf" TargetMode="External"/><Relationship Id="rId15" Type="http://schemas.openxmlformats.org/officeDocument/2006/relationships/hyperlink" Target="https://www.health.org.uk/reports-and-analysis/briefings/bridging-the-great-divide-coordination-of-primary-and-secondary-care" TargetMode="External"/><Relationship Id="rId10" Type="http://schemas.openxmlformats.org/officeDocument/2006/relationships/hyperlink" Target="https://www.hee.nhs.uk/our-work/person-centred-care" TargetMode="External"/><Relationship Id="rId4" Type="http://schemas.openxmlformats.org/officeDocument/2006/relationships/hyperlink" Target="https://www.legislation.gov.uk/ukpga/2014/23/contents" TargetMode="External"/><Relationship Id="rId9" Type="http://schemas.openxmlformats.org/officeDocument/2006/relationships/hyperlink" Target="https://www.england.nhs.uk/personalisedcare/comprehensive-model/" TargetMode="External"/><Relationship Id="rId14" Type="http://schemas.openxmlformats.org/officeDocument/2006/relationships/hyperlink" Target="https://www.nmc.org.uk/globalassets/sitedocuments/standards/nmc-standards-for-competence-for-registered-nur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Rosiane Hatchodji Tchoumte Ep Tchounkeu (2439419)</dc:creator>
  <cp:keywords/>
  <dc:description/>
  <cp:lastModifiedBy>Rosiane Hatchodji Tchoumte Ep Tchounkeu (2439419)</cp:lastModifiedBy>
  <cp:revision>2</cp:revision>
  <dcterms:created xsi:type="dcterms:W3CDTF">2026-07-19T10:33:00Z</dcterms:created>
  <dcterms:modified xsi:type="dcterms:W3CDTF">2026-07-19T10:58:00Z</dcterms:modified>
</cp:coreProperties>
</file>