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6D17691" w14:textId="77777777" w:rsidR="00A211E3" w:rsidRDefault="00A211E3">
      <w:pPr>
        <w:jc w:val="center"/>
        <w:rPr>
          <w:b/>
          <w:sz w:val="32"/>
          <w:szCs w:val="32"/>
        </w:rPr>
      </w:pPr>
    </w:p>
    <w:p w14:paraId="1CBE57C5" w14:textId="77777777" w:rsidR="00A211E3" w:rsidRDefault="00A211E3">
      <w:pPr>
        <w:jc w:val="center"/>
        <w:rPr>
          <w:b/>
          <w:sz w:val="32"/>
          <w:szCs w:val="32"/>
        </w:rPr>
      </w:pPr>
    </w:p>
    <w:p w14:paraId="4D39D1CB" w14:textId="77777777" w:rsidR="00A211E3" w:rsidRDefault="00A211E3">
      <w:pPr>
        <w:jc w:val="center"/>
        <w:rPr>
          <w:b/>
          <w:sz w:val="32"/>
          <w:szCs w:val="32"/>
        </w:rPr>
      </w:pPr>
    </w:p>
    <w:p w14:paraId="3E323F8C" w14:textId="77777777" w:rsidR="00A211E3" w:rsidRDefault="00A211E3">
      <w:pPr>
        <w:jc w:val="center"/>
        <w:rPr>
          <w:b/>
          <w:sz w:val="32"/>
          <w:szCs w:val="32"/>
        </w:rPr>
      </w:pPr>
    </w:p>
    <w:p w14:paraId="28BCBFCB" w14:textId="77777777" w:rsidR="00A211E3" w:rsidRDefault="00A211E3">
      <w:pPr>
        <w:jc w:val="center"/>
        <w:rPr>
          <w:b/>
          <w:sz w:val="32"/>
          <w:szCs w:val="32"/>
        </w:rPr>
      </w:pPr>
    </w:p>
    <w:p w14:paraId="6C1691BB" w14:textId="77777777" w:rsidR="00A211E3" w:rsidRDefault="00A211E3">
      <w:pPr>
        <w:jc w:val="center"/>
        <w:rPr>
          <w:b/>
          <w:sz w:val="32"/>
          <w:szCs w:val="32"/>
        </w:rPr>
      </w:pPr>
    </w:p>
    <w:p w14:paraId="38E19B9C" w14:textId="77777777" w:rsidR="00A211E3" w:rsidRDefault="00A211E3">
      <w:pPr>
        <w:jc w:val="center"/>
        <w:rPr>
          <w:b/>
          <w:sz w:val="32"/>
          <w:szCs w:val="32"/>
        </w:rPr>
      </w:pPr>
    </w:p>
    <w:p w14:paraId="421B8012" w14:textId="77777777" w:rsidR="00A211E3" w:rsidRDefault="00A211E3">
      <w:pPr>
        <w:jc w:val="center"/>
        <w:rPr>
          <w:b/>
          <w:sz w:val="32"/>
          <w:szCs w:val="32"/>
        </w:rPr>
      </w:pPr>
    </w:p>
    <w:p w14:paraId="619148E3" w14:textId="7E2C826F" w:rsidR="00A211E3" w:rsidRPr="006B0279" w:rsidRDefault="00AB583A" w:rsidP="006B0279">
      <w:pPr>
        <w:jc w:val="center"/>
        <w:rPr>
          <w:b/>
          <w:sz w:val="32"/>
          <w:szCs w:val="32"/>
        </w:rPr>
      </w:pPr>
      <w:r>
        <w:rPr>
          <w:b/>
          <w:sz w:val="32"/>
          <w:szCs w:val="32"/>
        </w:rPr>
        <w:t xml:space="preserve">CRIMINAL LAW </w:t>
      </w:r>
      <w:bookmarkStart w:id="0" w:name="_qydr9t40c8ul" w:colFirst="0" w:colLast="0"/>
      <w:bookmarkEnd w:id="0"/>
      <w:r w:rsidR="00A211E3">
        <w:br w:type="page"/>
      </w:r>
    </w:p>
    <w:p w14:paraId="00000002" w14:textId="23D9474E" w:rsidR="00AF7DAC" w:rsidRDefault="00AB583A">
      <w:pPr>
        <w:pStyle w:val="Heading1"/>
      </w:pPr>
      <w:bookmarkStart w:id="1" w:name="_Toc134197224"/>
      <w:r>
        <w:lastRenderedPageBreak/>
        <w:t>Introduction</w:t>
      </w:r>
      <w:bookmarkEnd w:id="1"/>
    </w:p>
    <w:p w14:paraId="00000003" w14:textId="77777777" w:rsidR="00AF7DAC" w:rsidRDefault="00AB583A">
      <w:r>
        <w:t xml:space="preserve">The paper is going to focus on criminal violence cases and existing legislation grounds that can be used in defence of officers. The prosecution has to prove that the crime is committed with intent by the accused person to ensure he/she is guilty. On the other hand, the defence prosecutor can use the ground of general defences according to English criminal law to encounter the prosecution's contention of accusing the individual with intent. General defences in the United Kingdom include insanity, automatism, duress, self-defence and intoxication. However, the judgement on these defensive grounds completely depends on hypothetical and circumstantial evidence to examine whether the accused person has the actual intent to commit the crime or not. It has been observed that defence lawyers often use these defence grounds for the acquittal or punishment reduction of offenders. However, the judiciary goes through every circumstantial evidence to conclude a decision and make a verdict on whether the crime is committed with intent or not. This study is going to focus on the case of Polly and Mohammed to discuss existing scopes of defending the offender along with examples of relevant case law. At first, the background of the case will be evaluated and then the defence options that can be considered in this case will be illustrated to reach a potential conclusion.                </w:t>
      </w:r>
    </w:p>
    <w:p w14:paraId="00000004" w14:textId="77777777" w:rsidR="00AF7DAC" w:rsidRDefault="00AB583A">
      <w:pPr>
        <w:pStyle w:val="Heading2"/>
      </w:pPr>
      <w:bookmarkStart w:id="2" w:name="_7iymllwzxkzu" w:colFirst="0" w:colLast="0"/>
      <w:bookmarkStart w:id="3" w:name="_Toc134197225"/>
      <w:bookmarkEnd w:id="2"/>
      <w:r>
        <w:t>Case background</w:t>
      </w:r>
      <w:bookmarkEnd w:id="3"/>
    </w:p>
    <w:p w14:paraId="00000005" w14:textId="77777777" w:rsidR="00AF7DAC" w:rsidRDefault="00AB583A">
      <w:r>
        <w:t xml:space="preserve">Polly and Mohammed had been together for the last 10 years; however, Polly has schizophrenia. In an event in the local bar, Polly became paranoid as she noticed Mohammad flirting with Roxanne, the bar lady. Polly became offended and went straight to Roxanne and call her a bitch with a humiliating gesture of showing her middle finger. As a result, she asked to leave the pub for the misbehaviour with staff. Polly noticed a moped of Roxanne outside in the parking zone and severed the brake cables with a piece of broken glass. Later at home, Polly started to accuse Mohammed of fancying Roxanne as she assumed that Mohammed found Roxanne more attractive than her. However, Mohammed continuously tried to convince her that nothing had happened like that, but in the end, he snapped and shouted sarcastically that he had been in an affair with Roxanne for the last 9 months. In this context, Polly got out of control by bursting out of anger and throwing a glass ashtray which smashed Mohammed over his head and eventually he died due to brain injury. The overview of the case clearly reflects that Polly committed the crime of murder. However, this study is going to analyse the scope of defences by investigating </w:t>
      </w:r>
      <w:r>
        <w:lastRenderedPageBreak/>
        <w:t xml:space="preserve">whether the crime is conducted with intent or not from the side of Polly along with case law evidence.           </w:t>
      </w:r>
    </w:p>
    <w:p w14:paraId="00000006" w14:textId="77777777" w:rsidR="00AF7DAC" w:rsidRDefault="00AB583A">
      <w:pPr>
        <w:pStyle w:val="Heading1"/>
      </w:pPr>
      <w:bookmarkStart w:id="4" w:name="_fi1ob2i81xup" w:colFirst="0" w:colLast="0"/>
      <w:bookmarkStart w:id="5" w:name="_Toc134197226"/>
      <w:bookmarkEnd w:id="4"/>
      <w:r>
        <w:t>Defences that may be considered in this case</w:t>
      </w:r>
      <w:bookmarkEnd w:id="5"/>
    </w:p>
    <w:p w14:paraId="00000007" w14:textId="291F94D9" w:rsidR="00AF7DAC" w:rsidRDefault="00AB583A">
      <w:r>
        <w:t xml:space="preserve">As per the studies of Appelbaum (2022), insanity is one of the major grounds of criminal defence where the offenders suffer from serious mental health issues and does not have the actual intention of committing a criminal offence or the knowledge of actions and consequences. The case of Polly can be defended under the legitimate ground of insanity as she has a serious mental illness of schizophrenia. This mental disease can result in extreme delusion, hallucinations, and disordered behaviour and thinking. These symptoms can impair daily functions and self-control of the anger of a patient. Thus, the defence prosecutor can lead the case on the ground of insanity by showing mental illness and providing medical proof regarding that. For instance, “M'Naghten's Case 10 C &amp; F 200” (1843) was </w:t>
      </w:r>
      <w:r w:rsidR="00A211E3">
        <w:t>a case</w:t>
      </w:r>
      <w:r>
        <w:t xml:space="preserve"> law example of insanity (Mack, n.d). In this case, Daniel M’Naghten committed a crime by shooting Edward Drummond. He mistakenly murdered Drummond by recognising him as</w:t>
      </w:r>
      <w:r w:rsidR="00A211E3">
        <w:t xml:space="preserve"> the Ex-prime minister of the UK</w:t>
      </w:r>
      <w:r>
        <w:t xml:space="preserve"> Robert Peel, who was the actual target. However, the case had been defended on the ground of morbid delusion where the accused was not sure about morals and shooting someone is wrong. Thus, on the ground of insanity, the House of Lords made a verdict to give him an acquittal (Mack, n.d). On the basis of the judgment, the “House of Lor</w:t>
      </w:r>
      <w:r w:rsidR="00A211E3">
        <w:t>d</w:t>
      </w:r>
      <w:r>
        <w:t>s” passed an exposition to judge the case of insanity which is also familiar as the M'Naghten</w:t>
      </w:r>
      <w:r w:rsidR="00A211E3">
        <w:t xml:space="preserve"> Rules. According to the rule, t</w:t>
      </w:r>
      <w:r>
        <w:t>he jury has to presume all accused persons as sane and process the case with an adequate degree of reason until the contradictory evidence is satisfactory on the ground of insanity. It should be proved with clarity that the accused party was under mental disease or defect of reason during committing a crime (Weiss and Joy, 2021). In addition, an accused person can be defended on the measure of insanity, if he/she did not have any idea about the quality and nature of the committed act or did not know that his/her deed is wrong.</w:t>
      </w:r>
    </w:p>
    <w:p w14:paraId="00000008" w14:textId="3BD31B99" w:rsidR="00AF7DAC" w:rsidRDefault="00AB583A">
      <w:r>
        <w:t xml:space="preserve">In another case of “R v Clarke 1 All ER 219” (1972), Clarke was the defendant who was apprehended for her practice of shoplifting. She placed multiple items including Jars of mincemeat, coffee and butter into the handbag she used (Law courses, n.d). As a result, she was convicted of a charge of theft under the legal jurisdiction of the “Theft Act 1968” c.60, s.1. However, the defendant claimed that she does not have any memory of shoplifting, so she must </w:t>
      </w:r>
      <w:r>
        <w:lastRenderedPageBreak/>
        <w:t>have done it in absent-mindedness. Thus, she</w:t>
      </w:r>
      <w:r w:rsidR="00A211E3">
        <w:t xml:space="preserve"> asserted that there was no men</w:t>
      </w:r>
      <w:r>
        <w:t xml:space="preserve">s rea behind her offence. In this case, the jury asked for medical evidence, which reflected that she was diabetic and the psychiatrist and general practitioner testified and confirmed that she was suffering from depression which was strongly related to the bout of absent-mindedness (Law Teacher, 2021). According to the medical evidence the verdict was given where Clarke was acquitted and not proven guilty. Thus, the case of Polly can be defended on the insanity ground as she has a medical history of schizophrenia and she was totally out of control due to paranoid and did not have any idea what she was going to do at the time of the crime. </w:t>
      </w:r>
    </w:p>
    <w:p w14:paraId="00000009" w14:textId="47F74A12" w:rsidR="00AF7DAC" w:rsidRDefault="00AB583A">
      <w:r>
        <w:t xml:space="preserve">Automatism is another criminal defence measure that can be used in the case of Polly to defend her offence. According to the case law of “Bratty vs. Attorney General Northern Ireland”, automatism can be referred to as where an illegal act is conducted by muscles without the control and </w:t>
      </w:r>
      <w:r w:rsidR="00A211E3">
        <w:t>involvement</w:t>
      </w:r>
      <w:r>
        <w:t xml:space="preserve"> of the mind (Kopelman, 2022). It may include a reflex, spasm, convulsion or an act done by the accused person by not concerning about what he/she is doing such as acts done while the accused person is suffering from sleepwalking, dementia or concussion. In the case of “Broome v Perkins, 85 Cr App R 321” (1987), Perkins was the defendant who was accused of breach of duty and contributory negligence (Law Teacher, 2019). At the court trial, the defendant argued that he was diabetic and suffered a hypoglycaemic incident and finally lapsed into “automatic driving” mode. Thus, the reckless driving done by him was not mens rea but completely automatic and involuntary. The jury decided that the defendant did not have any control over his action by examining his health condition of him during the incident accident (Law Teacher, 2019). As a result, Perkins got acquitted on the </w:t>
      </w:r>
      <w:r w:rsidR="00A211E3">
        <w:t>defence</w:t>
      </w:r>
      <w:r>
        <w:t xml:space="preserve"> ground of automatism. Similarly, Polly suffered from schizophrenia and anxiety and she became paranoid during the time of crime. The incident portrays that Polly was possessive about Mohammed which means she shared a feeling of love for him. However, her mental paranoid condition made her out of control in anger and the accidental murder was not intended at all. Polly was not in control of her action due to her mental illness and utterly unaware of what she was doing at that moment. Thus, the case of offence can be defended on the criminal defensive ground of automatism.                 </w:t>
      </w:r>
    </w:p>
    <w:p w14:paraId="0000000A" w14:textId="7DB9A8FF" w:rsidR="00AF7DAC" w:rsidRDefault="00AB583A">
      <w:r>
        <w:t xml:space="preserve">In addition, the case of Polly can be defended based on the measure of intoxication. On the day of the crime event, Polly and Mohammed went to a bar and they were drunk which comes under voluntary intoxication. However, they both did not use to drink for Dutch courage which makes </w:t>
      </w:r>
      <w:r>
        <w:lastRenderedPageBreak/>
        <w:t xml:space="preserve">an offence </w:t>
      </w:r>
      <w:r w:rsidR="00A211E3">
        <w:t>unjustifiable</w:t>
      </w:r>
      <w:r>
        <w:t xml:space="preserve"> on the ground of intoxication. For insta</w:t>
      </w:r>
      <w:r w:rsidR="00A211E3">
        <w:t>nce, in “R v Lipman 1 QB 152” (</w:t>
      </w:r>
      <w:r>
        <w:t xml:space="preserve">1970), the defendant was addicted to the drug (LSD) and brutally killed the victim while the evidence of asphyxia was clear (Law Prof, n.d). However, the defendant argued on the basis of intoxication and stated that he had delusion and no control while committing the crime. The jury refused the appeal and sentenced him to six years as it was a case of intoxication due to Dutch courage (Law Prof, n.d). However, the case of Polly is different and here voluntary intoxication along with her mental illness can strengthen the defensive standpoint to minimise the sentence.                                </w:t>
      </w:r>
    </w:p>
    <w:p w14:paraId="0000000B" w14:textId="77777777" w:rsidR="00AF7DAC" w:rsidRDefault="00AB583A">
      <w:pPr>
        <w:pStyle w:val="Heading1"/>
      </w:pPr>
      <w:bookmarkStart w:id="6" w:name="_d7eoplevkyp1" w:colFirst="0" w:colLast="0"/>
      <w:bookmarkStart w:id="7" w:name="_Toc134197227"/>
      <w:bookmarkEnd w:id="6"/>
      <w:r>
        <w:t>Conclusion</w:t>
      </w:r>
      <w:bookmarkEnd w:id="7"/>
    </w:p>
    <w:p w14:paraId="0000000C" w14:textId="77777777" w:rsidR="00AF7DAC" w:rsidRDefault="00AB583A">
      <w:r>
        <w:t xml:space="preserve">The case of Polly and Mohammed has been evaluated and analysed with several case laws to find out the available options for defending the offender. It has been concluded that the case can be effectively defended on the grounds of insanity and automatism. Along with this, the defensive ground of voluntary intoxication along with these above-mentioned measures can make the defence much stronger to reduce the punishment. </w:t>
      </w:r>
      <w:r>
        <w:br w:type="page"/>
      </w:r>
    </w:p>
    <w:p w14:paraId="0000000D" w14:textId="77777777" w:rsidR="00AF7DAC" w:rsidRDefault="00AB583A">
      <w:pPr>
        <w:pStyle w:val="Heading1"/>
      </w:pPr>
      <w:bookmarkStart w:id="8" w:name="_j8f3lmxswjcm" w:colFirst="0" w:colLast="0"/>
      <w:bookmarkStart w:id="9" w:name="_Toc134197228"/>
      <w:bookmarkEnd w:id="8"/>
      <w:r>
        <w:lastRenderedPageBreak/>
        <w:t>Reference list</w:t>
      </w:r>
      <w:bookmarkEnd w:id="9"/>
      <w:r>
        <w:t xml:space="preserve"> </w:t>
      </w:r>
    </w:p>
    <w:p w14:paraId="0000000E" w14:textId="77777777" w:rsidR="00AF7DAC" w:rsidRDefault="00AB583A">
      <w:pPr>
        <w:spacing w:before="240" w:after="240"/>
      </w:pPr>
      <w:r>
        <w:t xml:space="preserve">Appelbaum, P.S., 2022. Settled insanity: substance use meets the insanity </w:t>
      </w:r>
      <w:proofErr w:type="spellStart"/>
      <w:r>
        <w:t>defense</w:t>
      </w:r>
      <w:proofErr w:type="spellEnd"/>
      <w:r>
        <w:t xml:space="preserve">. </w:t>
      </w:r>
      <w:r>
        <w:rPr>
          <w:i/>
        </w:rPr>
        <w:t>Psychiatric services</w:t>
      </w:r>
      <w:r>
        <w:t xml:space="preserve">, </w:t>
      </w:r>
      <w:r>
        <w:rPr>
          <w:i/>
        </w:rPr>
        <w:t>73</w:t>
      </w:r>
      <w:r>
        <w:t>(1), pp.105-107.</w:t>
      </w:r>
    </w:p>
    <w:p w14:paraId="0000000F" w14:textId="77777777" w:rsidR="00AF7DAC" w:rsidRDefault="00AB583A">
      <w:pPr>
        <w:spacing w:before="240" w:after="240"/>
      </w:pPr>
      <w:r>
        <w:t xml:space="preserve">Kopelman, M.D., 2022. Automatism: Are we throwing the baby out with the </w:t>
      </w:r>
      <w:proofErr w:type="gramStart"/>
      <w:r>
        <w:t>bathwater?.</w:t>
      </w:r>
      <w:proofErr w:type="gramEnd"/>
      <w:r>
        <w:t xml:space="preserve"> </w:t>
      </w:r>
      <w:r>
        <w:rPr>
          <w:i/>
        </w:rPr>
        <w:t>Medicine, Science and the Law</w:t>
      </w:r>
      <w:r>
        <w:t xml:space="preserve">, </w:t>
      </w:r>
      <w:r>
        <w:rPr>
          <w:i/>
        </w:rPr>
        <w:t>62</w:t>
      </w:r>
      <w:r>
        <w:t>(4), pp.245-247.</w:t>
      </w:r>
    </w:p>
    <w:p w14:paraId="00000010" w14:textId="77777777" w:rsidR="00AF7DAC" w:rsidRDefault="00AB583A">
      <w:pPr>
        <w:spacing w:before="240" w:after="240"/>
      </w:pPr>
      <w:r>
        <w:t xml:space="preserve">Law courses, n.d. </w:t>
      </w:r>
      <w:r>
        <w:rPr>
          <w:i/>
        </w:rPr>
        <w:t>R v Clarke [1972] 1 All ER 219 Court of Appeal.</w:t>
      </w:r>
      <w:r>
        <w:t xml:space="preserve"> Available at: https://www.e-lawresources.co.uk/R-v-Clarke.php (Accessed 03 May 2023).</w:t>
      </w:r>
    </w:p>
    <w:p w14:paraId="00000011" w14:textId="77777777" w:rsidR="00AF7DAC" w:rsidRDefault="00AB583A">
      <w:pPr>
        <w:spacing w:before="240" w:after="240"/>
      </w:pPr>
      <w:r>
        <w:t xml:space="preserve">Law Prof, n.d. </w:t>
      </w:r>
      <w:r>
        <w:rPr>
          <w:i/>
        </w:rPr>
        <w:t>R v Lipman [1970] 1 QB 152.</w:t>
      </w:r>
      <w:r>
        <w:t xml:space="preserve"> Available at: https://lawprof.co/criminal-law/incapacity-cases/lipman-1970-1-qb-152/ (Accessed 03 May 2023).</w:t>
      </w:r>
    </w:p>
    <w:p w14:paraId="00000012" w14:textId="77777777" w:rsidR="00AF7DAC" w:rsidRDefault="00AB583A">
      <w:pPr>
        <w:spacing w:before="240" w:after="240"/>
      </w:pPr>
      <w:r>
        <w:t xml:space="preserve">Law Teacher, 2019. </w:t>
      </w:r>
      <w:r>
        <w:rPr>
          <w:i/>
        </w:rPr>
        <w:t>Broome v Perkins - 1987.</w:t>
      </w:r>
      <w:r>
        <w:t xml:space="preserve"> Available at: https://www.lawteacher.net/cases/broome-v-perkins.php (Accessed 03 May 2023).</w:t>
      </w:r>
    </w:p>
    <w:p w14:paraId="00000013" w14:textId="77777777" w:rsidR="00AF7DAC" w:rsidRDefault="00AB583A">
      <w:pPr>
        <w:spacing w:before="240" w:after="240"/>
      </w:pPr>
      <w:r>
        <w:t xml:space="preserve">Law Teacher, 2021. </w:t>
      </w:r>
      <w:r>
        <w:rPr>
          <w:i/>
        </w:rPr>
        <w:t>R v Clarke 1972.</w:t>
      </w:r>
      <w:r>
        <w:t xml:space="preserve"> Available at: https://www.lawteacher.net/cases/r-v-clarke.php#:~:text=Legal%20Case%20Summary&amp;text=The%20defendant%20was%20apprehended%20for,1%20and%20was%20convicted. (Accessed 03 May 2023).</w:t>
      </w:r>
    </w:p>
    <w:p w14:paraId="00000014" w14:textId="77777777" w:rsidR="00AF7DAC" w:rsidRDefault="00AB583A">
      <w:pPr>
        <w:spacing w:before="240" w:after="240"/>
      </w:pPr>
      <w:r>
        <w:t xml:space="preserve">Mack, C.T., n.d. </w:t>
      </w:r>
      <w:r>
        <w:rPr>
          <w:i/>
        </w:rPr>
        <w:t>Criminal Law and Procedure—Legal Insanity Not Established By Showing Defendant Operates Under Own Standard Of Morality, 13 Buff. L. Rev. 200 (1963).</w:t>
      </w:r>
      <w:r>
        <w:t xml:space="preserve"> Available at: https://digitalcommons.law.buffalo.edu/buffalolawreview/vol13/iss1/28 (Accessed 03 May 2023).</w:t>
      </w:r>
    </w:p>
    <w:p w14:paraId="00000015" w14:textId="77777777" w:rsidR="00AF7DAC" w:rsidRDefault="00AB583A">
      <w:pPr>
        <w:spacing w:before="240" w:after="240"/>
      </w:pPr>
      <w:r>
        <w:t xml:space="preserve">Weiss, K.J. and Joy, M., 2021. An illustrated history of the insanity </w:t>
      </w:r>
      <w:proofErr w:type="spellStart"/>
      <w:r>
        <w:t>defense</w:t>
      </w:r>
      <w:proofErr w:type="spellEnd"/>
      <w:r>
        <w:t xml:space="preserve">. Chapter 4: M'Naghten rules, but not without a fight. </w:t>
      </w:r>
      <w:r>
        <w:rPr>
          <w:i/>
        </w:rPr>
        <w:t>Journal of the American Academy of Psychiatry and the Law Online June</w:t>
      </w:r>
      <w:r>
        <w:t xml:space="preserve">, </w:t>
      </w:r>
      <w:r>
        <w:rPr>
          <w:i/>
        </w:rPr>
        <w:t>49</w:t>
      </w:r>
      <w:r>
        <w:t>(2), pp.285-293.</w:t>
      </w:r>
    </w:p>
    <w:p w14:paraId="00000016" w14:textId="77777777" w:rsidR="00AF7DAC" w:rsidRDefault="00AB583A">
      <w:r>
        <w:t xml:space="preserve"> </w:t>
      </w:r>
    </w:p>
    <w:sectPr w:rsidR="00AF7DAC" w:rsidSect="00A211E3">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CA3CE" w14:textId="77777777" w:rsidR="00D32E7E" w:rsidRDefault="00D32E7E" w:rsidP="00A211E3">
      <w:pPr>
        <w:spacing w:before="0" w:after="0" w:line="240" w:lineRule="auto"/>
      </w:pPr>
      <w:r>
        <w:separator/>
      </w:r>
    </w:p>
  </w:endnote>
  <w:endnote w:type="continuationSeparator" w:id="0">
    <w:p w14:paraId="2C563DAE" w14:textId="77777777" w:rsidR="00D32E7E" w:rsidRDefault="00D32E7E" w:rsidP="00A211E3">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2012913"/>
      <w:docPartObj>
        <w:docPartGallery w:val="Page Numbers (Bottom of Page)"/>
        <w:docPartUnique/>
      </w:docPartObj>
    </w:sdtPr>
    <w:sdtEndPr>
      <w:rPr>
        <w:noProof/>
        <w:sz w:val="20"/>
      </w:rPr>
    </w:sdtEndPr>
    <w:sdtContent>
      <w:p w14:paraId="7FC33D99" w14:textId="438ED0A2" w:rsidR="00A211E3" w:rsidRPr="00A211E3" w:rsidRDefault="00A211E3">
        <w:pPr>
          <w:pStyle w:val="Footer"/>
          <w:jc w:val="right"/>
          <w:rPr>
            <w:sz w:val="20"/>
          </w:rPr>
        </w:pPr>
        <w:r w:rsidRPr="00A211E3">
          <w:rPr>
            <w:sz w:val="20"/>
          </w:rPr>
          <w:fldChar w:fldCharType="begin"/>
        </w:r>
        <w:r w:rsidRPr="00A211E3">
          <w:rPr>
            <w:sz w:val="20"/>
          </w:rPr>
          <w:instrText xml:space="preserve"> PAGE   \* MERGEFORMAT </w:instrText>
        </w:r>
        <w:r w:rsidRPr="00A211E3">
          <w:rPr>
            <w:sz w:val="20"/>
          </w:rPr>
          <w:fldChar w:fldCharType="separate"/>
        </w:r>
        <w:r>
          <w:rPr>
            <w:noProof/>
            <w:sz w:val="20"/>
          </w:rPr>
          <w:t>2</w:t>
        </w:r>
        <w:r w:rsidRPr="00A211E3">
          <w:rPr>
            <w:noProof/>
            <w:sz w:val="20"/>
          </w:rPr>
          <w:fldChar w:fldCharType="end"/>
        </w:r>
      </w:p>
    </w:sdtContent>
  </w:sdt>
  <w:p w14:paraId="60724F8F" w14:textId="77777777" w:rsidR="00A211E3" w:rsidRDefault="00A211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B2876C" w14:textId="77777777" w:rsidR="00D32E7E" w:rsidRDefault="00D32E7E" w:rsidP="00A211E3">
      <w:pPr>
        <w:spacing w:before="0" w:after="0" w:line="240" w:lineRule="auto"/>
      </w:pPr>
      <w:r>
        <w:separator/>
      </w:r>
    </w:p>
  </w:footnote>
  <w:footnote w:type="continuationSeparator" w:id="0">
    <w:p w14:paraId="27FBFE35" w14:textId="77777777" w:rsidR="00D32E7E" w:rsidRDefault="00D32E7E" w:rsidP="00A211E3">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DAC"/>
    <w:rsid w:val="006B0279"/>
    <w:rsid w:val="00A211E3"/>
    <w:rsid w:val="00AB583A"/>
    <w:rsid w:val="00AF7DAC"/>
    <w:rsid w:val="00D32E7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F0FDB"/>
  <w15:docId w15:val="{FD3E6D65-AB9D-4D79-A70C-CB053369E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sz w:val="28"/>
      <w:szCs w:val="28"/>
    </w:rPr>
  </w:style>
  <w:style w:type="paragraph" w:styleId="Heading2">
    <w:name w:val="heading 2"/>
    <w:basedOn w:val="Normal"/>
    <w:next w:val="Normal"/>
    <w:pPr>
      <w:keepNext/>
      <w:keepLines/>
      <w:outlineLvl w:val="1"/>
    </w:pPr>
    <w:rPr>
      <w:b/>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0" w:after="60"/>
    </w:pPr>
    <w:rPr>
      <w:sz w:val="52"/>
      <w:szCs w:val="52"/>
    </w:rPr>
  </w:style>
  <w:style w:type="paragraph" w:styleId="Subtitle">
    <w:name w:val="Subtitle"/>
    <w:basedOn w:val="Normal"/>
    <w:next w:val="Normal"/>
    <w:pPr>
      <w:keepNext/>
      <w:keepLines/>
      <w:spacing w:before="0" w:after="320"/>
    </w:pPr>
    <w:rPr>
      <w:rFonts w:ascii="Arial" w:eastAsia="Arial" w:hAnsi="Arial" w:cs="Arial"/>
      <w:color w:val="666666"/>
      <w:sz w:val="30"/>
      <w:szCs w:val="30"/>
    </w:rPr>
  </w:style>
  <w:style w:type="paragraph" w:styleId="Header">
    <w:name w:val="header"/>
    <w:basedOn w:val="Normal"/>
    <w:link w:val="HeaderChar"/>
    <w:uiPriority w:val="99"/>
    <w:unhideWhenUsed/>
    <w:rsid w:val="00A211E3"/>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A211E3"/>
  </w:style>
  <w:style w:type="paragraph" w:styleId="Footer">
    <w:name w:val="footer"/>
    <w:basedOn w:val="Normal"/>
    <w:link w:val="FooterChar"/>
    <w:uiPriority w:val="99"/>
    <w:unhideWhenUsed/>
    <w:rsid w:val="00A211E3"/>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A211E3"/>
  </w:style>
  <w:style w:type="paragraph" w:styleId="BalloonText">
    <w:name w:val="Balloon Text"/>
    <w:basedOn w:val="Normal"/>
    <w:link w:val="BalloonTextChar"/>
    <w:uiPriority w:val="99"/>
    <w:semiHidden/>
    <w:unhideWhenUsed/>
    <w:rsid w:val="00A211E3"/>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11E3"/>
    <w:rPr>
      <w:rFonts w:ascii="Tahoma" w:hAnsi="Tahoma" w:cs="Tahoma"/>
      <w:sz w:val="16"/>
      <w:szCs w:val="16"/>
    </w:rPr>
  </w:style>
  <w:style w:type="paragraph" w:styleId="TOCHeading">
    <w:name w:val="TOC Heading"/>
    <w:basedOn w:val="Heading1"/>
    <w:next w:val="Normal"/>
    <w:uiPriority w:val="39"/>
    <w:semiHidden/>
    <w:unhideWhenUsed/>
    <w:qFormat/>
    <w:rsid w:val="00A211E3"/>
    <w:pPr>
      <w:spacing w:before="480" w:after="0" w:line="276" w:lineRule="auto"/>
      <w:jc w:val="left"/>
      <w:outlineLvl w:val="9"/>
    </w:pPr>
    <w:rPr>
      <w:rFonts w:asciiTheme="majorHAnsi" w:eastAsiaTheme="majorEastAsia" w:hAnsiTheme="majorHAnsi" w:cstheme="majorBidi"/>
      <w:bCs/>
      <w:color w:val="365F91" w:themeColor="accent1" w:themeShade="BF"/>
      <w:lang w:val="en-US" w:eastAsia="ja-JP"/>
    </w:rPr>
  </w:style>
  <w:style w:type="paragraph" w:styleId="TOC1">
    <w:name w:val="toc 1"/>
    <w:basedOn w:val="Normal"/>
    <w:next w:val="Normal"/>
    <w:autoRedefine/>
    <w:uiPriority w:val="39"/>
    <w:unhideWhenUsed/>
    <w:rsid w:val="00A211E3"/>
    <w:pPr>
      <w:spacing w:after="100"/>
    </w:pPr>
  </w:style>
  <w:style w:type="paragraph" w:styleId="TOC2">
    <w:name w:val="toc 2"/>
    <w:basedOn w:val="Normal"/>
    <w:next w:val="Normal"/>
    <w:autoRedefine/>
    <w:uiPriority w:val="39"/>
    <w:unhideWhenUsed/>
    <w:rsid w:val="00A211E3"/>
    <w:pPr>
      <w:spacing w:after="100"/>
      <w:ind w:left="240"/>
    </w:pPr>
  </w:style>
  <w:style w:type="character" w:styleId="Hyperlink">
    <w:name w:val="Hyperlink"/>
    <w:basedOn w:val="DefaultParagraphFont"/>
    <w:uiPriority w:val="99"/>
    <w:unhideWhenUsed/>
    <w:rsid w:val="00A211E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FE91E-39D0-46E5-822F-8C7A0BC110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1588</Words>
  <Characters>9052</Characters>
  <Application>Microsoft Office Word</Application>
  <DocSecurity>0</DocSecurity>
  <Lines>75</Lines>
  <Paragraphs>21</Paragraphs>
  <ScaleCrop>false</ScaleCrop>
  <Company/>
  <LinksUpToDate>false</LinksUpToDate>
  <CharactersWithSpaces>10619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Ionela Daniela Mirsu (2132560)</cp:lastModifiedBy>
  <cp:revision>2</cp:revision>
  <dcterms:created xsi:type="dcterms:W3CDTF">2023-05-05T22:13:00Z</dcterms:created>
  <dcterms:modified xsi:type="dcterms:W3CDTF">2023-05-05T22:13:00Z</dcterms:modified>
</cp:coreProperties>
</file>