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nts/Tahoma-bold.ttf" ContentType="application/x-font-ttf"/>
  <Override PartName="/word/fonts/Tahoma-regular.ttf" ContentType="application/x-font-ttf"/>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0" w:line="360" w:lineRule="auto"/>
        <w:rPr/>
      </w:pPr>
      <w:r w:rsidDel="00000000" w:rsidR="00000000" w:rsidRPr="00000000">
        <w:rPr>
          <w:rtl w:val="0"/>
        </w:rPr>
      </w:r>
    </w:p>
    <w:p w:rsidR="00000000" w:rsidDel="00000000" w:rsidP="00000000" w:rsidRDefault="00000000" w:rsidRPr="00000000" w14:paraId="00000002">
      <w:pPr>
        <w:spacing w:after="160" w:line="360" w:lineRule="auto"/>
        <w:rPr/>
      </w:pPr>
      <w:r w:rsidDel="00000000" w:rsidR="00000000" w:rsidRPr="00000000">
        <w:rPr>
          <w:rtl w:val="0"/>
        </w:rPr>
      </w:r>
    </w:p>
    <w:p w:rsidR="00000000" w:rsidDel="00000000" w:rsidP="00000000" w:rsidRDefault="00000000" w:rsidRPr="00000000" w14:paraId="00000003">
      <w:pPr>
        <w:spacing w:after="160" w:line="360" w:lineRule="auto"/>
        <w:rPr/>
      </w:pPr>
      <w:r w:rsidDel="00000000" w:rsidR="00000000" w:rsidRPr="00000000">
        <w:rPr>
          <w:rtl w:val="0"/>
        </w:rPr>
      </w:r>
    </w:p>
    <w:p w:rsidR="00000000" w:rsidDel="00000000" w:rsidP="00000000" w:rsidRDefault="00000000" w:rsidRPr="00000000" w14:paraId="00000004">
      <w:pPr>
        <w:spacing w:after="165" w:line="360" w:lineRule="auto"/>
        <w:rPr>
          <w:rFonts w:ascii="Tahoma" w:cs="Tahoma" w:eastAsia="Tahoma" w:hAnsi="Tahoma"/>
          <w:sz w:val="40"/>
          <w:szCs w:val="40"/>
        </w:rPr>
      </w:pPr>
      <w:r w:rsidDel="00000000" w:rsidR="00000000" w:rsidRPr="00000000">
        <w:rPr>
          <w:rFonts w:ascii="Arial" w:cs="Arial" w:eastAsia="Arial" w:hAnsi="Arial"/>
          <w:b w:val="1"/>
          <w:bCs w:val="1"/>
          <w:sz w:val="24"/>
          <w:szCs w:val="24"/>
        </w:rPr>
        <w:drawing>
          <wp:inline distB="0" distT="0" distL="0" distR="0">
            <wp:extent cx="2209800" cy="742950"/>
            <wp:effectExtent b="0" l="0" r="0" t="0"/>
            <wp:docPr descr="Description: :::::::Desktop:In progress desktop:TRINITY SAINT DAVID:logo:TSD_logo2010.jpg" id="2"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spacing w:after="165" w:line="360" w:lineRule="auto"/>
        <w:jc w:val="center"/>
        <w:rPr>
          <w:rFonts w:ascii="Tahoma" w:cs="Tahoma" w:eastAsia="Tahoma" w:hAnsi="Tahoma"/>
          <w:sz w:val="24"/>
          <w:szCs w:val="24"/>
        </w:rPr>
      </w:pPr>
      <w:r w:rsidDel="00000000" w:rsidR="00000000" w:rsidRPr="00000000">
        <w:rPr>
          <w:rFonts w:ascii="Tahoma" w:cs="Tahoma" w:eastAsia="Tahoma" w:hAnsi="Tahoma"/>
          <w:sz w:val="40"/>
          <w:szCs w:val="40"/>
          <w:rtl w:val="0"/>
        </w:rPr>
        <w:t xml:space="preserve">Applied Leadership and Management in the Workplace</w:t>
        <w:br w:type="textWrapping"/>
        <w:t xml:space="preserve">Module Assignment Submission </w:t>
      </w:r>
      <w:r w:rsidDel="00000000" w:rsidR="00000000" w:rsidRPr="00000000">
        <w:rPr>
          <w:rtl w:val="0"/>
        </w:rPr>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Jack Harper</w:t>
            </w:r>
          </w:p>
        </w:tc>
      </w:tr>
      <w:tr>
        <w:trPr>
          <w:cantSplit w:val="0"/>
          <w:tblHeader w:val="0"/>
        </w:trPr>
        <w:tc>
          <w:tcPr>
            <w:shd w:fill="d9d9d9" w:val="clear"/>
          </w:tcPr>
          <w:p w:rsidR="00000000" w:rsidDel="00000000" w:rsidP="00000000" w:rsidRDefault="00000000" w:rsidRPr="00000000" w14:paraId="00000008">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2413008</w:t>
            </w:r>
          </w:p>
        </w:tc>
      </w:tr>
      <w:tr>
        <w:trPr>
          <w:cantSplit w:val="0"/>
          <w:tblHeader w:val="0"/>
        </w:trPr>
        <w:tc>
          <w:tcPr>
            <w:shd w:fill="d9d9d9" w:val="clear"/>
          </w:tcPr>
          <w:p w:rsidR="00000000" w:rsidDel="00000000" w:rsidP="00000000" w:rsidRDefault="00000000" w:rsidRPr="00000000" w14:paraId="0000000A">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B">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BMSK5010</w:t>
            </w:r>
          </w:p>
        </w:tc>
      </w:tr>
      <w:tr>
        <w:trPr>
          <w:cantSplit w:val="0"/>
          <w:trHeight w:val="413" w:hRule="atLeast"/>
          <w:tblHeader w:val="0"/>
        </w:trPr>
        <w:tc>
          <w:tcPr>
            <w:shd w:fill="d9d9d9" w:val="clear"/>
          </w:tcPr>
          <w:p w:rsidR="00000000" w:rsidDel="00000000" w:rsidP="00000000" w:rsidRDefault="00000000" w:rsidRPr="00000000" w14:paraId="0000000C">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D">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Developing the learning organisation </w:t>
            </w:r>
          </w:p>
        </w:tc>
      </w:tr>
    </w:tbl>
    <w:p w:rsidR="00000000" w:rsidDel="00000000" w:rsidP="00000000" w:rsidRDefault="00000000" w:rsidRPr="00000000" w14:paraId="0000000E">
      <w:pPr>
        <w:spacing w:after="120" w:before="120" w:line="360" w:lineRule="auto"/>
        <w:rPr>
          <w:rFonts w:ascii="Tahoma" w:cs="Tahoma" w:eastAsia="Tahoma" w:hAnsi="Tahoma"/>
          <w:b w:val="1"/>
          <w:bCs w:val="1"/>
          <w:sz w:val="24"/>
          <w:szCs w:val="24"/>
        </w:rPr>
      </w:pPr>
      <w:r w:rsidDel="00000000" w:rsidR="00000000" w:rsidRPr="00000000">
        <w:rPr>
          <w:rFonts w:ascii="Tahoma" w:cs="Tahoma" w:eastAsia="Tahoma" w:hAnsi="Tahoma"/>
          <w:b w:val="1"/>
          <w:bCs w:val="1"/>
          <w:sz w:val="24"/>
          <w:szCs w:val="24"/>
          <w:rtl w:val="0"/>
        </w:rPr>
        <w:t xml:space="preserve">Statement of Confirmation of Authenticity</w:t>
      </w:r>
    </w:p>
    <w:p w:rsidR="00000000" w:rsidDel="00000000" w:rsidP="00000000" w:rsidRDefault="00000000" w:rsidRPr="00000000" w14:paraId="0000000F">
      <w:pPr>
        <w:spacing w:after="120" w:before="120" w:lineRule="auto"/>
        <w:rPr>
          <w:rFonts w:ascii="Tahoma" w:cs="Tahoma" w:eastAsia="Tahoma" w:hAnsi="Tahoma"/>
          <w:sz w:val="22"/>
          <w:szCs w:val="22"/>
        </w:rPr>
      </w:pPr>
      <w:r w:rsidDel="00000000" w:rsidR="00000000" w:rsidRPr="00000000">
        <w:rPr>
          <w:rFonts w:ascii="Tahoma" w:cs="Tahoma" w:eastAsia="Tahoma" w:hAnsi="Tahoma"/>
          <w:sz w:val="22"/>
          <w:szCs w:val="22"/>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10">
      <w:pPr>
        <w:spacing w:after="120" w:before="120" w:lineRule="auto"/>
        <w:rPr>
          <w:rFonts w:ascii="Tahoma" w:cs="Tahoma" w:eastAsia="Tahoma" w:hAnsi="Tahoma"/>
          <w:sz w:val="22"/>
          <w:szCs w:val="22"/>
        </w:rPr>
      </w:pPr>
      <w:r w:rsidDel="00000000" w:rsidR="00000000" w:rsidRPr="00000000">
        <w:rPr>
          <w:rFonts w:ascii="Tahoma" w:cs="Tahoma" w:eastAsia="Tahoma" w:hAnsi="Tahoma"/>
          <w:sz w:val="22"/>
          <w:szCs w:val="22"/>
          <w:rtl w:val="0"/>
        </w:rPr>
        <w:t xml:space="preserve">Attention is drawn to the plagiarism and unfair practice policies of both the University and of ILM.</w:t>
      </w:r>
    </w:p>
    <w:p w:rsidR="00000000" w:rsidDel="00000000" w:rsidP="00000000" w:rsidRDefault="00000000" w:rsidRPr="00000000" w14:paraId="00000011">
      <w:pPr>
        <w:spacing w:after="160" w:line="259" w:lineRule="auto"/>
        <w:rPr>
          <w:rFonts w:ascii="Tahoma" w:cs="Tahoma" w:eastAsia="Tahoma" w:hAnsi="Tahoma"/>
        </w:rPr>
      </w:pPr>
      <w:r w:rsidDel="00000000" w:rsidR="00000000" w:rsidRPr="00000000">
        <w:rPr>
          <w:rFonts w:ascii="Tahoma" w:cs="Tahoma" w:eastAsia="Tahoma" w:hAnsi="Tahoma"/>
          <w:b w:val="1"/>
          <w:bCs w:val="1"/>
          <w:sz w:val="24"/>
          <w:szCs w:val="24"/>
          <w:rtl w:val="0"/>
        </w:rPr>
        <w:t xml:space="preserve">AI Declaration:</w:t>
      </w:r>
      <w:r w:rsidDel="00000000" w:rsidR="00000000" w:rsidRPr="00000000">
        <w:rPr>
          <w:rFonts w:ascii="Tahoma" w:cs="Tahoma" w:eastAsia="Tahoma" w:hAnsi="Tahoma"/>
          <w:sz w:val="24"/>
          <w:szCs w:val="24"/>
          <w:rtl w:val="0"/>
        </w:rPr>
        <w:t xml:space="preserve"> I confirm that </w:t>
      </w:r>
      <w:r w:rsidDel="00000000" w:rsidR="00000000" w:rsidRPr="00000000">
        <w:rPr>
          <w:rFonts w:ascii="Tahoma" w:cs="Tahoma" w:eastAsia="Tahoma" w:hAnsi="Tahoma"/>
          <w:b w:val="1"/>
          <w:bCs w:val="1"/>
          <w:sz w:val="24"/>
          <w:szCs w:val="24"/>
          <w:rtl w:val="0"/>
        </w:rPr>
        <w:t xml:space="preserve">I have not used Generative AI</w:t>
      </w:r>
      <w:r w:rsidDel="00000000" w:rsidR="00000000" w:rsidRPr="00000000">
        <w:rPr>
          <w:rFonts w:ascii="Tahoma" w:cs="Tahoma" w:eastAsia="Tahoma" w:hAnsi="Tahoma"/>
          <w:sz w:val="24"/>
          <w:szCs w:val="24"/>
          <w:rtl w:val="0"/>
        </w:rPr>
        <w:t xml:space="preserve"> to create any text, creative materials or code for submission. Any AI use was limited to permitted research, assignment structure and proofreading of my own work. AI may be used to help plan the structure or format of a table, but the content must be my own. AI must not be used to create graphs, charts, images or other assessed visual material for submission unless specifically permitted in the assignment brief</w:t>
      </w:r>
      <w:r w:rsidDel="00000000" w:rsidR="00000000" w:rsidRPr="00000000">
        <w:rPr>
          <w:rtl w:val="0"/>
        </w:rPr>
      </w:r>
    </w:p>
    <w:p w:rsidR="00000000" w:rsidDel="00000000" w:rsidP="00000000" w:rsidRDefault="00000000" w:rsidRPr="00000000" w14:paraId="00000012">
      <w:pPr>
        <w:spacing w:after="16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13">
      <w:pPr>
        <w:pageBreakBefore w:val="1"/>
        <w:spacing w:after="280" w:lineRule="auto"/>
        <w:rPr>
          <w:rFonts w:ascii="Tahoma" w:cs="Tahoma" w:eastAsia="Tahoma" w:hAnsi="Tahoma"/>
        </w:rPr>
      </w:pPr>
      <w:r w:rsidDel="00000000" w:rsidR="00000000" w:rsidRPr="00000000">
        <w:rPr>
          <w:rFonts w:ascii="Tahoma" w:cs="Tahoma" w:eastAsia="Tahoma" w:hAnsi="Tahoma"/>
          <w:b w:val="1"/>
          <w:bCs w:val="1"/>
          <w:sz w:val="36"/>
          <w:szCs w:val="36"/>
          <w:rtl w:val="0"/>
        </w:rPr>
        <w:t xml:space="preserve">Contents</w:t>
      </w:r>
      <w:r w:rsidDel="00000000" w:rsidR="00000000" w:rsidRPr="00000000">
        <w:rPr>
          <w:rtl w:val="0"/>
        </w:rPr>
      </w:r>
    </w:p>
    <w:sdt>
      <w:sdtPr>
        <w:id w:val="2112383476"/>
        <w:docPartObj>
          <w:docPartGallery w:val="Table of Contents"/>
          <w:docPartUnique w:val="1"/>
        </w:docPartObj>
      </w:sdtPr>
      <w:sdtContent>
        <w:p w:rsidR="00000000" w:rsidDel="00000000" w:rsidP="00000000" w:rsidRDefault="00000000" w:rsidRPr="00000000" w14:paraId="00000014">
          <w:pPr>
            <w:rPr>
              <w:rFonts w:ascii="Tahoma" w:cs="Tahoma" w:eastAsia="Tahoma" w:hAnsi="Tahoma"/>
            </w:rPr>
          </w:pPr>
          <w:r w:rsidDel="00000000" w:rsidR="00000000" w:rsidRPr="00000000">
            <w:fldChar w:fldCharType="begin"/>
            <w:instrText xml:space="preserve"> TOC \h \u \z \t "Heading 1,1,Heading 2,2,"</w:instrText>
            <w:fldChar w:fldCharType="separate"/>
          </w: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00"/>
            </w:tabs>
            <w:spacing w:after="0" w:before="0" w:line="240" w:lineRule="auto"/>
            <w:ind w:left="0" w:right="0" w:firstLine="0"/>
            <w:jc w:val="left"/>
            <w:rPr>
              <w:rFonts w:ascii="Tahoma" w:cs="Tahoma" w:eastAsia="Tahoma" w:hAnsi="Tahoma"/>
              <w:i w:val="0"/>
              <w:iCs w:val="0"/>
              <w:smallCaps w:val="0"/>
              <w:strike w:val="0"/>
              <w:color w:val="000000"/>
              <w:sz w:val="22"/>
              <w:szCs w:val="22"/>
              <w:u w:val="none"/>
              <w:shd w:fill="auto" w:val="clear"/>
              <w:vertAlign w:val="baseline"/>
            </w:rPr>
          </w:pPr>
          <w:r w:rsidDel="00000000" w:rsidR="00000000" w:rsidRPr="00000000">
            <w:rPr>
              <w:rFonts w:ascii="Tahoma" w:cs="Tahoma" w:eastAsia="Tahoma" w:hAnsi="Tahoma"/>
              <w:i w:val="0"/>
              <w:iCs w:val="0"/>
              <w:smallCaps w:val="0"/>
              <w:strike w:val="0"/>
              <w:color w:val="000000"/>
              <w:sz w:val="22"/>
              <w:szCs w:val="22"/>
              <w:u w:val="none"/>
              <w:shd w:fill="auto" w:val="clear"/>
              <w:vertAlign w:val="baseline"/>
              <w:rtl w:val="0"/>
            </w:rPr>
            <w:t xml:space="preserve">1. Introduction</w:t>
            <w:tab/>
          </w:r>
          <w:r w:rsidDel="00000000" w:rsidR="00000000" w:rsidRPr="00000000">
            <w:rPr>
              <w:rFonts w:ascii="Tahoma" w:cs="Tahoma" w:eastAsia="Tahoma" w:hAnsi="Tahoma"/>
              <w:sz w:val="22"/>
              <w:szCs w:val="22"/>
              <w:rtl w:val="0"/>
            </w:rPr>
            <w:t xml:space="preserve">4</w:t>
          </w: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00"/>
            </w:tabs>
            <w:spacing w:after="0" w:before="0" w:line="240" w:lineRule="auto"/>
            <w:ind w:left="0" w:right="0" w:firstLine="0"/>
            <w:jc w:val="left"/>
            <w:rPr>
              <w:rFonts w:ascii="Tahoma" w:cs="Tahoma" w:eastAsia="Tahoma" w:hAnsi="Tahoma"/>
              <w:i w:val="0"/>
              <w:iCs w:val="0"/>
              <w:smallCaps w:val="0"/>
              <w:strike w:val="0"/>
              <w:color w:val="000000"/>
              <w:sz w:val="22"/>
              <w:szCs w:val="22"/>
              <w:u w:val="none"/>
              <w:shd w:fill="auto" w:val="clear"/>
              <w:vertAlign w:val="baseline"/>
            </w:rPr>
          </w:pPr>
          <w:r w:rsidDel="00000000" w:rsidR="00000000" w:rsidRPr="00000000">
            <w:rPr>
              <w:rFonts w:ascii="Tahoma" w:cs="Tahoma" w:eastAsia="Tahoma" w:hAnsi="Tahoma"/>
              <w:i w:val="0"/>
              <w:iCs w:val="0"/>
              <w:smallCaps w:val="0"/>
              <w:strike w:val="0"/>
              <w:color w:val="000000"/>
              <w:sz w:val="22"/>
              <w:szCs w:val="22"/>
              <w:u w:val="none"/>
              <w:shd w:fill="auto" w:val="clear"/>
              <w:vertAlign w:val="baseline"/>
              <w:rtl w:val="0"/>
            </w:rPr>
            <w:t xml:space="preserve">2. Conceptualising the Learning Organisation</w:t>
            <w:tab/>
            <w:t xml:space="preserve">5</w:t>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00"/>
            </w:tabs>
            <w:spacing w:after="0" w:before="0" w:line="240" w:lineRule="auto"/>
            <w:ind w:left="360" w:right="0" w:firstLine="0"/>
            <w:jc w:val="left"/>
            <w:rPr>
              <w:rFonts w:ascii="Tahoma" w:cs="Tahoma" w:eastAsia="Tahoma" w:hAnsi="Tahoma"/>
              <w:i w:val="0"/>
              <w:iCs w:val="0"/>
              <w:smallCaps w:val="0"/>
              <w:strike w:val="0"/>
              <w:color w:val="000000"/>
              <w:sz w:val="22"/>
              <w:szCs w:val="22"/>
              <w:u w:val="none"/>
              <w:shd w:fill="auto" w:val="clear"/>
              <w:vertAlign w:val="baseline"/>
            </w:rPr>
          </w:pPr>
          <w:r w:rsidDel="00000000" w:rsidR="00000000" w:rsidRPr="00000000">
            <w:rPr>
              <w:rFonts w:ascii="Tahoma" w:cs="Tahoma" w:eastAsia="Tahoma" w:hAnsi="Tahoma"/>
              <w:i w:val="0"/>
              <w:iCs w:val="0"/>
              <w:smallCaps w:val="0"/>
              <w:strike w:val="0"/>
              <w:color w:val="000000"/>
              <w:sz w:val="22"/>
              <w:szCs w:val="22"/>
              <w:u w:val="none"/>
              <w:shd w:fill="auto" w:val="clear"/>
              <w:vertAlign w:val="baseline"/>
              <w:rtl w:val="0"/>
            </w:rPr>
            <w:t xml:space="preserve">2.1 Defining the concept</w:t>
            <w:tab/>
            <w:t xml:space="preserve">5</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00"/>
            </w:tabs>
            <w:spacing w:after="0" w:before="0" w:line="240" w:lineRule="auto"/>
            <w:ind w:left="360" w:right="0" w:firstLine="0"/>
            <w:jc w:val="left"/>
            <w:rPr>
              <w:rFonts w:ascii="Tahoma" w:cs="Tahoma" w:eastAsia="Tahoma" w:hAnsi="Tahoma"/>
              <w:i w:val="0"/>
              <w:iCs w:val="0"/>
              <w:smallCaps w:val="0"/>
              <w:strike w:val="0"/>
              <w:color w:val="000000"/>
              <w:sz w:val="22"/>
              <w:szCs w:val="22"/>
              <w:u w:val="none"/>
              <w:shd w:fill="auto" w:val="clear"/>
              <w:vertAlign w:val="baseline"/>
            </w:rPr>
          </w:pPr>
          <w:r w:rsidDel="00000000" w:rsidR="00000000" w:rsidRPr="00000000">
            <w:rPr>
              <w:rFonts w:ascii="Tahoma" w:cs="Tahoma" w:eastAsia="Tahoma" w:hAnsi="Tahoma"/>
              <w:i w:val="0"/>
              <w:iCs w:val="0"/>
              <w:smallCaps w:val="0"/>
              <w:strike w:val="0"/>
              <w:color w:val="000000"/>
              <w:sz w:val="22"/>
              <w:szCs w:val="22"/>
              <w:u w:val="none"/>
              <w:shd w:fill="auto" w:val="clear"/>
              <w:vertAlign w:val="baseline"/>
              <w:rtl w:val="0"/>
            </w:rPr>
            <w:t xml:space="preserve">2.2 Learning organisation or organisational learning?</w:t>
            <w:tab/>
            <w:t xml:space="preserve">6</w:t>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00"/>
            </w:tabs>
            <w:spacing w:after="0" w:before="0" w:line="240" w:lineRule="auto"/>
            <w:ind w:left="0" w:right="0" w:firstLine="0"/>
            <w:jc w:val="left"/>
            <w:rPr>
              <w:rFonts w:ascii="Tahoma" w:cs="Tahoma" w:eastAsia="Tahoma" w:hAnsi="Tahoma"/>
              <w:i w:val="0"/>
              <w:iCs w:val="0"/>
              <w:smallCaps w:val="0"/>
              <w:strike w:val="0"/>
              <w:color w:val="000000"/>
              <w:sz w:val="22"/>
              <w:szCs w:val="22"/>
              <w:u w:val="none"/>
              <w:shd w:fill="auto" w:val="clear"/>
              <w:vertAlign w:val="baseline"/>
            </w:rPr>
          </w:pPr>
          <w:r w:rsidDel="00000000" w:rsidR="00000000" w:rsidRPr="00000000">
            <w:rPr>
              <w:rFonts w:ascii="Tahoma" w:cs="Tahoma" w:eastAsia="Tahoma" w:hAnsi="Tahoma"/>
              <w:i w:val="0"/>
              <w:iCs w:val="0"/>
              <w:smallCaps w:val="0"/>
              <w:strike w:val="0"/>
              <w:color w:val="000000"/>
              <w:sz w:val="22"/>
              <w:szCs w:val="22"/>
              <w:u w:val="none"/>
              <w:shd w:fill="auto" w:val="clear"/>
              <w:vertAlign w:val="baseline"/>
              <w:rtl w:val="0"/>
            </w:rPr>
            <w:t xml:space="preserve">3. Theoretical Foundations</w:t>
            <w:tab/>
            <w:t xml:space="preserve">7</w:t>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00"/>
            </w:tabs>
            <w:spacing w:after="0" w:before="0" w:line="240" w:lineRule="auto"/>
            <w:ind w:left="360" w:right="0" w:firstLine="0"/>
            <w:jc w:val="left"/>
            <w:rPr>
              <w:rFonts w:ascii="Tahoma" w:cs="Tahoma" w:eastAsia="Tahoma" w:hAnsi="Tahoma"/>
              <w:i w:val="0"/>
              <w:iCs w:val="0"/>
              <w:smallCaps w:val="0"/>
              <w:strike w:val="0"/>
              <w:color w:val="000000"/>
              <w:sz w:val="22"/>
              <w:szCs w:val="22"/>
              <w:u w:val="none"/>
              <w:shd w:fill="auto" w:val="clear"/>
              <w:vertAlign w:val="baseline"/>
            </w:rPr>
          </w:pPr>
          <w:r w:rsidDel="00000000" w:rsidR="00000000" w:rsidRPr="00000000">
            <w:rPr>
              <w:rFonts w:ascii="Tahoma" w:cs="Tahoma" w:eastAsia="Tahoma" w:hAnsi="Tahoma"/>
              <w:i w:val="0"/>
              <w:iCs w:val="0"/>
              <w:smallCaps w:val="0"/>
              <w:strike w:val="0"/>
              <w:color w:val="000000"/>
              <w:sz w:val="22"/>
              <w:szCs w:val="22"/>
              <w:u w:val="none"/>
              <w:shd w:fill="auto" w:val="clear"/>
              <w:vertAlign w:val="baseline"/>
              <w:rtl w:val="0"/>
            </w:rPr>
            <w:t xml:space="preserve">3.1 Senge's five disciplines</w:t>
            <w:tab/>
            <w:t xml:space="preserve">7</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00"/>
            </w:tabs>
            <w:spacing w:after="0" w:before="0" w:line="240" w:lineRule="auto"/>
            <w:ind w:left="360" w:right="0" w:firstLine="0"/>
            <w:jc w:val="left"/>
            <w:rPr>
              <w:rFonts w:ascii="Tahoma" w:cs="Tahoma" w:eastAsia="Tahoma" w:hAnsi="Tahoma"/>
              <w:i w:val="0"/>
              <w:iCs w:val="0"/>
              <w:smallCaps w:val="0"/>
              <w:strike w:val="0"/>
              <w:color w:val="000000"/>
              <w:sz w:val="22"/>
              <w:szCs w:val="22"/>
              <w:u w:val="none"/>
              <w:shd w:fill="auto" w:val="clear"/>
              <w:vertAlign w:val="baseline"/>
            </w:rPr>
          </w:pPr>
          <w:r w:rsidDel="00000000" w:rsidR="00000000" w:rsidRPr="00000000">
            <w:rPr>
              <w:rFonts w:ascii="Tahoma" w:cs="Tahoma" w:eastAsia="Tahoma" w:hAnsi="Tahoma"/>
              <w:i w:val="0"/>
              <w:iCs w:val="0"/>
              <w:smallCaps w:val="0"/>
              <w:strike w:val="0"/>
              <w:color w:val="000000"/>
              <w:sz w:val="22"/>
              <w:szCs w:val="22"/>
              <w:u w:val="none"/>
              <w:shd w:fill="auto" w:val="clear"/>
              <w:vertAlign w:val="baseline"/>
              <w:rtl w:val="0"/>
            </w:rPr>
            <w:t xml:space="preserve">3.2 Loops of learning: adaptation, reflection and learning to learn</w:t>
            <w:tab/>
            <w:t xml:space="preserve">8</w:t>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00"/>
            </w:tabs>
            <w:spacing w:after="0" w:before="0" w:line="240" w:lineRule="auto"/>
            <w:ind w:left="360" w:right="0" w:firstLine="0"/>
            <w:jc w:val="left"/>
            <w:rPr>
              <w:rFonts w:ascii="Tahoma" w:cs="Tahoma" w:eastAsia="Tahoma" w:hAnsi="Tahoma"/>
              <w:i w:val="0"/>
              <w:iCs w:val="0"/>
              <w:smallCaps w:val="0"/>
              <w:strike w:val="0"/>
              <w:color w:val="000000"/>
              <w:sz w:val="22"/>
              <w:szCs w:val="22"/>
              <w:u w:val="none"/>
              <w:shd w:fill="auto" w:val="clear"/>
              <w:vertAlign w:val="baseline"/>
            </w:rPr>
          </w:pPr>
          <w:r w:rsidDel="00000000" w:rsidR="00000000" w:rsidRPr="00000000">
            <w:rPr>
              <w:rFonts w:ascii="Tahoma" w:cs="Tahoma" w:eastAsia="Tahoma" w:hAnsi="Tahoma"/>
              <w:i w:val="0"/>
              <w:iCs w:val="0"/>
              <w:smallCaps w:val="0"/>
              <w:strike w:val="0"/>
              <w:color w:val="000000"/>
              <w:sz w:val="22"/>
              <w:szCs w:val="22"/>
              <w:u w:val="none"/>
              <w:shd w:fill="auto" w:val="clear"/>
              <w:vertAlign w:val="baseline"/>
              <w:rtl w:val="0"/>
            </w:rPr>
            <w:t xml:space="preserve">3.3 From individual insight to institutional capability</w:t>
            <w:tab/>
            <w:t xml:space="preserve">8</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00"/>
            </w:tabs>
            <w:spacing w:after="0" w:before="0" w:line="240" w:lineRule="auto"/>
            <w:ind w:left="0" w:right="0" w:firstLine="0"/>
            <w:jc w:val="left"/>
            <w:rPr>
              <w:rFonts w:ascii="Tahoma" w:cs="Tahoma" w:eastAsia="Tahoma" w:hAnsi="Tahoma"/>
              <w:i w:val="0"/>
              <w:iCs w:val="0"/>
              <w:smallCaps w:val="0"/>
              <w:strike w:val="0"/>
              <w:color w:val="000000"/>
              <w:sz w:val="22"/>
              <w:szCs w:val="22"/>
              <w:u w:val="none"/>
              <w:shd w:fill="auto" w:val="clear"/>
              <w:vertAlign w:val="baseline"/>
            </w:rPr>
          </w:pPr>
          <w:r w:rsidDel="00000000" w:rsidR="00000000" w:rsidRPr="00000000">
            <w:rPr>
              <w:rFonts w:ascii="Tahoma" w:cs="Tahoma" w:eastAsia="Tahoma" w:hAnsi="Tahoma"/>
              <w:i w:val="0"/>
              <w:iCs w:val="0"/>
              <w:smallCaps w:val="0"/>
              <w:strike w:val="0"/>
              <w:color w:val="000000"/>
              <w:sz w:val="22"/>
              <w:szCs w:val="22"/>
              <w:u w:val="none"/>
              <w:shd w:fill="auto" w:val="clear"/>
              <w:vertAlign w:val="baseline"/>
              <w:rtl w:val="0"/>
            </w:rPr>
            <w:t xml:space="preserve">4. The Strategic Case for Developing the Learning Organisation</w:t>
            <w:tab/>
            <w:t xml:space="preserve">10</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00"/>
            </w:tabs>
            <w:spacing w:after="0" w:before="0" w:line="240" w:lineRule="auto"/>
            <w:ind w:left="0" w:right="0" w:firstLine="0"/>
            <w:jc w:val="left"/>
            <w:rPr>
              <w:rFonts w:ascii="Tahoma" w:cs="Tahoma" w:eastAsia="Tahoma" w:hAnsi="Tahoma"/>
              <w:i w:val="0"/>
              <w:iCs w:val="0"/>
              <w:smallCaps w:val="0"/>
              <w:strike w:val="0"/>
              <w:color w:val="000000"/>
              <w:sz w:val="22"/>
              <w:szCs w:val="22"/>
              <w:u w:val="none"/>
              <w:shd w:fill="auto" w:val="clear"/>
              <w:vertAlign w:val="baseline"/>
            </w:rPr>
          </w:pPr>
          <w:r w:rsidDel="00000000" w:rsidR="00000000" w:rsidRPr="00000000">
            <w:rPr>
              <w:rFonts w:ascii="Tahoma" w:cs="Tahoma" w:eastAsia="Tahoma" w:hAnsi="Tahoma"/>
              <w:i w:val="0"/>
              <w:iCs w:val="0"/>
              <w:smallCaps w:val="0"/>
              <w:strike w:val="0"/>
              <w:color w:val="000000"/>
              <w:sz w:val="22"/>
              <w:szCs w:val="22"/>
              <w:u w:val="none"/>
              <w:shd w:fill="auto" w:val="clear"/>
              <w:vertAlign w:val="baseline"/>
              <w:rtl w:val="0"/>
            </w:rPr>
            <w:t xml:space="preserve">5. Barriers and Critical Perspectives</w:t>
            <w:tab/>
            <w:t xml:space="preserve">11</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00"/>
            </w:tabs>
            <w:spacing w:after="0" w:before="0" w:line="240" w:lineRule="auto"/>
            <w:ind w:left="360" w:right="0" w:firstLine="0"/>
            <w:jc w:val="left"/>
            <w:rPr>
              <w:rFonts w:ascii="Tahoma" w:cs="Tahoma" w:eastAsia="Tahoma" w:hAnsi="Tahoma"/>
              <w:i w:val="0"/>
              <w:iCs w:val="0"/>
              <w:smallCaps w:val="0"/>
              <w:strike w:val="0"/>
              <w:color w:val="000000"/>
              <w:sz w:val="22"/>
              <w:szCs w:val="22"/>
              <w:u w:val="none"/>
              <w:shd w:fill="auto" w:val="clear"/>
              <w:vertAlign w:val="baseline"/>
            </w:rPr>
          </w:pPr>
          <w:r w:rsidDel="00000000" w:rsidR="00000000" w:rsidRPr="00000000">
            <w:rPr>
              <w:rFonts w:ascii="Tahoma" w:cs="Tahoma" w:eastAsia="Tahoma" w:hAnsi="Tahoma"/>
              <w:i w:val="0"/>
              <w:iCs w:val="0"/>
              <w:smallCaps w:val="0"/>
              <w:strike w:val="0"/>
              <w:color w:val="000000"/>
              <w:sz w:val="22"/>
              <w:szCs w:val="22"/>
              <w:u w:val="none"/>
              <w:shd w:fill="auto" w:val="clear"/>
              <w:vertAlign w:val="baseline"/>
              <w:rtl w:val="0"/>
            </w:rPr>
            <w:t xml:space="preserve">5.1 Conceptual ambiguity and the utopian critique</w:t>
            <w:tab/>
            <w:t xml:space="preserve">11</w:t>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00"/>
            </w:tabs>
            <w:spacing w:after="0" w:before="0" w:line="240" w:lineRule="auto"/>
            <w:ind w:left="360" w:right="0" w:firstLine="0"/>
            <w:jc w:val="left"/>
            <w:rPr>
              <w:rFonts w:ascii="Tahoma" w:cs="Tahoma" w:eastAsia="Tahoma" w:hAnsi="Tahoma"/>
              <w:i w:val="0"/>
              <w:iCs w:val="0"/>
              <w:smallCaps w:val="0"/>
              <w:strike w:val="0"/>
              <w:color w:val="000000"/>
              <w:sz w:val="22"/>
              <w:szCs w:val="22"/>
              <w:u w:val="none"/>
              <w:shd w:fill="auto" w:val="clear"/>
              <w:vertAlign w:val="baseline"/>
            </w:rPr>
          </w:pPr>
          <w:r w:rsidDel="00000000" w:rsidR="00000000" w:rsidRPr="00000000">
            <w:rPr>
              <w:rFonts w:ascii="Tahoma" w:cs="Tahoma" w:eastAsia="Tahoma" w:hAnsi="Tahoma"/>
              <w:i w:val="0"/>
              <w:iCs w:val="0"/>
              <w:smallCaps w:val="0"/>
              <w:strike w:val="0"/>
              <w:color w:val="000000"/>
              <w:sz w:val="22"/>
              <w:szCs w:val="22"/>
              <w:u w:val="none"/>
              <w:shd w:fill="auto" w:val="clear"/>
              <w:vertAlign w:val="baseline"/>
              <w:rtl w:val="0"/>
            </w:rPr>
            <w:t xml:space="preserve">5.2 Power, politics and defensive routines</w:t>
            <w:tab/>
            <w:t xml:space="preserve">12</w:t>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00"/>
            </w:tabs>
            <w:spacing w:after="0" w:before="0" w:line="240" w:lineRule="auto"/>
            <w:ind w:left="360" w:right="0" w:firstLine="0"/>
            <w:jc w:val="left"/>
            <w:rPr>
              <w:rFonts w:ascii="Tahoma" w:cs="Tahoma" w:eastAsia="Tahoma" w:hAnsi="Tahoma"/>
              <w:i w:val="0"/>
              <w:iCs w:val="0"/>
              <w:smallCaps w:val="0"/>
              <w:strike w:val="0"/>
              <w:color w:val="000000"/>
              <w:sz w:val="22"/>
              <w:szCs w:val="22"/>
              <w:u w:val="none"/>
              <w:shd w:fill="auto" w:val="clear"/>
              <w:vertAlign w:val="baseline"/>
            </w:rPr>
          </w:pPr>
          <w:r w:rsidDel="00000000" w:rsidR="00000000" w:rsidRPr="00000000">
            <w:rPr>
              <w:rFonts w:ascii="Tahoma" w:cs="Tahoma" w:eastAsia="Tahoma" w:hAnsi="Tahoma"/>
              <w:i w:val="0"/>
              <w:iCs w:val="0"/>
              <w:smallCaps w:val="0"/>
              <w:strike w:val="0"/>
              <w:color w:val="000000"/>
              <w:sz w:val="22"/>
              <w:szCs w:val="22"/>
              <w:u w:val="none"/>
              <w:shd w:fill="auto" w:val="clear"/>
              <w:vertAlign w:val="baseline"/>
              <w:rtl w:val="0"/>
            </w:rPr>
            <w:t xml:space="preserve">5.3 The measurement problem</w:t>
            <w:tab/>
            <w:t xml:space="preserve">12</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00"/>
            </w:tabs>
            <w:spacing w:after="0" w:before="0" w:line="240" w:lineRule="auto"/>
            <w:ind w:left="0" w:right="0" w:firstLine="0"/>
            <w:jc w:val="left"/>
            <w:rPr>
              <w:rFonts w:ascii="Tahoma" w:cs="Tahoma" w:eastAsia="Tahoma" w:hAnsi="Tahoma"/>
              <w:i w:val="0"/>
              <w:iCs w:val="0"/>
              <w:smallCaps w:val="0"/>
              <w:strike w:val="0"/>
              <w:color w:val="000000"/>
              <w:sz w:val="22"/>
              <w:szCs w:val="22"/>
              <w:u w:val="none"/>
              <w:shd w:fill="auto" w:val="clear"/>
              <w:vertAlign w:val="baseline"/>
            </w:rPr>
          </w:pPr>
          <w:r w:rsidDel="00000000" w:rsidR="00000000" w:rsidRPr="00000000">
            <w:rPr>
              <w:rFonts w:ascii="Tahoma" w:cs="Tahoma" w:eastAsia="Tahoma" w:hAnsi="Tahoma"/>
              <w:i w:val="0"/>
              <w:iCs w:val="0"/>
              <w:smallCaps w:val="0"/>
              <w:strike w:val="0"/>
              <w:color w:val="000000"/>
              <w:sz w:val="22"/>
              <w:szCs w:val="22"/>
              <w:u w:val="none"/>
              <w:shd w:fill="auto" w:val="clear"/>
              <w:vertAlign w:val="baseline"/>
              <w:rtl w:val="0"/>
            </w:rPr>
            <w:t xml:space="preserve">6. Strategies for Developing the Learning Organisation</w:t>
            <w:tab/>
            <w:t xml:space="preserve">13</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00"/>
            </w:tabs>
            <w:spacing w:after="0" w:before="0" w:line="240" w:lineRule="auto"/>
            <w:ind w:left="360" w:right="0" w:firstLine="0"/>
            <w:jc w:val="left"/>
            <w:rPr>
              <w:rFonts w:ascii="Tahoma" w:cs="Tahoma" w:eastAsia="Tahoma" w:hAnsi="Tahoma"/>
              <w:i w:val="0"/>
              <w:iCs w:val="0"/>
              <w:smallCaps w:val="0"/>
              <w:strike w:val="0"/>
              <w:color w:val="000000"/>
              <w:sz w:val="22"/>
              <w:szCs w:val="22"/>
              <w:u w:val="none"/>
              <w:shd w:fill="auto" w:val="clear"/>
              <w:vertAlign w:val="baseline"/>
            </w:rPr>
          </w:pPr>
          <w:r w:rsidDel="00000000" w:rsidR="00000000" w:rsidRPr="00000000">
            <w:rPr>
              <w:rFonts w:ascii="Tahoma" w:cs="Tahoma" w:eastAsia="Tahoma" w:hAnsi="Tahoma"/>
              <w:i w:val="0"/>
              <w:iCs w:val="0"/>
              <w:smallCaps w:val="0"/>
              <w:strike w:val="0"/>
              <w:color w:val="000000"/>
              <w:sz w:val="22"/>
              <w:szCs w:val="22"/>
              <w:u w:val="none"/>
              <w:shd w:fill="auto" w:val="clear"/>
              <w:vertAlign w:val="baseline"/>
              <w:rtl w:val="0"/>
            </w:rPr>
            <w:t xml:space="preserve">6.1 Leadership and culture</w:t>
            <w:tab/>
            <w:t xml:space="preserve">14</w:t>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00"/>
            </w:tabs>
            <w:spacing w:after="0" w:before="0" w:line="240" w:lineRule="auto"/>
            <w:ind w:left="360" w:right="0" w:firstLine="0"/>
            <w:jc w:val="left"/>
            <w:rPr>
              <w:rFonts w:ascii="Tahoma" w:cs="Tahoma" w:eastAsia="Tahoma" w:hAnsi="Tahoma"/>
              <w:i w:val="0"/>
              <w:iCs w:val="0"/>
              <w:smallCaps w:val="0"/>
              <w:strike w:val="0"/>
              <w:color w:val="000000"/>
              <w:sz w:val="22"/>
              <w:szCs w:val="22"/>
              <w:u w:val="none"/>
              <w:shd w:fill="auto" w:val="clear"/>
              <w:vertAlign w:val="baseline"/>
            </w:rPr>
          </w:pPr>
          <w:r w:rsidDel="00000000" w:rsidR="00000000" w:rsidRPr="00000000">
            <w:rPr>
              <w:rFonts w:ascii="Tahoma" w:cs="Tahoma" w:eastAsia="Tahoma" w:hAnsi="Tahoma"/>
              <w:i w:val="0"/>
              <w:iCs w:val="0"/>
              <w:smallCaps w:val="0"/>
              <w:strike w:val="0"/>
              <w:color w:val="000000"/>
              <w:sz w:val="22"/>
              <w:szCs w:val="22"/>
              <w:u w:val="none"/>
              <w:shd w:fill="auto" w:val="clear"/>
              <w:vertAlign w:val="baseline"/>
              <w:rtl w:val="0"/>
            </w:rPr>
            <w:t xml:space="preserve">6.2 Structure, process and human resource practice</w:t>
            <w:tab/>
            <w:t xml:space="preserve">14</w:t>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00"/>
            </w:tabs>
            <w:spacing w:after="0" w:before="0" w:line="240" w:lineRule="auto"/>
            <w:ind w:left="360" w:right="0" w:firstLine="0"/>
            <w:jc w:val="left"/>
            <w:rPr>
              <w:rFonts w:ascii="Tahoma" w:cs="Tahoma" w:eastAsia="Tahoma" w:hAnsi="Tahoma"/>
              <w:i w:val="0"/>
              <w:iCs w:val="0"/>
              <w:smallCaps w:val="0"/>
              <w:strike w:val="0"/>
              <w:color w:val="000000"/>
              <w:sz w:val="22"/>
              <w:szCs w:val="22"/>
              <w:u w:val="none"/>
              <w:shd w:fill="auto" w:val="clear"/>
              <w:vertAlign w:val="baseline"/>
            </w:rPr>
          </w:pPr>
          <w:r w:rsidDel="00000000" w:rsidR="00000000" w:rsidRPr="00000000">
            <w:rPr>
              <w:rFonts w:ascii="Tahoma" w:cs="Tahoma" w:eastAsia="Tahoma" w:hAnsi="Tahoma"/>
              <w:i w:val="0"/>
              <w:iCs w:val="0"/>
              <w:smallCaps w:val="0"/>
              <w:strike w:val="0"/>
              <w:color w:val="000000"/>
              <w:sz w:val="22"/>
              <w:szCs w:val="22"/>
              <w:u w:val="none"/>
              <w:shd w:fill="auto" w:val="clear"/>
              <w:vertAlign w:val="baseline"/>
              <w:rtl w:val="0"/>
            </w:rPr>
            <w:t xml:space="preserve">6.3 Diagnosis, measurement and iterative development</w:t>
            <w:tab/>
            <w:t xml:space="preserve">15</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00"/>
            </w:tabs>
            <w:spacing w:after="0" w:before="0" w:line="240" w:lineRule="auto"/>
            <w:ind w:left="0" w:right="0" w:firstLine="0"/>
            <w:jc w:val="left"/>
            <w:rPr>
              <w:rFonts w:ascii="Tahoma" w:cs="Tahoma" w:eastAsia="Tahoma" w:hAnsi="Tahoma"/>
              <w:i w:val="0"/>
              <w:iCs w:val="0"/>
              <w:smallCaps w:val="0"/>
              <w:strike w:val="0"/>
              <w:color w:val="000000"/>
              <w:sz w:val="22"/>
              <w:szCs w:val="22"/>
              <w:u w:val="none"/>
              <w:shd w:fill="auto" w:val="clear"/>
              <w:vertAlign w:val="baseline"/>
            </w:rPr>
          </w:pPr>
          <w:r w:rsidDel="00000000" w:rsidR="00000000" w:rsidRPr="00000000">
            <w:rPr>
              <w:rFonts w:ascii="Tahoma" w:cs="Tahoma" w:eastAsia="Tahoma" w:hAnsi="Tahoma"/>
              <w:i w:val="0"/>
              <w:iCs w:val="0"/>
              <w:smallCaps w:val="0"/>
              <w:strike w:val="0"/>
              <w:color w:val="000000"/>
              <w:sz w:val="22"/>
              <w:szCs w:val="22"/>
              <w:u w:val="none"/>
              <w:shd w:fill="auto" w:val="clear"/>
              <w:vertAlign w:val="baseline"/>
              <w:rtl w:val="0"/>
            </w:rPr>
            <w:t xml:space="preserve">7. An Illustrative Application</w:t>
            <w:tab/>
            <w:t xml:space="preserve">15</w:t>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00"/>
            </w:tabs>
            <w:spacing w:after="0" w:before="0" w:line="240" w:lineRule="auto"/>
            <w:ind w:left="0" w:right="0" w:firstLine="0"/>
            <w:jc w:val="left"/>
            <w:rPr>
              <w:rFonts w:ascii="Tahoma" w:cs="Tahoma" w:eastAsia="Tahoma" w:hAnsi="Tahoma"/>
              <w:i w:val="0"/>
              <w:iCs w:val="0"/>
              <w:smallCaps w:val="0"/>
              <w:strike w:val="0"/>
              <w:color w:val="000000"/>
              <w:sz w:val="22"/>
              <w:szCs w:val="22"/>
              <w:u w:val="none"/>
              <w:shd w:fill="auto" w:val="clear"/>
              <w:vertAlign w:val="baseline"/>
            </w:rPr>
          </w:pPr>
          <w:r w:rsidDel="00000000" w:rsidR="00000000" w:rsidRPr="00000000">
            <w:rPr>
              <w:rFonts w:ascii="Tahoma" w:cs="Tahoma" w:eastAsia="Tahoma" w:hAnsi="Tahoma"/>
              <w:i w:val="0"/>
              <w:iCs w:val="0"/>
              <w:smallCaps w:val="0"/>
              <w:strike w:val="0"/>
              <w:color w:val="000000"/>
              <w:sz w:val="22"/>
              <w:szCs w:val="22"/>
              <w:u w:val="none"/>
              <w:shd w:fill="auto" w:val="clear"/>
              <w:vertAlign w:val="baseline"/>
              <w:rtl w:val="0"/>
            </w:rPr>
            <w:t xml:space="preserve">8. Conclusion</w:t>
            <w:tab/>
          </w:r>
          <w:r w:rsidDel="00000000" w:rsidR="00000000" w:rsidRPr="00000000">
            <w:rPr>
              <w:rFonts w:ascii="Tahoma" w:cs="Tahoma" w:eastAsia="Tahoma" w:hAnsi="Tahoma"/>
              <w:sz w:val="22"/>
              <w:szCs w:val="22"/>
              <w:rtl w:val="0"/>
            </w:rPr>
            <w:t xml:space="preserve">16</w:t>
          </w: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00"/>
            </w:tabs>
            <w:spacing w:after="0" w:before="0" w:line="240" w:lineRule="auto"/>
            <w:ind w:left="0" w:right="0" w:firstLine="0"/>
            <w:jc w:val="left"/>
            <w:rPr>
              <w:rFonts w:ascii="Tahoma" w:cs="Tahoma" w:eastAsia="Tahoma" w:hAnsi="Tahoma"/>
              <w:i w:val="0"/>
              <w:iCs w:val="0"/>
              <w:smallCaps w:val="0"/>
              <w:strike w:val="0"/>
              <w:color w:val="000000"/>
              <w:sz w:val="22"/>
              <w:szCs w:val="22"/>
              <w:u w:val="none"/>
              <w:shd w:fill="auto" w:val="clear"/>
              <w:vertAlign w:val="baseline"/>
            </w:rPr>
          </w:pPr>
          <w:r w:rsidDel="00000000" w:rsidR="00000000" w:rsidRPr="00000000">
            <w:rPr>
              <w:rFonts w:ascii="Tahoma" w:cs="Tahoma" w:eastAsia="Tahoma" w:hAnsi="Tahoma"/>
              <w:i w:val="0"/>
              <w:iCs w:val="0"/>
              <w:smallCaps w:val="0"/>
              <w:strike w:val="0"/>
              <w:color w:val="000000"/>
              <w:sz w:val="22"/>
              <w:szCs w:val="22"/>
              <w:u w:val="none"/>
              <w:shd w:fill="auto" w:val="clear"/>
              <w:vertAlign w:val="baseline"/>
              <w:rtl w:val="0"/>
            </w:rPr>
            <w:t xml:space="preserve">References</w:t>
            <w:tab/>
          </w:r>
          <w:r w:rsidDel="00000000" w:rsidR="00000000" w:rsidRPr="00000000">
            <w:rPr>
              <w:rFonts w:ascii="Tahoma" w:cs="Tahoma" w:eastAsia="Tahoma" w:hAnsi="Tahoma"/>
              <w:sz w:val="22"/>
              <w:szCs w:val="22"/>
              <w:rtl w:val="0"/>
            </w:rPr>
            <w:t xml:space="preserve">18</w:t>
          </w:r>
          <w:r w:rsidDel="00000000" w:rsidR="00000000" w:rsidRPr="00000000">
            <w:rPr>
              <w:rtl w:val="0"/>
            </w:rPr>
          </w:r>
        </w:p>
        <w:p w:rsidR="00000000" w:rsidDel="00000000" w:rsidP="00000000" w:rsidRDefault="00000000" w:rsidRPr="00000000" w14:paraId="00000029">
          <w:pPr>
            <w:rPr>
              <w:rFonts w:ascii="Tahoma" w:cs="Tahoma" w:eastAsia="Tahoma" w:hAnsi="Tahoma"/>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A">
      <w:pPr>
        <w:pStyle w:val="Heading1"/>
        <w:pageBreakBefore w:val="1"/>
        <w:spacing w:after="200" w:before="360" w:lineRule="auto"/>
        <w:rPr>
          <w:rFonts w:ascii="Tahoma" w:cs="Tahoma" w:eastAsia="Tahoma" w:hAnsi="Tahoma"/>
        </w:rPr>
      </w:pPr>
      <w:r w:rsidDel="00000000" w:rsidR="00000000" w:rsidRPr="00000000">
        <w:rPr>
          <w:rFonts w:ascii="Tahoma" w:cs="Tahoma" w:eastAsia="Tahoma" w:hAnsi="Tahoma"/>
          <w:b w:val="1"/>
          <w:bCs w:val="1"/>
          <w:sz w:val="32"/>
          <w:szCs w:val="32"/>
          <w:rtl w:val="0"/>
        </w:rPr>
        <w:t xml:space="preserve">1. Introduction</w:t>
      </w:r>
      <w:r w:rsidDel="00000000" w:rsidR="00000000" w:rsidRPr="00000000">
        <w:rPr>
          <w:rtl w:val="0"/>
        </w:rPr>
      </w:r>
    </w:p>
    <w:p w:rsidR="00000000" w:rsidDel="00000000" w:rsidP="00000000" w:rsidRDefault="00000000" w:rsidRPr="00000000" w14:paraId="0000002B">
      <w:pPr>
        <w:spacing w:after="160" w:line="360" w:lineRule="auto"/>
        <w:ind w:firstLine="475"/>
        <w:jc w:val="both"/>
        <w:rPr>
          <w:rFonts w:ascii="Tahoma" w:cs="Tahoma" w:eastAsia="Tahoma" w:hAnsi="Tahoma"/>
        </w:rPr>
      </w:pPr>
      <w:r w:rsidDel="00000000" w:rsidR="00000000" w:rsidRPr="00000000">
        <w:rPr>
          <w:rFonts w:ascii="Tahoma" w:cs="Tahoma" w:eastAsia="Tahoma" w:hAnsi="Tahoma"/>
          <w:sz w:val="24"/>
          <w:szCs w:val="24"/>
          <w:rtl w:val="0"/>
        </w:rPr>
        <w:t xml:space="preserve">In an era characterised by technological disruption, global competition and rapidly shifting customer expectations, the capacity of an organisation to learn faster than its rivals is widely regarded as one of the few sustainable sources of competitive advantage (Garvin, 1993; March, 1991). The concept of the learning organisation, popularised by Senge (1990) in </w:t>
      </w:r>
      <w:r w:rsidDel="00000000" w:rsidR="00000000" w:rsidRPr="00000000">
        <w:rPr>
          <w:rFonts w:ascii="Tahoma" w:cs="Tahoma" w:eastAsia="Tahoma" w:hAnsi="Tahoma"/>
          <w:i w:val="1"/>
          <w:iCs w:val="1"/>
          <w:sz w:val="24"/>
          <w:szCs w:val="24"/>
          <w:rtl w:val="0"/>
        </w:rPr>
        <w:t xml:space="preserve">The Fifth Discipline</w:t>
      </w:r>
      <w:r w:rsidDel="00000000" w:rsidR="00000000" w:rsidRPr="00000000">
        <w:rPr>
          <w:rFonts w:ascii="Tahoma" w:cs="Tahoma" w:eastAsia="Tahoma" w:hAnsi="Tahoma"/>
          <w:sz w:val="24"/>
          <w:szCs w:val="24"/>
          <w:rtl w:val="0"/>
        </w:rPr>
        <w:t xml:space="preserve">, captures this aspiration: an organisation that continually expands its capacity to create its future by embedding learning into its culture, structures and everyday practices. Although the concept has been influential for more than three decades, it remains contested. Critics question whether the learning organisation is an achievable organisational form or merely an idealised, even utopian, vision (Sun and Scott, 2003; Tsang, 1997), and scholars continue to debate its relationship with the adjacent field of organisational learning (Örtenblad, 2001).</w:t>
      </w:r>
      <w:r w:rsidDel="00000000" w:rsidR="00000000" w:rsidRPr="00000000">
        <w:rPr>
          <w:rtl w:val="0"/>
        </w:rPr>
      </w:r>
    </w:p>
    <w:p w:rsidR="00000000" w:rsidDel="00000000" w:rsidP="00000000" w:rsidRDefault="00000000" w:rsidRPr="00000000" w14:paraId="0000002C">
      <w:pPr>
        <w:spacing w:after="160" w:line="360" w:lineRule="auto"/>
        <w:ind w:firstLine="475"/>
        <w:jc w:val="both"/>
        <w:rPr>
          <w:rFonts w:ascii="Tahoma" w:cs="Tahoma" w:eastAsia="Tahoma" w:hAnsi="Tahoma"/>
        </w:rPr>
      </w:pPr>
      <w:r w:rsidDel="00000000" w:rsidR="00000000" w:rsidRPr="00000000">
        <w:rPr>
          <w:rFonts w:ascii="Tahoma" w:cs="Tahoma" w:eastAsia="Tahoma" w:hAnsi="Tahoma"/>
          <w:sz w:val="24"/>
          <w:szCs w:val="24"/>
          <w:rtl w:val="0"/>
        </w:rPr>
        <w:t xml:space="preserve">This assignment critically examines what it means to develop the learning organisation. It begins by conceptualising the learning organisation and distinguishing it from organisational learning, before reviewing the major theoretical foundations that underpin development efforts, including Senge's (1990) five disciplines, Argyris and Schön's (1978) theory of single- and double-loop learning, and Crossan, Lane and White's (1999) 4I framework. The strategic case for developing a learning organisation is then evaluated, followed by a critical analysis of the barriers that impede such development, including conceptual ambiguity, organisational power and politics, and the difficulties of measurement. The assignment then synthesises practical strategies for developing learning organisations, spanning leadership, culture, structure, human resource practices and diagnostic measurement, and illustrates their application through a short organisational scenario. The central argument advanced is that the learning organisation is best understood not as a fixed end-state to be engineered, but as an ongoing developmental achievement that requires the deliberate alignment of leadership, culture, systems and measurement, pursued with a critical awareness of the political and practical obstacles involved.</w:t>
      </w:r>
      <w:r w:rsidDel="00000000" w:rsidR="00000000" w:rsidRPr="00000000">
        <w:rPr>
          <w:rtl w:val="0"/>
        </w:rPr>
      </w:r>
    </w:p>
    <w:p w:rsidR="00000000" w:rsidDel="00000000" w:rsidP="00000000" w:rsidRDefault="00000000" w:rsidRPr="00000000" w14:paraId="0000002D">
      <w:pPr>
        <w:pStyle w:val="Heading1"/>
        <w:spacing w:after="200" w:before="360" w:lineRule="auto"/>
        <w:rPr>
          <w:rFonts w:ascii="Tahoma" w:cs="Tahoma" w:eastAsia="Tahoma" w:hAnsi="Tahoma"/>
        </w:rPr>
      </w:pPr>
      <w:r w:rsidDel="00000000" w:rsidR="00000000" w:rsidRPr="00000000">
        <w:rPr>
          <w:rFonts w:ascii="Tahoma" w:cs="Tahoma" w:eastAsia="Tahoma" w:hAnsi="Tahoma"/>
          <w:b w:val="1"/>
          <w:bCs w:val="1"/>
          <w:sz w:val="32"/>
          <w:szCs w:val="32"/>
          <w:rtl w:val="0"/>
        </w:rPr>
        <w:t xml:space="preserve">2. Conceptualising the Learning Organisation</w:t>
      </w:r>
      <w:r w:rsidDel="00000000" w:rsidR="00000000" w:rsidRPr="00000000">
        <w:rPr>
          <w:rtl w:val="0"/>
        </w:rPr>
      </w:r>
    </w:p>
    <w:p w:rsidR="00000000" w:rsidDel="00000000" w:rsidP="00000000" w:rsidRDefault="00000000" w:rsidRPr="00000000" w14:paraId="0000002E">
      <w:pPr>
        <w:pStyle w:val="Heading2"/>
        <w:spacing w:after="160" w:before="280" w:lineRule="auto"/>
        <w:rPr>
          <w:rFonts w:ascii="Tahoma" w:cs="Tahoma" w:eastAsia="Tahoma" w:hAnsi="Tahoma"/>
        </w:rPr>
      </w:pPr>
      <w:r w:rsidDel="00000000" w:rsidR="00000000" w:rsidRPr="00000000">
        <w:rPr>
          <w:rFonts w:ascii="Tahoma" w:cs="Tahoma" w:eastAsia="Tahoma" w:hAnsi="Tahoma"/>
          <w:b w:val="1"/>
          <w:bCs w:val="1"/>
          <w:sz w:val="26"/>
          <w:szCs w:val="26"/>
          <w:rtl w:val="0"/>
        </w:rPr>
        <w:t xml:space="preserve">2.1 Defining the concept</w:t>
      </w:r>
      <w:r w:rsidDel="00000000" w:rsidR="00000000" w:rsidRPr="00000000">
        <w:rPr>
          <w:rtl w:val="0"/>
        </w:rPr>
      </w:r>
    </w:p>
    <w:p w:rsidR="00000000" w:rsidDel="00000000" w:rsidP="00000000" w:rsidRDefault="00000000" w:rsidRPr="00000000" w14:paraId="0000002F">
      <w:pPr>
        <w:spacing w:after="160" w:line="360" w:lineRule="auto"/>
        <w:ind w:firstLine="475"/>
        <w:jc w:val="both"/>
        <w:rPr>
          <w:rFonts w:ascii="Tahoma" w:cs="Tahoma" w:eastAsia="Tahoma" w:hAnsi="Tahoma"/>
        </w:rPr>
      </w:pPr>
      <w:r w:rsidDel="00000000" w:rsidR="00000000" w:rsidRPr="00000000">
        <w:rPr>
          <w:rFonts w:ascii="Tahoma" w:cs="Tahoma" w:eastAsia="Tahoma" w:hAnsi="Tahoma"/>
          <w:sz w:val="24"/>
          <w:szCs w:val="24"/>
          <w:rtl w:val="0"/>
        </w:rPr>
        <w:t xml:space="preserve">There is no single, universally accepted definition of the learning organisation, and the proliferation of definitions is itself one of the field's acknowledged weaknesses (Sun and Scott, 2003). Nonetheless, several influential formulations share common themes. Senge (1990, p. 3) describes learning organisations as places "where people continually expand their capacity to create the results they truly desire, where new and expansive patterns of thinking are nurtured, where collective aspiration is set free, and where people are continually learning how to learn together". Garvin (1993, p. 80) offers a more operational definition: "an organisation skilled at creating, acquiring and transferring knowledge, and at modifying its behaviour to reflect new knowledge and insights". Notably, Garvin's definition insists that learning must culminate in changed behaviour, thereby distinguishing genuine organisational learning from the mere accumulation of information. Pedler, Burgoyne and Boydell (1997, p. 3), writing from a British action-learning tradition, define the learning company as one that "facilitates the learning of all its members and continuously transforms itself", deliberately coupling individual development with organisational transformation.</w:t>
      </w:r>
      <w:r w:rsidDel="00000000" w:rsidR="00000000" w:rsidRPr="00000000">
        <w:rPr>
          <w:rtl w:val="0"/>
        </w:rPr>
      </w:r>
    </w:p>
    <w:p w:rsidR="00000000" w:rsidDel="00000000" w:rsidP="00000000" w:rsidRDefault="00000000" w:rsidRPr="00000000" w14:paraId="00000030">
      <w:pPr>
        <w:spacing w:after="160" w:line="360" w:lineRule="auto"/>
        <w:ind w:firstLine="475"/>
        <w:jc w:val="both"/>
        <w:rPr>
          <w:rFonts w:ascii="Tahoma" w:cs="Tahoma" w:eastAsia="Tahoma" w:hAnsi="Tahoma"/>
        </w:rPr>
      </w:pPr>
      <w:r w:rsidDel="00000000" w:rsidR="00000000" w:rsidRPr="00000000">
        <w:rPr>
          <w:rFonts w:ascii="Tahoma" w:cs="Tahoma" w:eastAsia="Tahoma" w:hAnsi="Tahoma"/>
          <w:sz w:val="24"/>
          <w:szCs w:val="24"/>
          <w:rtl w:val="0"/>
        </w:rPr>
        <w:t xml:space="preserve">Across these definitions, several distinguishing features recur. Learning organisations are said to engage in systematic problem solving, experimentation with new approaches, learning from their own experience and history, learning from the experience and best practice of others, and transferring knowledge quickly and efficiently throughout the organisation (Garvin, 1993). They are typically characterised by flatter structures, open communication, distributed leadership and a culture that treats error as a source of intelligence rather than blame (Edmondson, 2018; Watkins and Marsick, 1993). Importantly, the learning organisation is conceived as systemic: learning is not confined to a training department but is woven into strategy, operations and everyday work (Kim, 1993).</w:t>
      </w:r>
      <w:r w:rsidDel="00000000" w:rsidR="00000000" w:rsidRPr="00000000">
        <w:rPr>
          <w:rtl w:val="0"/>
        </w:rPr>
      </w:r>
    </w:p>
    <w:p w:rsidR="00000000" w:rsidDel="00000000" w:rsidP="00000000" w:rsidRDefault="00000000" w:rsidRPr="00000000" w14:paraId="00000031">
      <w:pPr>
        <w:spacing w:after="160" w:line="360" w:lineRule="auto"/>
        <w:ind w:firstLine="475"/>
        <w:jc w:val="both"/>
        <w:rPr>
          <w:rFonts w:ascii="Tahoma" w:cs="Tahoma" w:eastAsia="Tahoma" w:hAnsi="Tahoma"/>
        </w:rPr>
      </w:pPr>
      <w:r w:rsidDel="00000000" w:rsidR="00000000" w:rsidRPr="00000000">
        <w:rPr>
          <w:rFonts w:ascii="Tahoma" w:cs="Tahoma" w:eastAsia="Tahoma" w:hAnsi="Tahoma"/>
          <w:sz w:val="24"/>
          <w:szCs w:val="24"/>
          <w:rtl w:val="0"/>
        </w:rPr>
        <w:t xml:space="preserve">Watkins and Marsick (1993) extend these definitional efforts by specifying six action imperatives, later operationalised as seven dimensions of the learning organisation: creating continuous learning opportunities; promoting inquiry and dialogue; encouraging collaboration and team learning; establishing systems to capture and share learning; empowering people towards a collective vision; connecting the organisation to its environment; and providing strategic leadership for learning. This model is significant for development because it translates the abstract ideal into dimensions that can be surveyed, scored and compared, thereby bridging the prescriptive and measurement literatures (Marsick and Watkins, 2003). It also illustrates a broader point: definitions differ less in what they celebrate than in what they operationalise, and it is at the level of operationalisation that development efforts succeed or fail.</w:t>
      </w:r>
      <w:r w:rsidDel="00000000" w:rsidR="00000000" w:rsidRPr="00000000">
        <w:rPr>
          <w:rtl w:val="0"/>
        </w:rPr>
      </w:r>
    </w:p>
    <w:p w:rsidR="00000000" w:rsidDel="00000000" w:rsidP="00000000" w:rsidRDefault="00000000" w:rsidRPr="00000000" w14:paraId="00000032">
      <w:pPr>
        <w:pStyle w:val="Heading2"/>
        <w:spacing w:after="160" w:before="280" w:lineRule="auto"/>
        <w:rPr>
          <w:rFonts w:ascii="Tahoma" w:cs="Tahoma" w:eastAsia="Tahoma" w:hAnsi="Tahoma"/>
        </w:rPr>
      </w:pPr>
      <w:r w:rsidDel="00000000" w:rsidR="00000000" w:rsidRPr="00000000">
        <w:rPr>
          <w:rFonts w:ascii="Tahoma" w:cs="Tahoma" w:eastAsia="Tahoma" w:hAnsi="Tahoma"/>
          <w:b w:val="1"/>
          <w:bCs w:val="1"/>
          <w:sz w:val="26"/>
          <w:szCs w:val="26"/>
          <w:rtl w:val="0"/>
        </w:rPr>
        <w:t xml:space="preserve">2.2 Learning organisation or organisational learning?</w:t>
      </w:r>
      <w:r w:rsidDel="00000000" w:rsidR="00000000" w:rsidRPr="00000000">
        <w:rPr>
          <w:rtl w:val="0"/>
        </w:rPr>
      </w:r>
    </w:p>
    <w:p w:rsidR="00000000" w:rsidDel="00000000" w:rsidP="00000000" w:rsidRDefault="00000000" w:rsidRPr="00000000" w14:paraId="00000033">
      <w:pPr>
        <w:spacing w:after="160" w:line="360" w:lineRule="auto"/>
        <w:ind w:firstLine="475"/>
        <w:jc w:val="both"/>
        <w:rPr>
          <w:rFonts w:ascii="Tahoma" w:cs="Tahoma" w:eastAsia="Tahoma" w:hAnsi="Tahoma"/>
        </w:rPr>
      </w:pPr>
      <w:r w:rsidDel="00000000" w:rsidR="00000000" w:rsidRPr="00000000">
        <w:rPr>
          <w:rFonts w:ascii="Tahoma" w:cs="Tahoma" w:eastAsia="Tahoma" w:hAnsi="Tahoma"/>
          <w:sz w:val="24"/>
          <w:szCs w:val="24"/>
          <w:rtl w:val="0"/>
        </w:rPr>
        <w:t xml:space="preserve">Any serious attempt to develop the learning organisation must first grapple with a fundamental conceptual distinction. Tsang (1997) argues that the literature is divided between two largely separate research communities. Organisational learning is a descriptive, academically oriented field concerned with understanding the processes by which organisations actually learn, whether effectively or not. The learning organisation, by contrast, is a prescriptive, practitioner-oriented literature concerned with identifying the attributes of an ideal organisational form and advising managers on how to attain it. Örtenblad (2001) similarly distinguishes between organisational learning as a naturally occurring process, the learning organisation as a normative ideal, learning at work as an activity, and a learning climate as a facilitative condition. Sun and Scott (2003) describe this as a 'divide' between descriptive and prescriptive research and argue that the two streams have insufficiently informed one another, leaving prescriptive models weakly grounded in empirical evidence.</w:t>
      </w:r>
      <w:r w:rsidDel="00000000" w:rsidR="00000000" w:rsidRPr="00000000">
        <w:rPr>
          <w:rtl w:val="0"/>
        </w:rPr>
      </w:r>
    </w:p>
    <w:p w:rsidR="00000000" w:rsidDel="00000000" w:rsidP="00000000" w:rsidRDefault="00000000" w:rsidRPr="00000000" w14:paraId="00000034">
      <w:pPr>
        <w:spacing w:after="160" w:line="360" w:lineRule="auto"/>
        <w:ind w:firstLine="475"/>
        <w:jc w:val="both"/>
        <w:rPr>
          <w:rFonts w:ascii="Tahoma" w:cs="Tahoma" w:eastAsia="Tahoma" w:hAnsi="Tahoma"/>
        </w:rPr>
      </w:pPr>
      <w:r w:rsidDel="00000000" w:rsidR="00000000" w:rsidRPr="00000000">
        <w:rPr>
          <w:rFonts w:ascii="Tahoma" w:cs="Tahoma" w:eastAsia="Tahoma" w:hAnsi="Tahoma"/>
          <w:sz w:val="24"/>
          <w:szCs w:val="24"/>
          <w:rtl w:val="0"/>
        </w:rPr>
        <w:t xml:space="preserve">This distinction has practical consequences for development. Prescriptive models such as Senge's (1990) tell managers what a learning organisation should look like but are comparatively silent on how learning actually unfolds between individuals, teams and the organisation. Descriptive frameworks such as those of Huber (1991) and Crossan et al. (1999) supply precisely this process detail. Developing the learning organisation therefore requires an integrated approach that borrows vision from the prescriptive tradition and mechanism from the descriptive one, a point developed throughout this assignment.</w:t>
      </w:r>
      <w:r w:rsidDel="00000000" w:rsidR="00000000" w:rsidRPr="00000000">
        <w:rPr>
          <w:rtl w:val="0"/>
        </w:rPr>
      </w:r>
    </w:p>
    <w:p w:rsidR="00000000" w:rsidDel="00000000" w:rsidP="00000000" w:rsidRDefault="00000000" w:rsidRPr="00000000" w14:paraId="00000035">
      <w:pPr>
        <w:pStyle w:val="Heading1"/>
        <w:spacing w:after="200" w:before="360" w:lineRule="auto"/>
        <w:rPr>
          <w:rFonts w:ascii="Tahoma" w:cs="Tahoma" w:eastAsia="Tahoma" w:hAnsi="Tahoma"/>
        </w:rPr>
      </w:pPr>
      <w:r w:rsidDel="00000000" w:rsidR="00000000" w:rsidRPr="00000000">
        <w:rPr>
          <w:rFonts w:ascii="Tahoma" w:cs="Tahoma" w:eastAsia="Tahoma" w:hAnsi="Tahoma"/>
          <w:b w:val="1"/>
          <w:bCs w:val="1"/>
          <w:sz w:val="32"/>
          <w:szCs w:val="32"/>
          <w:rtl w:val="0"/>
        </w:rPr>
        <w:t xml:space="preserve">3. Theoretical Foundations</w:t>
      </w:r>
      <w:r w:rsidDel="00000000" w:rsidR="00000000" w:rsidRPr="00000000">
        <w:rPr>
          <w:rtl w:val="0"/>
        </w:rPr>
      </w:r>
    </w:p>
    <w:p w:rsidR="00000000" w:rsidDel="00000000" w:rsidP="00000000" w:rsidRDefault="00000000" w:rsidRPr="00000000" w14:paraId="00000036">
      <w:pPr>
        <w:pStyle w:val="Heading2"/>
        <w:spacing w:after="160" w:before="280" w:lineRule="auto"/>
        <w:rPr>
          <w:rFonts w:ascii="Tahoma" w:cs="Tahoma" w:eastAsia="Tahoma" w:hAnsi="Tahoma"/>
        </w:rPr>
      </w:pPr>
      <w:r w:rsidDel="00000000" w:rsidR="00000000" w:rsidRPr="00000000">
        <w:rPr>
          <w:rFonts w:ascii="Tahoma" w:cs="Tahoma" w:eastAsia="Tahoma" w:hAnsi="Tahoma"/>
          <w:b w:val="1"/>
          <w:bCs w:val="1"/>
          <w:sz w:val="26"/>
          <w:szCs w:val="26"/>
          <w:rtl w:val="0"/>
        </w:rPr>
        <w:t xml:space="preserve">3.1 Senge's five disciplines</w:t>
      </w:r>
      <w:r w:rsidDel="00000000" w:rsidR="00000000" w:rsidRPr="00000000">
        <w:rPr>
          <w:rtl w:val="0"/>
        </w:rPr>
      </w:r>
    </w:p>
    <w:p w:rsidR="00000000" w:rsidDel="00000000" w:rsidP="00000000" w:rsidRDefault="00000000" w:rsidRPr="00000000" w14:paraId="00000037">
      <w:pPr>
        <w:spacing w:after="160" w:line="360" w:lineRule="auto"/>
        <w:ind w:firstLine="475"/>
        <w:jc w:val="both"/>
        <w:rPr>
          <w:rFonts w:ascii="Tahoma" w:cs="Tahoma" w:eastAsia="Tahoma" w:hAnsi="Tahoma"/>
        </w:rPr>
      </w:pPr>
      <w:r w:rsidDel="00000000" w:rsidR="00000000" w:rsidRPr="00000000">
        <w:rPr>
          <w:rFonts w:ascii="Tahoma" w:cs="Tahoma" w:eastAsia="Tahoma" w:hAnsi="Tahoma"/>
          <w:sz w:val="24"/>
          <w:szCs w:val="24"/>
          <w:rtl w:val="0"/>
        </w:rPr>
        <w:t xml:space="preserve">The most influential prescriptive model remains Senge's (1990) five disciplines, illustrated in Figure 1. Personal mastery concerns the continual clarification and deepening of personal vision and the objective apprehension of current reality. Mental models are the deeply held assumptions and generalisations that shape how organisational members understand the world; learning requires these to be surfaced, tested and, where necessary, revised. Shared vision involves building a genuine, collective sense of commitment to the organisation's future rather than mere compliance with a leader's vision statement. Team learning treats the team as the fundamental learning unit and depends on the discipline of dialogue, in which assumptions are suspended so that a group can think together. Finally, systems thinking, the 'fifth discipline', integrates the other four by enabling members to see patterns of interrelationships, feedback and time delays rather than isolated events and linear cause-effect chains (Senge, 1990).</w:t>
      </w:r>
      <w:r w:rsidDel="00000000" w:rsidR="00000000" w:rsidRPr="00000000">
        <w:rPr>
          <w:rtl w:val="0"/>
        </w:rPr>
      </w:r>
    </w:p>
    <w:p w:rsidR="00000000" w:rsidDel="00000000" w:rsidP="00000000" w:rsidRDefault="00000000" w:rsidRPr="00000000" w14:paraId="00000038">
      <w:pPr>
        <w:spacing w:after="0" w:before="120" w:lineRule="auto"/>
        <w:jc w:val="center"/>
        <w:rPr>
          <w:rFonts w:ascii="Tahoma" w:cs="Tahoma" w:eastAsia="Tahoma" w:hAnsi="Tahoma"/>
        </w:rPr>
      </w:pPr>
      <w:r w:rsidDel="00000000" w:rsidR="00000000" w:rsidRPr="00000000">
        <w:rPr>
          <w:rFonts w:ascii="Tahoma" w:cs="Tahoma" w:eastAsia="Tahoma" w:hAnsi="Tahoma"/>
        </w:rPr>
        <w:drawing>
          <wp:inline distB="0" distT="0" distL="0" distR="0">
            <wp:extent cx="4476750" cy="2695575"/>
            <wp:effectExtent b="0" l="0" r="0" t="0"/>
            <wp:docPr id="3"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4476750" cy="2695575"/>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spacing w:after="240" w:before="80" w:lineRule="auto"/>
        <w:jc w:val="center"/>
        <w:rPr>
          <w:rFonts w:ascii="Tahoma" w:cs="Tahoma" w:eastAsia="Tahoma" w:hAnsi="Tahoma"/>
        </w:rPr>
      </w:pPr>
      <w:r w:rsidDel="00000000" w:rsidR="00000000" w:rsidRPr="00000000">
        <w:rPr>
          <w:rFonts w:ascii="Tahoma" w:cs="Tahoma" w:eastAsia="Tahoma" w:hAnsi="Tahoma"/>
          <w:b w:val="1"/>
          <w:bCs w:val="1"/>
          <w:sz w:val="20"/>
          <w:szCs w:val="20"/>
          <w:rtl w:val="0"/>
        </w:rPr>
        <w:t xml:space="preserve">Figure 1. </w:t>
      </w:r>
      <w:r w:rsidDel="00000000" w:rsidR="00000000" w:rsidRPr="00000000">
        <w:rPr>
          <w:rFonts w:ascii="Tahoma" w:cs="Tahoma" w:eastAsia="Tahoma" w:hAnsi="Tahoma"/>
          <w:sz w:val="20"/>
          <w:szCs w:val="20"/>
          <w:rtl w:val="0"/>
        </w:rPr>
        <w:t xml:space="preserve">Senge's five disciplines of the learning organisation (based on Senge, 1990).</w:t>
      </w:r>
      <w:r w:rsidDel="00000000" w:rsidR="00000000" w:rsidRPr="00000000">
        <w:rPr>
          <w:rtl w:val="0"/>
        </w:rPr>
      </w:r>
    </w:p>
    <w:p w:rsidR="00000000" w:rsidDel="00000000" w:rsidP="00000000" w:rsidRDefault="00000000" w:rsidRPr="00000000" w14:paraId="0000003A">
      <w:pPr>
        <w:spacing w:after="160" w:line="360" w:lineRule="auto"/>
        <w:ind w:firstLine="475"/>
        <w:jc w:val="both"/>
        <w:rPr>
          <w:rFonts w:ascii="Tahoma" w:cs="Tahoma" w:eastAsia="Tahoma" w:hAnsi="Tahoma"/>
        </w:rPr>
      </w:pPr>
      <w:r w:rsidDel="00000000" w:rsidR="00000000" w:rsidRPr="00000000">
        <w:rPr>
          <w:rFonts w:ascii="Tahoma" w:cs="Tahoma" w:eastAsia="Tahoma" w:hAnsi="Tahoma"/>
          <w:sz w:val="24"/>
          <w:szCs w:val="24"/>
          <w:rtl w:val="0"/>
        </w:rPr>
        <w:t xml:space="preserve">Senge's framework has been enormously generative for practice because it translates an abstract aspiration into a set of learnable disciplines. However, it has also attracted substantial criticism. The model is largely a product of consultancy experience rather than systematic research, offers little guidance on sequencing or prioritising the disciplines, and arguably underplays the structural and political barriers that prevent learning even when individuals are skilled (Easterby-Smith and Lyles, 2011; Sun and Scott, 2003). These limitations suggest that the five disciplines are a necessary vocabulary for development but not, by themselves, a sufficient development strategy.</w:t>
      </w:r>
      <w:r w:rsidDel="00000000" w:rsidR="00000000" w:rsidRPr="00000000">
        <w:rPr>
          <w:rtl w:val="0"/>
        </w:rPr>
      </w:r>
    </w:p>
    <w:p w:rsidR="00000000" w:rsidDel="00000000" w:rsidP="00000000" w:rsidRDefault="00000000" w:rsidRPr="00000000" w14:paraId="0000003B">
      <w:pPr>
        <w:pStyle w:val="Heading2"/>
        <w:spacing w:after="160" w:before="280" w:lineRule="auto"/>
        <w:rPr>
          <w:rFonts w:ascii="Tahoma" w:cs="Tahoma" w:eastAsia="Tahoma" w:hAnsi="Tahoma"/>
        </w:rPr>
      </w:pPr>
      <w:r w:rsidDel="00000000" w:rsidR="00000000" w:rsidRPr="00000000">
        <w:rPr>
          <w:rFonts w:ascii="Tahoma" w:cs="Tahoma" w:eastAsia="Tahoma" w:hAnsi="Tahoma"/>
          <w:b w:val="1"/>
          <w:bCs w:val="1"/>
          <w:sz w:val="26"/>
          <w:szCs w:val="26"/>
          <w:rtl w:val="0"/>
        </w:rPr>
        <w:t xml:space="preserve">3.2 Loops of learning: adaptation, reflection and learning to learn</w:t>
      </w:r>
      <w:r w:rsidDel="00000000" w:rsidR="00000000" w:rsidRPr="00000000">
        <w:rPr>
          <w:rtl w:val="0"/>
        </w:rPr>
      </w:r>
    </w:p>
    <w:p w:rsidR="00000000" w:rsidDel="00000000" w:rsidP="00000000" w:rsidRDefault="00000000" w:rsidRPr="00000000" w14:paraId="0000003C">
      <w:pPr>
        <w:spacing w:after="160" w:line="360" w:lineRule="auto"/>
        <w:ind w:firstLine="475"/>
        <w:jc w:val="both"/>
        <w:rPr>
          <w:rFonts w:ascii="Tahoma" w:cs="Tahoma" w:eastAsia="Tahoma" w:hAnsi="Tahoma"/>
        </w:rPr>
      </w:pPr>
      <w:r w:rsidDel="00000000" w:rsidR="00000000" w:rsidRPr="00000000">
        <w:rPr>
          <w:rFonts w:ascii="Tahoma" w:cs="Tahoma" w:eastAsia="Tahoma" w:hAnsi="Tahoma"/>
          <w:sz w:val="24"/>
          <w:szCs w:val="24"/>
          <w:rtl w:val="0"/>
        </w:rPr>
        <w:t xml:space="preserve">A second foundation is Argyris and Schön's (1978) distinction between single-loop and double-loop learning. Single-loop learning corrects errors within existing norms, policies and objectives; it is adaptive but leaves governing assumptions intact. Double-loop learning interrogates and modifies the governing variables themselves, asking not only 'did we do things right?' but 'did we do the right things?'. Levitt and March (1988) show how such learning is encoded in organisational routines, which accumulate experience but can also trap organisations in 'competency traps', where success with familiar procedures discourages experimentation. March (1991) formalises this tension as the trade-off between the exploitation of existing certainties and the exploration of new possibilities, noting that exploitation tends to drive out exploration because its returns are closer in time and more certain. Argyris (1991) adds a sobering observation: highly educated, high-status professionals are often the least adept at double-loop learning, because their defensive reasoning protects them from examining their own contribution to failure. A later concept, deutero-learning, describes learning how to learn: an organisation reflecting on and improving its own learning processes (Easterby-Smith and Lyles, 2011). For development purposes, this framework implies that building training capacity (single-loop) is insufficient; development must create forums in which strategy, assumptions and the learning system itself can be challenged.</w:t>
      </w:r>
      <w:r w:rsidDel="00000000" w:rsidR="00000000" w:rsidRPr="00000000">
        <w:rPr>
          <w:rtl w:val="0"/>
        </w:rPr>
      </w:r>
    </w:p>
    <w:p w:rsidR="00000000" w:rsidDel="00000000" w:rsidP="00000000" w:rsidRDefault="00000000" w:rsidRPr="00000000" w14:paraId="0000003D">
      <w:pPr>
        <w:pStyle w:val="Heading2"/>
        <w:spacing w:after="160" w:before="280" w:lineRule="auto"/>
        <w:rPr>
          <w:rFonts w:ascii="Tahoma" w:cs="Tahoma" w:eastAsia="Tahoma" w:hAnsi="Tahoma"/>
        </w:rPr>
      </w:pPr>
      <w:r w:rsidDel="00000000" w:rsidR="00000000" w:rsidRPr="00000000">
        <w:rPr>
          <w:rFonts w:ascii="Tahoma" w:cs="Tahoma" w:eastAsia="Tahoma" w:hAnsi="Tahoma"/>
          <w:b w:val="1"/>
          <w:bCs w:val="1"/>
          <w:sz w:val="26"/>
          <w:szCs w:val="26"/>
          <w:rtl w:val="0"/>
        </w:rPr>
        <w:t xml:space="preserve">3.3 From individual insight to institutional capability</w:t>
      </w:r>
      <w:r w:rsidDel="00000000" w:rsidR="00000000" w:rsidRPr="00000000">
        <w:rPr>
          <w:rtl w:val="0"/>
        </w:rPr>
      </w:r>
    </w:p>
    <w:p w:rsidR="00000000" w:rsidDel="00000000" w:rsidP="00000000" w:rsidRDefault="00000000" w:rsidRPr="00000000" w14:paraId="0000003E">
      <w:pPr>
        <w:spacing w:after="160" w:line="360" w:lineRule="auto"/>
        <w:ind w:firstLine="475"/>
        <w:jc w:val="both"/>
        <w:rPr>
          <w:rFonts w:ascii="Tahoma" w:cs="Tahoma" w:eastAsia="Tahoma" w:hAnsi="Tahoma"/>
        </w:rPr>
      </w:pPr>
      <w:r w:rsidDel="00000000" w:rsidR="00000000" w:rsidRPr="00000000">
        <w:rPr>
          <w:rFonts w:ascii="Tahoma" w:cs="Tahoma" w:eastAsia="Tahoma" w:hAnsi="Tahoma"/>
          <w:sz w:val="24"/>
          <w:szCs w:val="24"/>
          <w:rtl w:val="0"/>
        </w:rPr>
        <w:t xml:space="preserve">A third foundation addresses how learning moves between levels of the organisation. Kim (1993) argues that the link between individual and organisational learning is mediated by shared mental models: individuals are the agents of learning, but learning only becomes organisational when insights are embedded in collective understandings and routines. Huber (1991) identifies the contributing processes of knowledge acquisition, information distribution, information interpretation and organisational memory. Crossan et al. (1999) integrate these insights in the 4I framework shown in Figure 2, which traces learning through four processes across three levels. Intuiting occurs at the individual level as experts recognise novel patterns; interpreting develops these insights through language and dialogue, first individually and then within groups; integrating creates shared understanding and coordinated action at group and organisational levels; and institutionalising embeds learning in the organisation's systems, structures, procedures and strategy. Crucially, the framework recognises both a feed-forward flow, through which new learning travels from individuals to the institution (exploration), and a feedback flow, through which institutionalised learning shapes what individuals attend to (exploitation) (Crossan et al., 1999).</w:t>
      </w:r>
      <w:r w:rsidDel="00000000" w:rsidR="00000000" w:rsidRPr="00000000">
        <w:rPr>
          <w:rtl w:val="0"/>
        </w:rPr>
      </w:r>
    </w:p>
    <w:p w:rsidR="00000000" w:rsidDel="00000000" w:rsidP="00000000" w:rsidRDefault="00000000" w:rsidRPr="00000000" w14:paraId="0000003F">
      <w:pPr>
        <w:spacing w:after="0" w:before="120" w:lineRule="auto"/>
        <w:jc w:val="center"/>
        <w:rPr>
          <w:rFonts w:ascii="Tahoma" w:cs="Tahoma" w:eastAsia="Tahoma" w:hAnsi="Tahoma"/>
        </w:rPr>
      </w:pPr>
      <w:r w:rsidDel="00000000" w:rsidR="00000000" w:rsidRPr="00000000">
        <w:rPr>
          <w:rFonts w:ascii="Tahoma" w:cs="Tahoma" w:eastAsia="Tahoma" w:hAnsi="Tahoma"/>
        </w:rPr>
        <w:drawing>
          <wp:inline distB="0" distT="0" distL="0" distR="0">
            <wp:extent cx="4572000" cy="2686050"/>
            <wp:effectExtent b="0" l="0" r="0" t="0"/>
            <wp:docPr id="4"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4572000" cy="2686050"/>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spacing w:after="240" w:before="80" w:lineRule="auto"/>
        <w:jc w:val="center"/>
        <w:rPr>
          <w:rFonts w:ascii="Tahoma" w:cs="Tahoma" w:eastAsia="Tahoma" w:hAnsi="Tahoma"/>
        </w:rPr>
      </w:pPr>
      <w:r w:rsidDel="00000000" w:rsidR="00000000" w:rsidRPr="00000000">
        <w:rPr>
          <w:rFonts w:ascii="Tahoma" w:cs="Tahoma" w:eastAsia="Tahoma" w:hAnsi="Tahoma"/>
          <w:b w:val="1"/>
          <w:bCs w:val="1"/>
          <w:sz w:val="20"/>
          <w:szCs w:val="20"/>
          <w:rtl w:val="0"/>
        </w:rPr>
        <w:t xml:space="preserve">Figure 2. </w:t>
      </w:r>
      <w:r w:rsidDel="00000000" w:rsidR="00000000" w:rsidRPr="00000000">
        <w:rPr>
          <w:rFonts w:ascii="Tahoma" w:cs="Tahoma" w:eastAsia="Tahoma" w:hAnsi="Tahoma"/>
          <w:sz w:val="20"/>
          <w:szCs w:val="20"/>
          <w:rtl w:val="0"/>
        </w:rPr>
        <w:t xml:space="preserve">The 4I framework of organisational learning (based on Crossan et al., 1999).</w:t>
      </w:r>
      <w:r w:rsidDel="00000000" w:rsidR="00000000" w:rsidRPr="00000000">
        <w:rPr>
          <w:rtl w:val="0"/>
        </w:rPr>
      </w:r>
    </w:p>
    <w:p w:rsidR="00000000" w:rsidDel="00000000" w:rsidP="00000000" w:rsidRDefault="00000000" w:rsidRPr="00000000" w14:paraId="00000041">
      <w:pPr>
        <w:spacing w:after="160" w:line="360" w:lineRule="auto"/>
        <w:ind w:firstLine="475"/>
        <w:jc w:val="both"/>
        <w:rPr>
          <w:rFonts w:ascii="Tahoma" w:cs="Tahoma" w:eastAsia="Tahoma" w:hAnsi="Tahoma"/>
        </w:rPr>
      </w:pPr>
      <w:r w:rsidDel="00000000" w:rsidR="00000000" w:rsidRPr="00000000">
        <w:rPr>
          <w:rFonts w:ascii="Tahoma" w:cs="Tahoma" w:eastAsia="Tahoma" w:hAnsi="Tahoma"/>
          <w:sz w:val="24"/>
          <w:szCs w:val="24"/>
          <w:rtl w:val="0"/>
        </w:rPr>
        <w:t xml:space="preserve">Complementary to this is the knowledge-creation theory of Nonaka (1994) and Nonaka and Takeuchi (1995), which explains how organisations amplify knowledge through the continuous conversion of tacit and explicit knowledge, moving from socialisation and externalisation to combination and internalisation. Kolb's (1984) experiential learning cycle supplies the micro-level engine: concrete experience, reflective observation, abstract conceptualisation and active experimentation. Together, these frameworks clarify that developing the learning organisation is fundamentally about building the social and structural conduits through which individual insight becomes collective capability, and ensuring the conduits run in both directions.</w:t>
      </w:r>
      <w:r w:rsidDel="00000000" w:rsidR="00000000" w:rsidRPr="00000000">
        <w:rPr>
          <w:rtl w:val="0"/>
        </w:rPr>
      </w:r>
    </w:p>
    <w:p w:rsidR="00000000" w:rsidDel="00000000" w:rsidP="00000000" w:rsidRDefault="00000000" w:rsidRPr="00000000" w14:paraId="00000042">
      <w:pPr>
        <w:pStyle w:val="Heading1"/>
        <w:spacing w:after="200" w:before="360" w:lineRule="auto"/>
        <w:rPr>
          <w:rFonts w:ascii="Tahoma" w:cs="Tahoma" w:eastAsia="Tahoma" w:hAnsi="Tahoma"/>
        </w:rPr>
      </w:pPr>
      <w:r w:rsidDel="00000000" w:rsidR="00000000" w:rsidRPr="00000000">
        <w:rPr>
          <w:rFonts w:ascii="Tahoma" w:cs="Tahoma" w:eastAsia="Tahoma" w:hAnsi="Tahoma"/>
          <w:b w:val="1"/>
          <w:bCs w:val="1"/>
          <w:sz w:val="32"/>
          <w:szCs w:val="32"/>
          <w:rtl w:val="0"/>
        </w:rPr>
        <w:t xml:space="preserve">4. The Strategic Case for Developing the Learning Organisation</w:t>
      </w:r>
      <w:r w:rsidDel="00000000" w:rsidR="00000000" w:rsidRPr="00000000">
        <w:rPr>
          <w:rtl w:val="0"/>
        </w:rPr>
      </w:r>
    </w:p>
    <w:p w:rsidR="00000000" w:rsidDel="00000000" w:rsidP="00000000" w:rsidRDefault="00000000" w:rsidRPr="00000000" w14:paraId="00000043">
      <w:pPr>
        <w:spacing w:after="160" w:line="360" w:lineRule="auto"/>
        <w:ind w:firstLine="475"/>
        <w:jc w:val="both"/>
        <w:rPr>
          <w:rFonts w:ascii="Tahoma" w:cs="Tahoma" w:eastAsia="Tahoma" w:hAnsi="Tahoma"/>
        </w:rPr>
      </w:pPr>
      <w:r w:rsidDel="00000000" w:rsidR="00000000" w:rsidRPr="00000000">
        <w:rPr>
          <w:rFonts w:ascii="Tahoma" w:cs="Tahoma" w:eastAsia="Tahoma" w:hAnsi="Tahoma"/>
          <w:sz w:val="24"/>
          <w:szCs w:val="24"/>
          <w:rtl w:val="0"/>
        </w:rPr>
        <w:t xml:space="preserve">The strategic argument for developing the learning organisation rests on the proposition that, in turbulent environments, the ability to learn and adapt constitutes a dynamic capability that competitors find difficult to imitate (Easterby-Smith and Lyles, 2011). Physical assets, technologies and even products can be replicated or purchased; the embedded capacity of an organisation's members to collectively generate, interpret and act on new knowledge cannot (Nonaka and Takeuchi, 1995). March (1991) demonstrates analytically that organisations balancing exploration and exploitation adapt more successfully over time, while Levitt and March (1988) show that experience only yields advantage when it is encoded in routines that survive staff turnover. From this perspective, developing the learning organisation is not a human resources nicety but a core strategic investment.</w:t>
      </w:r>
      <w:r w:rsidDel="00000000" w:rsidR="00000000" w:rsidRPr="00000000">
        <w:rPr>
          <w:rtl w:val="0"/>
        </w:rPr>
      </w:r>
    </w:p>
    <w:p w:rsidR="00000000" w:rsidDel="00000000" w:rsidP="00000000" w:rsidRDefault="00000000" w:rsidRPr="00000000" w14:paraId="00000044">
      <w:pPr>
        <w:spacing w:after="160" w:line="360" w:lineRule="auto"/>
        <w:ind w:firstLine="475"/>
        <w:jc w:val="both"/>
        <w:rPr>
          <w:rFonts w:ascii="Tahoma" w:cs="Tahoma" w:eastAsia="Tahoma" w:hAnsi="Tahoma"/>
        </w:rPr>
      </w:pPr>
      <w:r w:rsidDel="00000000" w:rsidR="00000000" w:rsidRPr="00000000">
        <w:rPr>
          <w:rFonts w:ascii="Tahoma" w:cs="Tahoma" w:eastAsia="Tahoma" w:hAnsi="Tahoma"/>
          <w:sz w:val="24"/>
          <w:szCs w:val="24"/>
          <w:rtl w:val="0"/>
        </w:rPr>
        <w:t xml:space="preserve">Empirical research offers qualified support. Studies using validated instruments report positive associations between learning organisation dimensions and outcomes such as innovation, job satisfaction, organisational commitment and financial performance (Marsick and Watkins, 2003; Yang et al., 2004). Chiva, Alegre and Lapiedra (2007) found that organisational learning capability was significantly related to product innovation performance. Edmondson's (1999) research on psychological safety demonstrates that teams in which members feel safe to take interpersonal risks learn more effectively and perform better, findings she extends to organisational-level innovation in later work (Edmondson, 2018). Garvin, Edmondson and Gino (2008) argue that organisations with strong learning cultures respond to unpredictability more deftly than their peers.</w:t>
      </w:r>
      <w:r w:rsidDel="00000000" w:rsidR="00000000" w:rsidRPr="00000000">
        <w:rPr>
          <w:rtl w:val="0"/>
        </w:rPr>
      </w:r>
    </w:p>
    <w:p w:rsidR="00000000" w:rsidDel="00000000" w:rsidP="00000000" w:rsidRDefault="00000000" w:rsidRPr="00000000" w14:paraId="00000045">
      <w:pPr>
        <w:spacing w:after="160" w:line="360" w:lineRule="auto"/>
        <w:ind w:firstLine="475"/>
        <w:jc w:val="both"/>
        <w:rPr>
          <w:rFonts w:ascii="Tahoma" w:cs="Tahoma" w:eastAsia="Tahoma" w:hAnsi="Tahoma"/>
        </w:rPr>
      </w:pPr>
      <w:r w:rsidDel="00000000" w:rsidR="00000000" w:rsidRPr="00000000">
        <w:rPr>
          <w:rFonts w:ascii="Tahoma" w:cs="Tahoma" w:eastAsia="Tahoma" w:hAnsi="Tahoma"/>
          <w:sz w:val="24"/>
          <w:szCs w:val="24"/>
          <w:rtl w:val="0"/>
        </w:rPr>
        <w:t xml:space="preserve">However, a critical reading must acknowledge the evidential limitations. Much of the research is cross-sectional and self-reported, making causal claims that learning organisation development </w:t>
      </w:r>
      <w:r w:rsidDel="00000000" w:rsidR="00000000" w:rsidRPr="00000000">
        <w:rPr>
          <w:rFonts w:ascii="Tahoma" w:cs="Tahoma" w:eastAsia="Tahoma" w:hAnsi="Tahoma"/>
          <w:i w:val="1"/>
          <w:iCs w:val="1"/>
          <w:sz w:val="24"/>
          <w:szCs w:val="24"/>
          <w:rtl w:val="0"/>
        </w:rPr>
        <w:t xml:space="preserve">causes</w:t>
      </w:r>
      <w:r w:rsidDel="00000000" w:rsidR="00000000" w:rsidRPr="00000000">
        <w:rPr>
          <w:rFonts w:ascii="Tahoma" w:cs="Tahoma" w:eastAsia="Tahoma" w:hAnsi="Tahoma"/>
          <w:sz w:val="24"/>
          <w:szCs w:val="24"/>
          <w:rtl w:val="0"/>
        </w:rPr>
        <w:t xml:space="preserve"> superior performance difficult to sustain (Sun and Scott, 2003). The direction of causality may run in reverse, with successful organisations enjoying the slack resources that make experimentation and reflection affordable. Furthermore, the performance payoff from learning is contingent on context: in stable, efficiency-driven environments, heavy investment in exploration may yield negative returns (March, 1991). The strategic case is therefore best framed probabilistically, as increasing adaptive capacity under conditions of uncertainty, rather than as a guaranteed route to superior results.</w:t>
      </w:r>
      <w:r w:rsidDel="00000000" w:rsidR="00000000" w:rsidRPr="00000000">
        <w:rPr>
          <w:rtl w:val="0"/>
        </w:rPr>
      </w:r>
    </w:p>
    <w:p w:rsidR="00000000" w:rsidDel="00000000" w:rsidP="00000000" w:rsidRDefault="00000000" w:rsidRPr="00000000" w14:paraId="00000046">
      <w:pPr>
        <w:spacing w:after="160" w:line="360" w:lineRule="auto"/>
        <w:ind w:firstLine="475"/>
        <w:jc w:val="both"/>
        <w:rPr>
          <w:rFonts w:ascii="Tahoma" w:cs="Tahoma" w:eastAsia="Tahoma" w:hAnsi="Tahoma"/>
        </w:rPr>
      </w:pPr>
      <w:r w:rsidDel="00000000" w:rsidR="00000000" w:rsidRPr="00000000">
        <w:rPr>
          <w:rFonts w:ascii="Tahoma" w:cs="Tahoma" w:eastAsia="Tahoma" w:hAnsi="Tahoma"/>
          <w:sz w:val="24"/>
          <w:szCs w:val="24"/>
          <w:rtl w:val="0"/>
        </w:rPr>
        <w:t xml:space="preserve">A further strand of the strategic case concerns human rather than purely competitive capital. Learning-oriented environments are associated with higher engagement, discretionary effort and retention, because employees experience growth, voice and meaning in their work (Watkins and Marsick, 1993; Yang et al., 2004). In labour markets where scarce knowledge workers can exercise choice, the reputation of being an organisation in which people learn becomes itself a recruiting and retention asset. There is also an ethical dimension worth noting: Pedler et al. (1997) frame the learning company partly as a response to the moral claim that work should develop rather than diminish the people who do it, a framing that resonates with contemporary debates about meaningful work, although critics caution that developmental rhetoric can also legitimate intensified demands for perpetual adaptability (Sun and Scott, 2003).</w:t>
      </w:r>
      <w:r w:rsidDel="00000000" w:rsidR="00000000" w:rsidRPr="00000000">
        <w:rPr>
          <w:rtl w:val="0"/>
        </w:rPr>
      </w:r>
    </w:p>
    <w:p w:rsidR="00000000" w:rsidDel="00000000" w:rsidP="00000000" w:rsidRDefault="00000000" w:rsidRPr="00000000" w14:paraId="00000047">
      <w:pPr>
        <w:pStyle w:val="Heading1"/>
        <w:spacing w:after="200" w:before="360" w:lineRule="auto"/>
        <w:rPr>
          <w:rFonts w:ascii="Tahoma" w:cs="Tahoma" w:eastAsia="Tahoma" w:hAnsi="Tahoma"/>
        </w:rPr>
      </w:pPr>
      <w:r w:rsidDel="00000000" w:rsidR="00000000" w:rsidRPr="00000000">
        <w:rPr>
          <w:rFonts w:ascii="Tahoma" w:cs="Tahoma" w:eastAsia="Tahoma" w:hAnsi="Tahoma"/>
          <w:b w:val="1"/>
          <w:bCs w:val="1"/>
          <w:sz w:val="32"/>
          <w:szCs w:val="32"/>
          <w:rtl w:val="0"/>
        </w:rPr>
        <w:t xml:space="preserve">5. Barriers and Critical Perspectives</w:t>
      </w:r>
      <w:r w:rsidDel="00000000" w:rsidR="00000000" w:rsidRPr="00000000">
        <w:rPr>
          <w:rtl w:val="0"/>
        </w:rPr>
      </w:r>
    </w:p>
    <w:p w:rsidR="00000000" w:rsidDel="00000000" w:rsidP="00000000" w:rsidRDefault="00000000" w:rsidRPr="00000000" w14:paraId="00000048">
      <w:pPr>
        <w:pStyle w:val="Heading2"/>
        <w:spacing w:after="160" w:before="280" w:lineRule="auto"/>
        <w:rPr>
          <w:rFonts w:ascii="Tahoma" w:cs="Tahoma" w:eastAsia="Tahoma" w:hAnsi="Tahoma"/>
        </w:rPr>
      </w:pPr>
      <w:r w:rsidDel="00000000" w:rsidR="00000000" w:rsidRPr="00000000">
        <w:rPr>
          <w:rFonts w:ascii="Tahoma" w:cs="Tahoma" w:eastAsia="Tahoma" w:hAnsi="Tahoma"/>
          <w:b w:val="1"/>
          <w:bCs w:val="1"/>
          <w:sz w:val="26"/>
          <w:szCs w:val="26"/>
          <w:rtl w:val="0"/>
        </w:rPr>
        <w:t xml:space="preserve">5.1 Conceptual ambiguity and the utopian critique</w:t>
      </w:r>
      <w:r w:rsidDel="00000000" w:rsidR="00000000" w:rsidRPr="00000000">
        <w:rPr>
          <w:rtl w:val="0"/>
        </w:rPr>
      </w:r>
    </w:p>
    <w:p w:rsidR="00000000" w:rsidDel="00000000" w:rsidP="00000000" w:rsidRDefault="00000000" w:rsidRPr="00000000" w14:paraId="00000049">
      <w:pPr>
        <w:spacing w:after="160" w:line="360" w:lineRule="auto"/>
        <w:ind w:firstLine="475"/>
        <w:jc w:val="both"/>
        <w:rPr>
          <w:rFonts w:ascii="Tahoma" w:cs="Tahoma" w:eastAsia="Tahoma" w:hAnsi="Tahoma"/>
        </w:rPr>
      </w:pPr>
      <w:r w:rsidDel="00000000" w:rsidR="00000000" w:rsidRPr="00000000">
        <w:rPr>
          <w:rFonts w:ascii="Tahoma" w:cs="Tahoma" w:eastAsia="Tahoma" w:hAnsi="Tahoma"/>
          <w:sz w:val="24"/>
          <w:szCs w:val="24"/>
          <w:rtl w:val="0"/>
        </w:rPr>
        <w:t xml:space="preserve">The first barrier is conceptual. Because the learning organisation is defined in so many ways, development efforts can lack a clear target: managers cannot reliably tell whether their organisation is, or is becoming, one (Örtenblad, 2001). Tsang (1997) notes that the prescriptive literature tends to describe the destination in glowing terms while neglecting the journey, and Sun and Scott (2003) argue that the concept is at risk of being unfalsifiable, since any failure can be attributed to imperfect implementation rather than to flaws in the model itself. Some commentators go further, characterising the learning organisation as a utopian or even quasi-religious vision whose very perfection ensures it is never attained, a critique that development practitioners must take seriously if their programmes are to be credible rather than evangelical (Easterby-Smith and Lyles, 2011). A defensible response is to treat the learning organisation as a directional ideal rather than an end-state, and to define progress in terms of measurable learning capability, as discussed below.</w:t>
      </w:r>
      <w:r w:rsidDel="00000000" w:rsidR="00000000" w:rsidRPr="00000000">
        <w:rPr>
          <w:rtl w:val="0"/>
        </w:rPr>
      </w:r>
    </w:p>
    <w:p w:rsidR="00000000" w:rsidDel="00000000" w:rsidP="00000000" w:rsidRDefault="00000000" w:rsidRPr="00000000" w14:paraId="0000004A">
      <w:pPr>
        <w:pStyle w:val="Heading2"/>
        <w:spacing w:after="160" w:before="280" w:lineRule="auto"/>
        <w:rPr>
          <w:rFonts w:ascii="Tahoma" w:cs="Tahoma" w:eastAsia="Tahoma" w:hAnsi="Tahoma"/>
        </w:rPr>
      </w:pPr>
      <w:r w:rsidDel="00000000" w:rsidR="00000000" w:rsidRPr="00000000">
        <w:rPr>
          <w:rFonts w:ascii="Tahoma" w:cs="Tahoma" w:eastAsia="Tahoma" w:hAnsi="Tahoma"/>
          <w:b w:val="1"/>
          <w:bCs w:val="1"/>
          <w:sz w:val="26"/>
          <w:szCs w:val="26"/>
          <w:rtl w:val="0"/>
        </w:rPr>
        <w:t xml:space="preserve">5.2 Power, politics and defensive routines</w:t>
      </w:r>
      <w:r w:rsidDel="00000000" w:rsidR="00000000" w:rsidRPr="00000000">
        <w:rPr>
          <w:rtl w:val="0"/>
        </w:rPr>
      </w:r>
    </w:p>
    <w:p w:rsidR="00000000" w:rsidDel="00000000" w:rsidP="00000000" w:rsidRDefault="00000000" w:rsidRPr="00000000" w14:paraId="0000004B">
      <w:pPr>
        <w:spacing w:after="160" w:line="360" w:lineRule="auto"/>
        <w:ind w:firstLine="475"/>
        <w:jc w:val="both"/>
        <w:rPr>
          <w:rFonts w:ascii="Tahoma" w:cs="Tahoma" w:eastAsia="Tahoma" w:hAnsi="Tahoma"/>
        </w:rPr>
      </w:pPr>
      <w:r w:rsidDel="00000000" w:rsidR="00000000" w:rsidRPr="00000000">
        <w:rPr>
          <w:rFonts w:ascii="Tahoma" w:cs="Tahoma" w:eastAsia="Tahoma" w:hAnsi="Tahoma"/>
          <w:sz w:val="24"/>
          <w:szCs w:val="24"/>
          <w:rtl w:val="0"/>
        </w:rPr>
        <w:t xml:space="preserve">A second, deeper barrier is political. The mainstream learning organisation literature has been widely criticised for assuming a harmonious, unitarist organisation in which everyone shares the vision and learning flows freely (Sun and Scott, 2003). Real organisations are political arenas in which knowledge is a source of power, and sharing it may threaten status, job security or career prospects. Argyris (1991) shows how defensive routines, unspoken rules that protect individuals and groups from embarrassment or threat, systematically block the disclosure of the very information that double-loop learning requires; because these routines are undiscussable, and their undiscussability is itself undiscussable, they are extraordinarily resistant to change. Edmondson (1999) demonstrates that in the absence of psychological safety, employees rationally choose silence over the interpersonal risk of admitting mistakes, asking for help or challenging authority. Edmondson (2018) extends this into a broader critique of 'fearful' organisations in which performance pressure suppresses voice. There is also a structural dimension: March's (1991) analysis implies that the organisational machinery of targets, budgets and efficiency metrics systematically rewards exploitation and penalises the short-term costs of exploration. Development strategies that ignore power, incentive systems and defensive routines will therefore tend to produce what Argyris and Schön (1978) call espoused theory, fine words about learning, while the theory-in-use remains unchanged.</w:t>
      </w:r>
      <w:r w:rsidDel="00000000" w:rsidR="00000000" w:rsidRPr="00000000">
        <w:rPr>
          <w:rtl w:val="0"/>
        </w:rPr>
      </w:r>
    </w:p>
    <w:p w:rsidR="00000000" w:rsidDel="00000000" w:rsidP="00000000" w:rsidRDefault="00000000" w:rsidRPr="00000000" w14:paraId="0000004C">
      <w:pPr>
        <w:pStyle w:val="Heading2"/>
        <w:spacing w:after="160" w:before="280" w:lineRule="auto"/>
        <w:rPr>
          <w:rFonts w:ascii="Tahoma" w:cs="Tahoma" w:eastAsia="Tahoma" w:hAnsi="Tahoma"/>
        </w:rPr>
      </w:pPr>
      <w:r w:rsidDel="00000000" w:rsidR="00000000" w:rsidRPr="00000000">
        <w:rPr>
          <w:rFonts w:ascii="Tahoma" w:cs="Tahoma" w:eastAsia="Tahoma" w:hAnsi="Tahoma"/>
          <w:b w:val="1"/>
          <w:bCs w:val="1"/>
          <w:sz w:val="26"/>
          <w:szCs w:val="26"/>
          <w:rtl w:val="0"/>
        </w:rPr>
        <w:t xml:space="preserve">5.3 The measurement problem</w:t>
      </w:r>
      <w:r w:rsidDel="00000000" w:rsidR="00000000" w:rsidRPr="00000000">
        <w:rPr>
          <w:rtl w:val="0"/>
        </w:rPr>
      </w:r>
    </w:p>
    <w:p w:rsidR="00000000" w:rsidDel="00000000" w:rsidP="00000000" w:rsidRDefault="00000000" w:rsidRPr="00000000" w14:paraId="0000004D">
      <w:pPr>
        <w:spacing w:after="160" w:line="360" w:lineRule="auto"/>
        <w:ind w:firstLine="475"/>
        <w:jc w:val="both"/>
        <w:rPr>
          <w:rFonts w:ascii="Tahoma" w:cs="Tahoma" w:eastAsia="Tahoma" w:hAnsi="Tahoma"/>
        </w:rPr>
      </w:pPr>
      <w:r w:rsidDel="00000000" w:rsidR="00000000" w:rsidRPr="00000000">
        <w:rPr>
          <w:rFonts w:ascii="Tahoma" w:cs="Tahoma" w:eastAsia="Tahoma" w:hAnsi="Tahoma"/>
          <w:sz w:val="24"/>
          <w:szCs w:val="24"/>
          <w:rtl w:val="0"/>
        </w:rPr>
        <w:t xml:space="preserve">Third, learning is difficult to measure, and what cannot be measured is difficult to manage or defend in budget negotiations (Garvin, 1993). Early conceptualisations offered little more than checklists of virtues. The development of validated instruments has improved matters considerably: the Dimensions of the Learning Organization Questionnaire (DLOQ), developed by Watkins and Marsick (1993) and validated by Yang, Watkins and Marsick (2004), measures seven dimensions of learning culture; Marsick and Watkins (2003) demonstrate how such measurement can link learning culture to performance outcomes; Garvin, Edmondson and Gino (2008) offer the Learning Organization Survey built on three building blocks; and Chiva et al. (2007) provide an alternative five-factor measure of organisational learning capability. Yet measurement carries its own risks. If learning scores become performance targets, they invite gaming and transform a developmental tool into a control technology, reproducing the compliance culture the learning organisation is meant to transcend (Garvin et al., 2008). The defensible position is to use measurement diagnostically, to stimulate honest conversation, rather than judgementally.</w:t>
      </w:r>
      <w:r w:rsidDel="00000000" w:rsidR="00000000" w:rsidRPr="00000000">
        <w:rPr>
          <w:rtl w:val="0"/>
        </w:rPr>
      </w:r>
    </w:p>
    <w:p w:rsidR="00000000" w:rsidDel="00000000" w:rsidP="00000000" w:rsidRDefault="00000000" w:rsidRPr="00000000" w14:paraId="0000004E">
      <w:pPr>
        <w:pStyle w:val="Heading1"/>
        <w:spacing w:after="200" w:before="360" w:lineRule="auto"/>
        <w:rPr>
          <w:rFonts w:ascii="Tahoma" w:cs="Tahoma" w:eastAsia="Tahoma" w:hAnsi="Tahoma"/>
        </w:rPr>
      </w:pPr>
      <w:r w:rsidDel="00000000" w:rsidR="00000000" w:rsidRPr="00000000">
        <w:rPr>
          <w:rFonts w:ascii="Tahoma" w:cs="Tahoma" w:eastAsia="Tahoma" w:hAnsi="Tahoma"/>
          <w:b w:val="1"/>
          <w:bCs w:val="1"/>
          <w:sz w:val="32"/>
          <w:szCs w:val="32"/>
          <w:rtl w:val="0"/>
        </w:rPr>
        <w:t xml:space="preserve">6. Strategies for Developing the Learning Organisation</w:t>
      </w:r>
      <w:r w:rsidDel="00000000" w:rsidR="00000000" w:rsidRPr="00000000">
        <w:rPr>
          <w:rtl w:val="0"/>
        </w:rPr>
      </w:r>
    </w:p>
    <w:p w:rsidR="00000000" w:rsidDel="00000000" w:rsidP="00000000" w:rsidRDefault="00000000" w:rsidRPr="00000000" w14:paraId="0000004F">
      <w:pPr>
        <w:spacing w:after="160" w:line="360" w:lineRule="auto"/>
        <w:ind w:firstLine="475"/>
        <w:jc w:val="both"/>
        <w:rPr>
          <w:rFonts w:ascii="Tahoma" w:cs="Tahoma" w:eastAsia="Tahoma" w:hAnsi="Tahoma"/>
        </w:rPr>
      </w:pPr>
      <w:r w:rsidDel="00000000" w:rsidR="00000000" w:rsidRPr="00000000">
        <w:rPr>
          <w:rFonts w:ascii="Tahoma" w:cs="Tahoma" w:eastAsia="Tahoma" w:hAnsi="Tahoma"/>
          <w:sz w:val="24"/>
          <w:szCs w:val="24"/>
          <w:rtl w:val="0"/>
        </w:rPr>
        <w:t xml:space="preserve">Drawing the theoretical and critical threads together, this section synthesises development strategies under three headings: leadership and culture; structure, process and human resource practice; and diagnosis and measurement. Table 1 summarises the shift in organisational characteristics that development seeks to achieve.</w:t>
      </w:r>
      <w:r w:rsidDel="00000000" w:rsidR="00000000" w:rsidRPr="00000000">
        <w:rPr>
          <w:rtl w:val="0"/>
        </w:rPr>
      </w:r>
    </w:p>
    <w:p w:rsidR="00000000" w:rsidDel="00000000" w:rsidP="00000000" w:rsidRDefault="00000000" w:rsidRPr="00000000" w14:paraId="00000050">
      <w:pPr>
        <w:spacing w:after="120" w:before="160" w:lineRule="auto"/>
        <w:rPr>
          <w:rFonts w:ascii="Tahoma" w:cs="Tahoma" w:eastAsia="Tahoma" w:hAnsi="Tahoma"/>
        </w:rPr>
      </w:pPr>
      <w:r w:rsidDel="00000000" w:rsidR="00000000" w:rsidRPr="00000000">
        <w:rPr>
          <w:rFonts w:ascii="Tahoma" w:cs="Tahoma" w:eastAsia="Tahoma" w:hAnsi="Tahoma"/>
          <w:b w:val="1"/>
          <w:bCs w:val="1"/>
          <w:sz w:val="20"/>
          <w:szCs w:val="20"/>
          <w:rtl w:val="0"/>
        </w:rPr>
        <w:t xml:space="preserve">Table 1. </w:t>
      </w:r>
      <w:r w:rsidDel="00000000" w:rsidR="00000000" w:rsidRPr="00000000">
        <w:rPr>
          <w:rFonts w:ascii="Tahoma" w:cs="Tahoma" w:eastAsia="Tahoma" w:hAnsi="Tahoma"/>
          <w:sz w:val="20"/>
          <w:szCs w:val="20"/>
          <w:rtl w:val="0"/>
        </w:rPr>
        <w:t xml:space="preserve">Contrasting the traditional organisation and the learning organisation (synthesised from Garvin, 1993; Pedler et al., 1997; Senge, 1990).</w:t>
      </w:r>
      <w:r w:rsidDel="00000000" w:rsidR="00000000" w:rsidRPr="00000000">
        <w:rPr>
          <w:rtl w:val="0"/>
        </w:rPr>
      </w:r>
    </w:p>
    <w:tbl>
      <w:tblPr>
        <w:tblStyle w:val="Table2"/>
        <w:tblW w:w="900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200"/>
        <w:gridCol w:w="3400"/>
        <w:gridCol w:w="3400"/>
        <w:tblGridChange w:id="0">
          <w:tblGrid>
            <w:gridCol w:w="2200"/>
            <w:gridCol w:w="3400"/>
            <w:gridCol w:w="3400"/>
          </w:tblGrid>
        </w:tblGridChange>
      </w:tblGrid>
      <w:tr>
        <w:trPr>
          <w:cantSplit w:val="0"/>
          <w:tblHeader w:val="1"/>
        </w:trPr>
        <w:tc>
          <w:tcPr>
            <w:tcBorders>
              <w:top w:color="9aaab5" w:space="0" w:sz="4" w:val="single"/>
              <w:left w:color="9aaab5" w:space="0" w:sz="4" w:val="single"/>
              <w:bottom w:color="9aaab5" w:space="0" w:sz="4" w:val="single"/>
              <w:right w:color="9aaab5" w:space="0" w:sz="4" w:val="single"/>
            </w:tcBorders>
            <w:shd w:fill="2e4a62" w:val="clear"/>
            <w:tcMar>
              <w:top w:w="100.0" w:type="dxa"/>
              <w:left w:w="120.0" w:type="dxa"/>
              <w:bottom w:w="100.0" w:type="dxa"/>
              <w:right w:w="120.0" w:type="dxa"/>
            </w:tcMar>
          </w:tcPr>
          <w:p w:rsidR="00000000" w:rsidDel="00000000" w:rsidP="00000000" w:rsidRDefault="00000000" w:rsidRPr="00000000" w14:paraId="00000051">
            <w:pPr>
              <w:spacing w:after="0" w:line="280" w:lineRule="auto"/>
              <w:rPr>
                <w:rFonts w:ascii="Tahoma" w:cs="Tahoma" w:eastAsia="Tahoma" w:hAnsi="Tahoma"/>
              </w:rPr>
            </w:pPr>
            <w:r w:rsidDel="00000000" w:rsidR="00000000" w:rsidRPr="00000000">
              <w:rPr>
                <w:rFonts w:ascii="Tahoma" w:cs="Tahoma" w:eastAsia="Tahoma" w:hAnsi="Tahoma"/>
                <w:b w:val="1"/>
                <w:bCs w:val="1"/>
                <w:color w:val="ffffff"/>
                <w:sz w:val="20"/>
                <w:szCs w:val="20"/>
                <w:rtl w:val="0"/>
              </w:rPr>
              <w:t xml:space="preserve">Dimension</w:t>
            </w:r>
            <w:r w:rsidDel="00000000" w:rsidR="00000000" w:rsidRPr="00000000">
              <w:rPr>
                <w:rtl w:val="0"/>
              </w:rPr>
            </w:r>
          </w:p>
        </w:tc>
        <w:tc>
          <w:tcPr>
            <w:tcBorders>
              <w:top w:color="9aaab5" w:space="0" w:sz="4" w:val="single"/>
              <w:left w:color="9aaab5" w:space="0" w:sz="4" w:val="single"/>
              <w:bottom w:color="9aaab5" w:space="0" w:sz="4" w:val="single"/>
              <w:right w:color="9aaab5" w:space="0" w:sz="4" w:val="single"/>
            </w:tcBorders>
            <w:shd w:fill="2e4a62" w:val="clear"/>
            <w:tcMar>
              <w:top w:w="100.0" w:type="dxa"/>
              <w:left w:w="120.0" w:type="dxa"/>
              <w:bottom w:w="100.0" w:type="dxa"/>
              <w:right w:w="120.0" w:type="dxa"/>
            </w:tcMar>
          </w:tcPr>
          <w:p w:rsidR="00000000" w:rsidDel="00000000" w:rsidP="00000000" w:rsidRDefault="00000000" w:rsidRPr="00000000" w14:paraId="00000052">
            <w:pPr>
              <w:spacing w:after="0" w:line="280" w:lineRule="auto"/>
              <w:rPr>
                <w:rFonts w:ascii="Tahoma" w:cs="Tahoma" w:eastAsia="Tahoma" w:hAnsi="Tahoma"/>
              </w:rPr>
            </w:pPr>
            <w:r w:rsidDel="00000000" w:rsidR="00000000" w:rsidRPr="00000000">
              <w:rPr>
                <w:rFonts w:ascii="Tahoma" w:cs="Tahoma" w:eastAsia="Tahoma" w:hAnsi="Tahoma"/>
                <w:b w:val="1"/>
                <w:bCs w:val="1"/>
                <w:color w:val="ffffff"/>
                <w:sz w:val="20"/>
                <w:szCs w:val="20"/>
                <w:rtl w:val="0"/>
              </w:rPr>
              <w:t xml:space="preserve">Traditional organisation</w:t>
            </w:r>
            <w:r w:rsidDel="00000000" w:rsidR="00000000" w:rsidRPr="00000000">
              <w:rPr>
                <w:rtl w:val="0"/>
              </w:rPr>
            </w:r>
          </w:p>
        </w:tc>
        <w:tc>
          <w:tcPr>
            <w:tcBorders>
              <w:top w:color="9aaab5" w:space="0" w:sz="4" w:val="single"/>
              <w:left w:color="9aaab5" w:space="0" w:sz="4" w:val="single"/>
              <w:bottom w:color="9aaab5" w:space="0" w:sz="4" w:val="single"/>
              <w:right w:color="9aaab5" w:space="0" w:sz="4" w:val="single"/>
            </w:tcBorders>
            <w:shd w:fill="2e4a62" w:val="clear"/>
            <w:tcMar>
              <w:top w:w="100.0" w:type="dxa"/>
              <w:left w:w="120.0" w:type="dxa"/>
              <w:bottom w:w="100.0" w:type="dxa"/>
              <w:right w:w="120.0" w:type="dxa"/>
            </w:tcMar>
          </w:tcPr>
          <w:p w:rsidR="00000000" w:rsidDel="00000000" w:rsidP="00000000" w:rsidRDefault="00000000" w:rsidRPr="00000000" w14:paraId="00000053">
            <w:pPr>
              <w:spacing w:after="0" w:line="280" w:lineRule="auto"/>
              <w:rPr>
                <w:rFonts w:ascii="Tahoma" w:cs="Tahoma" w:eastAsia="Tahoma" w:hAnsi="Tahoma"/>
              </w:rPr>
            </w:pPr>
            <w:r w:rsidDel="00000000" w:rsidR="00000000" w:rsidRPr="00000000">
              <w:rPr>
                <w:rFonts w:ascii="Tahoma" w:cs="Tahoma" w:eastAsia="Tahoma" w:hAnsi="Tahoma"/>
                <w:b w:val="1"/>
                <w:bCs w:val="1"/>
                <w:color w:val="ffffff"/>
                <w:sz w:val="20"/>
                <w:szCs w:val="20"/>
                <w:rtl w:val="0"/>
              </w:rPr>
              <w:t xml:space="preserve">Learning organisation</w:t>
            </w:r>
            <w:r w:rsidDel="00000000" w:rsidR="00000000" w:rsidRPr="00000000">
              <w:rPr>
                <w:rtl w:val="0"/>
              </w:rPr>
            </w:r>
          </w:p>
        </w:tc>
      </w:tr>
      <w:tr>
        <w:trPr>
          <w:cantSplit w:val="0"/>
          <w:tblHeader w:val="0"/>
        </w:trPr>
        <w:tc>
          <w:tcPr>
            <w:tcBorders>
              <w:top w:color="9aaab5" w:space="0" w:sz="4" w:val="single"/>
              <w:left w:color="9aaab5" w:space="0" w:sz="4" w:val="single"/>
              <w:bottom w:color="9aaab5" w:space="0" w:sz="4" w:val="single"/>
              <w:right w:color="9aaab5" w:space="0" w:sz="4" w:val="single"/>
            </w:tcBorders>
            <w:tcMar>
              <w:top w:w="100.0" w:type="dxa"/>
              <w:left w:w="120.0" w:type="dxa"/>
              <w:bottom w:w="100.0" w:type="dxa"/>
              <w:right w:w="120.0" w:type="dxa"/>
            </w:tcMar>
          </w:tcPr>
          <w:p w:rsidR="00000000" w:rsidDel="00000000" w:rsidP="00000000" w:rsidRDefault="00000000" w:rsidRPr="00000000" w14:paraId="00000054">
            <w:pPr>
              <w:spacing w:after="0" w:line="280" w:lineRule="auto"/>
              <w:rPr>
                <w:rFonts w:ascii="Tahoma" w:cs="Tahoma" w:eastAsia="Tahoma" w:hAnsi="Tahoma"/>
              </w:rPr>
            </w:pPr>
            <w:r w:rsidDel="00000000" w:rsidR="00000000" w:rsidRPr="00000000">
              <w:rPr>
                <w:rFonts w:ascii="Tahoma" w:cs="Tahoma" w:eastAsia="Tahoma" w:hAnsi="Tahoma"/>
                <w:sz w:val="20"/>
                <w:szCs w:val="20"/>
                <w:rtl w:val="0"/>
              </w:rPr>
              <w:t xml:space="preserve">Primary orientation</w:t>
            </w:r>
            <w:r w:rsidDel="00000000" w:rsidR="00000000" w:rsidRPr="00000000">
              <w:rPr>
                <w:rtl w:val="0"/>
              </w:rPr>
            </w:r>
          </w:p>
        </w:tc>
        <w:tc>
          <w:tcPr>
            <w:tcBorders>
              <w:top w:color="9aaab5" w:space="0" w:sz="4" w:val="single"/>
              <w:left w:color="9aaab5" w:space="0" w:sz="4" w:val="single"/>
              <w:bottom w:color="9aaab5" w:space="0" w:sz="4" w:val="single"/>
              <w:right w:color="9aaab5" w:space="0" w:sz="4" w:val="single"/>
            </w:tcBorders>
            <w:tcMar>
              <w:top w:w="100.0" w:type="dxa"/>
              <w:left w:w="120.0" w:type="dxa"/>
              <w:bottom w:w="100.0" w:type="dxa"/>
              <w:right w:w="120.0" w:type="dxa"/>
            </w:tcMar>
          </w:tcPr>
          <w:p w:rsidR="00000000" w:rsidDel="00000000" w:rsidP="00000000" w:rsidRDefault="00000000" w:rsidRPr="00000000" w14:paraId="00000055">
            <w:pPr>
              <w:spacing w:after="0" w:line="280" w:lineRule="auto"/>
              <w:rPr>
                <w:rFonts w:ascii="Tahoma" w:cs="Tahoma" w:eastAsia="Tahoma" w:hAnsi="Tahoma"/>
              </w:rPr>
            </w:pPr>
            <w:r w:rsidDel="00000000" w:rsidR="00000000" w:rsidRPr="00000000">
              <w:rPr>
                <w:rFonts w:ascii="Tahoma" w:cs="Tahoma" w:eastAsia="Tahoma" w:hAnsi="Tahoma"/>
                <w:sz w:val="20"/>
                <w:szCs w:val="20"/>
                <w:rtl w:val="0"/>
              </w:rPr>
              <w:t xml:space="preserve">Stability, control and efficiency</w:t>
            </w:r>
            <w:r w:rsidDel="00000000" w:rsidR="00000000" w:rsidRPr="00000000">
              <w:rPr>
                <w:rtl w:val="0"/>
              </w:rPr>
            </w:r>
          </w:p>
        </w:tc>
        <w:tc>
          <w:tcPr>
            <w:tcBorders>
              <w:top w:color="9aaab5" w:space="0" w:sz="4" w:val="single"/>
              <w:left w:color="9aaab5" w:space="0" w:sz="4" w:val="single"/>
              <w:bottom w:color="9aaab5" w:space="0" w:sz="4" w:val="single"/>
              <w:right w:color="9aaab5" w:space="0" w:sz="4" w:val="single"/>
            </w:tcBorders>
            <w:tcMar>
              <w:top w:w="100.0" w:type="dxa"/>
              <w:left w:w="120.0" w:type="dxa"/>
              <w:bottom w:w="100.0" w:type="dxa"/>
              <w:right w:w="120.0" w:type="dxa"/>
            </w:tcMar>
          </w:tcPr>
          <w:p w:rsidR="00000000" w:rsidDel="00000000" w:rsidP="00000000" w:rsidRDefault="00000000" w:rsidRPr="00000000" w14:paraId="00000056">
            <w:pPr>
              <w:spacing w:after="0" w:line="280" w:lineRule="auto"/>
              <w:rPr>
                <w:rFonts w:ascii="Tahoma" w:cs="Tahoma" w:eastAsia="Tahoma" w:hAnsi="Tahoma"/>
              </w:rPr>
            </w:pPr>
            <w:r w:rsidDel="00000000" w:rsidR="00000000" w:rsidRPr="00000000">
              <w:rPr>
                <w:rFonts w:ascii="Tahoma" w:cs="Tahoma" w:eastAsia="Tahoma" w:hAnsi="Tahoma"/>
                <w:sz w:val="20"/>
                <w:szCs w:val="20"/>
                <w:rtl w:val="0"/>
              </w:rPr>
              <w:t xml:space="preserve">Adaptability, learning and renewal</w:t>
            </w:r>
            <w:r w:rsidDel="00000000" w:rsidR="00000000" w:rsidRPr="00000000">
              <w:rPr>
                <w:rtl w:val="0"/>
              </w:rPr>
            </w:r>
          </w:p>
        </w:tc>
      </w:tr>
      <w:tr>
        <w:trPr>
          <w:cantSplit w:val="0"/>
          <w:tblHeader w:val="0"/>
        </w:trPr>
        <w:tc>
          <w:tcPr>
            <w:tcBorders>
              <w:top w:color="9aaab5" w:space="0" w:sz="4" w:val="single"/>
              <w:left w:color="9aaab5" w:space="0" w:sz="4" w:val="single"/>
              <w:bottom w:color="9aaab5" w:space="0" w:sz="4" w:val="single"/>
              <w:right w:color="9aaab5" w:space="0" w:sz="4" w:val="single"/>
            </w:tcBorders>
            <w:tcMar>
              <w:top w:w="100.0" w:type="dxa"/>
              <w:left w:w="120.0" w:type="dxa"/>
              <w:bottom w:w="100.0" w:type="dxa"/>
              <w:right w:w="120.0" w:type="dxa"/>
            </w:tcMar>
          </w:tcPr>
          <w:p w:rsidR="00000000" w:rsidDel="00000000" w:rsidP="00000000" w:rsidRDefault="00000000" w:rsidRPr="00000000" w14:paraId="00000057">
            <w:pPr>
              <w:spacing w:after="0" w:line="280" w:lineRule="auto"/>
              <w:rPr>
                <w:rFonts w:ascii="Tahoma" w:cs="Tahoma" w:eastAsia="Tahoma" w:hAnsi="Tahoma"/>
              </w:rPr>
            </w:pPr>
            <w:r w:rsidDel="00000000" w:rsidR="00000000" w:rsidRPr="00000000">
              <w:rPr>
                <w:rFonts w:ascii="Tahoma" w:cs="Tahoma" w:eastAsia="Tahoma" w:hAnsi="Tahoma"/>
                <w:sz w:val="20"/>
                <w:szCs w:val="20"/>
                <w:rtl w:val="0"/>
              </w:rPr>
              <w:t xml:space="preserve">Structure</w:t>
            </w:r>
            <w:r w:rsidDel="00000000" w:rsidR="00000000" w:rsidRPr="00000000">
              <w:rPr>
                <w:rtl w:val="0"/>
              </w:rPr>
            </w:r>
          </w:p>
        </w:tc>
        <w:tc>
          <w:tcPr>
            <w:tcBorders>
              <w:top w:color="9aaab5" w:space="0" w:sz="4" w:val="single"/>
              <w:left w:color="9aaab5" w:space="0" w:sz="4" w:val="single"/>
              <w:bottom w:color="9aaab5" w:space="0" w:sz="4" w:val="single"/>
              <w:right w:color="9aaab5" w:space="0" w:sz="4" w:val="single"/>
            </w:tcBorders>
            <w:tcMar>
              <w:top w:w="100.0" w:type="dxa"/>
              <w:left w:w="120.0" w:type="dxa"/>
              <w:bottom w:w="100.0" w:type="dxa"/>
              <w:right w:w="120.0" w:type="dxa"/>
            </w:tcMar>
          </w:tcPr>
          <w:p w:rsidR="00000000" w:rsidDel="00000000" w:rsidP="00000000" w:rsidRDefault="00000000" w:rsidRPr="00000000" w14:paraId="00000058">
            <w:pPr>
              <w:spacing w:after="0" w:line="280" w:lineRule="auto"/>
              <w:rPr>
                <w:rFonts w:ascii="Tahoma" w:cs="Tahoma" w:eastAsia="Tahoma" w:hAnsi="Tahoma"/>
              </w:rPr>
            </w:pPr>
            <w:r w:rsidDel="00000000" w:rsidR="00000000" w:rsidRPr="00000000">
              <w:rPr>
                <w:rFonts w:ascii="Tahoma" w:cs="Tahoma" w:eastAsia="Tahoma" w:hAnsi="Tahoma"/>
                <w:sz w:val="20"/>
                <w:szCs w:val="20"/>
                <w:rtl w:val="0"/>
              </w:rPr>
              <w:t xml:space="preserve">Tall hierarchy, rigid functional silos</w:t>
            </w:r>
            <w:r w:rsidDel="00000000" w:rsidR="00000000" w:rsidRPr="00000000">
              <w:rPr>
                <w:rtl w:val="0"/>
              </w:rPr>
            </w:r>
          </w:p>
        </w:tc>
        <w:tc>
          <w:tcPr>
            <w:tcBorders>
              <w:top w:color="9aaab5" w:space="0" w:sz="4" w:val="single"/>
              <w:left w:color="9aaab5" w:space="0" w:sz="4" w:val="single"/>
              <w:bottom w:color="9aaab5" w:space="0" w:sz="4" w:val="single"/>
              <w:right w:color="9aaab5" w:space="0" w:sz="4" w:val="single"/>
            </w:tcBorders>
            <w:tcMar>
              <w:top w:w="100.0" w:type="dxa"/>
              <w:left w:w="120.0" w:type="dxa"/>
              <w:bottom w:w="100.0" w:type="dxa"/>
              <w:right w:w="120.0" w:type="dxa"/>
            </w:tcMar>
          </w:tcPr>
          <w:p w:rsidR="00000000" w:rsidDel="00000000" w:rsidP="00000000" w:rsidRDefault="00000000" w:rsidRPr="00000000" w14:paraId="00000059">
            <w:pPr>
              <w:spacing w:after="0" w:line="280" w:lineRule="auto"/>
              <w:rPr>
                <w:rFonts w:ascii="Tahoma" w:cs="Tahoma" w:eastAsia="Tahoma" w:hAnsi="Tahoma"/>
              </w:rPr>
            </w:pPr>
            <w:r w:rsidDel="00000000" w:rsidR="00000000" w:rsidRPr="00000000">
              <w:rPr>
                <w:rFonts w:ascii="Tahoma" w:cs="Tahoma" w:eastAsia="Tahoma" w:hAnsi="Tahoma"/>
                <w:sz w:val="20"/>
                <w:szCs w:val="20"/>
                <w:rtl w:val="0"/>
              </w:rPr>
              <w:t xml:space="preserve">Flatter, networked, cross-functional teams</w:t>
            </w:r>
            <w:r w:rsidDel="00000000" w:rsidR="00000000" w:rsidRPr="00000000">
              <w:rPr>
                <w:rtl w:val="0"/>
              </w:rPr>
            </w:r>
          </w:p>
        </w:tc>
      </w:tr>
      <w:tr>
        <w:trPr>
          <w:cantSplit w:val="0"/>
          <w:tblHeader w:val="0"/>
        </w:trPr>
        <w:tc>
          <w:tcPr>
            <w:tcBorders>
              <w:top w:color="9aaab5" w:space="0" w:sz="4" w:val="single"/>
              <w:left w:color="9aaab5" w:space="0" w:sz="4" w:val="single"/>
              <w:bottom w:color="9aaab5" w:space="0" w:sz="4" w:val="single"/>
              <w:right w:color="9aaab5" w:space="0" w:sz="4" w:val="single"/>
            </w:tcBorders>
            <w:tcMar>
              <w:top w:w="100.0" w:type="dxa"/>
              <w:left w:w="120.0" w:type="dxa"/>
              <w:bottom w:w="100.0" w:type="dxa"/>
              <w:right w:w="120.0" w:type="dxa"/>
            </w:tcMar>
          </w:tcPr>
          <w:p w:rsidR="00000000" w:rsidDel="00000000" w:rsidP="00000000" w:rsidRDefault="00000000" w:rsidRPr="00000000" w14:paraId="0000005A">
            <w:pPr>
              <w:spacing w:after="0" w:line="280" w:lineRule="auto"/>
              <w:rPr>
                <w:rFonts w:ascii="Tahoma" w:cs="Tahoma" w:eastAsia="Tahoma" w:hAnsi="Tahoma"/>
              </w:rPr>
            </w:pPr>
            <w:r w:rsidDel="00000000" w:rsidR="00000000" w:rsidRPr="00000000">
              <w:rPr>
                <w:rFonts w:ascii="Tahoma" w:cs="Tahoma" w:eastAsia="Tahoma" w:hAnsi="Tahoma"/>
                <w:sz w:val="20"/>
                <w:szCs w:val="20"/>
                <w:rtl w:val="0"/>
              </w:rPr>
              <w:t xml:space="preserve">View of error</w:t>
            </w:r>
            <w:r w:rsidDel="00000000" w:rsidR="00000000" w:rsidRPr="00000000">
              <w:rPr>
                <w:rtl w:val="0"/>
              </w:rPr>
            </w:r>
          </w:p>
        </w:tc>
        <w:tc>
          <w:tcPr>
            <w:tcBorders>
              <w:top w:color="9aaab5" w:space="0" w:sz="4" w:val="single"/>
              <w:left w:color="9aaab5" w:space="0" w:sz="4" w:val="single"/>
              <w:bottom w:color="9aaab5" w:space="0" w:sz="4" w:val="single"/>
              <w:right w:color="9aaab5" w:space="0" w:sz="4" w:val="single"/>
            </w:tcBorders>
            <w:tcMar>
              <w:top w:w="100.0" w:type="dxa"/>
              <w:left w:w="120.0" w:type="dxa"/>
              <w:bottom w:w="100.0" w:type="dxa"/>
              <w:right w:w="120.0" w:type="dxa"/>
            </w:tcMar>
          </w:tcPr>
          <w:p w:rsidR="00000000" w:rsidDel="00000000" w:rsidP="00000000" w:rsidRDefault="00000000" w:rsidRPr="00000000" w14:paraId="0000005B">
            <w:pPr>
              <w:spacing w:after="0" w:line="280" w:lineRule="auto"/>
              <w:rPr>
                <w:rFonts w:ascii="Tahoma" w:cs="Tahoma" w:eastAsia="Tahoma" w:hAnsi="Tahoma"/>
              </w:rPr>
            </w:pPr>
            <w:r w:rsidDel="00000000" w:rsidR="00000000" w:rsidRPr="00000000">
              <w:rPr>
                <w:rFonts w:ascii="Tahoma" w:cs="Tahoma" w:eastAsia="Tahoma" w:hAnsi="Tahoma"/>
                <w:sz w:val="20"/>
                <w:szCs w:val="20"/>
                <w:rtl w:val="0"/>
              </w:rPr>
              <w:t xml:space="preserve">Error as failure; blame and concealment</w:t>
            </w:r>
            <w:r w:rsidDel="00000000" w:rsidR="00000000" w:rsidRPr="00000000">
              <w:rPr>
                <w:rtl w:val="0"/>
              </w:rPr>
            </w:r>
          </w:p>
        </w:tc>
        <w:tc>
          <w:tcPr>
            <w:tcBorders>
              <w:top w:color="9aaab5" w:space="0" w:sz="4" w:val="single"/>
              <w:left w:color="9aaab5" w:space="0" w:sz="4" w:val="single"/>
              <w:bottom w:color="9aaab5" w:space="0" w:sz="4" w:val="single"/>
              <w:right w:color="9aaab5" w:space="0" w:sz="4" w:val="single"/>
            </w:tcBorders>
            <w:tcMar>
              <w:top w:w="100.0" w:type="dxa"/>
              <w:left w:w="120.0" w:type="dxa"/>
              <w:bottom w:w="100.0" w:type="dxa"/>
              <w:right w:w="120.0" w:type="dxa"/>
            </w:tcMar>
          </w:tcPr>
          <w:p w:rsidR="00000000" w:rsidDel="00000000" w:rsidP="00000000" w:rsidRDefault="00000000" w:rsidRPr="00000000" w14:paraId="0000005C">
            <w:pPr>
              <w:spacing w:after="0" w:line="280" w:lineRule="auto"/>
              <w:rPr>
                <w:rFonts w:ascii="Tahoma" w:cs="Tahoma" w:eastAsia="Tahoma" w:hAnsi="Tahoma"/>
              </w:rPr>
            </w:pPr>
            <w:r w:rsidDel="00000000" w:rsidR="00000000" w:rsidRPr="00000000">
              <w:rPr>
                <w:rFonts w:ascii="Tahoma" w:cs="Tahoma" w:eastAsia="Tahoma" w:hAnsi="Tahoma"/>
                <w:sz w:val="20"/>
                <w:szCs w:val="20"/>
                <w:rtl w:val="0"/>
              </w:rPr>
              <w:t xml:space="preserve">Error as information; inquiry and psychological safety</w:t>
            </w:r>
            <w:r w:rsidDel="00000000" w:rsidR="00000000" w:rsidRPr="00000000">
              <w:rPr>
                <w:rtl w:val="0"/>
              </w:rPr>
            </w:r>
          </w:p>
        </w:tc>
      </w:tr>
      <w:tr>
        <w:trPr>
          <w:cantSplit w:val="0"/>
          <w:tblHeader w:val="0"/>
        </w:trPr>
        <w:tc>
          <w:tcPr>
            <w:tcBorders>
              <w:top w:color="9aaab5" w:space="0" w:sz="4" w:val="single"/>
              <w:left w:color="9aaab5" w:space="0" w:sz="4" w:val="single"/>
              <w:bottom w:color="9aaab5" w:space="0" w:sz="4" w:val="single"/>
              <w:right w:color="9aaab5" w:space="0" w:sz="4" w:val="single"/>
            </w:tcBorders>
            <w:tcMar>
              <w:top w:w="100.0" w:type="dxa"/>
              <w:left w:w="120.0" w:type="dxa"/>
              <w:bottom w:w="100.0" w:type="dxa"/>
              <w:right w:w="120.0" w:type="dxa"/>
            </w:tcMar>
          </w:tcPr>
          <w:p w:rsidR="00000000" w:rsidDel="00000000" w:rsidP="00000000" w:rsidRDefault="00000000" w:rsidRPr="00000000" w14:paraId="0000005D">
            <w:pPr>
              <w:spacing w:after="0" w:line="280" w:lineRule="auto"/>
              <w:rPr>
                <w:rFonts w:ascii="Tahoma" w:cs="Tahoma" w:eastAsia="Tahoma" w:hAnsi="Tahoma"/>
              </w:rPr>
            </w:pPr>
            <w:r w:rsidDel="00000000" w:rsidR="00000000" w:rsidRPr="00000000">
              <w:rPr>
                <w:rFonts w:ascii="Tahoma" w:cs="Tahoma" w:eastAsia="Tahoma" w:hAnsi="Tahoma"/>
                <w:sz w:val="20"/>
                <w:szCs w:val="20"/>
                <w:rtl w:val="0"/>
              </w:rPr>
              <w:t xml:space="preserve">Decision-making</w:t>
            </w:r>
            <w:r w:rsidDel="00000000" w:rsidR="00000000" w:rsidRPr="00000000">
              <w:rPr>
                <w:rtl w:val="0"/>
              </w:rPr>
            </w:r>
          </w:p>
        </w:tc>
        <w:tc>
          <w:tcPr>
            <w:tcBorders>
              <w:top w:color="9aaab5" w:space="0" w:sz="4" w:val="single"/>
              <w:left w:color="9aaab5" w:space="0" w:sz="4" w:val="single"/>
              <w:bottom w:color="9aaab5" w:space="0" w:sz="4" w:val="single"/>
              <w:right w:color="9aaab5" w:space="0" w:sz="4" w:val="single"/>
            </w:tcBorders>
            <w:tcMar>
              <w:top w:w="100.0" w:type="dxa"/>
              <w:left w:w="120.0" w:type="dxa"/>
              <w:bottom w:w="100.0" w:type="dxa"/>
              <w:right w:w="120.0" w:type="dxa"/>
            </w:tcMar>
          </w:tcPr>
          <w:p w:rsidR="00000000" w:rsidDel="00000000" w:rsidP="00000000" w:rsidRDefault="00000000" w:rsidRPr="00000000" w14:paraId="0000005E">
            <w:pPr>
              <w:spacing w:after="0" w:line="280" w:lineRule="auto"/>
              <w:rPr>
                <w:rFonts w:ascii="Tahoma" w:cs="Tahoma" w:eastAsia="Tahoma" w:hAnsi="Tahoma"/>
              </w:rPr>
            </w:pPr>
            <w:r w:rsidDel="00000000" w:rsidR="00000000" w:rsidRPr="00000000">
              <w:rPr>
                <w:rFonts w:ascii="Tahoma" w:cs="Tahoma" w:eastAsia="Tahoma" w:hAnsi="Tahoma"/>
                <w:sz w:val="20"/>
                <w:szCs w:val="20"/>
                <w:rtl w:val="0"/>
              </w:rPr>
              <w:t xml:space="preserve">Centralised at the top</w:t>
            </w:r>
            <w:r w:rsidDel="00000000" w:rsidR="00000000" w:rsidRPr="00000000">
              <w:rPr>
                <w:rtl w:val="0"/>
              </w:rPr>
            </w:r>
          </w:p>
        </w:tc>
        <w:tc>
          <w:tcPr>
            <w:tcBorders>
              <w:top w:color="9aaab5" w:space="0" w:sz="4" w:val="single"/>
              <w:left w:color="9aaab5" w:space="0" w:sz="4" w:val="single"/>
              <w:bottom w:color="9aaab5" w:space="0" w:sz="4" w:val="single"/>
              <w:right w:color="9aaab5" w:space="0" w:sz="4" w:val="single"/>
            </w:tcBorders>
            <w:tcMar>
              <w:top w:w="100.0" w:type="dxa"/>
              <w:left w:w="120.0" w:type="dxa"/>
              <w:bottom w:w="100.0" w:type="dxa"/>
              <w:right w:w="120.0" w:type="dxa"/>
            </w:tcMar>
          </w:tcPr>
          <w:p w:rsidR="00000000" w:rsidDel="00000000" w:rsidP="00000000" w:rsidRDefault="00000000" w:rsidRPr="00000000" w14:paraId="0000005F">
            <w:pPr>
              <w:spacing w:after="0" w:line="280" w:lineRule="auto"/>
              <w:rPr>
                <w:rFonts w:ascii="Tahoma" w:cs="Tahoma" w:eastAsia="Tahoma" w:hAnsi="Tahoma"/>
              </w:rPr>
            </w:pPr>
            <w:r w:rsidDel="00000000" w:rsidR="00000000" w:rsidRPr="00000000">
              <w:rPr>
                <w:rFonts w:ascii="Tahoma" w:cs="Tahoma" w:eastAsia="Tahoma" w:hAnsi="Tahoma"/>
                <w:sz w:val="20"/>
                <w:szCs w:val="20"/>
                <w:rtl w:val="0"/>
              </w:rPr>
              <w:t xml:space="preserve">Distributed to those with relevant knowledge</w:t>
            </w:r>
            <w:r w:rsidDel="00000000" w:rsidR="00000000" w:rsidRPr="00000000">
              <w:rPr>
                <w:rtl w:val="0"/>
              </w:rPr>
            </w:r>
          </w:p>
        </w:tc>
      </w:tr>
      <w:tr>
        <w:trPr>
          <w:cantSplit w:val="0"/>
          <w:tblHeader w:val="0"/>
        </w:trPr>
        <w:tc>
          <w:tcPr>
            <w:tcBorders>
              <w:top w:color="9aaab5" w:space="0" w:sz="4" w:val="single"/>
              <w:left w:color="9aaab5" w:space="0" w:sz="4" w:val="single"/>
              <w:bottom w:color="9aaab5" w:space="0" w:sz="4" w:val="single"/>
              <w:right w:color="9aaab5" w:space="0" w:sz="4" w:val="single"/>
            </w:tcBorders>
            <w:tcMar>
              <w:top w:w="100.0" w:type="dxa"/>
              <w:left w:w="120.0" w:type="dxa"/>
              <w:bottom w:w="100.0" w:type="dxa"/>
              <w:right w:w="120.0" w:type="dxa"/>
            </w:tcMar>
          </w:tcPr>
          <w:p w:rsidR="00000000" w:rsidDel="00000000" w:rsidP="00000000" w:rsidRDefault="00000000" w:rsidRPr="00000000" w14:paraId="00000060">
            <w:pPr>
              <w:spacing w:after="0" w:line="280" w:lineRule="auto"/>
              <w:rPr>
                <w:rFonts w:ascii="Tahoma" w:cs="Tahoma" w:eastAsia="Tahoma" w:hAnsi="Tahoma"/>
              </w:rPr>
            </w:pPr>
            <w:r w:rsidDel="00000000" w:rsidR="00000000" w:rsidRPr="00000000">
              <w:rPr>
                <w:rFonts w:ascii="Tahoma" w:cs="Tahoma" w:eastAsia="Tahoma" w:hAnsi="Tahoma"/>
                <w:sz w:val="20"/>
                <w:szCs w:val="20"/>
                <w:rtl w:val="0"/>
              </w:rPr>
              <w:t xml:space="preserve">Strategy</w:t>
            </w:r>
            <w:r w:rsidDel="00000000" w:rsidR="00000000" w:rsidRPr="00000000">
              <w:rPr>
                <w:rtl w:val="0"/>
              </w:rPr>
            </w:r>
          </w:p>
        </w:tc>
        <w:tc>
          <w:tcPr>
            <w:tcBorders>
              <w:top w:color="9aaab5" w:space="0" w:sz="4" w:val="single"/>
              <w:left w:color="9aaab5" w:space="0" w:sz="4" w:val="single"/>
              <w:bottom w:color="9aaab5" w:space="0" w:sz="4" w:val="single"/>
              <w:right w:color="9aaab5" w:space="0" w:sz="4" w:val="single"/>
            </w:tcBorders>
            <w:tcMar>
              <w:top w:w="100.0" w:type="dxa"/>
              <w:left w:w="120.0" w:type="dxa"/>
              <w:bottom w:w="100.0" w:type="dxa"/>
              <w:right w:w="120.0" w:type="dxa"/>
            </w:tcMar>
          </w:tcPr>
          <w:p w:rsidR="00000000" w:rsidDel="00000000" w:rsidP="00000000" w:rsidRDefault="00000000" w:rsidRPr="00000000" w14:paraId="00000061">
            <w:pPr>
              <w:spacing w:after="0" w:line="280" w:lineRule="auto"/>
              <w:rPr>
                <w:rFonts w:ascii="Tahoma" w:cs="Tahoma" w:eastAsia="Tahoma" w:hAnsi="Tahoma"/>
              </w:rPr>
            </w:pPr>
            <w:r w:rsidDel="00000000" w:rsidR="00000000" w:rsidRPr="00000000">
              <w:rPr>
                <w:rFonts w:ascii="Tahoma" w:cs="Tahoma" w:eastAsia="Tahoma" w:hAnsi="Tahoma"/>
                <w:sz w:val="20"/>
                <w:szCs w:val="20"/>
                <w:rtl w:val="0"/>
              </w:rPr>
              <w:t xml:space="preserve">Formulated by senior management</w:t>
            </w:r>
            <w:r w:rsidDel="00000000" w:rsidR="00000000" w:rsidRPr="00000000">
              <w:rPr>
                <w:rtl w:val="0"/>
              </w:rPr>
            </w:r>
          </w:p>
        </w:tc>
        <w:tc>
          <w:tcPr>
            <w:tcBorders>
              <w:top w:color="9aaab5" w:space="0" w:sz="4" w:val="single"/>
              <w:left w:color="9aaab5" w:space="0" w:sz="4" w:val="single"/>
              <w:bottom w:color="9aaab5" w:space="0" w:sz="4" w:val="single"/>
              <w:right w:color="9aaab5" w:space="0" w:sz="4" w:val="single"/>
            </w:tcBorders>
            <w:tcMar>
              <w:top w:w="100.0" w:type="dxa"/>
              <w:left w:w="120.0" w:type="dxa"/>
              <w:bottom w:w="100.0" w:type="dxa"/>
              <w:right w:w="120.0" w:type="dxa"/>
            </w:tcMar>
          </w:tcPr>
          <w:p w:rsidR="00000000" w:rsidDel="00000000" w:rsidP="00000000" w:rsidRDefault="00000000" w:rsidRPr="00000000" w14:paraId="00000062">
            <w:pPr>
              <w:spacing w:after="0" w:line="280" w:lineRule="auto"/>
              <w:rPr>
                <w:rFonts w:ascii="Tahoma" w:cs="Tahoma" w:eastAsia="Tahoma" w:hAnsi="Tahoma"/>
              </w:rPr>
            </w:pPr>
            <w:r w:rsidDel="00000000" w:rsidR="00000000" w:rsidRPr="00000000">
              <w:rPr>
                <w:rFonts w:ascii="Tahoma" w:cs="Tahoma" w:eastAsia="Tahoma" w:hAnsi="Tahoma"/>
                <w:sz w:val="20"/>
                <w:szCs w:val="20"/>
                <w:rtl w:val="0"/>
              </w:rPr>
              <w:t xml:space="preserve">Emergent, informed by learning across levels</w:t>
            </w:r>
            <w:r w:rsidDel="00000000" w:rsidR="00000000" w:rsidRPr="00000000">
              <w:rPr>
                <w:rtl w:val="0"/>
              </w:rPr>
            </w:r>
          </w:p>
        </w:tc>
      </w:tr>
      <w:tr>
        <w:trPr>
          <w:cantSplit w:val="0"/>
          <w:tblHeader w:val="0"/>
        </w:trPr>
        <w:tc>
          <w:tcPr>
            <w:tcBorders>
              <w:top w:color="9aaab5" w:space="0" w:sz="4" w:val="single"/>
              <w:left w:color="9aaab5" w:space="0" w:sz="4" w:val="single"/>
              <w:bottom w:color="9aaab5" w:space="0" w:sz="4" w:val="single"/>
              <w:right w:color="9aaab5" w:space="0" w:sz="4" w:val="single"/>
            </w:tcBorders>
            <w:tcMar>
              <w:top w:w="100.0" w:type="dxa"/>
              <w:left w:w="120.0" w:type="dxa"/>
              <w:bottom w:w="100.0" w:type="dxa"/>
              <w:right w:w="120.0" w:type="dxa"/>
            </w:tcMar>
          </w:tcPr>
          <w:p w:rsidR="00000000" w:rsidDel="00000000" w:rsidP="00000000" w:rsidRDefault="00000000" w:rsidRPr="00000000" w14:paraId="00000063">
            <w:pPr>
              <w:spacing w:after="0" w:line="280" w:lineRule="auto"/>
              <w:rPr>
                <w:rFonts w:ascii="Tahoma" w:cs="Tahoma" w:eastAsia="Tahoma" w:hAnsi="Tahoma"/>
              </w:rPr>
            </w:pPr>
            <w:r w:rsidDel="00000000" w:rsidR="00000000" w:rsidRPr="00000000">
              <w:rPr>
                <w:rFonts w:ascii="Tahoma" w:cs="Tahoma" w:eastAsia="Tahoma" w:hAnsi="Tahoma"/>
                <w:sz w:val="20"/>
                <w:szCs w:val="20"/>
                <w:rtl w:val="0"/>
              </w:rPr>
              <w:t xml:space="preserve">Learning</w:t>
            </w:r>
            <w:r w:rsidDel="00000000" w:rsidR="00000000" w:rsidRPr="00000000">
              <w:rPr>
                <w:rtl w:val="0"/>
              </w:rPr>
            </w:r>
          </w:p>
        </w:tc>
        <w:tc>
          <w:tcPr>
            <w:tcBorders>
              <w:top w:color="9aaab5" w:space="0" w:sz="4" w:val="single"/>
              <w:left w:color="9aaab5" w:space="0" w:sz="4" w:val="single"/>
              <w:bottom w:color="9aaab5" w:space="0" w:sz="4" w:val="single"/>
              <w:right w:color="9aaab5" w:space="0" w:sz="4" w:val="single"/>
            </w:tcBorders>
            <w:tcMar>
              <w:top w:w="100.0" w:type="dxa"/>
              <w:left w:w="120.0" w:type="dxa"/>
              <w:bottom w:w="100.0" w:type="dxa"/>
              <w:right w:w="120.0" w:type="dxa"/>
            </w:tcMar>
          </w:tcPr>
          <w:p w:rsidR="00000000" w:rsidDel="00000000" w:rsidP="00000000" w:rsidRDefault="00000000" w:rsidRPr="00000000" w14:paraId="00000064">
            <w:pPr>
              <w:spacing w:after="0" w:line="280" w:lineRule="auto"/>
              <w:rPr>
                <w:rFonts w:ascii="Tahoma" w:cs="Tahoma" w:eastAsia="Tahoma" w:hAnsi="Tahoma"/>
              </w:rPr>
            </w:pPr>
            <w:r w:rsidDel="00000000" w:rsidR="00000000" w:rsidRPr="00000000">
              <w:rPr>
                <w:rFonts w:ascii="Tahoma" w:cs="Tahoma" w:eastAsia="Tahoma" w:hAnsi="Tahoma"/>
                <w:sz w:val="20"/>
                <w:szCs w:val="20"/>
                <w:rtl w:val="0"/>
              </w:rPr>
              <w:t xml:space="preserve">Periodic, formal, training-led</w:t>
            </w:r>
            <w:r w:rsidDel="00000000" w:rsidR="00000000" w:rsidRPr="00000000">
              <w:rPr>
                <w:rtl w:val="0"/>
              </w:rPr>
            </w:r>
          </w:p>
        </w:tc>
        <w:tc>
          <w:tcPr>
            <w:tcBorders>
              <w:top w:color="9aaab5" w:space="0" w:sz="4" w:val="single"/>
              <w:left w:color="9aaab5" w:space="0" w:sz="4" w:val="single"/>
              <w:bottom w:color="9aaab5" w:space="0" w:sz="4" w:val="single"/>
              <w:right w:color="9aaab5" w:space="0" w:sz="4" w:val="single"/>
            </w:tcBorders>
            <w:tcMar>
              <w:top w:w="100.0" w:type="dxa"/>
              <w:left w:w="120.0" w:type="dxa"/>
              <w:bottom w:w="100.0" w:type="dxa"/>
              <w:right w:w="120.0" w:type="dxa"/>
            </w:tcMar>
          </w:tcPr>
          <w:p w:rsidR="00000000" w:rsidDel="00000000" w:rsidP="00000000" w:rsidRDefault="00000000" w:rsidRPr="00000000" w14:paraId="00000065">
            <w:pPr>
              <w:spacing w:after="0" w:line="280" w:lineRule="auto"/>
              <w:rPr>
                <w:rFonts w:ascii="Tahoma" w:cs="Tahoma" w:eastAsia="Tahoma" w:hAnsi="Tahoma"/>
              </w:rPr>
            </w:pPr>
            <w:r w:rsidDel="00000000" w:rsidR="00000000" w:rsidRPr="00000000">
              <w:rPr>
                <w:rFonts w:ascii="Tahoma" w:cs="Tahoma" w:eastAsia="Tahoma" w:hAnsi="Tahoma"/>
                <w:sz w:val="20"/>
                <w:szCs w:val="20"/>
                <w:rtl w:val="0"/>
              </w:rPr>
              <w:t xml:space="preserve">Continuous, work-integrated, multi-level</w:t>
            </w:r>
            <w:r w:rsidDel="00000000" w:rsidR="00000000" w:rsidRPr="00000000">
              <w:rPr>
                <w:rtl w:val="0"/>
              </w:rPr>
            </w:r>
          </w:p>
        </w:tc>
      </w:tr>
      <w:tr>
        <w:trPr>
          <w:cantSplit w:val="0"/>
          <w:tblHeader w:val="0"/>
        </w:trPr>
        <w:tc>
          <w:tcPr>
            <w:tcBorders>
              <w:top w:color="9aaab5" w:space="0" w:sz="4" w:val="single"/>
              <w:left w:color="9aaab5" w:space="0" w:sz="4" w:val="single"/>
              <w:bottom w:color="9aaab5" w:space="0" w:sz="4" w:val="single"/>
              <w:right w:color="9aaab5" w:space="0" w:sz="4" w:val="single"/>
            </w:tcBorders>
            <w:tcMar>
              <w:top w:w="100.0" w:type="dxa"/>
              <w:left w:w="120.0" w:type="dxa"/>
              <w:bottom w:w="100.0" w:type="dxa"/>
              <w:right w:w="120.0" w:type="dxa"/>
            </w:tcMar>
          </w:tcPr>
          <w:p w:rsidR="00000000" w:rsidDel="00000000" w:rsidP="00000000" w:rsidRDefault="00000000" w:rsidRPr="00000000" w14:paraId="00000066">
            <w:pPr>
              <w:spacing w:after="0" w:line="280" w:lineRule="auto"/>
              <w:rPr>
                <w:rFonts w:ascii="Tahoma" w:cs="Tahoma" w:eastAsia="Tahoma" w:hAnsi="Tahoma"/>
              </w:rPr>
            </w:pPr>
            <w:r w:rsidDel="00000000" w:rsidR="00000000" w:rsidRPr="00000000">
              <w:rPr>
                <w:rFonts w:ascii="Tahoma" w:cs="Tahoma" w:eastAsia="Tahoma" w:hAnsi="Tahoma"/>
                <w:sz w:val="20"/>
                <w:szCs w:val="20"/>
                <w:rtl w:val="0"/>
              </w:rPr>
              <w:t xml:space="preserve">Knowledge</w:t>
            </w:r>
            <w:r w:rsidDel="00000000" w:rsidR="00000000" w:rsidRPr="00000000">
              <w:rPr>
                <w:rtl w:val="0"/>
              </w:rPr>
            </w:r>
          </w:p>
        </w:tc>
        <w:tc>
          <w:tcPr>
            <w:tcBorders>
              <w:top w:color="9aaab5" w:space="0" w:sz="4" w:val="single"/>
              <w:left w:color="9aaab5" w:space="0" w:sz="4" w:val="single"/>
              <w:bottom w:color="9aaab5" w:space="0" w:sz="4" w:val="single"/>
              <w:right w:color="9aaab5" w:space="0" w:sz="4" w:val="single"/>
            </w:tcBorders>
            <w:tcMar>
              <w:top w:w="100.0" w:type="dxa"/>
              <w:left w:w="120.0" w:type="dxa"/>
              <w:bottom w:w="100.0" w:type="dxa"/>
              <w:right w:w="120.0" w:type="dxa"/>
            </w:tcMar>
          </w:tcPr>
          <w:p w:rsidR="00000000" w:rsidDel="00000000" w:rsidP="00000000" w:rsidRDefault="00000000" w:rsidRPr="00000000" w14:paraId="00000067">
            <w:pPr>
              <w:spacing w:after="0" w:line="280" w:lineRule="auto"/>
              <w:rPr>
                <w:rFonts w:ascii="Tahoma" w:cs="Tahoma" w:eastAsia="Tahoma" w:hAnsi="Tahoma"/>
              </w:rPr>
            </w:pPr>
            <w:r w:rsidDel="00000000" w:rsidR="00000000" w:rsidRPr="00000000">
              <w:rPr>
                <w:rFonts w:ascii="Tahoma" w:cs="Tahoma" w:eastAsia="Tahoma" w:hAnsi="Tahoma"/>
                <w:sz w:val="20"/>
                <w:szCs w:val="20"/>
                <w:rtl w:val="0"/>
              </w:rPr>
              <w:t xml:space="preserve">Hoarded as individual power</w:t>
            </w:r>
            <w:r w:rsidDel="00000000" w:rsidR="00000000" w:rsidRPr="00000000">
              <w:rPr>
                <w:rtl w:val="0"/>
              </w:rPr>
            </w:r>
          </w:p>
        </w:tc>
        <w:tc>
          <w:tcPr>
            <w:tcBorders>
              <w:top w:color="9aaab5" w:space="0" w:sz="4" w:val="single"/>
              <w:left w:color="9aaab5" w:space="0" w:sz="4" w:val="single"/>
              <w:bottom w:color="9aaab5" w:space="0" w:sz="4" w:val="single"/>
              <w:right w:color="9aaab5" w:space="0" w:sz="4" w:val="single"/>
            </w:tcBorders>
            <w:tcMar>
              <w:top w:w="100.0" w:type="dxa"/>
              <w:left w:w="120.0" w:type="dxa"/>
              <w:bottom w:w="100.0" w:type="dxa"/>
              <w:right w:w="120.0" w:type="dxa"/>
            </w:tcMar>
          </w:tcPr>
          <w:p w:rsidR="00000000" w:rsidDel="00000000" w:rsidP="00000000" w:rsidRDefault="00000000" w:rsidRPr="00000000" w14:paraId="00000068">
            <w:pPr>
              <w:spacing w:after="0" w:line="280" w:lineRule="auto"/>
              <w:rPr>
                <w:rFonts w:ascii="Tahoma" w:cs="Tahoma" w:eastAsia="Tahoma" w:hAnsi="Tahoma"/>
              </w:rPr>
            </w:pPr>
            <w:r w:rsidDel="00000000" w:rsidR="00000000" w:rsidRPr="00000000">
              <w:rPr>
                <w:rFonts w:ascii="Tahoma" w:cs="Tahoma" w:eastAsia="Tahoma" w:hAnsi="Tahoma"/>
                <w:sz w:val="20"/>
                <w:szCs w:val="20"/>
                <w:rtl w:val="0"/>
              </w:rPr>
              <w:t xml:space="preserve">Shared and institutionalised in systems and routines</w:t>
            </w:r>
            <w:r w:rsidDel="00000000" w:rsidR="00000000" w:rsidRPr="00000000">
              <w:rPr>
                <w:rtl w:val="0"/>
              </w:rPr>
            </w:r>
          </w:p>
        </w:tc>
      </w:tr>
    </w:tbl>
    <w:p w:rsidR="00000000" w:rsidDel="00000000" w:rsidP="00000000" w:rsidRDefault="00000000" w:rsidRPr="00000000" w14:paraId="00000069">
      <w:pPr>
        <w:spacing w:after="160" w:lineRule="auto"/>
        <w:rPr>
          <w:rFonts w:ascii="Tahoma" w:cs="Tahoma" w:eastAsia="Tahoma" w:hAnsi="Tahoma"/>
        </w:rPr>
      </w:pPr>
      <w:r w:rsidDel="00000000" w:rsidR="00000000" w:rsidRPr="00000000">
        <w:rPr>
          <w:rtl w:val="0"/>
        </w:rPr>
      </w:r>
    </w:p>
    <w:p w:rsidR="00000000" w:rsidDel="00000000" w:rsidP="00000000" w:rsidRDefault="00000000" w:rsidRPr="00000000" w14:paraId="0000006A">
      <w:pPr>
        <w:pStyle w:val="Heading2"/>
        <w:spacing w:after="160" w:before="280" w:lineRule="auto"/>
        <w:rPr>
          <w:rFonts w:ascii="Tahoma" w:cs="Tahoma" w:eastAsia="Tahoma" w:hAnsi="Tahoma"/>
        </w:rPr>
      </w:pPr>
      <w:r w:rsidDel="00000000" w:rsidR="00000000" w:rsidRPr="00000000">
        <w:rPr>
          <w:rFonts w:ascii="Tahoma" w:cs="Tahoma" w:eastAsia="Tahoma" w:hAnsi="Tahoma"/>
          <w:b w:val="1"/>
          <w:bCs w:val="1"/>
          <w:sz w:val="26"/>
          <w:szCs w:val="26"/>
          <w:rtl w:val="0"/>
        </w:rPr>
        <w:t xml:space="preserve">6.1 Leadership and culture</w:t>
      </w:r>
      <w:r w:rsidDel="00000000" w:rsidR="00000000" w:rsidRPr="00000000">
        <w:rPr>
          <w:rtl w:val="0"/>
        </w:rPr>
      </w:r>
    </w:p>
    <w:p w:rsidR="00000000" w:rsidDel="00000000" w:rsidP="00000000" w:rsidRDefault="00000000" w:rsidRPr="00000000" w14:paraId="0000006B">
      <w:pPr>
        <w:spacing w:after="160" w:line="360" w:lineRule="auto"/>
        <w:ind w:firstLine="475"/>
        <w:jc w:val="both"/>
        <w:rPr>
          <w:rFonts w:ascii="Tahoma" w:cs="Tahoma" w:eastAsia="Tahoma" w:hAnsi="Tahoma"/>
        </w:rPr>
      </w:pPr>
      <w:r w:rsidDel="00000000" w:rsidR="00000000" w:rsidRPr="00000000">
        <w:rPr>
          <w:rFonts w:ascii="Tahoma" w:cs="Tahoma" w:eastAsia="Tahoma" w:hAnsi="Tahoma"/>
          <w:sz w:val="24"/>
          <w:szCs w:val="24"/>
          <w:rtl w:val="0"/>
        </w:rPr>
        <w:t xml:space="preserve">Leadership is the fulcrum of development. Schein (2010) argues that organisational culture is, to a considerable extent, the accumulated residue of what leaders have paid attention to, rewarded and modelled; consequently, cultures that punish error and reward deference cannot be reformed without changes in leader behaviour. Senge (1990) recasts the leader's role from hero and decision-maker to designer, steward and teacher: leaders design the governing ideas and learning infrastructure, steward the shared vision, and help members see the systemic forces shaping their situation. Garvin et al. (2008) find that leadership which reinforces learning, by inviting input, listening actively and being willing to entertain alternative viewpoints, is one of three essential building blocks of the learning organisation. Practically, this means leaders must model fallibility by acknowledging their own errors, since doing so signals that inquiry is genuinely safe (Edmondson, 2018). Cultural development also involves cultivating shared vision through genuine participation rather than cascading communications, because commitment, unlike compliance, cannot be commanded (Senge, 1990).</w:t>
      </w:r>
      <w:r w:rsidDel="00000000" w:rsidR="00000000" w:rsidRPr="00000000">
        <w:rPr>
          <w:rtl w:val="0"/>
        </w:rPr>
      </w:r>
    </w:p>
    <w:p w:rsidR="00000000" w:rsidDel="00000000" w:rsidP="00000000" w:rsidRDefault="00000000" w:rsidRPr="00000000" w14:paraId="0000006C">
      <w:pPr>
        <w:pStyle w:val="Heading2"/>
        <w:spacing w:after="160" w:before="280" w:lineRule="auto"/>
        <w:rPr>
          <w:rFonts w:ascii="Tahoma" w:cs="Tahoma" w:eastAsia="Tahoma" w:hAnsi="Tahoma"/>
        </w:rPr>
      </w:pPr>
      <w:r w:rsidDel="00000000" w:rsidR="00000000" w:rsidRPr="00000000">
        <w:rPr>
          <w:rFonts w:ascii="Tahoma" w:cs="Tahoma" w:eastAsia="Tahoma" w:hAnsi="Tahoma"/>
          <w:b w:val="1"/>
          <w:bCs w:val="1"/>
          <w:sz w:val="26"/>
          <w:szCs w:val="26"/>
          <w:rtl w:val="0"/>
        </w:rPr>
        <w:t xml:space="preserve">6.2 Structure, process and human resource practice</w:t>
      </w:r>
      <w:r w:rsidDel="00000000" w:rsidR="00000000" w:rsidRPr="00000000">
        <w:rPr>
          <w:rtl w:val="0"/>
        </w:rPr>
      </w:r>
    </w:p>
    <w:p w:rsidR="00000000" w:rsidDel="00000000" w:rsidP="00000000" w:rsidRDefault="00000000" w:rsidRPr="00000000" w14:paraId="0000006D">
      <w:pPr>
        <w:spacing w:after="160" w:line="360" w:lineRule="auto"/>
        <w:ind w:firstLine="475"/>
        <w:jc w:val="both"/>
        <w:rPr>
          <w:rFonts w:ascii="Tahoma" w:cs="Tahoma" w:eastAsia="Tahoma" w:hAnsi="Tahoma"/>
        </w:rPr>
      </w:pPr>
      <w:r w:rsidDel="00000000" w:rsidR="00000000" w:rsidRPr="00000000">
        <w:rPr>
          <w:rFonts w:ascii="Tahoma" w:cs="Tahoma" w:eastAsia="Tahoma" w:hAnsi="Tahoma"/>
          <w:sz w:val="24"/>
          <w:szCs w:val="24"/>
          <w:rtl w:val="0"/>
        </w:rPr>
        <w:t xml:space="preserve">Structural and process interventions translate cultural aspiration into daily reality. Development strategies documented in the literature include: flattening hierarchies and creating cross-functional project teams so that knowledge crosses departmental boundaries (Pedler et al., 1997); institutionalising experimentation through pilot projects, simulations and disciplined trial-and-error (Garvin, 1993); embedding reflective practices such as after-action reviews, post-project retrospectives and benchmarking, which convert experience into codified learning (Garvin, 1993; Kolb, 1984); and building knowledge management systems that distribute and preserve what has been learned, addressing Huber's (1991) processes of information distribution and organisational memory. Human resource systems must be aligned: recruitment and selection should value learning agility; appraisal and reward should recognise knowledge sharing, mentoring and intelligent risk-taking rather than only short-term output; and career structures should avoid penalising those whose experiments fail honourably (Watkins and Marsick, 1993). Watkins and Marsick (1993) summarise these levers as action imperatives operating at individual, team, organisational and societal levels, a useful reminder that development must proceed at all levels simultaneously if the feed-forward processes of Figure 2 are to function. Critically, interventions must be coherent: exhorting experimentation while retaining a zero-error appraisal system merely manufactures the defensive routines that Argyris (1991) describes.</w:t>
      </w:r>
      <w:r w:rsidDel="00000000" w:rsidR="00000000" w:rsidRPr="00000000">
        <w:rPr>
          <w:rtl w:val="0"/>
        </w:rPr>
      </w:r>
    </w:p>
    <w:p w:rsidR="00000000" w:rsidDel="00000000" w:rsidP="00000000" w:rsidRDefault="00000000" w:rsidRPr="00000000" w14:paraId="0000006E">
      <w:pPr>
        <w:pStyle w:val="Heading2"/>
        <w:spacing w:after="160" w:before="280" w:lineRule="auto"/>
        <w:rPr>
          <w:rFonts w:ascii="Tahoma" w:cs="Tahoma" w:eastAsia="Tahoma" w:hAnsi="Tahoma"/>
        </w:rPr>
      </w:pPr>
      <w:r w:rsidDel="00000000" w:rsidR="00000000" w:rsidRPr="00000000">
        <w:rPr>
          <w:rFonts w:ascii="Tahoma" w:cs="Tahoma" w:eastAsia="Tahoma" w:hAnsi="Tahoma"/>
          <w:b w:val="1"/>
          <w:bCs w:val="1"/>
          <w:sz w:val="26"/>
          <w:szCs w:val="26"/>
          <w:rtl w:val="0"/>
        </w:rPr>
        <w:t xml:space="preserve">6.3 Diagnosis, measurement and iterative development</w:t>
      </w:r>
      <w:r w:rsidDel="00000000" w:rsidR="00000000" w:rsidRPr="00000000">
        <w:rPr>
          <w:rtl w:val="0"/>
        </w:rPr>
      </w:r>
    </w:p>
    <w:p w:rsidR="00000000" w:rsidDel="00000000" w:rsidP="00000000" w:rsidRDefault="00000000" w:rsidRPr="00000000" w14:paraId="0000006F">
      <w:pPr>
        <w:spacing w:after="160" w:line="360" w:lineRule="auto"/>
        <w:ind w:firstLine="475"/>
        <w:jc w:val="both"/>
        <w:rPr>
          <w:rFonts w:ascii="Tahoma" w:cs="Tahoma" w:eastAsia="Tahoma" w:hAnsi="Tahoma"/>
        </w:rPr>
      </w:pPr>
      <w:r w:rsidDel="00000000" w:rsidR="00000000" w:rsidRPr="00000000">
        <w:rPr>
          <w:rFonts w:ascii="Tahoma" w:cs="Tahoma" w:eastAsia="Tahoma" w:hAnsi="Tahoma"/>
          <w:sz w:val="24"/>
          <w:szCs w:val="24"/>
          <w:rtl w:val="0"/>
        </w:rPr>
        <w:t xml:space="preserve">Finally, development should be managed as an iterative, evidence-informed cycle rather than a one-off programme. A baseline diagnosis using a validated instrument such as the DLOQ (Yang et al., 2004) or the Learning Organization Survey (Garvin et al., 2008) identifies specific weaknesses, for example, low psychological safety in particular units or weak mechanisms for knowledge transfer, allowing interventions to be targeted rather than generic. Follow-up measurement tracks progress and, equally important, tests the assumptions underlying the development strategy itself, an application of double-loop learning to the development process (Argyris and Schön, 1978). As Garvin et al. (2008) emphasise, the instruments are best used to provoke comparative dialogue across units and levels, not to compile league tables. This iterative stance also answers the utopian critique: progress is defined as demonstrable movement on concrete dimensions of learning capability, not arrival at an idealised destination (Örtenblad, 2001).</w:t>
      </w:r>
      <w:r w:rsidDel="00000000" w:rsidR="00000000" w:rsidRPr="00000000">
        <w:rPr>
          <w:rtl w:val="0"/>
        </w:rPr>
      </w:r>
    </w:p>
    <w:p w:rsidR="00000000" w:rsidDel="00000000" w:rsidP="00000000" w:rsidRDefault="00000000" w:rsidRPr="00000000" w14:paraId="00000070">
      <w:pPr>
        <w:pStyle w:val="Heading1"/>
        <w:spacing w:after="200" w:before="360" w:lineRule="auto"/>
        <w:rPr>
          <w:rFonts w:ascii="Tahoma" w:cs="Tahoma" w:eastAsia="Tahoma" w:hAnsi="Tahoma"/>
        </w:rPr>
      </w:pPr>
      <w:r w:rsidDel="00000000" w:rsidR="00000000" w:rsidRPr="00000000">
        <w:rPr>
          <w:rFonts w:ascii="Tahoma" w:cs="Tahoma" w:eastAsia="Tahoma" w:hAnsi="Tahoma"/>
          <w:b w:val="1"/>
          <w:bCs w:val="1"/>
          <w:sz w:val="32"/>
          <w:szCs w:val="32"/>
          <w:rtl w:val="0"/>
        </w:rPr>
        <w:t xml:space="preserve">7. An Illustrative Application</w:t>
      </w:r>
      <w:r w:rsidDel="00000000" w:rsidR="00000000" w:rsidRPr="00000000">
        <w:rPr>
          <w:rtl w:val="0"/>
        </w:rPr>
      </w:r>
    </w:p>
    <w:p w:rsidR="00000000" w:rsidDel="00000000" w:rsidP="00000000" w:rsidRDefault="00000000" w:rsidRPr="00000000" w14:paraId="00000071">
      <w:pPr>
        <w:spacing w:after="160" w:line="360" w:lineRule="auto"/>
        <w:ind w:firstLine="475"/>
        <w:jc w:val="both"/>
        <w:rPr>
          <w:rFonts w:ascii="Tahoma" w:cs="Tahoma" w:eastAsia="Tahoma" w:hAnsi="Tahoma"/>
        </w:rPr>
      </w:pPr>
      <w:r w:rsidDel="00000000" w:rsidR="00000000" w:rsidRPr="00000000">
        <w:rPr>
          <w:rFonts w:ascii="Tahoma" w:cs="Tahoma" w:eastAsia="Tahoma" w:hAnsi="Tahoma"/>
          <w:sz w:val="24"/>
          <w:szCs w:val="24"/>
          <w:rtl w:val="0"/>
        </w:rPr>
        <w:t xml:space="preserve">To make the strategies concrete, consider an illustrative mid-sized professional services firm of around 400 staff facing client attrition as larger competitors adopt data-driven service models. A baseline DLOQ diagnosis reveals strong individual learning (continuous learning scores highly) but weak inquiry and dialogue, low empowerment, and poor systems for capturing learning, a profile typical of organisations where expertise is individually hoarded (Yang et al., 2004). Guided by the analysis above, the firm might pursue a sequenced development plan. First, leadership development: partners are coached to run genuinely open engagement reviews, to publicise their own mistakes, and to invite challenge, directly targeting psychological safety (Edmondson, 1999, 2018). Second, process redesign: every client engagement ends with a structured after-action review whose findings are logged in a searchable knowledge repository, converting individual insight into organisational memory in line with Huber (1991) and the 4I feed-forward flow (Crossan et al., 1999). Third, structural change: cross-practice client teams replace rigid departmental staffing, and a modest experimentation fund allows small-scale pilots of new service offerings, addressing March's (1991) exploration deficit. Fourth, HR alignment: partnership criteria are revised to reward mentoring and knowledge contribution alongside billable hours, removing the incentive to hoard expertise (Watkins and Marsick, 1993). Fifth, iterative review: the DLOQ is re-administered after eighteen months, and the results are debated openly across levels, as Garvin et al. (2008) recommend. The illustration underlines the assignment's central argument: none of these interventions is individually novel, but their developmental power lies in their coherence and in the willingness to surface and correct the defensive routines that will inevitably resist them (Argyris, 1991).</w:t>
      </w:r>
      <w:r w:rsidDel="00000000" w:rsidR="00000000" w:rsidRPr="00000000">
        <w:rPr>
          <w:rtl w:val="0"/>
        </w:rPr>
      </w:r>
    </w:p>
    <w:p w:rsidR="00000000" w:rsidDel="00000000" w:rsidP="00000000" w:rsidRDefault="00000000" w:rsidRPr="00000000" w14:paraId="00000072">
      <w:pPr>
        <w:pStyle w:val="Heading1"/>
        <w:spacing w:after="200" w:before="360" w:lineRule="auto"/>
        <w:rPr>
          <w:rFonts w:ascii="Tahoma" w:cs="Tahoma" w:eastAsia="Tahoma" w:hAnsi="Tahoma"/>
          <w:b w:val="1"/>
          <w:bCs w:val="1"/>
        </w:rPr>
      </w:pPr>
      <w:r w:rsidDel="00000000" w:rsidR="00000000" w:rsidRPr="00000000">
        <w:rPr>
          <w:rtl w:val="0"/>
        </w:rPr>
      </w:r>
    </w:p>
    <w:p w:rsidR="00000000" w:rsidDel="00000000" w:rsidP="00000000" w:rsidRDefault="00000000" w:rsidRPr="00000000" w14:paraId="00000073">
      <w:pPr>
        <w:pStyle w:val="Heading1"/>
        <w:spacing w:after="200" w:before="360" w:lineRule="auto"/>
        <w:rPr>
          <w:rFonts w:ascii="Tahoma" w:cs="Tahoma" w:eastAsia="Tahoma" w:hAnsi="Tahoma"/>
          <w:b w:val="1"/>
          <w:bCs w:val="1"/>
        </w:rPr>
      </w:pPr>
      <w:r w:rsidDel="00000000" w:rsidR="00000000" w:rsidRPr="00000000">
        <w:rPr>
          <w:rtl w:val="0"/>
        </w:rPr>
      </w:r>
    </w:p>
    <w:p w:rsidR="00000000" w:rsidDel="00000000" w:rsidP="00000000" w:rsidRDefault="00000000" w:rsidRPr="00000000" w14:paraId="00000074">
      <w:pPr>
        <w:pStyle w:val="Heading1"/>
        <w:spacing w:after="200" w:before="360" w:lineRule="auto"/>
        <w:rPr>
          <w:rFonts w:ascii="Tahoma" w:cs="Tahoma" w:eastAsia="Tahoma" w:hAnsi="Tahoma"/>
          <w:b w:val="1"/>
          <w:bCs w:val="1"/>
        </w:rPr>
      </w:pPr>
      <w:r w:rsidDel="00000000" w:rsidR="00000000" w:rsidRPr="00000000">
        <w:rPr>
          <w:rtl w:val="0"/>
        </w:rPr>
      </w:r>
    </w:p>
    <w:p w:rsidR="00000000" w:rsidDel="00000000" w:rsidP="00000000" w:rsidRDefault="00000000" w:rsidRPr="00000000" w14:paraId="00000075">
      <w:pPr>
        <w:pStyle w:val="Heading1"/>
        <w:spacing w:after="200" w:before="360" w:lineRule="auto"/>
        <w:rPr>
          <w:rFonts w:ascii="Tahoma" w:cs="Tahoma" w:eastAsia="Tahoma" w:hAnsi="Tahoma"/>
        </w:rPr>
      </w:pPr>
      <w:r w:rsidDel="00000000" w:rsidR="00000000" w:rsidRPr="00000000">
        <w:rPr>
          <w:rFonts w:ascii="Tahoma" w:cs="Tahoma" w:eastAsia="Tahoma" w:hAnsi="Tahoma"/>
          <w:b w:val="1"/>
          <w:bCs w:val="1"/>
          <w:sz w:val="32"/>
          <w:szCs w:val="32"/>
          <w:rtl w:val="0"/>
        </w:rPr>
        <w:t xml:space="preserve">8. Conclusion</w:t>
      </w:r>
      <w:r w:rsidDel="00000000" w:rsidR="00000000" w:rsidRPr="00000000">
        <w:rPr>
          <w:rtl w:val="0"/>
        </w:rPr>
      </w:r>
    </w:p>
    <w:p w:rsidR="00000000" w:rsidDel="00000000" w:rsidP="00000000" w:rsidRDefault="00000000" w:rsidRPr="00000000" w14:paraId="00000076">
      <w:pPr>
        <w:spacing w:after="160" w:line="360" w:lineRule="auto"/>
        <w:ind w:firstLine="475"/>
        <w:jc w:val="both"/>
        <w:rPr>
          <w:rFonts w:ascii="Tahoma" w:cs="Tahoma" w:eastAsia="Tahoma" w:hAnsi="Tahoma"/>
        </w:rPr>
      </w:pPr>
      <w:r w:rsidDel="00000000" w:rsidR="00000000" w:rsidRPr="00000000">
        <w:rPr>
          <w:rFonts w:ascii="Tahoma" w:cs="Tahoma" w:eastAsia="Tahoma" w:hAnsi="Tahoma"/>
          <w:sz w:val="24"/>
          <w:szCs w:val="24"/>
          <w:rtl w:val="0"/>
        </w:rPr>
        <w:t xml:space="preserve">This assignment has argued that developing the learning organisation is neither the simple implementation of a prescriptive checklist nor the pursuit of an unattainable utopia, but a demanding, ongoing programme of aligning leadership behaviour, culture, structure, human resource systems and measurement around the organisation's capacity to learn. The theoretical foundations reviewed, Senge's (1990) five disciplines, Argyris and Schön's (1978) loops of learning, and the multi-level frameworks of Kim (1993), Crossan et al. (1999) and Nonaka and Takeuchi (1995), supply complementary vocabularies and mechanisms, while the critical literature (Sun and Scott, 2003; Tsang, 1997) rightly insists that development must reckon with power, politics, defensive routines and measurement pitfalls. The strategic case is real but contingent: learning capability buys adaptability under uncertainty, not guaranteed performance. For practitioners, the implication is that development should be diagnostic, coherent and iterative, treating the learning organisation as a directional ideal against which progress can be honestly assessed. For scholars, the persistent divide between descriptive and prescriptive research (Örtenblad, 2001) remains the field's most consequential unfinished business. Ultimately, the organisations most likely to thrive are not those that claim to have become learning organisations, but those that have institutionalised the habit of continually becoming one.</w:t>
      </w:r>
      <w:r w:rsidDel="00000000" w:rsidR="00000000" w:rsidRPr="00000000">
        <w:rPr>
          <w:rtl w:val="0"/>
        </w:rPr>
      </w:r>
    </w:p>
    <w:p w:rsidR="00000000" w:rsidDel="00000000" w:rsidP="00000000" w:rsidRDefault="00000000" w:rsidRPr="00000000" w14:paraId="00000077">
      <w:pPr>
        <w:pStyle w:val="Heading1"/>
        <w:pageBreakBefore w:val="1"/>
        <w:spacing w:after="200" w:before="360" w:lineRule="auto"/>
        <w:rPr>
          <w:rFonts w:ascii="Tahoma" w:cs="Tahoma" w:eastAsia="Tahoma" w:hAnsi="Tahoma"/>
        </w:rPr>
      </w:pPr>
      <w:r w:rsidDel="00000000" w:rsidR="00000000" w:rsidRPr="00000000">
        <w:rPr>
          <w:rFonts w:ascii="Tahoma" w:cs="Tahoma" w:eastAsia="Tahoma" w:hAnsi="Tahoma"/>
          <w:b w:val="1"/>
          <w:bCs w:val="1"/>
          <w:sz w:val="32"/>
          <w:szCs w:val="32"/>
          <w:rtl w:val="0"/>
        </w:rPr>
        <w:t xml:space="preserve">References</w:t>
      </w:r>
      <w:r w:rsidDel="00000000" w:rsidR="00000000" w:rsidRPr="00000000">
        <w:rPr>
          <w:rtl w:val="0"/>
        </w:rPr>
      </w:r>
    </w:p>
    <w:p w:rsidR="00000000" w:rsidDel="00000000" w:rsidP="00000000" w:rsidRDefault="00000000" w:rsidRPr="00000000" w14:paraId="00000078">
      <w:pPr>
        <w:spacing w:after="200" w:line="360" w:lineRule="auto"/>
        <w:ind w:left="720" w:hanging="720"/>
        <w:rPr>
          <w:rFonts w:ascii="Tahoma" w:cs="Tahoma" w:eastAsia="Tahoma" w:hAnsi="Tahoma"/>
        </w:rPr>
      </w:pPr>
      <w:r w:rsidDel="00000000" w:rsidR="00000000" w:rsidRPr="00000000">
        <w:rPr>
          <w:rFonts w:ascii="Tahoma" w:cs="Tahoma" w:eastAsia="Tahoma" w:hAnsi="Tahoma"/>
          <w:sz w:val="24"/>
          <w:szCs w:val="24"/>
          <w:rtl w:val="0"/>
        </w:rPr>
        <w:t xml:space="preserve">Argyris, C. (1991). Teaching smart people how to learn. </w:t>
      </w:r>
      <w:r w:rsidDel="00000000" w:rsidR="00000000" w:rsidRPr="00000000">
        <w:rPr>
          <w:rFonts w:ascii="Tahoma" w:cs="Tahoma" w:eastAsia="Tahoma" w:hAnsi="Tahoma"/>
          <w:i w:val="1"/>
          <w:iCs w:val="1"/>
          <w:sz w:val="24"/>
          <w:szCs w:val="24"/>
          <w:rtl w:val="0"/>
        </w:rPr>
        <w:t xml:space="preserve">Harvard Business Review, 69</w:t>
      </w:r>
      <w:r w:rsidDel="00000000" w:rsidR="00000000" w:rsidRPr="00000000">
        <w:rPr>
          <w:rFonts w:ascii="Tahoma" w:cs="Tahoma" w:eastAsia="Tahoma" w:hAnsi="Tahoma"/>
          <w:sz w:val="24"/>
          <w:szCs w:val="24"/>
          <w:rtl w:val="0"/>
        </w:rPr>
        <w:t xml:space="preserve">(3), 99–109.</w:t>
      </w:r>
      <w:r w:rsidDel="00000000" w:rsidR="00000000" w:rsidRPr="00000000">
        <w:rPr>
          <w:rtl w:val="0"/>
        </w:rPr>
      </w:r>
    </w:p>
    <w:p w:rsidR="00000000" w:rsidDel="00000000" w:rsidP="00000000" w:rsidRDefault="00000000" w:rsidRPr="00000000" w14:paraId="00000079">
      <w:pPr>
        <w:spacing w:after="200" w:line="360" w:lineRule="auto"/>
        <w:ind w:left="720" w:hanging="720"/>
        <w:rPr>
          <w:rFonts w:ascii="Tahoma" w:cs="Tahoma" w:eastAsia="Tahoma" w:hAnsi="Tahoma"/>
        </w:rPr>
      </w:pPr>
      <w:r w:rsidDel="00000000" w:rsidR="00000000" w:rsidRPr="00000000">
        <w:rPr>
          <w:rFonts w:ascii="Tahoma" w:cs="Tahoma" w:eastAsia="Tahoma" w:hAnsi="Tahoma"/>
          <w:sz w:val="24"/>
          <w:szCs w:val="24"/>
          <w:rtl w:val="0"/>
        </w:rPr>
        <w:t xml:space="preserve">Argyris, C., &amp; Schön, D. A. (1978). </w:t>
      </w:r>
      <w:r w:rsidDel="00000000" w:rsidR="00000000" w:rsidRPr="00000000">
        <w:rPr>
          <w:rFonts w:ascii="Tahoma" w:cs="Tahoma" w:eastAsia="Tahoma" w:hAnsi="Tahoma"/>
          <w:i w:val="1"/>
          <w:iCs w:val="1"/>
          <w:sz w:val="24"/>
          <w:szCs w:val="24"/>
          <w:rtl w:val="0"/>
        </w:rPr>
        <w:t xml:space="preserve">Organizational learning: A theory of action perspective</w:t>
      </w:r>
      <w:r w:rsidDel="00000000" w:rsidR="00000000" w:rsidRPr="00000000">
        <w:rPr>
          <w:rFonts w:ascii="Tahoma" w:cs="Tahoma" w:eastAsia="Tahoma" w:hAnsi="Tahoma"/>
          <w:sz w:val="24"/>
          <w:szCs w:val="24"/>
          <w:rtl w:val="0"/>
        </w:rPr>
        <w:t xml:space="preserve">. Addison-Wesley.</w:t>
      </w:r>
      <w:r w:rsidDel="00000000" w:rsidR="00000000" w:rsidRPr="00000000">
        <w:rPr>
          <w:rtl w:val="0"/>
        </w:rPr>
      </w:r>
    </w:p>
    <w:p w:rsidR="00000000" w:rsidDel="00000000" w:rsidP="00000000" w:rsidRDefault="00000000" w:rsidRPr="00000000" w14:paraId="0000007A">
      <w:pPr>
        <w:spacing w:after="200" w:line="360" w:lineRule="auto"/>
        <w:ind w:left="720" w:hanging="720"/>
        <w:rPr>
          <w:rFonts w:ascii="Tahoma" w:cs="Tahoma" w:eastAsia="Tahoma" w:hAnsi="Tahoma"/>
        </w:rPr>
      </w:pPr>
      <w:r w:rsidDel="00000000" w:rsidR="00000000" w:rsidRPr="00000000">
        <w:rPr>
          <w:rFonts w:ascii="Tahoma" w:cs="Tahoma" w:eastAsia="Tahoma" w:hAnsi="Tahoma"/>
          <w:sz w:val="24"/>
          <w:szCs w:val="24"/>
          <w:rtl w:val="0"/>
        </w:rPr>
        <w:t xml:space="preserve">Chiva, R., Alegre, J., &amp; Lapiedra, R. (2007). Measuring organisational learning capability among the workforce. </w:t>
      </w:r>
      <w:r w:rsidDel="00000000" w:rsidR="00000000" w:rsidRPr="00000000">
        <w:rPr>
          <w:rFonts w:ascii="Tahoma" w:cs="Tahoma" w:eastAsia="Tahoma" w:hAnsi="Tahoma"/>
          <w:i w:val="1"/>
          <w:iCs w:val="1"/>
          <w:sz w:val="24"/>
          <w:szCs w:val="24"/>
          <w:rtl w:val="0"/>
        </w:rPr>
        <w:t xml:space="preserve">International Journal of Manpower, 28</w:t>
      </w:r>
      <w:r w:rsidDel="00000000" w:rsidR="00000000" w:rsidRPr="00000000">
        <w:rPr>
          <w:rFonts w:ascii="Tahoma" w:cs="Tahoma" w:eastAsia="Tahoma" w:hAnsi="Tahoma"/>
          <w:sz w:val="24"/>
          <w:szCs w:val="24"/>
          <w:rtl w:val="0"/>
        </w:rPr>
        <w:t xml:space="preserve">(3/4), 224–242. https://doi.org/10.1108/01437720710755227</w:t>
      </w:r>
      <w:r w:rsidDel="00000000" w:rsidR="00000000" w:rsidRPr="00000000">
        <w:rPr>
          <w:rtl w:val="0"/>
        </w:rPr>
      </w:r>
    </w:p>
    <w:p w:rsidR="00000000" w:rsidDel="00000000" w:rsidP="00000000" w:rsidRDefault="00000000" w:rsidRPr="00000000" w14:paraId="0000007B">
      <w:pPr>
        <w:spacing w:after="200" w:line="360" w:lineRule="auto"/>
        <w:ind w:left="720" w:hanging="720"/>
        <w:rPr>
          <w:rFonts w:ascii="Tahoma" w:cs="Tahoma" w:eastAsia="Tahoma" w:hAnsi="Tahoma"/>
        </w:rPr>
      </w:pPr>
      <w:r w:rsidDel="00000000" w:rsidR="00000000" w:rsidRPr="00000000">
        <w:rPr>
          <w:rFonts w:ascii="Tahoma" w:cs="Tahoma" w:eastAsia="Tahoma" w:hAnsi="Tahoma"/>
          <w:sz w:val="24"/>
          <w:szCs w:val="24"/>
          <w:rtl w:val="0"/>
        </w:rPr>
        <w:t xml:space="preserve">Crossan, M. M., Lane, H. W., &amp; White, R. E. (1999). An organizational learning framework: From intuition to institution. </w:t>
      </w:r>
      <w:r w:rsidDel="00000000" w:rsidR="00000000" w:rsidRPr="00000000">
        <w:rPr>
          <w:rFonts w:ascii="Tahoma" w:cs="Tahoma" w:eastAsia="Tahoma" w:hAnsi="Tahoma"/>
          <w:i w:val="1"/>
          <w:iCs w:val="1"/>
          <w:sz w:val="24"/>
          <w:szCs w:val="24"/>
          <w:rtl w:val="0"/>
        </w:rPr>
        <w:t xml:space="preserve">Academy of Management Review, 24</w:t>
      </w:r>
      <w:r w:rsidDel="00000000" w:rsidR="00000000" w:rsidRPr="00000000">
        <w:rPr>
          <w:rFonts w:ascii="Tahoma" w:cs="Tahoma" w:eastAsia="Tahoma" w:hAnsi="Tahoma"/>
          <w:sz w:val="24"/>
          <w:szCs w:val="24"/>
          <w:rtl w:val="0"/>
        </w:rPr>
        <w:t xml:space="preserve">(3), 522–537. https://doi.org/10.2307/259140</w:t>
      </w:r>
      <w:r w:rsidDel="00000000" w:rsidR="00000000" w:rsidRPr="00000000">
        <w:rPr>
          <w:rtl w:val="0"/>
        </w:rPr>
      </w:r>
    </w:p>
    <w:p w:rsidR="00000000" w:rsidDel="00000000" w:rsidP="00000000" w:rsidRDefault="00000000" w:rsidRPr="00000000" w14:paraId="0000007C">
      <w:pPr>
        <w:spacing w:after="200" w:line="360" w:lineRule="auto"/>
        <w:ind w:left="720" w:hanging="720"/>
        <w:rPr>
          <w:rFonts w:ascii="Tahoma" w:cs="Tahoma" w:eastAsia="Tahoma" w:hAnsi="Tahoma"/>
        </w:rPr>
      </w:pPr>
      <w:r w:rsidDel="00000000" w:rsidR="00000000" w:rsidRPr="00000000">
        <w:rPr>
          <w:rFonts w:ascii="Tahoma" w:cs="Tahoma" w:eastAsia="Tahoma" w:hAnsi="Tahoma"/>
          <w:sz w:val="24"/>
          <w:szCs w:val="24"/>
          <w:rtl w:val="0"/>
        </w:rPr>
        <w:t xml:space="preserve">Easterby-Smith, M., &amp; Lyles, M. A. (Eds.). (2011). </w:t>
      </w:r>
      <w:r w:rsidDel="00000000" w:rsidR="00000000" w:rsidRPr="00000000">
        <w:rPr>
          <w:rFonts w:ascii="Tahoma" w:cs="Tahoma" w:eastAsia="Tahoma" w:hAnsi="Tahoma"/>
          <w:i w:val="1"/>
          <w:iCs w:val="1"/>
          <w:sz w:val="24"/>
          <w:szCs w:val="24"/>
          <w:rtl w:val="0"/>
        </w:rPr>
        <w:t xml:space="preserve">Handbook of organizational learning and knowledge management</w:t>
      </w:r>
      <w:r w:rsidDel="00000000" w:rsidR="00000000" w:rsidRPr="00000000">
        <w:rPr>
          <w:rFonts w:ascii="Tahoma" w:cs="Tahoma" w:eastAsia="Tahoma" w:hAnsi="Tahoma"/>
          <w:sz w:val="24"/>
          <w:szCs w:val="24"/>
          <w:rtl w:val="0"/>
        </w:rPr>
        <w:t xml:space="preserve"> (2nd ed.). John Wiley &amp; Sons.</w:t>
      </w:r>
      <w:r w:rsidDel="00000000" w:rsidR="00000000" w:rsidRPr="00000000">
        <w:rPr>
          <w:rtl w:val="0"/>
        </w:rPr>
      </w:r>
    </w:p>
    <w:p w:rsidR="00000000" w:rsidDel="00000000" w:rsidP="00000000" w:rsidRDefault="00000000" w:rsidRPr="00000000" w14:paraId="0000007D">
      <w:pPr>
        <w:spacing w:after="200" w:line="360" w:lineRule="auto"/>
        <w:ind w:left="720" w:hanging="720"/>
        <w:rPr>
          <w:rFonts w:ascii="Tahoma" w:cs="Tahoma" w:eastAsia="Tahoma" w:hAnsi="Tahoma"/>
        </w:rPr>
      </w:pPr>
      <w:r w:rsidDel="00000000" w:rsidR="00000000" w:rsidRPr="00000000">
        <w:rPr>
          <w:rFonts w:ascii="Tahoma" w:cs="Tahoma" w:eastAsia="Tahoma" w:hAnsi="Tahoma"/>
          <w:sz w:val="24"/>
          <w:szCs w:val="24"/>
          <w:rtl w:val="0"/>
        </w:rPr>
        <w:t xml:space="preserve">Edmondson, A. C. (1999). Psychological safety and learning behavior in work teams. </w:t>
      </w:r>
      <w:r w:rsidDel="00000000" w:rsidR="00000000" w:rsidRPr="00000000">
        <w:rPr>
          <w:rFonts w:ascii="Tahoma" w:cs="Tahoma" w:eastAsia="Tahoma" w:hAnsi="Tahoma"/>
          <w:i w:val="1"/>
          <w:iCs w:val="1"/>
          <w:sz w:val="24"/>
          <w:szCs w:val="24"/>
          <w:rtl w:val="0"/>
        </w:rPr>
        <w:t xml:space="preserve">Administrative Science Quarterly, 44</w:t>
      </w:r>
      <w:r w:rsidDel="00000000" w:rsidR="00000000" w:rsidRPr="00000000">
        <w:rPr>
          <w:rFonts w:ascii="Tahoma" w:cs="Tahoma" w:eastAsia="Tahoma" w:hAnsi="Tahoma"/>
          <w:sz w:val="24"/>
          <w:szCs w:val="24"/>
          <w:rtl w:val="0"/>
        </w:rPr>
        <w:t xml:space="preserve">(2), 350–383. https://doi.org/10.2307/2666999</w:t>
      </w:r>
      <w:r w:rsidDel="00000000" w:rsidR="00000000" w:rsidRPr="00000000">
        <w:rPr>
          <w:rtl w:val="0"/>
        </w:rPr>
      </w:r>
    </w:p>
    <w:p w:rsidR="00000000" w:rsidDel="00000000" w:rsidP="00000000" w:rsidRDefault="00000000" w:rsidRPr="00000000" w14:paraId="0000007E">
      <w:pPr>
        <w:spacing w:after="200" w:line="360" w:lineRule="auto"/>
        <w:ind w:left="720" w:hanging="720"/>
        <w:rPr>
          <w:rFonts w:ascii="Tahoma" w:cs="Tahoma" w:eastAsia="Tahoma" w:hAnsi="Tahoma"/>
        </w:rPr>
      </w:pPr>
      <w:r w:rsidDel="00000000" w:rsidR="00000000" w:rsidRPr="00000000">
        <w:rPr>
          <w:rFonts w:ascii="Tahoma" w:cs="Tahoma" w:eastAsia="Tahoma" w:hAnsi="Tahoma"/>
          <w:sz w:val="24"/>
          <w:szCs w:val="24"/>
          <w:rtl w:val="0"/>
        </w:rPr>
        <w:t xml:space="preserve">Edmondson, A. C. (2018). </w:t>
      </w:r>
      <w:r w:rsidDel="00000000" w:rsidR="00000000" w:rsidRPr="00000000">
        <w:rPr>
          <w:rFonts w:ascii="Tahoma" w:cs="Tahoma" w:eastAsia="Tahoma" w:hAnsi="Tahoma"/>
          <w:i w:val="1"/>
          <w:iCs w:val="1"/>
          <w:sz w:val="24"/>
          <w:szCs w:val="24"/>
          <w:rtl w:val="0"/>
        </w:rPr>
        <w:t xml:space="preserve">The fearless organization: Creating psychological safety in the workplace for learning, innovation, and growth</w:t>
      </w:r>
      <w:r w:rsidDel="00000000" w:rsidR="00000000" w:rsidRPr="00000000">
        <w:rPr>
          <w:rFonts w:ascii="Tahoma" w:cs="Tahoma" w:eastAsia="Tahoma" w:hAnsi="Tahoma"/>
          <w:sz w:val="24"/>
          <w:szCs w:val="24"/>
          <w:rtl w:val="0"/>
        </w:rPr>
        <w:t xml:space="preserve">. John Wiley &amp; Sons.</w:t>
      </w:r>
      <w:r w:rsidDel="00000000" w:rsidR="00000000" w:rsidRPr="00000000">
        <w:rPr>
          <w:rtl w:val="0"/>
        </w:rPr>
      </w:r>
    </w:p>
    <w:p w:rsidR="00000000" w:rsidDel="00000000" w:rsidP="00000000" w:rsidRDefault="00000000" w:rsidRPr="00000000" w14:paraId="0000007F">
      <w:pPr>
        <w:spacing w:after="200" w:line="360" w:lineRule="auto"/>
        <w:ind w:left="720" w:hanging="720"/>
        <w:rPr>
          <w:rFonts w:ascii="Tahoma" w:cs="Tahoma" w:eastAsia="Tahoma" w:hAnsi="Tahoma"/>
        </w:rPr>
      </w:pPr>
      <w:r w:rsidDel="00000000" w:rsidR="00000000" w:rsidRPr="00000000">
        <w:rPr>
          <w:rFonts w:ascii="Tahoma" w:cs="Tahoma" w:eastAsia="Tahoma" w:hAnsi="Tahoma"/>
          <w:sz w:val="24"/>
          <w:szCs w:val="24"/>
          <w:rtl w:val="0"/>
        </w:rPr>
        <w:t xml:space="preserve">Garvin, D. A. (1993). Building a learning organization. </w:t>
      </w:r>
      <w:r w:rsidDel="00000000" w:rsidR="00000000" w:rsidRPr="00000000">
        <w:rPr>
          <w:rFonts w:ascii="Tahoma" w:cs="Tahoma" w:eastAsia="Tahoma" w:hAnsi="Tahoma"/>
          <w:i w:val="1"/>
          <w:iCs w:val="1"/>
          <w:sz w:val="24"/>
          <w:szCs w:val="24"/>
          <w:rtl w:val="0"/>
        </w:rPr>
        <w:t xml:space="preserve">Harvard Business Review, 71</w:t>
      </w:r>
      <w:r w:rsidDel="00000000" w:rsidR="00000000" w:rsidRPr="00000000">
        <w:rPr>
          <w:rFonts w:ascii="Tahoma" w:cs="Tahoma" w:eastAsia="Tahoma" w:hAnsi="Tahoma"/>
          <w:sz w:val="24"/>
          <w:szCs w:val="24"/>
          <w:rtl w:val="0"/>
        </w:rPr>
        <w:t xml:space="preserve">(4), 78–91.</w:t>
      </w:r>
      <w:r w:rsidDel="00000000" w:rsidR="00000000" w:rsidRPr="00000000">
        <w:rPr>
          <w:rtl w:val="0"/>
        </w:rPr>
      </w:r>
    </w:p>
    <w:p w:rsidR="00000000" w:rsidDel="00000000" w:rsidP="00000000" w:rsidRDefault="00000000" w:rsidRPr="00000000" w14:paraId="00000080">
      <w:pPr>
        <w:spacing w:after="200" w:line="360" w:lineRule="auto"/>
        <w:ind w:left="720" w:hanging="720"/>
        <w:rPr>
          <w:rFonts w:ascii="Tahoma" w:cs="Tahoma" w:eastAsia="Tahoma" w:hAnsi="Tahoma"/>
        </w:rPr>
      </w:pPr>
      <w:r w:rsidDel="00000000" w:rsidR="00000000" w:rsidRPr="00000000">
        <w:rPr>
          <w:rFonts w:ascii="Tahoma" w:cs="Tahoma" w:eastAsia="Tahoma" w:hAnsi="Tahoma"/>
          <w:sz w:val="24"/>
          <w:szCs w:val="24"/>
          <w:rtl w:val="0"/>
        </w:rPr>
        <w:t xml:space="preserve">Garvin, D. A., Edmondson, A. C., &amp; Gino, F. (2008). Is yours a learning organization? </w:t>
      </w:r>
      <w:r w:rsidDel="00000000" w:rsidR="00000000" w:rsidRPr="00000000">
        <w:rPr>
          <w:rFonts w:ascii="Tahoma" w:cs="Tahoma" w:eastAsia="Tahoma" w:hAnsi="Tahoma"/>
          <w:i w:val="1"/>
          <w:iCs w:val="1"/>
          <w:sz w:val="24"/>
          <w:szCs w:val="24"/>
          <w:rtl w:val="0"/>
        </w:rPr>
        <w:t xml:space="preserve">Harvard Business Review, 86</w:t>
      </w:r>
      <w:r w:rsidDel="00000000" w:rsidR="00000000" w:rsidRPr="00000000">
        <w:rPr>
          <w:rFonts w:ascii="Tahoma" w:cs="Tahoma" w:eastAsia="Tahoma" w:hAnsi="Tahoma"/>
          <w:sz w:val="24"/>
          <w:szCs w:val="24"/>
          <w:rtl w:val="0"/>
        </w:rPr>
        <w:t xml:space="preserve">(3), 109–116.</w:t>
      </w:r>
      <w:r w:rsidDel="00000000" w:rsidR="00000000" w:rsidRPr="00000000">
        <w:rPr>
          <w:rtl w:val="0"/>
        </w:rPr>
      </w:r>
    </w:p>
    <w:p w:rsidR="00000000" w:rsidDel="00000000" w:rsidP="00000000" w:rsidRDefault="00000000" w:rsidRPr="00000000" w14:paraId="00000081">
      <w:pPr>
        <w:spacing w:after="200" w:line="360" w:lineRule="auto"/>
        <w:ind w:left="720" w:hanging="720"/>
        <w:rPr>
          <w:rFonts w:ascii="Tahoma" w:cs="Tahoma" w:eastAsia="Tahoma" w:hAnsi="Tahoma"/>
        </w:rPr>
      </w:pPr>
      <w:r w:rsidDel="00000000" w:rsidR="00000000" w:rsidRPr="00000000">
        <w:rPr>
          <w:rFonts w:ascii="Tahoma" w:cs="Tahoma" w:eastAsia="Tahoma" w:hAnsi="Tahoma"/>
          <w:sz w:val="24"/>
          <w:szCs w:val="24"/>
          <w:rtl w:val="0"/>
        </w:rPr>
        <w:t xml:space="preserve">Huber, G. P. (1991). Organizational learning: The contributing processes and the literatures. </w:t>
      </w:r>
      <w:r w:rsidDel="00000000" w:rsidR="00000000" w:rsidRPr="00000000">
        <w:rPr>
          <w:rFonts w:ascii="Tahoma" w:cs="Tahoma" w:eastAsia="Tahoma" w:hAnsi="Tahoma"/>
          <w:i w:val="1"/>
          <w:iCs w:val="1"/>
          <w:sz w:val="24"/>
          <w:szCs w:val="24"/>
          <w:rtl w:val="0"/>
        </w:rPr>
        <w:t xml:space="preserve">Organization Science, 2</w:t>
      </w:r>
      <w:r w:rsidDel="00000000" w:rsidR="00000000" w:rsidRPr="00000000">
        <w:rPr>
          <w:rFonts w:ascii="Tahoma" w:cs="Tahoma" w:eastAsia="Tahoma" w:hAnsi="Tahoma"/>
          <w:sz w:val="24"/>
          <w:szCs w:val="24"/>
          <w:rtl w:val="0"/>
        </w:rPr>
        <w:t xml:space="preserve">(1), 88–115. https://doi.org/10.1287/orsc.2.1.88</w:t>
      </w:r>
      <w:r w:rsidDel="00000000" w:rsidR="00000000" w:rsidRPr="00000000">
        <w:rPr>
          <w:rtl w:val="0"/>
        </w:rPr>
      </w:r>
    </w:p>
    <w:p w:rsidR="00000000" w:rsidDel="00000000" w:rsidP="00000000" w:rsidRDefault="00000000" w:rsidRPr="00000000" w14:paraId="00000082">
      <w:pPr>
        <w:spacing w:after="200" w:line="360" w:lineRule="auto"/>
        <w:ind w:left="720" w:hanging="720"/>
        <w:rPr>
          <w:rFonts w:ascii="Tahoma" w:cs="Tahoma" w:eastAsia="Tahoma" w:hAnsi="Tahoma"/>
        </w:rPr>
      </w:pPr>
      <w:r w:rsidDel="00000000" w:rsidR="00000000" w:rsidRPr="00000000">
        <w:rPr>
          <w:rFonts w:ascii="Tahoma" w:cs="Tahoma" w:eastAsia="Tahoma" w:hAnsi="Tahoma"/>
          <w:sz w:val="24"/>
          <w:szCs w:val="24"/>
          <w:rtl w:val="0"/>
        </w:rPr>
        <w:t xml:space="preserve">Kim, D. H. (1993). The link between individual and organizational learning. </w:t>
      </w:r>
      <w:r w:rsidDel="00000000" w:rsidR="00000000" w:rsidRPr="00000000">
        <w:rPr>
          <w:rFonts w:ascii="Tahoma" w:cs="Tahoma" w:eastAsia="Tahoma" w:hAnsi="Tahoma"/>
          <w:i w:val="1"/>
          <w:iCs w:val="1"/>
          <w:sz w:val="24"/>
          <w:szCs w:val="24"/>
          <w:rtl w:val="0"/>
        </w:rPr>
        <w:t xml:space="preserve">Sloan Management Review, 35</w:t>
      </w:r>
      <w:r w:rsidDel="00000000" w:rsidR="00000000" w:rsidRPr="00000000">
        <w:rPr>
          <w:rFonts w:ascii="Tahoma" w:cs="Tahoma" w:eastAsia="Tahoma" w:hAnsi="Tahoma"/>
          <w:sz w:val="24"/>
          <w:szCs w:val="24"/>
          <w:rtl w:val="0"/>
        </w:rPr>
        <w:t xml:space="preserve">(1), 37–50.</w:t>
      </w:r>
      <w:r w:rsidDel="00000000" w:rsidR="00000000" w:rsidRPr="00000000">
        <w:rPr>
          <w:rtl w:val="0"/>
        </w:rPr>
      </w:r>
    </w:p>
    <w:p w:rsidR="00000000" w:rsidDel="00000000" w:rsidP="00000000" w:rsidRDefault="00000000" w:rsidRPr="00000000" w14:paraId="00000083">
      <w:pPr>
        <w:spacing w:after="200" w:line="360" w:lineRule="auto"/>
        <w:ind w:left="720" w:hanging="720"/>
        <w:rPr>
          <w:rFonts w:ascii="Tahoma" w:cs="Tahoma" w:eastAsia="Tahoma" w:hAnsi="Tahoma"/>
        </w:rPr>
      </w:pPr>
      <w:r w:rsidDel="00000000" w:rsidR="00000000" w:rsidRPr="00000000">
        <w:rPr>
          <w:rFonts w:ascii="Tahoma" w:cs="Tahoma" w:eastAsia="Tahoma" w:hAnsi="Tahoma"/>
          <w:sz w:val="24"/>
          <w:szCs w:val="24"/>
          <w:rtl w:val="0"/>
        </w:rPr>
        <w:t xml:space="preserve">Kolb, D. A. (1984). </w:t>
      </w:r>
      <w:r w:rsidDel="00000000" w:rsidR="00000000" w:rsidRPr="00000000">
        <w:rPr>
          <w:rFonts w:ascii="Tahoma" w:cs="Tahoma" w:eastAsia="Tahoma" w:hAnsi="Tahoma"/>
          <w:i w:val="1"/>
          <w:iCs w:val="1"/>
          <w:sz w:val="24"/>
          <w:szCs w:val="24"/>
          <w:rtl w:val="0"/>
        </w:rPr>
        <w:t xml:space="preserve">Experiential learning: Experience as the source of learning and development</w:t>
      </w:r>
      <w:r w:rsidDel="00000000" w:rsidR="00000000" w:rsidRPr="00000000">
        <w:rPr>
          <w:rFonts w:ascii="Tahoma" w:cs="Tahoma" w:eastAsia="Tahoma" w:hAnsi="Tahoma"/>
          <w:sz w:val="24"/>
          <w:szCs w:val="24"/>
          <w:rtl w:val="0"/>
        </w:rPr>
        <w:t xml:space="preserve">. Prentice-Hall.</w:t>
      </w:r>
      <w:r w:rsidDel="00000000" w:rsidR="00000000" w:rsidRPr="00000000">
        <w:rPr>
          <w:rtl w:val="0"/>
        </w:rPr>
      </w:r>
    </w:p>
    <w:p w:rsidR="00000000" w:rsidDel="00000000" w:rsidP="00000000" w:rsidRDefault="00000000" w:rsidRPr="00000000" w14:paraId="00000084">
      <w:pPr>
        <w:spacing w:after="200" w:line="360" w:lineRule="auto"/>
        <w:ind w:left="720" w:hanging="720"/>
        <w:rPr>
          <w:rFonts w:ascii="Tahoma" w:cs="Tahoma" w:eastAsia="Tahoma" w:hAnsi="Tahoma"/>
        </w:rPr>
      </w:pPr>
      <w:r w:rsidDel="00000000" w:rsidR="00000000" w:rsidRPr="00000000">
        <w:rPr>
          <w:rFonts w:ascii="Tahoma" w:cs="Tahoma" w:eastAsia="Tahoma" w:hAnsi="Tahoma"/>
          <w:sz w:val="24"/>
          <w:szCs w:val="24"/>
          <w:rtl w:val="0"/>
        </w:rPr>
        <w:t xml:space="preserve">Levitt, B., &amp; March, J. G. (1988). Organizational learning. </w:t>
      </w:r>
      <w:r w:rsidDel="00000000" w:rsidR="00000000" w:rsidRPr="00000000">
        <w:rPr>
          <w:rFonts w:ascii="Tahoma" w:cs="Tahoma" w:eastAsia="Tahoma" w:hAnsi="Tahoma"/>
          <w:i w:val="1"/>
          <w:iCs w:val="1"/>
          <w:sz w:val="24"/>
          <w:szCs w:val="24"/>
          <w:rtl w:val="0"/>
        </w:rPr>
        <w:t xml:space="preserve">Annual Review of Sociology, 14</w:t>
      </w:r>
      <w:r w:rsidDel="00000000" w:rsidR="00000000" w:rsidRPr="00000000">
        <w:rPr>
          <w:rFonts w:ascii="Tahoma" w:cs="Tahoma" w:eastAsia="Tahoma" w:hAnsi="Tahoma"/>
          <w:sz w:val="24"/>
          <w:szCs w:val="24"/>
          <w:rtl w:val="0"/>
        </w:rPr>
        <w:t xml:space="preserve">, 319–340.</w:t>
      </w:r>
      <w:r w:rsidDel="00000000" w:rsidR="00000000" w:rsidRPr="00000000">
        <w:rPr>
          <w:rtl w:val="0"/>
        </w:rPr>
      </w:r>
    </w:p>
    <w:p w:rsidR="00000000" w:rsidDel="00000000" w:rsidP="00000000" w:rsidRDefault="00000000" w:rsidRPr="00000000" w14:paraId="00000085">
      <w:pPr>
        <w:spacing w:after="200" w:line="360" w:lineRule="auto"/>
        <w:ind w:left="720" w:hanging="720"/>
        <w:rPr>
          <w:rFonts w:ascii="Tahoma" w:cs="Tahoma" w:eastAsia="Tahoma" w:hAnsi="Tahoma"/>
        </w:rPr>
      </w:pPr>
      <w:r w:rsidDel="00000000" w:rsidR="00000000" w:rsidRPr="00000000">
        <w:rPr>
          <w:rFonts w:ascii="Tahoma" w:cs="Tahoma" w:eastAsia="Tahoma" w:hAnsi="Tahoma"/>
          <w:sz w:val="24"/>
          <w:szCs w:val="24"/>
          <w:rtl w:val="0"/>
        </w:rPr>
        <w:t xml:space="preserve">March, J. G. (1991). Exploration and exploitation in organizational learning. </w:t>
      </w:r>
      <w:r w:rsidDel="00000000" w:rsidR="00000000" w:rsidRPr="00000000">
        <w:rPr>
          <w:rFonts w:ascii="Tahoma" w:cs="Tahoma" w:eastAsia="Tahoma" w:hAnsi="Tahoma"/>
          <w:i w:val="1"/>
          <w:iCs w:val="1"/>
          <w:sz w:val="24"/>
          <w:szCs w:val="24"/>
          <w:rtl w:val="0"/>
        </w:rPr>
        <w:t xml:space="preserve">Organization Science, 2</w:t>
      </w:r>
      <w:r w:rsidDel="00000000" w:rsidR="00000000" w:rsidRPr="00000000">
        <w:rPr>
          <w:rFonts w:ascii="Tahoma" w:cs="Tahoma" w:eastAsia="Tahoma" w:hAnsi="Tahoma"/>
          <w:sz w:val="24"/>
          <w:szCs w:val="24"/>
          <w:rtl w:val="0"/>
        </w:rPr>
        <w:t xml:space="preserve">(1), 71–87. https://doi.org/10.1287/orsc.2.1.71</w:t>
      </w:r>
      <w:r w:rsidDel="00000000" w:rsidR="00000000" w:rsidRPr="00000000">
        <w:rPr>
          <w:rtl w:val="0"/>
        </w:rPr>
      </w:r>
    </w:p>
    <w:p w:rsidR="00000000" w:rsidDel="00000000" w:rsidP="00000000" w:rsidRDefault="00000000" w:rsidRPr="00000000" w14:paraId="00000086">
      <w:pPr>
        <w:spacing w:after="200" w:line="360" w:lineRule="auto"/>
        <w:ind w:left="720" w:hanging="720"/>
        <w:rPr>
          <w:rFonts w:ascii="Tahoma" w:cs="Tahoma" w:eastAsia="Tahoma" w:hAnsi="Tahoma"/>
        </w:rPr>
      </w:pPr>
      <w:r w:rsidDel="00000000" w:rsidR="00000000" w:rsidRPr="00000000">
        <w:rPr>
          <w:rFonts w:ascii="Tahoma" w:cs="Tahoma" w:eastAsia="Tahoma" w:hAnsi="Tahoma"/>
          <w:sz w:val="24"/>
          <w:szCs w:val="24"/>
          <w:rtl w:val="0"/>
        </w:rPr>
        <w:t xml:space="preserve">Marsick, V. J., &amp; Watkins, K. E. (2003). Demonstrating the value of an organization's learning culture: The dimensions of the learning organization questionnaire. </w:t>
      </w:r>
      <w:r w:rsidDel="00000000" w:rsidR="00000000" w:rsidRPr="00000000">
        <w:rPr>
          <w:rFonts w:ascii="Tahoma" w:cs="Tahoma" w:eastAsia="Tahoma" w:hAnsi="Tahoma"/>
          <w:i w:val="1"/>
          <w:iCs w:val="1"/>
          <w:sz w:val="24"/>
          <w:szCs w:val="24"/>
          <w:rtl w:val="0"/>
        </w:rPr>
        <w:t xml:space="preserve">Advances in Developing Human Resources, 5</w:t>
      </w:r>
      <w:r w:rsidDel="00000000" w:rsidR="00000000" w:rsidRPr="00000000">
        <w:rPr>
          <w:rFonts w:ascii="Tahoma" w:cs="Tahoma" w:eastAsia="Tahoma" w:hAnsi="Tahoma"/>
          <w:sz w:val="24"/>
          <w:szCs w:val="24"/>
          <w:rtl w:val="0"/>
        </w:rPr>
        <w:t xml:space="preserve">(2), 132–151. https://doi.org/10.1177/1523422303005002002</w:t>
      </w:r>
      <w:r w:rsidDel="00000000" w:rsidR="00000000" w:rsidRPr="00000000">
        <w:rPr>
          <w:rtl w:val="0"/>
        </w:rPr>
      </w:r>
    </w:p>
    <w:p w:rsidR="00000000" w:rsidDel="00000000" w:rsidP="00000000" w:rsidRDefault="00000000" w:rsidRPr="00000000" w14:paraId="00000087">
      <w:pPr>
        <w:spacing w:after="200" w:line="360" w:lineRule="auto"/>
        <w:ind w:left="720" w:hanging="720"/>
        <w:rPr>
          <w:rFonts w:ascii="Tahoma" w:cs="Tahoma" w:eastAsia="Tahoma" w:hAnsi="Tahoma"/>
        </w:rPr>
      </w:pPr>
      <w:r w:rsidDel="00000000" w:rsidR="00000000" w:rsidRPr="00000000">
        <w:rPr>
          <w:rFonts w:ascii="Tahoma" w:cs="Tahoma" w:eastAsia="Tahoma" w:hAnsi="Tahoma"/>
          <w:sz w:val="24"/>
          <w:szCs w:val="24"/>
          <w:rtl w:val="0"/>
        </w:rPr>
        <w:t xml:space="preserve">Nonaka, I. (1994). A dynamic theory of organizational knowledge creation. </w:t>
      </w:r>
      <w:r w:rsidDel="00000000" w:rsidR="00000000" w:rsidRPr="00000000">
        <w:rPr>
          <w:rFonts w:ascii="Tahoma" w:cs="Tahoma" w:eastAsia="Tahoma" w:hAnsi="Tahoma"/>
          <w:i w:val="1"/>
          <w:iCs w:val="1"/>
          <w:sz w:val="24"/>
          <w:szCs w:val="24"/>
          <w:rtl w:val="0"/>
        </w:rPr>
        <w:t xml:space="preserve">Organization Science, 5</w:t>
      </w:r>
      <w:r w:rsidDel="00000000" w:rsidR="00000000" w:rsidRPr="00000000">
        <w:rPr>
          <w:rFonts w:ascii="Tahoma" w:cs="Tahoma" w:eastAsia="Tahoma" w:hAnsi="Tahoma"/>
          <w:sz w:val="24"/>
          <w:szCs w:val="24"/>
          <w:rtl w:val="0"/>
        </w:rPr>
        <w:t xml:space="preserve">(1), 14–37. https://doi.org/10.1287/orsc.5.1.14</w:t>
      </w:r>
      <w:r w:rsidDel="00000000" w:rsidR="00000000" w:rsidRPr="00000000">
        <w:rPr>
          <w:rtl w:val="0"/>
        </w:rPr>
      </w:r>
    </w:p>
    <w:p w:rsidR="00000000" w:rsidDel="00000000" w:rsidP="00000000" w:rsidRDefault="00000000" w:rsidRPr="00000000" w14:paraId="00000088">
      <w:pPr>
        <w:spacing w:after="200" w:line="360" w:lineRule="auto"/>
        <w:ind w:left="720" w:hanging="720"/>
        <w:rPr>
          <w:rFonts w:ascii="Tahoma" w:cs="Tahoma" w:eastAsia="Tahoma" w:hAnsi="Tahoma"/>
        </w:rPr>
      </w:pPr>
      <w:r w:rsidDel="00000000" w:rsidR="00000000" w:rsidRPr="00000000">
        <w:rPr>
          <w:rFonts w:ascii="Tahoma" w:cs="Tahoma" w:eastAsia="Tahoma" w:hAnsi="Tahoma"/>
          <w:sz w:val="24"/>
          <w:szCs w:val="24"/>
          <w:rtl w:val="0"/>
        </w:rPr>
        <w:t xml:space="preserve">Nonaka, I., &amp; Takeuchi, H. (1995). </w:t>
      </w:r>
      <w:r w:rsidDel="00000000" w:rsidR="00000000" w:rsidRPr="00000000">
        <w:rPr>
          <w:rFonts w:ascii="Tahoma" w:cs="Tahoma" w:eastAsia="Tahoma" w:hAnsi="Tahoma"/>
          <w:i w:val="1"/>
          <w:iCs w:val="1"/>
          <w:sz w:val="24"/>
          <w:szCs w:val="24"/>
          <w:rtl w:val="0"/>
        </w:rPr>
        <w:t xml:space="preserve">The knowledge-creating company: How Japanese companies create the dynamics of innovation</w:t>
      </w:r>
      <w:r w:rsidDel="00000000" w:rsidR="00000000" w:rsidRPr="00000000">
        <w:rPr>
          <w:rFonts w:ascii="Tahoma" w:cs="Tahoma" w:eastAsia="Tahoma" w:hAnsi="Tahoma"/>
          <w:sz w:val="24"/>
          <w:szCs w:val="24"/>
          <w:rtl w:val="0"/>
        </w:rPr>
        <w:t xml:space="preserve">. Oxford University Press.</w:t>
      </w:r>
      <w:r w:rsidDel="00000000" w:rsidR="00000000" w:rsidRPr="00000000">
        <w:rPr>
          <w:rtl w:val="0"/>
        </w:rPr>
      </w:r>
    </w:p>
    <w:p w:rsidR="00000000" w:rsidDel="00000000" w:rsidP="00000000" w:rsidRDefault="00000000" w:rsidRPr="00000000" w14:paraId="00000089">
      <w:pPr>
        <w:spacing w:after="200" w:line="360" w:lineRule="auto"/>
        <w:ind w:left="720" w:hanging="720"/>
        <w:rPr>
          <w:rFonts w:ascii="Tahoma" w:cs="Tahoma" w:eastAsia="Tahoma" w:hAnsi="Tahoma"/>
        </w:rPr>
      </w:pPr>
      <w:r w:rsidDel="00000000" w:rsidR="00000000" w:rsidRPr="00000000">
        <w:rPr>
          <w:rFonts w:ascii="Tahoma" w:cs="Tahoma" w:eastAsia="Tahoma" w:hAnsi="Tahoma"/>
          <w:sz w:val="24"/>
          <w:szCs w:val="24"/>
          <w:rtl w:val="0"/>
        </w:rPr>
        <w:t xml:space="preserve">Örtenblad, A. (2001). On differences between organizational learning and learning organization. </w:t>
      </w:r>
      <w:r w:rsidDel="00000000" w:rsidR="00000000" w:rsidRPr="00000000">
        <w:rPr>
          <w:rFonts w:ascii="Tahoma" w:cs="Tahoma" w:eastAsia="Tahoma" w:hAnsi="Tahoma"/>
          <w:i w:val="1"/>
          <w:iCs w:val="1"/>
          <w:sz w:val="24"/>
          <w:szCs w:val="24"/>
          <w:rtl w:val="0"/>
        </w:rPr>
        <w:t xml:space="preserve">The Learning Organization, 8</w:t>
      </w:r>
      <w:r w:rsidDel="00000000" w:rsidR="00000000" w:rsidRPr="00000000">
        <w:rPr>
          <w:rFonts w:ascii="Tahoma" w:cs="Tahoma" w:eastAsia="Tahoma" w:hAnsi="Tahoma"/>
          <w:sz w:val="24"/>
          <w:szCs w:val="24"/>
          <w:rtl w:val="0"/>
        </w:rPr>
        <w:t xml:space="preserve">(3), 125–133.</w:t>
      </w:r>
      <w:r w:rsidDel="00000000" w:rsidR="00000000" w:rsidRPr="00000000">
        <w:rPr>
          <w:rtl w:val="0"/>
        </w:rPr>
      </w:r>
    </w:p>
    <w:p w:rsidR="00000000" w:rsidDel="00000000" w:rsidP="00000000" w:rsidRDefault="00000000" w:rsidRPr="00000000" w14:paraId="0000008A">
      <w:pPr>
        <w:spacing w:after="200" w:line="360" w:lineRule="auto"/>
        <w:ind w:left="720" w:hanging="720"/>
        <w:rPr>
          <w:rFonts w:ascii="Tahoma" w:cs="Tahoma" w:eastAsia="Tahoma" w:hAnsi="Tahoma"/>
        </w:rPr>
      </w:pPr>
      <w:r w:rsidDel="00000000" w:rsidR="00000000" w:rsidRPr="00000000">
        <w:rPr>
          <w:rFonts w:ascii="Tahoma" w:cs="Tahoma" w:eastAsia="Tahoma" w:hAnsi="Tahoma"/>
          <w:sz w:val="24"/>
          <w:szCs w:val="24"/>
          <w:rtl w:val="0"/>
        </w:rPr>
        <w:t xml:space="preserve">Pedler, M., Burgoyne, J., &amp; Boydell, T. (1997). </w:t>
      </w:r>
      <w:r w:rsidDel="00000000" w:rsidR="00000000" w:rsidRPr="00000000">
        <w:rPr>
          <w:rFonts w:ascii="Tahoma" w:cs="Tahoma" w:eastAsia="Tahoma" w:hAnsi="Tahoma"/>
          <w:i w:val="1"/>
          <w:iCs w:val="1"/>
          <w:sz w:val="24"/>
          <w:szCs w:val="24"/>
          <w:rtl w:val="0"/>
        </w:rPr>
        <w:t xml:space="preserve">The learning company: A strategy for sustainable development</w:t>
      </w:r>
      <w:r w:rsidDel="00000000" w:rsidR="00000000" w:rsidRPr="00000000">
        <w:rPr>
          <w:rFonts w:ascii="Tahoma" w:cs="Tahoma" w:eastAsia="Tahoma" w:hAnsi="Tahoma"/>
          <w:sz w:val="24"/>
          <w:szCs w:val="24"/>
          <w:rtl w:val="0"/>
        </w:rPr>
        <w:t xml:space="preserve"> (2nd ed.). McGraw-Hill.</w:t>
      </w:r>
      <w:r w:rsidDel="00000000" w:rsidR="00000000" w:rsidRPr="00000000">
        <w:rPr>
          <w:rtl w:val="0"/>
        </w:rPr>
      </w:r>
    </w:p>
    <w:p w:rsidR="00000000" w:rsidDel="00000000" w:rsidP="00000000" w:rsidRDefault="00000000" w:rsidRPr="00000000" w14:paraId="0000008B">
      <w:pPr>
        <w:spacing w:after="200" w:line="360" w:lineRule="auto"/>
        <w:ind w:left="720" w:hanging="720"/>
        <w:rPr>
          <w:rFonts w:ascii="Tahoma" w:cs="Tahoma" w:eastAsia="Tahoma" w:hAnsi="Tahoma"/>
        </w:rPr>
      </w:pPr>
      <w:r w:rsidDel="00000000" w:rsidR="00000000" w:rsidRPr="00000000">
        <w:rPr>
          <w:rFonts w:ascii="Tahoma" w:cs="Tahoma" w:eastAsia="Tahoma" w:hAnsi="Tahoma"/>
          <w:sz w:val="24"/>
          <w:szCs w:val="24"/>
          <w:rtl w:val="0"/>
        </w:rPr>
        <w:t xml:space="preserve">Schein, E. H. (2010). </w:t>
      </w:r>
      <w:r w:rsidDel="00000000" w:rsidR="00000000" w:rsidRPr="00000000">
        <w:rPr>
          <w:rFonts w:ascii="Tahoma" w:cs="Tahoma" w:eastAsia="Tahoma" w:hAnsi="Tahoma"/>
          <w:i w:val="1"/>
          <w:iCs w:val="1"/>
          <w:sz w:val="24"/>
          <w:szCs w:val="24"/>
          <w:rtl w:val="0"/>
        </w:rPr>
        <w:t xml:space="preserve">Organizational culture and leadership</w:t>
      </w:r>
      <w:r w:rsidDel="00000000" w:rsidR="00000000" w:rsidRPr="00000000">
        <w:rPr>
          <w:rFonts w:ascii="Tahoma" w:cs="Tahoma" w:eastAsia="Tahoma" w:hAnsi="Tahoma"/>
          <w:sz w:val="24"/>
          <w:szCs w:val="24"/>
          <w:rtl w:val="0"/>
        </w:rPr>
        <w:t xml:space="preserve"> (4th ed.). Jossey-Bass.</w:t>
      </w:r>
      <w:r w:rsidDel="00000000" w:rsidR="00000000" w:rsidRPr="00000000">
        <w:rPr>
          <w:rtl w:val="0"/>
        </w:rPr>
      </w:r>
    </w:p>
    <w:p w:rsidR="00000000" w:rsidDel="00000000" w:rsidP="00000000" w:rsidRDefault="00000000" w:rsidRPr="00000000" w14:paraId="0000008C">
      <w:pPr>
        <w:spacing w:after="200" w:line="360" w:lineRule="auto"/>
        <w:ind w:left="720" w:hanging="720"/>
        <w:rPr>
          <w:rFonts w:ascii="Tahoma" w:cs="Tahoma" w:eastAsia="Tahoma" w:hAnsi="Tahoma"/>
        </w:rPr>
      </w:pPr>
      <w:r w:rsidDel="00000000" w:rsidR="00000000" w:rsidRPr="00000000">
        <w:rPr>
          <w:rFonts w:ascii="Tahoma" w:cs="Tahoma" w:eastAsia="Tahoma" w:hAnsi="Tahoma"/>
          <w:sz w:val="24"/>
          <w:szCs w:val="24"/>
          <w:rtl w:val="0"/>
        </w:rPr>
        <w:t xml:space="preserve">Senge, P. M. (1990). </w:t>
      </w:r>
      <w:r w:rsidDel="00000000" w:rsidR="00000000" w:rsidRPr="00000000">
        <w:rPr>
          <w:rFonts w:ascii="Tahoma" w:cs="Tahoma" w:eastAsia="Tahoma" w:hAnsi="Tahoma"/>
          <w:i w:val="1"/>
          <w:iCs w:val="1"/>
          <w:sz w:val="24"/>
          <w:szCs w:val="24"/>
          <w:rtl w:val="0"/>
        </w:rPr>
        <w:t xml:space="preserve">The fifth discipline: The art and practice of the learning organization</w:t>
      </w:r>
      <w:r w:rsidDel="00000000" w:rsidR="00000000" w:rsidRPr="00000000">
        <w:rPr>
          <w:rFonts w:ascii="Tahoma" w:cs="Tahoma" w:eastAsia="Tahoma" w:hAnsi="Tahoma"/>
          <w:sz w:val="24"/>
          <w:szCs w:val="24"/>
          <w:rtl w:val="0"/>
        </w:rPr>
        <w:t xml:space="preserve">. Doubleday/Currency.</w:t>
      </w:r>
      <w:r w:rsidDel="00000000" w:rsidR="00000000" w:rsidRPr="00000000">
        <w:rPr>
          <w:rtl w:val="0"/>
        </w:rPr>
      </w:r>
    </w:p>
    <w:p w:rsidR="00000000" w:rsidDel="00000000" w:rsidP="00000000" w:rsidRDefault="00000000" w:rsidRPr="00000000" w14:paraId="0000008D">
      <w:pPr>
        <w:spacing w:after="200" w:line="360" w:lineRule="auto"/>
        <w:ind w:left="720" w:hanging="720"/>
        <w:rPr>
          <w:rFonts w:ascii="Tahoma" w:cs="Tahoma" w:eastAsia="Tahoma" w:hAnsi="Tahoma"/>
        </w:rPr>
      </w:pPr>
      <w:r w:rsidDel="00000000" w:rsidR="00000000" w:rsidRPr="00000000">
        <w:rPr>
          <w:rFonts w:ascii="Tahoma" w:cs="Tahoma" w:eastAsia="Tahoma" w:hAnsi="Tahoma"/>
          <w:sz w:val="24"/>
          <w:szCs w:val="24"/>
          <w:rtl w:val="0"/>
        </w:rPr>
        <w:t xml:space="preserve">Sun, P. Y. T., &amp; Scott, J. L. (2003). Exploring the divide: Organisational learning and learning organization. </w:t>
      </w:r>
      <w:r w:rsidDel="00000000" w:rsidR="00000000" w:rsidRPr="00000000">
        <w:rPr>
          <w:rFonts w:ascii="Tahoma" w:cs="Tahoma" w:eastAsia="Tahoma" w:hAnsi="Tahoma"/>
          <w:i w:val="1"/>
          <w:iCs w:val="1"/>
          <w:sz w:val="24"/>
          <w:szCs w:val="24"/>
          <w:rtl w:val="0"/>
        </w:rPr>
        <w:t xml:space="preserve">The Learning Organization, 10</w:t>
      </w:r>
      <w:r w:rsidDel="00000000" w:rsidR="00000000" w:rsidRPr="00000000">
        <w:rPr>
          <w:rFonts w:ascii="Tahoma" w:cs="Tahoma" w:eastAsia="Tahoma" w:hAnsi="Tahoma"/>
          <w:sz w:val="24"/>
          <w:szCs w:val="24"/>
          <w:rtl w:val="0"/>
        </w:rPr>
        <w:t xml:space="preserve">(4), 202–215.</w:t>
      </w:r>
      <w:r w:rsidDel="00000000" w:rsidR="00000000" w:rsidRPr="00000000">
        <w:rPr>
          <w:rtl w:val="0"/>
        </w:rPr>
      </w:r>
    </w:p>
    <w:p w:rsidR="00000000" w:rsidDel="00000000" w:rsidP="00000000" w:rsidRDefault="00000000" w:rsidRPr="00000000" w14:paraId="0000008E">
      <w:pPr>
        <w:spacing w:after="200" w:line="360" w:lineRule="auto"/>
        <w:ind w:left="720" w:hanging="720"/>
        <w:rPr>
          <w:rFonts w:ascii="Tahoma" w:cs="Tahoma" w:eastAsia="Tahoma" w:hAnsi="Tahoma"/>
        </w:rPr>
      </w:pPr>
      <w:r w:rsidDel="00000000" w:rsidR="00000000" w:rsidRPr="00000000">
        <w:rPr>
          <w:rFonts w:ascii="Tahoma" w:cs="Tahoma" w:eastAsia="Tahoma" w:hAnsi="Tahoma"/>
          <w:sz w:val="24"/>
          <w:szCs w:val="24"/>
          <w:rtl w:val="0"/>
        </w:rPr>
        <w:t xml:space="preserve">Tsang, E. W. K. (1997). Organizational learning and the learning organization: A dichotomy between descriptive and prescriptive research. </w:t>
      </w:r>
      <w:r w:rsidDel="00000000" w:rsidR="00000000" w:rsidRPr="00000000">
        <w:rPr>
          <w:rFonts w:ascii="Tahoma" w:cs="Tahoma" w:eastAsia="Tahoma" w:hAnsi="Tahoma"/>
          <w:i w:val="1"/>
          <w:iCs w:val="1"/>
          <w:sz w:val="24"/>
          <w:szCs w:val="24"/>
          <w:rtl w:val="0"/>
        </w:rPr>
        <w:t xml:space="preserve">Human Relations, 50</w:t>
      </w:r>
      <w:r w:rsidDel="00000000" w:rsidR="00000000" w:rsidRPr="00000000">
        <w:rPr>
          <w:rFonts w:ascii="Tahoma" w:cs="Tahoma" w:eastAsia="Tahoma" w:hAnsi="Tahoma"/>
          <w:sz w:val="24"/>
          <w:szCs w:val="24"/>
          <w:rtl w:val="0"/>
        </w:rPr>
        <w:t xml:space="preserve">(1), 73–89.</w:t>
      </w:r>
      <w:r w:rsidDel="00000000" w:rsidR="00000000" w:rsidRPr="00000000">
        <w:rPr>
          <w:rtl w:val="0"/>
        </w:rPr>
      </w:r>
    </w:p>
    <w:p w:rsidR="00000000" w:rsidDel="00000000" w:rsidP="00000000" w:rsidRDefault="00000000" w:rsidRPr="00000000" w14:paraId="0000008F">
      <w:pPr>
        <w:spacing w:after="200" w:line="360" w:lineRule="auto"/>
        <w:ind w:left="720" w:hanging="720"/>
        <w:rPr>
          <w:rFonts w:ascii="Tahoma" w:cs="Tahoma" w:eastAsia="Tahoma" w:hAnsi="Tahoma"/>
        </w:rPr>
      </w:pPr>
      <w:r w:rsidDel="00000000" w:rsidR="00000000" w:rsidRPr="00000000">
        <w:rPr>
          <w:rFonts w:ascii="Tahoma" w:cs="Tahoma" w:eastAsia="Tahoma" w:hAnsi="Tahoma"/>
          <w:sz w:val="24"/>
          <w:szCs w:val="24"/>
          <w:rtl w:val="0"/>
        </w:rPr>
        <w:t xml:space="preserve">Watkins, K. E., &amp; Marsick, V. J. (1993). </w:t>
      </w:r>
      <w:r w:rsidDel="00000000" w:rsidR="00000000" w:rsidRPr="00000000">
        <w:rPr>
          <w:rFonts w:ascii="Tahoma" w:cs="Tahoma" w:eastAsia="Tahoma" w:hAnsi="Tahoma"/>
          <w:i w:val="1"/>
          <w:iCs w:val="1"/>
          <w:sz w:val="24"/>
          <w:szCs w:val="24"/>
          <w:rtl w:val="0"/>
        </w:rPr>
        <w:t xml:space="preserve">Sculpting the learning organization: Lessons in the art and science of systemic change</w:t>
      </w:r>
      <w:r w:rsidDel="00000000" w:rsidR="00000000" w:rsidRPr="00000000">
        <w:rPr>
          <w:rFonts w:ascii="Tahoma" w:cs="Tahoma" w:eastAsia="Tahoma" w:hAnsi="Tahoma"/>
          <w:sz w:val="24"/>
          <w:szCs w:val="24"/>
          <w:rtl w:val="0"/>
        </w:rPr>
        <w:t xml:space="preserve">. Jossey-Bass.</w:t>
      </w:r>
      <w:r w:rsidDel="00000000" w:rsidR="00000000" w:rsidRPr="00000000">
        <w:rPr>
          <w:rtl w:val="0"/>
        </w:rPr>
      </w:r>
    </w:p>
    <w:p w:rsidR="00000000" w:rsidDel="00000000" w:rsidP="00000000" w:rsidRDefault="00000000" w:rsidRPr="00000000" w14:paraId="00000090">
      <w:pPr>
        <w:spacing w:after="200" w:line="360" w:lineRule="auto"/>
        <w:ind w:left="720" w:hanging="720"/>
        <w:rPr>
          <w:rFonts w:ascii="Tahoma" w:cs="Tahoma" w:eastAsia="Tahoma" w:hAnsi="Tahoma"/>
        </w:rPr>
      </w:pPr>
      <w:r w:rsidDel="00000000" w:rsidR="00000000" w:rsidRPr="00000000">
        <w:rPr>
          <w:rFonts w:ascii="Tahoma" w:cs="Tahoma" w:eastAsia="Tahoma" w:hAnsi="Tahoma"/>
          <w:sz w:val="24"/>
          <w:szCs w:val="24"/>
          <w:rtl w:val="0"/>
        </w:rPr>
        <w:t xml:space="preserve">Yang, B., Watkins, K. E., &amp; Marsick, V. J. (2004). The construct of the learning organization: Dimensions, measurement, and validation. </w:t>
      </w:r>
      <w:r w:rsidDel="00000000" w:rsidR="00000000" w:rsidRPr="00000000">
        <w:rPr>
          <w:rFonts w:ascii="Tahoma" w:cs="Tahoma" w:eastAsia="Tahoma" w:hAnsi="Tahoma"/>
          <w:i w:val="1"/>
          <w:iCs w:val="1"/>
          <w:sz w:val="24"/>
          <w:szCs w:val="24"/>
          <w:rtl w:val="0"/>
        </w:rPr>
        <w:t xml:space="preserve">Human Resource Development Quarterly, 15</w:t>
      </w:r>
      <w:r w:rsidDel="00000000" w:rsidR="00000000" w:rsidRPr="00000000">
        <w:rPr>
          <w:rFonts w:ascii="Tahoma" w:cs="Tahoma" w:eastAsia="Tahoma" w:hAnsi="Tahoma"/>
          <w:sz w:val="24"/>
          <w:szCs w:val="24"/>
          <w:rtl w:val="0"/>
        </w:rPr>
        <w:t xml:space="preserve">(1), 31–55. https://doi.org/10.1002/hrdq.1086</w:t>
      </w:r>
      <w:r w:rsidDel="00000000" w:rsidR="00000000" w:rsidRPr="00000000">
        <w:rPr>
          <w:rtl w:val="0"/>
        </w:rPr>
      </w:r>
    </w:p>
    <w:sectPr>
      <w:headerReference r:id="rId10" w:type="default"/>
      <w:footerReference r:id="rId11"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Georgia"/>
  <w:font w:name="Arial"/>
  <w:font w:name="Tahoma">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2">
    <w:pPr>
      <w:spacing w:after="160" w:line="360" w:lineRule="auto"/>
      <w:jc w:val="center"/>
      <w:rPr/>
    </w:pPr>
    <w:r w:rsidDel="00000000" w:rsidR="00000000" w:rsidRPr="00000000">
      <w:rPr>
        <w:rFonts w:ascii="Times New Roman" w:cs="Times New Roman" w:eastAsia="Times New Roman" w:hAnsi="Times New Roman"/>
        <w:sz w:val="20"/>
        <w:szCs w:val="2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1">
    <w:pPr>
      <w:spacing w:after="60" w:lineRule="auto"/>
      <w:jc w:val="right"/>
      <w:rPr/>
    </w:pPr>
    <w:r w:rsidDel="00000000" w:rsidR="00000000" w:rsidRPr="00000000">
      <w:rPr>
        <w:rFonts w:ascii="Times New Roman" w:cs="Times New Roman" w:eastAsia="Times New Roman" w:hAnsi="Times New Roman"/>
        <w:i w:val="1"/>
        <w:iCs w:val="1"/>
        <w:color w:val="555555"/>
        <w:sz w:val="18"/>
        <w:szCs w:val="18"/>
        <w:rtl w:val="0"/>
      </w:rPr>
      <w:t xml:space="preserve">Developing the Learning Organisation</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updateFields w:val="true"/>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2e74b5"/>
      <w:sz w:val="32"/>
      <w:szCs w:val="32"/>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2e74b5"/>
      <w:sz w:val="26"/>
      <w:szCs w:val="26"/>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1f4d78"/>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1"/>
      <w:iCs w:val="1"/>
      <w:smallCaps w:val="0"/>
      <w:strike w:val="0"/>
      <w:color w:val="2e74b5"/>
      <w:sz w:val="20"/>
      <w:szCs w:val="20"/>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2e74b5"/>
      <w:sz w:val="20"/>
      <w:szCs w:val="20"/>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1f4d78"/>
      <w:sz w:val="20"/>
      <w:szCs w:val="20"/>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000000"/>
      <w:sz w:val="56"/>
      <w:szCs w:val="56"/>
      <w:u w:val="none"/>
      <w:shd w:fill="auto" w:val="clear"/>
      <w:vertAlign w:val="baseline"/>
    </w:rPr>
  </w:style>
  <w:style w:type="paragraph" w:styleId="Strong">
    <w:name w:val="Strong"/>
    <w:basedOn w:val="Normal"/>
    <w:next w:val="Normal"/>
    <w:qFormat w:val="1"/>
    <w:rPr>
      <w:b w:val="1"/>
      <w:bCs w:val="1"/>
    </w:rPr>
  </w:style>
  <w:style w:type="paragraph" w:styleId="ListParagraph">
    <w:name w:val="List Paragraph"/>
    <w:basedOn w:val="Normal"/>
    <w:qFormat w:val="1"/>
  </w:style>
  <w:style w:type="character" w:styleId="Hyperlink">
    <w:name w:val="Hyperlink"/>
    <w:basedOn w:val="DefaultParagraphFont"/>
    <w:uiPriority w:val="99"/>
    <w:unhideWhenUsed w:val="1"/>
    <w:rPr>
      <w:color w:val="0563c1"/>
      <w:u w:val="single"/>
    </w:rPr>
  </w:style>
  <w:style w:type="character" w:styleId="FootnoteReference">
    <w:name w:val="footnote reference"/>
    <w:basedOn w:val="DefaultParagraphFont"/>
    <w:uiPriority w:val="99"/>
    <w:semiHidden w:val="1"/>
    <w:unhideWhenUsed w:val="1"/>
    <w:rPr>
      <w:vertAlign w:val="superscript"/>
    </w:rPr>
  </w:style>
  <w:style w:type="paragraph" w:styleId="FootnoteText">
    <w:name w:val="footnote text"/>
    <w:basedOn w:val="Normal"/>
    <w:link w:val="FootnoteTextChar"/>
    <w:uiPriority w:val="99"/>
    <w:semiHidden w:val="1"/>
    <w:unhideWhenUsed w:val="1"/>
    <w:pPr>
      <w:spacing w:after="0" w:line="240" w:lineRule="auto"/>
    </w:pPr>
    <w:rPr>
      <w:sz w:val="20"/>
      <w:szCs w:val="20"/>
    </w:rPr>
  </w:style>
  <w:style w:type="character" w:styleId="FootnoteTextChar">
    <w:name w:val="Footnote Text Char"/>
    <w:basedOn w:val="DefaultParagraphFont"/>
    <w:link w:val="FootnoteText"/>
    <w:uiPriority w:val="99"/>
    <w:semiHidden w:val="1"/>
    <w:unhideWhenUsed w:val="1"/>
    <w:rPr>
      <w:sz w:val="20"/>
      <w:szCs w:val="20"/>
    </w:rPr>
  </w:style>
  <w:style w:type="character" w:styleId="EndnoteReference">
    <w:name w:val="endnote reference"/>
    <w:basedOn w:val="DefaultParagraphFont"/>
    <w:uiPriority w:val="99"/>
    <w:semiHidden w:val="1"/>
    <w:unhideWhenUsed w:val="1"/>
    <w:rPr>
      <w:vertAlign w:val="superscript"/>
    </w:rPr>
  </w:style>
  <w:style w:type="paragraph" w:styleId="EndnoteText">
    <w:name w:val="endnote text"/>
    <w:basedOn w:val="Normal"/>
    <w:link w:val="EndnoteTextChar"/>
    <w:uiPriority w:val="99"/>
    <w:semiHidden w:val="1"/>
    <w:unhideWhenUsed w:val="1"/>
    <w:pPr>
      <w:spacing w:after="0" w:line="240" w:lineRule="auto"/>
    </w:pPr>
    <w:rPr>
      <w:sz w:val="20"/>
      <w:szCs w:val="20"/>
    </w:rPr>
  </w:style>
  <w:style w:type="character" w:styleId="EndnoteTextChar">
    <w:name w:val="Endnote Text Char"/>
    <w:basedOn w:val="DefaultParagraphFont"/>
    <w:link w:val="EndnoteText"/>
    <w:uiPriority w:val="99"/>
    <w:semiHidden w:val="1"/>
    <w:unhideWhenUsed w:val="1"/>
    <w:rPr>
      <w:sz w:val="20"/>
      <w:szCs w:val="20"/>
    </w:rPr>
  </w:style>
  <w:style w:type="paragraph" w:styleId="TOC1">
    <w:name w:val="toc 1"/>
    <w:rPr>
      <w:rFonts w:ascii="Times New Roman" w:cs="Times New Roman" w:eastAsia="SimSun" w:hAnsi="Times New Roman"/>
      <w:sz w:val="22"/>
      <w:szCs w:val="22"/>
    </w:rPr>
  </w:style>
  <w:style w:type="paragraph" w:styleId="TOC2">
    <w:name w:val="toc 2"/>
    <w:rPr>
      <w:rFonts w:ascii="Times New Roman" w:cs="Times New Roman" w:eastAsia="SimSun" w:hAnsi="Times New Roman"/>
      <w:sz w:val="22"/>
      <w:szCs w:val="2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eader" Target="header1.xml"/><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wXmBIhJboYJYGIbAtCWpMQyc6mA==">CgMxLjA4AHIhMUhHcXFaOHBKYUlQMERNUkhNTlg3Sk1rUkp2YUQ1ck8x</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2026-10-18T18:00:22.347Z</dcterms:created>
  <dc:creator>Un-named</dc:creator>
</cp:coreProperties>
</file>

<file path=docProps/custom.xml><?xml version="1.0" encoding="utf-8"?>
<Properties xmlns="http://schemas.openxmlformats.org/officeDocument/2006/custom-properties" xmlns:vt="http://schemas.openxmlformats.org/officeDocument/2006/docPropsVTypes"/>
</file>