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44E480" w14:textId="77777777" w:rsidR="005B184F" w:rsidRPr="007A1F28" w:rsidRDefault="005B184F" w:rsidP="005B184F">
      <w:pPr>
        <w:adjustRightInd w:val="0"/>
        <w:snapToGrid w:val="0"/>
        <w:jc w:val="center"/>
        <w:rPr>
          <w:sz w:val="20"/>
          <w:szCs w:val="20"/>
          <w:lang w:val="en-US"/>
        </w:rPr>
      </w:pPr>
      <w:bookmarkStart w:id="0" w:name="_Hlk192010821"/>
      <w:bookmarkEnd w:id="0"/>
    </w:p>
    <w:p w14:paraId="05FEFE23" w14:textId="52C1C96C" w:rsidR="005B184F" w:rsidRPr="003C1399" w:rsidRDefault="00B91F49" w:rsidP="005B184F">
      <w:pPr>
        <w:adjustRightInd w:val="0"/>
        <w:snapToGrid w:val="0"/>
        <w:spacing w:line="0" w:lineRule="atLeast"/>
        <w:jc w:val="both"/>
        <w:rPr>
          <w:b/>
          <w:sz w:val="26"/>
        </w:rPr>
      </w:pPr>
      <w:r w:rsidRPr="00B91F49">
        <w:rPr>
          <w:b/>
          <w:sz w:val="26"/>
        </w:rPr>
        <w:drawing>
          <wp:inline distT="0" distB="0" distL="0" distR="0" wp14:anchorId="6F591A95" wp14:editId="5140B49B">
            <wp:extent cx="5829300" cy="8305800"/>
            <wp:effectExtent l="0" t="0" r="0" b="0"/>
            <wp:docPr id="417650487" name="Picture 1" descr="A black and white documen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50487" name="Picture 1" descr="A black and white document with white text&#10;&#10;Description automatically generated"/>
                    <pic:cNvPicPr/>
                  </pic:nvPicPr>
                  <pic:blipFill>
                    <a:blip r:embed="rId8"/>
                    <a:stretch>
                      <a:fillRect/>
                    </a:stretch>
                  </pic:blipFill>
                  <pic:spPr>
                    <a:xfrm>
                      <a:off x="0" y="0"/>
                      <a:ext cx="5829300" cy="8305800"/>
                    </a:xfrm>
                    <a:prstGeom prst="rect">
                      <a:avLst/>
                    </a:prstGeom>
                  </pic:spPr>
                </pic:pic>
              </a:graphicData>
            </a:graphic>
          </wp:inline>
        </w:drawing>
      </w:r>
    </w:p>
    <w:p w14:paraId="589AB51E" w14:textId="77777777" w:rsidR="00B91F49" w:rsidRDefault="00B91F49" w:rsidP="005B184F">
      <w:pPr>
        <w:adjustRightInd w:val="0"/>
        <w:snapToGrid w:val="0"/>
        <w:spacing w:line="0" w:lineRule="atLeast"/>
        <w:jc w:val="center"/>
        <w:rPr>
          <w:b/>
          <w:sz w:val="26"/>
          <w:szCs w:val="26"/>
        </w:rPr>
      </w:pPr>
    </w:p>
    <w:p w14:paraId="19B8BC9A" w14:textId="77777777" w:rsidR="00B91F49" w:rsidRDefault="00B91F49" w:rsidP="00B91F49">
      <w:pPr>
        <w:adjustRightInd w:val="0"/>
        <w:snapToGrid w:val="0"/>
        <w:spacing w:line="0" w:lineRule="atLeast"/>
        <w:rPr>
          <w:b/>
          <w:sz w:val="26"/>
          <w:szCs w:val="26"/>
        </w:rPr>
      </w:pPr>
    </w:p>
    <w:p w14:paraId="21D98CC0" w14:textId="77777777" w:rsidR="00B91F49" w:rsidRDefault="00B91F49" w:rsidP="005B184F">
      <w:pPr>
        <w:adjustRightInd w:val="0"/>
        <w:snapToGrid w:val="0"/>
        <w:spacing w:line="0" w:lineRule="atLeast"/>
        <w:jc w:val="center"/>
        <w:rPr>
          <w:b/>
          <w:sz w:val="26"/>
          <w:szCs w:val="26"/>
        </w:rPr>
      </w:pPr>
    </w:p>
    <w:p w14:paraId="47BFC74A" w14:textId="77777777" w:rsidR="00B91F49" w:rsidRDefault="00B91F49" w:rsidP="005B184F">
      <w:pPr>
        <w:adjustRightInd w:val="0"/>
        <w:snapToGrid w:val="0"/>
        <w:spacing w:line="0" w:lineRule="atLeast"/>
        <w:jc w:val="center"/>
        <w:rPr>
          <w:b/>
          <w:sz w:val="26"/>
          <w:szCs w:val="26"/>
        </w:rPr>
      </w:pPr>
    </w:p>
    <w:p w14:paraId="22682CF4" w14:textId="31F965B6" w:rsidR="005B184F" w:rsidRPr="003C1399" w:rsidRDefault="005B184F" w:rsidP="005B184F">
      <w:pPr>
        <w:adjustRightInd w:val="0"/>
        <w:snapToGrid w:val="0"/>
        <w:spacing w:line="0" w:lineRule="atLeast"/>
        <w:jc w:val="center"/>
        <w:rPr>
          <w:b/>
          <w:sz w:val="26"/>
          <w:szCs w:val="26"/>
        </w:rPr>
      </w:pPr>
      <w:r w:rsidRPr="003C1399">
        <w:rPr>
          <w:b/>
          <w:noProof/>
          <w:sz w:val="26"/>
          <w:lang w:val="en-US"/>
        </w:rPr>
        <w:lastRenderedPageBreak/>
        <w:drawing>
          <wp:inline distT="0" distB="0" distL="0" distR="0" wp14:anchorId="33CD3102" wp14:editId="61DDE5B4">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19154E0" w14:textId="77777777" w:rsidR="005B184F" w:rsidRPr="003C1399" w:rsidRDefault="005B184F" w:rsidP="005B184F">
      <w:pPr>
        <w:adjustRightInd w:val="0"/>
        <w:snapToGrid w:val="0"/>
        <w:spacing w:line="0" w:lineRule="atLeast"/>
        <w:jc w:val="center"/>
        <w:rPr>
          <w:b/>
          <w:sz w:val="26"/>
          <w:szCs w:val="26"/>
        </w:rPr>
      </w:pPr>
    </w:p>
    <w:p w14:paraId="0F71CCC0" w14:textId="77777777" w:rsidR="005B184F" w:rsidRPr="003C1399" w:rsidRDefault="005B184F" w:rsidP="005B184F">
      <w:pPr>
        <w:adjustRightInd w:val="0"/>
        <w:snapToGrid w:val="0"/>
        <w:spacing w:line="0" w:lineRule="atLeast"/>
        <w:jc w:val="center"/>
        <w:rPr>
          <w:b/>
          <w:sz w:val="26"/>
          <w:szCs w:val="26"/>
        </w:rPr>
      </w:pPr>
    </w:p>
    <w:p w14:paraId="1BC89E25" w14:textId="77777777" w:rsidR="005B184F" w:rsidRPr="00E940F0" w:rsidRDefault="005B184F" w:rsidP="005B184F">
      <w:pPr>
        <w:adjustRightInd w:val="0"/>
        <w:snapToGrid w:val="0"/>
        <w:spacing w:line="0" w:lineRule="atLeast"/>
        <w:jc w:val="center"/>
        <w:rPr>
          <w:b/>
          <w:sz w:val="36"/>
          <w:szCs w:val="36"/>
        </w:rPr>
      </w:pPr>
      <w:r w:rsidRPr="00E940F0">
        <w:rPr>
          <w:color w:val="000000"/>
          <w:sz w:val="36"/>
          <w:szCs w:val="36"/>
        </w:rPr>
        <w:t>UWTSD MBA HKBM7009</w:t>
      </w:r>
      <w:r w:rsidRPr="00E940F0">
        <w:rPr>
          <w:color w:val="000000"/>
          <w:sz w:val="36"/>
          <w:szCs w:val="36"/>
        </w:rPr>
        <w:br/>
        <w:t>(UWMBA-30013-202</w:t>
      </w:r>
      <w:r>
        <w:rPr>
          <w:color w:val="000000"/>
          <w:sz w:val="36"/>
          <w:szCs w:val="36"/>
        </w:rPr>
        <w:t>4</w:t>
      </w:r>
      <w:r w:rsidRPr="00E940F0">
        <w:rPr>
          <w:color w:val="000000"/>
          <w:sz w:val="36"/>
          <w:szCs w:val="36"/>
        </w:rPr>
        <w:t>-1-SS)</w:t>
      </w:r>
    </w:p>
    <w:p w14:paraId="7A67B459" w14:textId="77777777" w:rsidR="005B184F" w:rsidRPr="00E940F0" w:rsidRDefault="005B184F" w:rsidP="005B184F">
      <w:pPr>
        <w:adjustRightInd w:val="0"/>
        <w:snapToGrid w:val="0"/>
        <w:spacing w:line="0" w:lineRule="atLeast"/>
        <w:jc w:val="center"/>
        <w:rPr>
          <w:bCs/>
          <w:sz w:val="36"/>
          <w:szCs w:val="36"/>
        </w:rPr>
      </w:pPr>
      <w:r w:rsidRPr="00CD7E3B">
        <w:rPr>
          <w:bCs/>
          <w:sz w:val="36"/>
          <w:szCs w:val="36"/>
        </w:rPr>
        <w:t>HKBM7009</w:t>
      </w:r>
      <w:r>
        <w:rPr>
          <w:bCs/>
          <w:sz w:val="36"/>
          <w:szCs w:val="36"/>
        </w:rPr>
        <w:t xml:space="preserve"> </w:t>
      </w:r>
      <w:r w:rsidRPr="00E940F0">
        <w:rPr>
          <w:bCs/>
          <w:sz w:val="36"/>
          <w:szCs w:val="36"/>
        </w:rPr>
        <w:t xml:space="preserve">Global Business Challenges </w:t>
      </w:r>
    </w:p>
    <w:p w14:paraId="777EC266" w14:textId="77777777" w:rsidR="005B184F" w:rsidRDefault="005B184F" w:rsidP="005B184F">
      <w:pPr>
        <w:adjustRightInd w:val="0"/>
        <w:snapToGrid w:val="0"/>
        <w:spacing w:line="0" w:lineRule="atLeast"/>
        <w:jc w:val="center"/>
        <w:rPr>
          <w:b/>
          <w:sz w:val="32"/>
          <w:szCs w:val="32"/>
        </w:rPr>
      </w:pPr>
    </w:p>
    <w:p w14:paraId="54F4BDDC" w14:textId="77777777" w:rsidR="005B184F" w:rsidRDefault="005B184F" w:rsidP="005B184F">
      <w:pPr>
        <w:adjustRightInd w:val="0"/>
        <w:snapToGrid w:val="0"/>
        <w:spacing w:line="0" w:lineRule="atLeast"/>
        <w:jc w:val="center"/>
        <w:rPr>
          <w:b/>
          <w:sz w:val="32"/>
          <w:szCs w:val="32"/>
        </w:rPr>
      </w:pPr>
    </w:p>
    <w:p w14:paraId="4C249609" w14:textId="77777777" w:rsidR="005B184F" w:rsidRDefault="005B184F" w:rsidP="005B184F">
      <w:pPr>
        <w:adjustRightInd w:val="0"/>
        <w:snapToGrid w:val="0"/>
        <w:spacing w:line="0" w:lineRule="atLeast"/>
        <w:jc w:val="center"/>
        <w:rPr>
          <w:b/>
          <w:sz w:val="32"/>
          <w:szCs w:val="32"/>
        </w:rPr>
      </w:pPr>
    </w:p>
    <w:p w14:paraId="329CAD70" w14:textId="0024D328" w:rsidR="005B184F" w:rsidRPr="00012DD3" w:rsidRDefault="005B184F" w:rsidP="005B184F">
      <w:pPr>
        <w:adjustRightInd w:val="0"/>
        <w:snapToGrid w:val="0"/>
        <w:spacing w:line="0" w:lineRule="atLeast"/>
        <w:jc w:val="center"/>
        <w:rPr>
          <w:bCs/>
          <w:color w:val="000000" w:themeColor="text1"/>
          <w:sz w:val="36"/>
          <w:szCs w:val="36"/>
        </w:rPr>
      </w:pPr>
      <w:r w:rsidRPr="00012DD3">
        <w:rPr>
          <w:bCs/>
          <w:color w:val="000000" w:themeColor="text1"/>
          <w:sz w:val="36"/>
          <w:szCs w:val="36"/>
          <w:lang w:val="en-GB"/>
        </w:rPr>
        <w:t xml:space="preserve">An </w:t>
      </w:r>
      <w:r w:rsidR="000F5FAA" w:rsidRPr="00012DD3">
        <w:rPr>
          <w:bCs/>
          <w:color w:val="000000" w:themeColor="text1"/>
          <w:sz w:val="36"/>
          <w:szCs w:val="36"/>
          <w:lang w:val="en-GB"/>
        </w:rPr>
        <w:t>a</w:t>
      </w:r>
      <w:r w:rsidRPr="00012DD3">
        <w:rPr>
          <w:bCs/>
          <w:color w:val="000000" w:themeColor="text1"/>
          <w:sz w:val="36"/>
          <w:szCs w:val="36"/>
          <w:lang w:val="en-GB"/>
        </w:rPr>
        <w:t xml:space="preserve">nalytical </w:t>
      </w:r>
      <w:r w:rsidR="000F5FAA" w:rsidRPr="00012DD3">
        <w:rPr>
          <w:bCs/>
          <w:color w:val="000000" w:themeColor="text1"/>
          <w:sz w:val="36"/>
          <w:szCs w:val="36"/>
          <w:lang w:val="en-GB"/>
        </w:rPr>
        <w:t>report on how global price changes a</w:t>
      </w:r>
      <w:r w:rsidRPr="00012DD3">
        <w:rPr>
          <w:bCs/>
          <w:color w:val="000000" w:themeColor="text1"/>
          <w:sz w:val="36"/>
          <w:szCs w:val="36"/>
          <w:lang w:val="en-GB"/>
        </w:rPr>
        <w:t xml:space="preserve">ffects </w:t>
      </w:r>
      <w:r w:rsidR="000F5FAA" w:rsidRPr="00012DD3">
        <w:rPr>
          <w:bCs/>
          <w:color w:val="000000" w:themeColor="text1"/>
          <w:sz w:val="36"/>
          <w:szCs w:val="36"/>
          <w:lang w:val="en-GB"/>
        </w:rPr>
        <w:t>d</w:t>
      </w:r>
      <w:r w:rsidRPr="00012DD3">
        <w:rPr>
          <w:bCs/>
          <w:color w:val="000000" w:themeColor="text1"/>
          <w:sz w:val="36"/>
          <w:szCs w:val="36"/>
          <w:lang w:val="en-GB"/>
        </w:rPr>
        <w:t>omestic market</w:t>
      </w:r>
    </w:p>
    <w:p w14:paraId="3FB6772E" w14:textId="77777777" w:rsidR="005B184F" w:rsidRPr="00012DD3" w:rsidRDefault="005B184F" w:rsidP="005B184F">
      <w:pPr>
        <w:adjustRightInd w:val="0"/>
        <w:snapToGrid w:val="0"/>
        <w:spacing w:line="0" w:lineRule="atLeast"/>
        <w:jc w:val="center"/>
        <w:rPr>
          <w:bCs/>
          <w:sz w:val="32"/>
          <w:szCs w:val="32"/>
        </w:rPr>
      </w:pPr>
      <w:r w:rsidRPr="00012DD3">
        <w:rPr>
          <w:bCs/>
          <w:sz w:val="32"/>
          <w:szCs w:val="32"/>
        </w:rPr>
        <w:t xml:space="preserve"> </w:t>
      </w:r>
    </w:p>
    <w:p w14:paraId="56070337" w14:textId="77777777" w:rsidR="005B184F" w:rsidRPr="003C1399" w:rsidRDefault="005B184F" w:rsidP="005B184F">
      <w:pPr>
        <w:adjustRightInd w:val="0"/>
        <w:snapToGrid w:val="0"/>
        <w:spacing w:line="0" w:lineRule="atLeast"/>
        <w:jc w:val="center"/>
        <w:rPr>
          <w:b/>
          <w:sz w:val="26"/>
          <w:szCs w:val="26"/>
        </w:rPr>
      </w:pPr>
    </w:p>
    <w:p w14:paraId="66133736" w14:textId="77777777" w:rsidR="005B184F" w:rsidRPr="003C1399" w:rsidRDefault="005B184F" w:rsidP="005B184F">
      <w:pPr>
        <w:adjustRightInd w:val="0"/>
        <w:snapToGrid w:val="0"/>
        <w:spacing w:line="0" w:lineRule="atLeast"/>
        <w:jc w:val="center"/>
        <w:rPr>
          <w:b/>
          <w:sz w:val="32"/>
          <w:szCs w:val="32"/>
        </w:rPr>
      </w:pPr>
      <w:r w:rsidRPr="003C1399">
        <w:rPr>
          <w:b/>
          <w:sz w:val="32"/>
          <w:szCs w:val="32"/>
        </w:rPr>
        <w:t xml:space="preserve"> </w:t>
      </w:r>
    </w:p>
    <w:p w14:paraId="0A39F17B" w14:textId="77777777" w:rsidR="005B184F" w:rsidRPr="003C1399" w:rsidRDefault="005B184F" w:rsidP="005B184F">
      <w:pPr>
        <w:adjustRightInd w:val="0"/>
        <w:snapToGrid w:val="0"/>
        <w:spacing w:line="0" w:lineRule="atLeast"/>
        <w:jc w:val="center"/>
        <w:rPr>
          <w:b/>
          <w:sz w:val="26"/>
        </w:rPr>
      </w:pPr>
    </w:p>
    <w:p w14:paraId="6BF1AD82" w14:textId="77777777" w:rsidR="005B184F" w:rsidRPr="003C1399" w:rsidRDefault="005B184F" w:rsidP="005B184F">
      <w:pPr>
        <w:adjustRightInd w:val="0"/>
        <w:snapToGrid w:val="0"/>
        <w:spacing w:line="0" w:lineRule="atLeast"/>
        <w:jc w:val="both"/>
        <w:rPr>
          <w:b/>
          <w:sz w:val="26"/>
        </w:rPr>
      </w:pPr>
    </w:p>
    <w:p w14:paraId="319A4C6A" w14:textId="77777777" w:rsidR="005B184F" w:rsidRPr="003C1399" w:rsidRDefault="005B184F" w:rsidP="005B184F">
      <w:pPr>
        <w:adjustRightInd w:val="0"/>
        <w:snapToGrid w:val="0"/>
        <w:spacing w:line="0" w:lineRule="atLeast"/>
        <w:jc w:val="both"/>
        <w:rPr>
          <w:b/>
          <w:sz w:val="26"/>
        </w:rPr>
      </w:pPr>
    </w:p>
    <w:p w14:paraId="07723F79" w14:textId="77777777" w:rsidR="005B184F" w:rsidRPr="003C1399" w:rsidRDefault="005B184F" w:rsidP="005B184F">
      <w:pPr>
        <w:adjustRightInd w:val="0"/>
        <w:snapToGrid w:val="0"/>
        <w:spacing w:line="0" w:lineRule="atLeast"/>
        <w:jc w:val="both"/>
        <w:rPr>
          <w:b/>
          <w:sz w:val="26"/>
        </w:rPr>
      </w:pPr>
    </w:p>
    <w:p w14:paraId="44F9CAF1" w14:textId="77777777" w:rsidR="005B184F" w:rsidRPr="00684616" w:rsidRDefault="005B184F" w:rsidP="005B184F">
      <w:pPr>
        <w:adjustRightInd w:val="0"/>
        <w:snapToGrid w:val="0"/>
        <w:spacing w:line="0" w:lineRule="atLeast"/>
        <w:jc w:val="center"/>
        <w:rPr>
          <w:sz w:val="28"/>
          <w:szCs w:val="28"/>
        </w:rPr>
      </w:pPr>
      <w:r w:rsidRPr="003C1399">
        <w:rPr>
          <w:sz w:val="28"/>
          <w:szCs w:val="28"/>
        </w:rPr>
        <w:t>A</w:t>
      </w:r>
      <w:r w:rsidRPr="00684616">
        <w:rPr>
          <w:sz w:val="28"/>
          <w:szCs w:val="28"/>
        </w:rPr>
        <w:t>n</w:t>
      </w:r>
      <w:r w:rsidRPr="003C1399">
        <w:rPr>
          <w:sz w:val="28"/>
          <w:szCs w:val="28"/>
        </w:rPr>
        <w:t xml:space="preserve"> </w:t>
      </w:r>
      <w:r w:rsidRPr="00684616">
        <w:rPr>
          <w:sz w:val="28"/>
          <w:szCs w:val="28"/>
        </w:rPr>
        <w:t xml:space="preserve">Analytical Report </w:t>
      </w:r>
      <w:r w:rsidRPr="003C1399">
        <w:rPr>
          <w:sz w:val="28"/>
          <w:szCs w:val="28"/>
        </w:rPr>
        <w:t xml:space="preserve">Submitted in </w:t>
      </w:r>
      <w:r w:rsidRPr="00684616">
        <w:rPr>
          <w:sz w:val="28"/>
          <w:szCs w:val="28"/>
        </w:rPr>
        <w:t>Contribution to 100% Module Assessment</w:t>
      </w:r>
    </w:p>
    <w:p w14:paraId="3DEB4C0E" w14:textId="77777777" w:rsidR="005B184F" w:rsidRPr="003C1399" w:rsidRDefault="005B184F" w:rsidP="005B184F">
      <w:pPr>
        <w:adjustRightInd w:val="0"/>
        <w:snapToGrid w:val="0"/>
        <w:spacing w:line="0" w:lineRule="atLeast"/>
        <w:jc w:val="center"/>
      </w:pPr>
    </w:p>
    <w:p w14:paraId="06D17A06" w14:textId="77777777" w:rsidR="005B184F" w:rsidRPr="003C1399" w:rsidRDefault="005B184F" w:rsidP="005B184F">
      <w:pPr>
        <w:adjustRightInd w:val="0"/>
        <w:snapToGrid w:val="0"/>
        <w:spacing w:line="0" w:lineRule="atLeast"/>
        <w:jc w:val="both"/>
        <w:rPr>
          <w:b/>
          <w:sz w:val="26"/>
        </w:rPr>
      </w:pPr>
      <w:r w:rsidRPr="003C1399">
        <w:rPr>
          <w:b/>
          <w:sz w:val="26"/>
        </w:rPr>
        <w:t xml:space="preserve"> </w:t>
      </w:r>
    </w:p>
    <w:p w14:paraId="2D42EFDA" w14:textId="77777777" w:rsidR="005B184F" w:rsidRDefault="005B184F" w:rsidP="005B184F">
      <w:pPr>
        <w:adjustRightInd w:val="0"/>
        <w:snapToGrid w:val="0"/>
        <w:spacing w:line="0" w:lineRule="atLeast"/>
        <w:jc w:val="both"/>
        <w:rPr>
          <w:b/>
          <w:sz w:val="26"/>
        </w:rPr>
      </w:pPr>
    </w:p>
    <w:p w14:paraId="7BF85675" w14:textId="77777777" w:rsidR="005B184F" w:rsidRDefault="005B184F" w:rsidP="005B184F">
      <w:pPr>
        <w:adjustRightInd w:val="0"/>
        <w:snapToGrid w:val="0"/>
        <w:spacing w:line="0" w:lineRule="atLeast"/>
        <w:jc w:val="both"/>
        <w:rPr>
          <w:b/>
          <w:sz w:val="26"/>
        </w:rPr>
      </w:pPr>
    </w:p>
    <w:p w14:paraId="0119C5A9" w14:textId="77777777" w:rsidR="005B184F" w:rsidRDefault="005B184F" w:rsidP="005B184F">
      <w:pPr>
        <w:adjustRightInd w:val="0"/>
        <w:snapToGrid w:val="0"/>
        <w:spacing w:line="0" w:lineRule="atLeast"/>
        <w:jc w:val="both"/>
        <w:rPr>
          <w:b/>
          <w:sz w:val="26"/>
        </w:rPr>
      </w:pPr>
    </w:p>
    <w:p w14:paraId="54C0A14F" w14:textId="77777777" w:rsidR="005B184F" w:rsidRDefault="005B184F" w:rsidP="005B184F">
      <w:pPr>
        <w:adjustRightInd w:val="0"/>
        <w:snapToGrid w:val="0"/>
        <w:spacing w:line="0" w:lineRule="atLeast"/>
        <w:jc w:val="both"/>
        <w:rPr>
          <w:b/>
          <w:sz w:val="26"/>
        </w:rPr>
      </w:pPr>
    </w:p>
    <w:p w14:paraId="7CF94763" w14:textId="77777777" w:rsidR="005B184F" w:rsidRPr="003C1399" w:rsidRDefault="005B184F" w:rsidP="005B184F">
      <w:pPr>
        <w:adjustRightInd w:val="0"/>
        <w:snapToGrid w:val="0"/>
        <w:spacing w:line="0" w:lineRule="atLeast"/>
        <w:jc w:val="both"/>
        <w:rPr>
          <w:b/>
          <w:sz w:val="26"/>
        </w:rPr>
      </w:pPr>
    </w:p>
    <w:p w14:paraId="023497A8" w14:textId="77777777" w:rsidR="005B184F" w:rsidRPr="003C1399" w:rsidRDefault="005B184F" w:rsidP="005B184F">
      <w:pPr>
        <w:adjustRightInd w:val="0"/>
        <w:snapToGrid w:val="0"/>
        <w:spacing w:line="0" w:lineRule="atLeast"/>
        <w:jc w:val="both"/>
        <w:rPr>
          <w:b/>
          <w:sz w:val="26"/>
        </w:rPr>
      </w:pPr>
    </w:p>
    <w:p w14:paraId="36AAB0B8" w14:textId="77777777" w:rsidR="005B184F" w:rsidRPr="003C1399" w:rsidRDefault="005B184F" w:rsidP="005B184F">
      <w:pPr>
        <w:adjustRightInd w:val="0"/>
        <w:snapToGrid w:val="0"/>
        <w:spacing w:line="0" w:lineRule="atLeast"/>
        <w:jc w:val="both"/>
        <w:rPr>
          <w:b/>
          <w:sz w:val="26"/>
        </w:rPr>
      </w:pPr>
    </w:p>
    <w:tbl>
      <w:tblPr>
        <w:tblW w:w="8610" w:type="dxa"/>
        <w:tblLayout w:type="fixed"/>
        <w:tblLook w:val="04A0" w:firstRow="1" w:lastRow="0" w:firstColumn="1" w:lastColumn="0" w:noHBand="0" w:noVBand="1"/>
      </w:tblPr>
      <w:tblGrid>
        <w:gridCol w:w="2942"/>
        <w:gridCol w:w="284"/>
        <w:gridCol w:w="5384"/>
      </w:tblGrid>
      <w:tr w:rsidR="005B184F" w:rsidRPr="003C1399" w14:paraId="58608921" w14:textId="77777777" w:rsidTr="0070159C">
        <w:tc>
          <w:tcPr>
            <w:tcW w:w="2942" w:type="dxa"/>
            <w:hideMark/>
          </w:tcPr>
          <w:p w14:paraId="4D4A4E86" w14:textId="77777777" w:rsidR="005B184F" w:rsidRPr="003C1399" w:rsidRDefault="005B184F" w:rsidP="0070159C">
            <w:pPr>
              <w:tabs>
                <w:tab w:val="left" w:pos="4606"/>
              </w:tabs>
              <w:adjustRightInd w:val="0"/>
              <w:snapToGrid w:val="0"/>
              <w:spacing w:line="360" w:lineRule="auto"/>
              <w:jc w:val="both"/>
              <w:rPr>
                <w:b/>
                <w:sz w:val="26"/>
              </w:rPr>
            </w:pPr>
            <w:r w:rsidRPr="003C1399">
              <w:rPr>
                <w:b/>
                <w:sz w:val="28"/>
                <w:szCs w:val="28"/>
              </w:rPr>
              <w:t>Student Name</w:t>
            </w:r>
          </w:p>
        </w:tc>
        <w:tc>
          <w:tcPr>
            <w:tcW w:w="284" w:type="dxa"/>
            <w:hideMark/>
          </w:tcPr>
          <w:p w14:paraId="36B346B1" w14:textId="77777777" w:rsidR="005B184F" w:rsidRPr="003C1399" w:rsidRDefault="005B184F" w:rsidP="0070159C">
            <w:pPr>
              <w:tabs>
                <w:tab w:val="left" w:pos="4606"/>
              </w:tabs>
              <w:adjustRightInd w:val="0"/>
              <w:snapToGrid w:val="0"/>
              <w:spacing w:line="360" w:lineRule="auto"/>
              <w:jc w:val="both"/>
              <w:rPr>
                <w:b/>
                <w:sz w:val="26"/>
              </w:rPr>
            </w:pPr>
            <w:r w:rsidRPr="003C1399">
              <w:rPr>
                <w:rFonts w:hint="eastAsia"/>
                <w:b/>
                <w:sz w:val="28"/>
                <w:szCs w:val="28"/>
              </w:rPr>
              <w:t>：</w:t>
            </w:r>
          </w:p>
        </w:tc>
        <w:tc>
          <w:tcPr>
            <w:tcW w:w="5384" w:type="dxa"/>
          </w:tcPr>
          <w:p w14:paraId="16ABD03E" w14:textId="27A61C2E" w:rsidR="005B184F" w:rsidRPr="005B184F" w:rsidRDefault="005B184F" w:rsidP="0070159C">
            <w:pPr>
              <w:tabs>
                <w:tab w:val="left" w:pos="4606"/>
              </w:tabs>
              <w:adjustRightInd w:val="0"/>
              <w:snapToGrid w:val="0"/>
              <w:spacing w:line="360" w:lineRule="auto"/>
              <w:jc w:val="both"/>
              <w:rPr>
                <w:sz w:val="28"/>
                <w:szCs w:val="28"/>
              </w:rPr>
            </w:pPr>
            <w:r w:rsidRPr="005B184F">
              <w:rPr>
                <w:sz w:val="28"/>
                <w:szCs w:val="28"/>
              </w:rPr>
              <w:t>Chan Sze Wan</w:t>
            </w:r>
          </w:p>
        </w:tc>
      </w:tr>
      <w:tr w:rsidR="005B184F" w:rsidRPr="003C1399" w14:paraId="31738DCA" w14:textId="77777777" w:rsidTr="0070159C">
        <w:tc>
          <w:tcPr>
            <w:tcW w:w="2942" w:type="dxa"/>
            <w:hideMark/>
          </w:tcPr>
          <w:p w14:paraId="0A799015" w14:textId="77777777" w:rsidR="005B184F" w:rsidRPr="003C1399" w:rsidRDefault="005B184F" w:rsidP="0070159C">
            <w:pPr>
              <w:tabs>
                <w:tab w:val="left" w:pos="4606"/>
              </w:tabs>
              <w:adjustRightInd w:val="0"/>
              <w:snapToGrid w:val="0"/>
              <w:spacing w:line="360" w:lineRule="auto"/>
              <w:jc w:val="both"/>
              <w:rPr>
                <w:b/>
                <w:sz w:val="26"/>
              </w:rPr>
            </w:pPr>
            <w:r w:rsidRPr="003C1399">
              <w:rPr>
                <w:b/>
                <w:sz w:val="28"/>
                <w:szCs w:val="28"/>
              </w:rPr>
              <w:t>Student ID Number</w:t>
            </w:r>
          </w:p>
        </w:tc>
        <w:tc>
          <w:tcPr>
            <w:tcW w:w="284" w:type="dxa"/>
            <w:hideMark/>
          </w:tcPr>
          <w:p w14:paraId="749927FA" w14:textId="77777777" w:rsidR="005B184F" w:rsidRPr="003C1399" w:rsidRDefault="005B184F" w:rsidP="0070159C">
            <w:pPr>
              <w:tabs>
                <w:tab w:val="left" w:pos="4606"/>
              </w:tabs>
              <w:adjustRightInd w:val="0"/>
              <w:snapToGrid w:val="0"/>
              <w:spacing w:line="360" w:lineRule="auto"/>
              <w:jc w:val="both"/>
              <w:rPr>
                <w:b/>
                <w:sz w:val="26"/>
              </w:rPr>
            </w:pPr>
            <w:r w:rsidRPr="003C1399">
              <w:rPr>
                <w:rFonts w:hint="eastAsia"/>
                <w:b/>
                <w:sz w:val="28"/>
                <w:szCs w:val="28"/>
              </w:rPr>
              <w:t>：</w:t>
            </w:r>
          </w:p>
        </w:tc>
        <w:tc>
          <w:tcPr>
            <w:tcW w:w="5384" w:type="dxa"/>
          </w:tcPr>
          <w:p w14:paraId="329FA46C" w14:textId="757FFE2D" w:rsidR="005B184F" w:rsidRPr="005B184F" w:rsidRDefault="005B184F" w:rsidP="0070159C">
            <w:pPr>
              <w:tabs>
                <w:tab w:val="left" w:pos="4606"/>
              </w:tabs>
              <w:adjustRightInd w:val="0"/>
              <w:snapToGrid w:val="0"/>
              <w:spacing w:line="360" w:lineRule="auto"/>
              <w:jc w:val="both"/>
              <w:rPr>
                <w:sz w:val="28"/>
                <w:szCs w:val="28"/>
              </w:rPr>
            </w:pPr>
            <w:r w:rsidRPr="005B184F">
              <w:rPr>
                <w:sz w:val="28"/>
                <w:szCs w:val="28"/>
              </w:rPr>
              <w:t>2425266</w:t>
            </w:r>
          </w:p>
        </w:tc>
      </w:tr>
      <w:tr w:rsidR="005B184F" w:rsidRPr="003C1399" w14:paraId="2F9E90F0" w14:textId="77777777" w:rsidTr="0070159C">
        <w:tc>
          <w:tcPr>
            <w:tcW w:w="2942" w:type="dxa"/>
          </w:tcPr>
          <w:p w14:paraId="39134DF5" w14:textId="77777777" w:rsidR="005B184F" w:rsidRPr="001E2AE8" w:rsidRDefault="005B184F" w:rsidP="0070159C">
            <w:pPr>
              <w:tabs>
                <w:tab w:val="left" w:pos="4606"/>
              </w:tabs>
              <w:adjustRightInd w:val="0"/>
              <w:snapToGrid w:val="0"/>
              <w:spacing w:line="360" w:lineRule="auto"/>
              <w:jc w:val="both"/>
              <w:rPr>
                <w:b/>
                <w:sz w:val="28"/>
                <w:szCs w:val="28"/>
              </w:rPr>
            </w:pPr>
            <w:r w:rsidRPr="003C1399">
              <w:rPr>
                <w:b/>
                <w:sz w:val="28"/>
                <w:szCs w:val="28"/>
              </w:rPr>
              <w:t>Date of Submission</w:t>
            </w:r>
          </w:p>
        </w:tc>
        <w:tc>
          <w:tcPr>
            <w:tcW w:w="284" w:type="dxa"/>
            <w:hideMark/>
          </w:tcPr>
          <w:p w14:paraId="34A28619" w14:textId="77777777" w:rsidR="005B184F" w:rsidRPr="003C1399" w:rsidRDefault="005B184F" w:rsidP="0070159C">
            <w:pPr>
              <w:tabs>
                <w:tab w:val="left" w:pos="4606"/>
              </w:tabs>
              <w:adjustRightInd w:val="0"/>
              <w:snapToGrid w:val="0"/>
              <w:spacing w:line="360" w:lineRule="auto"/>
              <w:jc w:val="both"/>
              <w:rPr>
                <w:b/>
                <w:sz w:val="26"/>
              </w:rPr>
            </w:pPr>
            <w:r w:rsidRPr="003C1399">
              <w:rPr>
                <w:rFonts w:hint="eastAsia"/>
                <w:b/>
                <w:sz w:val="28"/>
                <w:szCs w:val="28"/>
              </w:rPr>
              <w:t>：</w:t>
            </w:r>
          </w:p>
        </w:tc>
        <w:tc>
          <w:tcPr>
            <w:tcW w:w="5384" w:type="dxa"/>
            <w:hideMark/>
          </w:tcPr>
          <w:p w14:paraId="59FF3B9B" w14:textId="2B255AB6" w:rsidR="005B184F" w:rsidRPr="00902EEC" w:rsidRDefault="005B184F" w:rsidP="0070159C">
            <w:pPr>
              <w:tabs>
                <w:tab w:val="left" w:pos="4606"/>
              </w:tabs>
              <w:adjustRightInd w:val="0"/>
              <w:snapToGrid w:val="0"/>
              <w:spacing w:line="360" w:lineRule="auto"/>
              <w:jc w:val="both"/>
              <w:rPr>
                <w:sz w:val="26"/>
                <w:lang w:val="en-US"/>
              </w:rPr>
            </w:pPr>
            <w:r>
              <w:rPr>
                <w:sz w:val="26"/>
              </w:rPr>
              <w:t>10</w:t>
            </w:r>
            <w:r w:rsidRPr="00E940F0">
              <w:rPr>
                <w:sz w:val="26"/>
              </w:rPr>
              <w:t xml:space="preserve"> </w:t>
            </w:r>
            <w:r>
              <w:rPr>
                <w:sz w:val="26"/>
              </w:rPr>
              <w:t>March</w:t>
            </w:r>
            <w:r w:rsidRPr="00E940F0">
              <w:rPr>
                <w:sz w:val="26"/>
              </w:rPr>
              <w:t xml:space="preserve"> 202</w:t>
            </w:r>
            <w:r>
              <w:rPr>
                <w:sz w:val="26"/>
              </w:rPr>
              <w:t>5</w:t>
            </w:r>
          </w:p>
        </w:tc>
      </w:tr>
      <w:tr w:rsidR="005B184F" w:rsidRPr="003C1399" w14:paraId="12DF567D" w14:textId="77777777" w:rsidTr="0070159C">
        <w:tc>
          <w:tcPr>
            <w:tcW w:w="2942" w:type="dxa"/>
          </w:tcPr>
          <w:p w14:paraId="712B02AE" w14:textId="77777777" w:rsidR="005B184F" w:rsidRPr="003C1399" w:rsidRDefault="005B184F" w:rsidP="0070159C">
            <w:pPr>
              <w:tabs>
                <w:tab w:val="left" w:pos="4606"/>
              </w:tabs>
              <w:adjustRightInd w:val="0"/>
              <w:snapToGrid w:val="0"/>
              <w:spacing w:line="360" w:lineRule="auto"/>
              <w:jc w:val="both"/>
              <w:rPr>
                <w:b/>
                <w:sz w:val="28"/>
                <w:szCs w:val="28"/>
              </w:rPr>
            </w:pPr>
            <w:r>
              <w:rPr>
                <w:rFonts w:hint="eastAsia"/>
                <w:b/>
                <w:sz w:val="28"/>
                <w:szCs w:val="28"/>
              </w:rPr>
              <w:t>L</w:t>
            </w:r>
            <w:r>
              <w:rPr>
                <w:b/>
                <w:sz w:val="28"/>
                <w:szCs w:val="28"/>
              </w:rPr>
              <w:t>ecturer</w:t>
            </w:r>
          </w:p>
        </w:tc>
        <w:tc>
          <w:tcPr>
            <w:tcW w:w="284" w:type="dxa"/>
          </w:tcPr>
          <w:p w14:paraId="1A12AF98" w14:textId="77777777" w:rsidR="005B184F" w:rsidRPr="003C1399" w:rsidRDefault="005B184F" w:rsidP="0070159C">
            <w:pPr>
              <w:tabs>
                <w:tab w:val="left" w:pos="4606"/>
              </w:tabs>
              <w:adjustRightInd w:val="0"/>
              <w:snapToGrid w:val="0"/>
              <w:spacing w:line="360" w:lineRule="auto"/>
              <w:jc w:val="both"/>
              <w:rPr>
                <w:b/>
                <w:sz w:val="28"/>
                <w:szCs w:val="28"/>
              </w:rPr>
            </w:pPr>
            <w:r w:rsidRPr="003C1399">
              <w:rPr>
                <w:rFonts w:hint="eastAsia"/>
                <w:b/>
                <w:sz w:val="28"/>
                <w:szCs w:val="28"/>
              </w:rPr>
              <w:t>：</w:t>
            </w:r>
          </w:p>
        </w:tc>
        <w:tc>
          <w:tcPr>
            <w:tcW w:w="5384" w:type="dxa"/>
          </w:tcPr>
          <w:p w14:paraId="59E720BA" w14:textId="77777777" w:rsidR="005B184F" w:rsidRPr="003C1399" w:rsidRDefault="005B184F" w:rsidP="0070159C">
            <w:pPr>
              <w:tabs>
                <w:tab w:val="left" w:pos="4606"/>
              </w:tabs>
              <w:adjustRightInd w:val="0"/>
              <w:snapToGrid w:val="0"/>
              <w:spacing w:line="360" w:lineRule="auto"/>
              <w:jc w:val="both"/>
              <w:rPr>
                <w:sz w:val="26"/>
              </w:rPr>
            </w:pPr>
            <w:proofErr w:type="spellStart"/>
            <w:r w:rsidRPr="00E940F0">
              <w:rPr>
                <w:sz w:val="26"/>
              </w:rPr>
              <w:t>Dr.</w:t>
            </w:r>
            <w:proofErr w:type="spellEnd"/>
            <w:r w:rsidRPr="00E940F0">
              <w:rPr>
                <w:sz w:val="26"/>
              </w:rPr>
              <w:t xml:space="preserve"> Che Cheong Poon</w:t>
            </w:r>
          </w:p>
        </w:tc>
      </w:tr>
    </w:tbl>
    <w:p w14:paraId="4294BCDD" w14:textId="77777777" w:rsidR="005B184F" w:rsidRPr="0096250A" w:rsidRDefault="005B184F" w:rsidP="005B184F">
      <w:pPr>
        <w:jc w:val="both"/>
        <w:rPr>
          <w:rFonts w:eastAsia="DFKai-SB"/>
          <w:b/>
          <w:smallCaps/>
          <w:sz w:val="22"/>
          <w:u w:val="single"/>
          <w:lang w:val="en-GB"/>
        </w:rPr>
        <w:sectPr w:rsidR="005B184F" w:rsidRPr="0096250A" w:rsidSect="00AC3225">
          <w:footerReference w:type="even" r:id="rId10"/>
          <w:footerReference w:type="default" r:id="rId11"/>
          <w:pgSz w:w="11906" w:h="16838"/>
          <w:pgMar w:top="1134" w:right="1134" w:bottom="1134" w:left="1134" w:header="851" w:footer="992" w:gutter="0"/>
          <w:pgNumType w:fmt="lowerRoman" w:start="1"/>
          <w:cols w:space="425"/>
          <w:titlePg/>
          <w:docGrid w:type="lines" w:linePitch="360"/>
        </w:sectPr>
      </w:pPr>
    </w:p>
    <w:p w14:paraId="5F1E45C5" w14:textId="77777777" w:rsidR="005B184F" w:rsidRDefault="005B184F" w:rsidP="005B184F">
      <w:pPr>
        <w:jc w:val="both"/>
        <w:rPr>
          <w:b/>
          <w:sz w:val="20"/>
          <w:szCs w:val="20"/>
          <w:u w:val="single"/>
        </w:rPr>
      </w:pPr>
    </w:p>
    <w:p w14:paraId="27678E74" w14:textId="77777777" w:rsidR="005B184F" w:rsidRPr="00311ADA" w:rsidRDefault="005B184F" w:rsidP="005B184F">
      <w:pPr>
        <w:adjustRightInd w:val="0"/>
        <w:jc w:val="center"/>
        <w:rPr>
          <w:b/>
          <w:sz w:val="26"/>
          <w:szCs w:val="26"/>
          <w:u w:val="single"/>
        </w:rPr>
      </w:pPr>
      <w:r w:rsidRPr="00311ADA">
        <w:rPr>
          <w:color w:val="000000"/>
          <w:sz w:val="26"/>
          <w:szCs w:val="26"/>
        </w:rPr>
        <w:t>UWTSD MBA (</w:t>
      </w:r>
      <w:r>
        <w:rPr>
          <w:color w:val="000000"/>
          <w:sz w:val="26"/>
          <w:szCs w:val="26"/>
        </w:rPr>
        <w:t>May/</w:t>
      </w:r>
      <w:r w:rsidRPr="00311ADA">
        <w:rPr>
          <w:color w:val="000000"/>
          <w:sz w:val="26"/>
          <w:szCs w:val="26"/>
        </w:rPr>
        <w:t xml:space="preserve">Nov </w:t>
      </w:r>
      <w:r>
        <w:rPr>
          <w:color w:val="000000"/>
          <w:sz w:val="26"/>
          <w:szCs w:val="26"/>
        </w:rPr>
        <w:t>2023</w:t>
      </w:r>
      <w:r w:rsidRPr="00311ADA">
        <w:rPr>
          <w:color w:val="000000"/>
          <w:sz w:val="26"/>
          <w:szCs w:val="26"/>
        </w:rPr>
        <w:t xml:space="preserve"> intake</w:t>
      </w:r>
      <w:r>
        <w:rPr>
          <w:color w:val="000000"/>
          <w:sz w:val="26"/>
          <w:szCs w:val="26"/>
        </w:rPr>
        <w:t>s</w:t>
      </w:r>
      <w:r w:rsidRPr="00311ADA">
        <w:rPr>
          <w:color w:val="000000"/>
          <w:sz w:val="26"/>
          <w:szCs w:val="26"/>
        </w:rPr>
        <w:t xml:space="preserve">) </w:t>
      </w:r>
      <w:r>
        <w:rPr>
          <w:color w:val="000000"/>
          <w:sz w:val="26"/>
          <w:szCs w:val="26"/>
        </w:rPr>
        <w:br/>
      </w:r>
      <w:r w:rsidRPr="002904D7">
        <w:rPr>
          <w:color w:val="000000"/>
          <w:sz w:val="26"/>
          <w:szCs w:val="26"/>
        </w:rPr>
        <w:t>BMMB700</w:t>
      </w:r>
      <w:r>
        <w:rPr>
          <w:color w:val="000000"/>
          <w:sz w:val="26"/>
          <w:szCs w:val="26"/>
        </w:rPr>
        <w:t xml:space="preserve">9 </w:t>
      </w:r>
      <w:r w:rsidRPr="002904D7">
        <w:rPr>
          <w:color w:val="000000"/>
          <w:sz w:val="26"/>
          <w:szCs w:val="26"/>
        </w:rPr>
        <w:t>Global Business Challenges</w:t>
      </w:r>
    </w:p>
    <w:p w14:paraId="4AD0C398" w14:textId="77777777" w:rsidR="005B184F" w:rsidRPr="00311ADA" w:rsidRDefault="005B184F" w:rsidP="005B184F">
      <w:pPr>
        <w:adjustRightInd w:val="0"/>
        <w:jc w:val="center"/>
        <w:rPr>
          <w:b/>
          <w:sz w:val="26"/>
          <w:szCs w:val="26"/>
          <w:u w:val="single"/>
        </w:rPr>
      </w:pPr>
    </w:p>
    <w:p w14:paraId="45EC74B0" w14:textId="77777777" w:rsidR="005B184F" w:rsidRDefault="005B184F" w:rsidP="005B184F">
      <w:pPr>
        <w:rPr>
          <w:sz w:val="26"/>
          <w:szCs w:val="26"/>
        </w:rPr>
      </w:pPr>
      <w:r w:rsidRPr="00FE6608">
        <w:rPr>
          <w:sz w:val="26"/>
          <w:szCs w:val="26"/>
        </w:rPr>
        <w:t>Assignment Title:</w:t>
      </w:r>
      <w:r>
        <w:rPr>
          <w:sz w:val="26"/>
          <w:szCs w:val="26"/>
        </w:rPr>
        <w:t xml:space="preserve"> </w:t>
      </w:r>
    </w:p>
    <w:p w14:paraId="1B454EF1" w14:textId="77777777" w:rsidR="005B184F" w:rsidRDefault="005B184F" w:rsidP="005B184F">
      <w:pPr>
        <w:rPr>
          <w:sz w:val="26"/>
          <w:szCs w:val="26"/>
        </w:rPr>
      </w:pPr>
      <w:r w:rsidRPr="008B389D">
        <w:rPr>
          <w:sz w:val="26"/>
          <w:szCs w:val="26"/>
        </w:rPr>
        <w:t>An Analytical Report on How Global price Changes Affects Domestic market</w:t>
      </w:r>
    </w:p>
    <w:p w14:paraId="4CF24692" w14:textId="77777777" w:rsidR="005B184F" w:rsidRDefault="005B184F" w:rsidP="005B184F">
      <w:pPr>
        <w:jc w:val="both"/>
        <w:rPr>
          <w:szCs w:val="21"/>
        </w:rPr>
      </w:pPr>
    </w:p>
    <w:p w14:paraId="058A32C6" w14:textId="0A14D367" w:rsidR="005B184F" w:rsidRPr="00FE6608" w:rsidRDefault="005B184F" w:rsidP="005B184F">
      <w:pPr>
        <w:jc w:val="both"/>
        <w:rPr>
          <w:sz w:val="32"/>
          <w:szCs w:val="32"/>
        </w:rPr>
      </w:pPr>
      <w:r w:rsidRPr="00FE6608">
        <w:rPr>
          <w:sz w:val="32"/>
          <w:szCs w:val="32"/>
        </w:rPr>
        <w:t xml:space="preserve">“I, </w:t>
      </w:r>
      <w:r w:rsidR="00902EEC">
        <w:rPr>
          <w:sz w:val="32"/>
          <w:szCs w:val="32"/>
        </w:rPr>
        <w:t xml:space="preserve">Chan Sze Wan (Student no. </w:t>
      </w:r>
      <w:r w:rsidR="00902EEC" w:rsidRPr="00902EEC">
        <w:rPr>
          <w:sz w:val="32"/>
          <w:szCs w:val="32"/>
        </w:rPr>
        <w:t>2425266</w:t>
      </w:r>
      <w:r w:rsidR="00902EEC">
        <w:rPr>
          <w:sz w:val="32"/>
          <w:szCs w:val="32"/>
        </w:rPr>
        <w:t>)</w:t>
      </w:r>
      <w:r w:rsidRPr="00FE6608">
        <w:rPr>
          <w:sz w:val="32"/>
          <w:szCs w:val="32"/>
        </w:rPr>
        <w:t>, certify this work is the result of my own investigations, except where otherwise stated.  All references have been duly cited”</w:t>
      </w:r>
    </w:p>
    <w:p w14:paraId="21CA8057" w14:textId="77777777" w:rsidR="005B184F" w:rsidRDefault="005B184F" w:rsidP="005B184F">
      <w:pPr>
        <w:jc w:val="both"/>
      </w:pPr>
    </w:p>
    <w:p w14:paraId="70AA5C19" w14:textId="77777777" w:rsidR="005B184F" w:rsidRDefault="005B184F" w:rsidP="005B184F">
      <w:pPr>
        <w:jc w:val="both"/>
      </w:pPr>
    </w:p>
    <w:p w14:paraId="529C2AC2" w14:textId="77777777" w:rsidR="005B184F" w:rsidRDefault="005B184F" w:rsidP="005B184F">
      <w:pPr>
        <w:jc w:val="both"/>
      </w:pPr>
    </w:p>
    <w:p w14:paraId="4C214219" w14:textId="77777777" w:rsidR="005B184F" w:rsidRDefault="005B184F" w:rsidP="005B184F">
      <w:pPr>
        <w:jc w:val="both"/>
        <w:rPr>
          <w:b/>
        </w:rPr>
      </w:pPr>
    </w:p>
    <w:p w14:paraId="32F188F5" w14:textId="018514FA" w:rsidR="005B184F" w:rsidRPr="00FE6608" w:rsidRDefault="005B184F" w:rsidP="005B184F">
      <w:pPr>
        <w:jc w:val="both"/>
      </w:pPr>
      <w:r w:rsidRPr="00FE6608">
        <w:t xml:space="preserve">Signed: </w:t>
      </w:r>
      <w:r>
        <w:t>__</w:t>
      </w:r>
      <w:r w:rsidRPr="00E76390">
        <w:rPr>
          <w:u w:val="single"/>
        </w:rPr>
        <w:t>___</w:t>
      </w:r>
      <w:r w:rsidR="00E76390" w:rsidRPr="00E76390">
        <w:rPr>
          <w:u w:val="single"/>
        </w:rPr>
        <w:t>Chan Sze Wan</w:t>
      </w:r>
      <w:r>
        <w:t>________</w:t>
      </w:r>
    </w:p>
    <w:p w14:paraId="771FEA9B" w14:textId="77777777" w:rsidR="005B184F" w:rsidRDefault="005B184F" w:rsidP="005B184F">
      <w:pPr>
        <w:rPr>
          <w:sz w:val="26"/>
        </w:rPr>
      </w:pPr>
    </w:p>
    <w:p w14:paraId="1E7820B7" w14:textId="1237ED7B" w:rsidR="005B184F" w:rsidRPr="00FE6608" w:rsidRDefault="005B184F" w:rsidP="005B184F">
      <w:pPr>
        <w:rPr>
          <w:sz w:val="26"/>
        </w:rPr>
      </w:pPr>
      <w:r w:rsidRPr="00FE6608">
        <w:rPr>
          <w:sz w:val="26"/>
        </w:rPr>
        <w:t>Date:</w:t>
      </w:r>
      <w:r>
        <w:rPr>
          <w:sz w:val="26"/>
        </w:rPr>
        <w:t xml:space="preserve">  </w:t>
      </w:r>
      <w:r w:rsidR="00E76390">
        <w:rPr>
          <w:sz w:val="26"/>
        </w:rPr>
        <w:t>10 Mar 2025</w:t>
      </w:r>
    </w:p>
    <w:p w14:paraId="018BCF3F" w14:textId="77777777" w:rsidR="005B184F" w:rsidRDefault="005B184F" w:rsidP="005B184F">
      <w:pPr>
        <w:jc w:val="center"/>
        <w:rPr>
          <w:sz w:val="26"/>
        </w:rPr>
      </w:pPr>
    </w:p>
    <w:p w14:paraId="2600B53A" w14:textId="77777777" w:rsidR="00267478" w:rsidRDefault="00267478" w:rsidP="005B184F">
      <w:pPr>
        <w:rPr>
          <w:sz w:val="26"/>
        </w:rPr>
      </w:pPr>
    </w:p>
    <w:p w14:paraId="07AC11AE" w14:textId="77777777" w:rsidR="00BF7143" w:rsidRDefault="00BF7143" w:rsidP="005B184F">
      <w:pPr>
        <w:rPr>
          <w:sz w:val="26"/>
        </w:rPr>
      </w:pPr>
    </w:p>
    <w:p w14:paraId="78726B28" w14:textId="77777777" w:rsidR="00BF7143" w:rsidRDefault="00BF7143" w:rsidP="005B184F">
      <w:pPr>
        <w:rPr>
          <w:sz w:val="26"/>
        </w:rPr>
      </w:pPr>
    </w:p>
    <w:p w14:paraId="218A1334" w14:textId="77777777" w:rsidR="00BF7143" w:rsidRDefault="00BF7143" w:rsidP="005B184F">
      <w:pPr>
        <w:rPr>
          <w:sz w:val="26"/>
        </w:rPr>
      </w:pPr>
    </w:p>
    <w:p w14:paraId="703A671A" w14:textId="77777777" w:rsidR="00BF7143" w:rsidRDefault="00BF7143" w:rsidP="005B184F">
      <w:pPr>
        <w:rPr>
          <w:sz w:val="26"/>
        </w:rPr>
      </w:pPr>
    </w:p>
    <w:p w14:paraId="045182E2" w14:textId="77777777" w:rsidR="00BF7143" w:rsidRDefault="00BF7143" w:rsidP="005B184F">
      <w:pPr>
        <w:rPr>
          <w:sz w:val="26"/>
        </w:rPr>
      </w:pPr>
    </w:p>
    <w:p w14:paraId="73813EF4" w14:textId="77777777" w:rsidR="00BF7143" w:rsidRDefault="00BF7143" w:rsidP="005B184F">
      <w:pPr>
        <w:rPr>
          <w:sz w:val="26"/>
        </w:rPr>
      </w:pPr>
    </w:p>
    <w:p w14:paraId="317594C1" w14:textId="77777777" w:rsidR="00BF7143" w:rsidRDefault="00BF7143" w:rsidP="005B184F">
      <w:pPr>
        <w:rPr>
          <w:sz w:val="26"/>
        </w:rPr>
      </w:pPr>
    </w:p>
    <w:p w14:paraId="3D3C7B49" w14:textId="77777777" w:rsidR="00BF7143" w:rsidRDefault="00BF7143" w:rsidP="005B184F">
      <w:pPr>
        <w:rPr>
          <w:sz w:val="26"/>
        </w:rPr>
      </w:pPr>
    </w:p>
    <w:p w14:paraId="7B03B038" w14:textId="77777777" w:rsidR="00BF7143" w:rsidRDefault="00BF7143" w:rsidP="005B184F">
      <w:pPr>
        <w:rPr>
          <w:sz w:val="26"/>
        </w:rPr>
      </w:pPr>
    </w:p>
    <w:p w14:paraId="3E212A32" w14:textId="77777777" w:rsidR="00BF7143" w:rsidRDefault="00BF7143" w:rsidP="005B184F">
      <w:pPr>
        <w:rPr>
          <w:sz w:val="26"/>
        </w:rPr>
      </w:pPr>
    </w:p>
    <w:p w14:paraId="0EF79C46" w14:textId="77777777" w:rsidR="00BF7143" w:rsidRDefault="00BF7143" w:rsidP="005B184F">
      <w:pPr>
        <w:rPr>
          <w:sz w:val="26"/>
        </w:rPr>
      </w:pPr>
    </w:p>
    <w:p w14:paraId="5717D907" w14:textId="77777777" w:rsidR="00BF7143" w:rsidRDefault="00BF7143" w:rsidP="005B184F">
      <w:pPr>
        <w:rPr>
          <w:sz w:val="26"/>
        </w:rPr>
      </w:pPr>
    </w:p>
    <w:p w14:paraId="668A6A1F" w14:textId="77777777" w:rsidR="00BF7143" w:rsidRDefault="00BF7143" w:rsidP="005B184F">
      <w:pPr>
        <w:rPr>
          <w:sz w:val="26"/>
        </w:rPr>
      </w:pPr>
    </w:p>
    <w:p w14:paraId="53ECE054" w14:textId="77777777" w:rsidR="00BF7143" w:rsidRDefault="00BF7143" w:rsidP="005B184F">
      <w:pPr>
        <w:rPr>
          <w:sz w:val="26"/>
        </w:rPr>
      </w:pPr>
    </w:p>
    <w:p w14:paraId="23818022" w14:textId="77777777" w:rsidR="00BF7143" w:rsidRDefault="00BF7143" w:rsidP="005B184F">
      <w:pPr>
        <w:rPr>
          <w:sz w:val="26"/>
        </w:rPr>
      </w:pPr>
    </w:p>
    <w:p w14:paraId="14540EC3" w14:textId="77777777" w:rsidR="00BF7143" w:rsidRDefault="00BF7143" w:rsidP="005B184F">
      <w:pPr>
        <w:rPr>
          <w:sz w:val="26"/>
        </w:rPr>
      </w:pPr>
    </w:p>
    <w:p w14:paraId="2C73A3C6" w14:textId="77777777" w:rsidR="00BF7143" w:rsidRDefault="00BF7143" w:rsidP="005B184F">
      <w:pPr>
        <w:rPr>
          <w:sz w:val="26"/>
        </w:rPr>
      </w:pPr>
    </w:p>
    <w:p w14:paraId="2C8262FB" w14:textId="77777777" w:rsidR="00BF7143" w:rsidRDefault="00BF7143" w:rsidP="005B184F">
      <w:pPr>
        <w:rPr>
          <w:sz w:val="26"/>
        </w:rPr>
      </w:pPr>
    </w:p>
    <w:p w14:paraId="4B7873DA" w14:textId="77777777" w:rsidR="00BF7143" w:rsidRDefault="00BF7143" w:rsidP="005B184F">
      <w:pPr>
        <w:rPr>
          <w:sz w:val="26"/>
        </w:rPr>
      </w:pPr>
    </w:p>
    <w:p w14:paraId="3A63E932" w14:textId="77777777" w:rsidR="00BF7143" w:rsidRDefault="00BF7143" w:rsidP="005B184F">
      <w:pPr>
        <w:rPr>
          <w:sz w:val="26"/>
        </w:rPr>
      </w:pPr>
    </w:p>
    <w:p w14:paraId="6A95CE69" w14:textId="77777777" w:rsidR="00BF7143" w:rsidRDefault="00BF7143" w:rsidP="005B184F">
      <w:pPr>
        <w:rPr>
          <w:sz w:val="26"/>
        </w:rPr>
      </w:pPr>
    </w:p>
    <w:p w14:paraId="306411D2" w14:textId="77777777" w:rsidR="00BF7143" w:rsidRDefault="00BF7143" w:rsidP="005B184F">
      <w:pPr>
        <w:rPr>
          <w:color w:val="0000CC"/>
          <w:sz w:val="36"/>
          <w:szCs w:val="36"/>
        </w:rPr>
      </w:pPr>
    </w:p>
    <w:p w14:paraId="06139BDB" w14:textId="77777777" w:rsidR="00267478" w:rsidRDefault="00267478" w:rsidP="005B184F">
      <w:pPr>
        <w:rPr>
          <w:color w:val="0000CC"/>
          <w:sz w:val="36"/>
          <w:szCs w:val="36"/>
        </w:rPr>
      </w:pPr>
    </w:p>
    <w:p w14:paraId="02B50EE7" w14:textId="77777777" w:rsidR="00F940A5" w:rsidRPr="00012DD3" w:rsidRDefault="00F940A5" w:rsidP="005B184F">
      <w:pPr>
        <w:rPr>
          <w:color w:val="0000CC"/>
          <w:sz w:val="36"/>
          <w:szCs w:val="36"/>
        </w:rPr>
      </w:pPr>
    </w:p>
    <w:p w14:paraId="4E3BC99B" w14:textId="30DFD403" w:rsidR="00A74DD4" w:rsidRPr="00012DD3" w:rsidRDefault="00880E8A" w:rsidP="00012DD3">
      <w:pPr>
        <w:spacing w:line="480" w:lineRule="auto"/>
        <w:rPr>
          <w:color w:val="000000" w:themeColor="text1"/>
          <w:sz w:val="36"/>
          <w:szCs w:val="36"/>
        </w:rPr>
      </w:pPr>
      <w:r w:rsidRPr="00012DD3">
        <w:rPr>
          <w:color w:val="000000" w:themeColor="text1"/>
          <w:sz w:val="36"/>
          <w:szCs w:val="36"/>
        </w:rPr>
        <w:lastRenderedPageBreak/>
        <w:t>Abstract</w:t>
      </w:r>
    </w:p>
    <w:p w14:paraId="67617A7C" w14:textId="3272DAFC" w:rsidR="00FD4BB6" w:rsidRPr="00012DD3" w:rsidRDefault="00E76390" w:rsidP="00012DD3">
      <w:pPr>
        <w:spacing w:line="480" w:lineRule="auto"/>
        <w:jc w:val="both"/>
        <w:rPr>
          <w:color w:val="000000" w:themeColor="text1"/>
          <w:sz w:val="36"/>
          <w:szCs w:val="36"/>
        </w:rPr>
      </w:pPr>
      <w:r w:rsidRPr="00012DD3">
        <w:rPr>
          <w:color w:val="000000" w:themeColor="text1"/>
        </w:rPr>
        <w:t>This study investigates the effect of global price movements on the domestic retail markets in Hong Kong and Singapore by looking at consumer inflation patterns. To explain the trend of retail sales growth and inflation, a comparative analysis is carried out based on secondary data from 2009 to 2023. It is found that the retail business in Hong Kong is more volatile than Singapore. An analysis of the inflation and retail sales correlation indicates a decrease in the level of correlation between the two variables during an economic shock. Based on these insights the study suggests that BEON should consider entering Singapore, employ dynamic pricing strategy and optimize supply chain management to mitigate inflationary risk.</w:t>
      </w:r>
    </w:p>
    <w:p w14:paraId="4D3CFFF3" w14:textId="77777777" w:rsidR="00FD4BB6" w:rsidRPr="00012DD3" w:rsidRDefault="00FD4BB6" w:rsidP="00012DD3">
      <w:pPr>
        <w:spacing w:line="480" w:lineRule="auto"/>
        <w:rPr>
          <w:color w:val="000000" w:themeColor="text1"/>
          <w:sz w:val="36"/>
          <w:szCs w:val="36"/>
        </w:rPr>
      </w:pPr>
    </w:p>
    <w:p w14:paraId="3A169CFE" w14:textId="77777777" w:rsidR="00FD4BB6" w:rsidRPr="00012DD3" w:rsidRDefault="00FD4BB6" w:rsidP="00012DD3">
      <w:pPr>
        <w:spacing w:line="480" w:lineRule="auto"/>
        <w:rPr>
          <w:color w:val="000000" w:themeColor="text1"/>
          <w:sz w:val="36"/>
          <w:szCs w:val="36"/>
        </w:rPr>
      </w:pPr>
    </w:p>
    <w:p w14:paraId="3D32BCF5" w14:textId="77777777" w:rsidR="00FD4BB6" w:rsidRPr="00012DD3" w:rsidRDefault="00FD4BB6" w:rsidP="00012DD3">
      <w:pPr>
        <w:spacing w:line="480" w:lineRule="auto"/>
        <w:rPr>
          <w:color w:val="000000" w:themeColor="text1"/>
          <w:sz w:val="36"/>
          <w:szCs w:val="36"/>
        </w:rPr>
      </w:pPr>
    </w:p>
    <w:p w14:paraId="1B2213CF" w14:textId="77777777" w:rsidR="00FD4BB6" w:rsidRPr="00012DD3" w:rsidRDefault="00FD4BB6" w:rsidP="00012DD3">
      <w:pPr>
        <w:spacing w:line="480" w:lineRule="auto"/>
        <w:rPr>
          <w:color w:val="000000" w:themeColor="text1"/>
          <w:sz w:val="36"/>
          <w:szCs w:val="36"/>
        </w:rPr>
      </w:pPr>
    </w:p>
    <w:p w14:paraId="59083518" w14:textId="77777777" w:rsidR="00FD4BB6" w:rsidRPr="00012DD3" w:rsidRDefault="00FD4BB6" w:rsidP="005B184F">
      <w:pPr>
        <w:rPr>
          <w:color w:val="000000" w:themeColor="text1"/>
          <w:sz w:val="36"/>
          <w:szCs w:val="36"/>
        </w:rPr>
      </w:pPr>
    </w:p>
    <w:p w14:paraId="640761A9" w14:textId="77777777" w:rsidR="00FD4BB6" w:rsidRPr="00012DD3" w:rsidRDefault="00FD4BB6" w:rsidP="005B184F">
      <w:pPr>
        <w:rPr>
          <w:color w:val="000000" w:themeColor="text1"/>
          <w:sz w:val="36"/>
          <w:szCs w:val="36"/>
        </w:rPr>
      </w:pPr>
    </w:p>
    <w:p w14:paraId="7ED3886A" w14:textId="77777777" w:rsidR="00FD4BB6" w:rsidRPr="00012DD3" w:rsidRDefault="00FD4BB6" w:rsidP="005B184F">
      <w:pPr>
        <w:rPr>
          <w:color w:val="000000" w:themeColor="text1"/>
          <w:sz w:val="36"/>
          <w:szCs w:val="36"/>
        </w:rPr>
      </w:pPr>
    </w:p>
    <w:p w14:paraId="72A21D0A" w14:textId="77777777" w:rsidR="00FD4BB6" w:rsidRPr="00012DD3" w:rsidRDefault="00FD4BB6" w:rsidP="005B184F">
      <w:pPr>
        <w:rPr>
          <w:color w:val="000000" w:themeColor="text1"/>
          <w:sz w:val="36"/>
          <w:szCs w:val="36"/>
        </w:rPr>
      </w:pPr>
    </w:p>
    <w:p w14:paraId="667913E4" w14:textId="77777777" w:rsidR="00FD4BB6" w:rsidRPr="00012DD3" w:rsidRDefault="00FD4BB6" w:rsidP="005B184F">
      <w:pPr>
        <w:rPr>
          <w:color w:val="000000" w:themeColor="text1"/>
          <w:sz w:val="36"/>
          <w:szCs w:val="36"/>
        </w:rPr>
      </w:pPr>
    </w:p>
    <w:p w14:paraId="7E6D884F" w14:textId="77777777" w:rsidR="00FD4BB6" w:rsidRPr="00012DD3" w:rsidRDefault="00FD4BB6" w:rsidP="005B184F">
      <w:pPr>
        <w:rPr>
          <w:color w:val="000000" w:themeColor="text1"/>
          <w:sz w:val="36"/>
          <w:szCs w:val="36"/>
        </w:rPr>
      </w:pPr>
    </w:p>
    <w:p w14:paraId="3E7A7D68" w14:textId="77777777" w:rsidR="00FD4BB6" w:rsidRPr="00012DD3" w:rsidRDefault="00FD4BB6" w:rsidP="005B184F">
      <w:pPr>
        <w:rPr>
          <w:color w:val="000000" w:themeColor="text1"/>
          <w:sz w:val="36"/>
          <w:szCs w:val="36"/>
        </w:rPr>
      </w:pPr>
    </w:p>
    <w:p w14:paraId="1E9EF1C4" w14:textId="77777777" w:rsidR="00FD4BB6" w:rsidRPr="00012DD3" w:rsidRDefault="00FD4BB6" w:rsidP="005B184F">
      <w:pPr>
        <w:rPr>
          <w:color w:val="000000" w:themeColor="text1"/>
          <w:sz w:val="36"/>
          <w:szCs w:val="36"/>
        </w:rPr>
      </w:pPr>
    </w:p>
    <w:p w14:paraId="6EE12DAF" w14:textId="77777777" w:rsidR="00FD4BB6" w:rsidRPr="00012DD3" w:rsidRDefault="00FD4BB6" w:rsidP="005B184F">
      <w:pPr>
        <w:rPr>
          <w:color w:val="000000" w:themeColor="text1"/>
          <w:sz w:val="36"/>
          <w:szCs w:val="36"/>
        </w:rPr>
      </w:pPr>
    </w:p>
    <w:p w14:paraId="3B514A36" w14:textId="77777777" w:rsidR="00FD4BB6" w:rsidRPr="00012DD3" w:rsidRDefault="00FD4BB6" w:rsidP="005B184F">
      <w:pPr>
        <w:rPr>
          <w:color w:val="000000" w:themeColor="text1"/>
          <w:sz w:val="36"/>
          <w:szCs w:val="36"/>
        </w:rPr>
      </w:pPr>
    </w:p>
    <w:p w14:paraId="0C919B3E" w14:textId="77777777" w:rsidR="00FD4BB6" w:rsidRPr="00012DD3" w:rsidRDefault="00FD4BB6" w:rsidP="00656F05">
      <w:pPr>
        <w:rPr>
          <w:rFonts w:eastAsiaTheme="minorEastAsia"/>
          <w:color w:val="000000" w:themeColor="text1"/>
          <w:lang w:eastAsia="en-US"/>
          <w14:ligatures w14:val="standardContextual"/>
        </w:rPr>
      </w:pPr>
    </w:p>
    <w:sdt>
      <w:sdtPr>
        <w:rPr>
          <w:rFonts w:ascii="Times New Roman" w:eastAsia="Times New Roman" w:hAnsi="Times New Roman" w:cs="Times New Roman"/>
          <w:b w:val="0"/>
          <w:bCs w:val="0"/>
          <w:color w:val="000000" w:themeColor="text1"/>
          <w:sz w:val="24"/>
          <w:szCs w:val="24"/>
          <w:lang w:val="en-HK" w:eastAsia="zh-TW"/>
        </w:rPr>
        <w:id w:val="-1024329764"/>
        <w:docPartObj>
          <w:docPartGallery w:val="Table of Contents"/>
          <w:docPartUnique/>
        </w:docPartObj>
      </w:sdtPr>
      <w:sdtEndPr>
        <w:rPr>
          <w:noProof/>
        </w:rPr>
      </w:sdtEndPr>
      <w:sdtContent>
        <w:p w14:paraId="5C1E841C" w14:textId="6D689DC2" w:rsidR="00370672" w:rsidRPr="007D35BE" w:rsidRDefault="00370672" w:rsidP="00034830">
          <w:pPr>
            <w:pStyle w:val="TOCHeading"/>
            <w:spacing w:line="360" w:lineRule="auto"/>
            <w:jc w:val="center"/>
            <w:rPr>
              <w:rFonts w:ascii="Times New Roman" w:hAnsi="Times New Roman" w:cs="Times New Roman"/>
              <w:b w:val="0"/>
              <w:bCs w:val="0"/>
              <w:color w:val="000000" w:themeColor="text1"/>
              <w:sz w:val="24"/>
              <w:szCs w:val="24"/>
            </w:rPr>
          </w:pPr>
          <w:r w:rsidRPr="007D35BE">
            <w:rPr>
              <w:rFonts w:ascii="Times New Roman" w:hAnsi="Times New Roman" w:cs="Times New Roman"/>
              <w:b w:val="0"/>
              <w:bCs w:val="0"/>
              <w:color w:val="000000" w:themeColor="text1"/>
              <w:sz w:val="24"/>
              <w:szCs w:val="24"/>
            </w:rPr>
            <w:t>Table of Contents</w:t>
          </w:r>
        </w:p>
        <w:p w14:paraId="06CC4261" w14:textId="1CA8B7C0" w:rsidR="00034830" w:rsidRPr="007D35BE" w:rsidRDefault="005376E2" w:rsidP="00034830">
          <w:pPr>
            <w:pStyle w:val="TOC1"/>
            <w:tabs>
              <w:tab w:val="left" w:pos="480"/>
              <w:tab w:val="right" w:leader="dot" w:pos="9016"/>
            </w:tabs>
            <w:spacing w:line="360" w:lineRule="auto"/>
            <w:rPr>
              <w:rFonts w:ascii="Times New Roman" w:eastAsiaTheme="minorEastAsia" w:hAnsi="Times New Roman"/>
              <w:b w:val="0"/>
              <w:bCs w:val="0"/>
              <w:i w:val="0"/>
              <w:iCs w:val="0"/>
              <w:noProof/>
              <w:lang w:val="en-HK"/>
              <w14:ligatures w14:val="standardContextual"/>
            </w:rPr>
          </w:pPr>
          <w:r w:rsidRPr="007D35BE">
            <w:rPr>
              <w:rFonts w:ascii="Times New Roman" w:hAnsi="Times New Roman"/>
              <w:b w:val="0"/>
              <w:bCs w:val="0"/>
              <w:color w:val="000000" w:themeColor="text1"/>
              <w:lang w:val="en-HK"/>
            </w:rPr>
            <w:fldChar w:fldCharType="begin"/>
          </w:r>
          <w:r w:rsidRPr="007D35BE">
            <w:rPr>
              <w:rFonts w:ascii="Times New Roman" w:hAnsi="Times New Roman"/>
              <w:b w:val="0"/>
              <w:bCs w:val="0"/>
              <w:color w:val="000000" w:themeColor="text1"/>
            </w:rPr>
            <w:instrText xml:space="preserve"> TOC \o "1-3" \h \z \u </w:instrText>
          </w:r>
          <w:r w:rsidRPr="007D35BE">
            <w:rPr>
              <w:rFonts w:ascii="Times New Roman" w:hAnsi="Times New Roman"/>
              <w:b w:val="0"/>
              <w:bCs w:val="0"/>
              <w:color w:val="000000" w:themeColor="text1"/>
              <w:lang w:val="en-HK"/>
            </w:rPr>
            <w:fldChar w:fldCharType="separate"/>
          </w:r>
          <w:hyperlink w:anchor="_Toc192529319" w:history="1">
            <w:r w:rsidR="00034830" w:rsidRPr="007D35BE">
              <w:rPr>
                <w:rStyle w:val="Hyperlink"/>
                <w:rFonts w:ascii="Times New Roman" w:hAnsi="Times New Roman"/>
                <w:b w:val="0"/>
                <w:bCs w:val="0"/>
                <w:noProof/>
              </w:rPr>
              <w:t>1.</w:t>
            </w:r>
            <w:r w:rsidR="00034830" w:rsidRPr="007D35BE">
              <w:rPr>
                <w:rFonts w:ascii="Times New Roman" w:eastAsiaTheme="minorEastAsia" w:hAnsi="Times New Roman"/>
                <w:b w:val="0"/>
                <w:bCs w:val="0"/>
                <w:i w:val="0"/>
                <w:iCs w:val="0"/>
                <w:noProof/>
                <w:lang w:val="en-HK"/>
                <w14:ligatures w14:val="standardContextual"/>
              </w:rPr>
              <w:tab/>
            </w:r>
            <w:r w:rsidR="00034830" w:rsidRPr="007D35BE">
              <w:rPr>
                <w:rStyle w:val="Hyperlink"/>
                <w:rFonts w:ascii="Times New Roman" w:hAnsi="Times New Roman"/>
                <w:b w:val="0"/>
                <w:bCs w:val="0"/>
                <w:noProof/>
              </w:rPr>
              <w:t>Introduc</w:t>
            </w:r>
            <w:r w:rsidR="00034830" w:rsidRPr="007D35BE">
              <w:rPr>
                <w:rStyle w:val="Hyperlink"/>
                <w:rFonts w:ascii="Times New Roman" w:hAnsi="Times New Roman"/>
                <w:b w:val="0"/>
                <w:bCs w:val="0"/>
                <w:noProof/>
              </w:rPr>
              <w:t>t</w:t>
            </w:r>
            <w:r w:rsidR="00034830" w:rsidRPr="007D35BE">
              <w:rPr>
                <w:rStyle w:val="Hyperlink"/>
                <w:rFonts w:ascii="Times New Roman" w:hAnsi="Times New Roman"/>
                <w:b w:val="0"/>
                <w:bCs w:val="0"/>
                <w:noProof/>
              </w:rPr>
              <w:t>ion</w:t>
            </w:r>
            <w:r w:rsidR="00034830" w:rsidRPr="007D35BE">
              <w:rPr>
                <w:rFonts w:ascii="Times New Roman" w:hAnsi="Times New Roman"/>
                <w:b w:val="0"/>
                <w:bCs w:val="0"/>
                <w:noProof/>
                <w:webHidden/>
              </w:rPr>
              <w:tab/>
            </w:r>
            <w:r w:rsidR="00034830" w:rsidRPr="007D35BE">
              <w:rPr>
                <w:rFonts w:ascii="Times New Roman" w:hAnsi="Times New Roman"/>
                <w:b w:val="0"/>
                <w:bCs w:val="0"/>
                <w:noProof/>
                <w:webHidden/>
              </w:rPr>
              <w:fldChar w:fldCharType="begin"/>
            </w:r>
            <w:r w:rsidR="00034830" w:rsidRPr="007D35BE">
              <w:rPr>
                <w:rFonts w:ascii="Times New Roman" w:hAnsi="Times New Roman"/>
                <w:b w:val="0"/>
                <w:bCs w:val="0"/>
                <w:noProof/>
                <w:webHidden/>
              </w:rPr>
              <w:instrText xml:space="preserve"> PAGEREF _Toc192529319 \h </w:instrText>
            </w:r>
            <w:r w:rsidR="00034830" w:rsidRPr="007D35BE">
              <w:rPr>
                <w:rFonts w:ascii="Times New Roman" w:hAnsi="Times New Roman"/>
                <w:b w:val="0"/>
                <w:bCs w:val="0"/>
                <w:noProof/>
                <w:webHidden/>
              </w:rPr>
            </w:r>
            <w:r w:rsidR="00034830" w:rsidRPr="007D35BE">
              <w:rPr>
                <w:rFonts w:ascii="Times New Roman" w:hAnsi="Times New Roman"/>
                <w:b w:val="0"/>
                <w:bCs w:val="0"/>
                <w:noProof/>
                <w:webHidden/>
              </w:rPr>
              <w:fldChar w:fldCharType="separate"/>
            </w:r>
            <w:r w:rsidR="007D35BE">
              <w:rPr>
                <w:rFonts w:ascii="Times New Roman" w:hAnsi="Times New Roman"/>
                <w:b w:val="0"/>
                <w:bCs w:val="0"/>
                <w:noProof/>
                <w:webHidden/>
              </w:rPr>
              <w:t>6</w:t>
            </w:r>
            <w:r w:rsidR="00034830" w:rsidRPr="007D35BE">
              <w:rPr>
                <w:rFonts w:ascii="Times New Roman" w:hAnsi="Times New Roman"/>
                <w:b w:val="0"/>
                <w:bCs w:val="0"/>
                <w:noProof/>
                <w:webHidden/>
              </w:rPr>
              <w:fldChar w:fldCharType="end"/>
            </w:r>
          </w:hyperlink>
        </w:p>
        <w:p w14:paraId="651B33DD" w14:textId="6DB7F60A" w:rsidR="00034830" w:rsidRPr="007D35BE" w:rsidRDefault="00034830" w:rsidP="00034830">
          <w:pPr>
            <w:pStyle w:val="TOC1"/>
            <w:tabs>
              <w:tab w:val="right" w:leader="dot" w:pos="9016"/>
            </w:tabs>
            <w:spacing w:line="360" w:lineRule="auto"/>
            <w:rPr>
              <w:rFonts w:ascii="Times New Roman" w:eastAsiaTheme="minorEastAsia" w:hAnsi="Times New Roman"/>
              <w:b w:val="0"/>
              <w:bCs w:val="0"/>
              <w:i w:val="0"/>
              <w:iCs w:val="0"/>
              <w:noProof/>
              <w:lang w:val="en-HK"/>
              <w14:ligatures w14:val="standardContextual"/>
            </w:rPr>
          </w:pPr>
          <w:hyperlink w:anchor="_Toc192529320" w:history="1">
            <w:r w:rsidRPr="007D35BE">
              <w:rPr>
                <w:rStyle w:val="Hyperlink"/>
                <w:rFonts w:ascii="Times New Roman" w:hAnsi="Times New Roman"/>
                <w:b w:val="0"/>
                <w:bCs w:val="0"/>
                <w:noProof/>
              </w:rPr>
              <w:t>2. Research Background</w:t>
            </w:r>
            <w:r w:rsidRPr="007D35BE">
              <w:rPr>
                <w:rFonts w:ascii="Times New Roman" w:hAnsi="Times New Roman"/>
                <w:b w:val="0"/>
                <w:bCs w:val="0"/>
                <w:noProof/>
                <w:webHidden/>
              </w:rPr>
              <w:tab/>
            </w:r>
            <w:r w:rsidRPr="007D35BE">
              <w:rPr>
                <w:rFonts w:ascii="Times New Roman" w:hAnsi="Times New Roman"/>
                <w:b w:val="0"/>
                <w:bCs w:val="0"/>
                <w:noProof/>
                <w:webHidden/>
              </w:rPr>
              <w:fldChar w:fldCharType="begin"/>
            </w:r>
            <w:r w:rsidRPr="007D35BE">
              <w:rPr>
                <w:rFonts w:ascii="Times New Roman" w:hAnsi="Times New Roman"/>
                <w:b w:val="0"/>
                <w:bCs w:val="0"/>
                <w:noProof/>
                <w:webHidden/>
              </w:rPr>
              <w:instrText xml:space="preserve"> PAGEREF _Toc192529320 \h </w:instrText>
            </w:r>
            <w:r w:rsidRPr="007D35BE">
              <w:rPr>
                <w:rFonts w:ascii="Times New Roman" w:hAnsi="Times New Roman"/>
                <w:b w:val="0"/>
                <w:bCs w:val="0"/>
                <w:noProof/>
                <w:webHidden/>
              </w:rPr>
            </w:r>
            <w:r w:rsidRPr="007D35BE">
              <w:rPr>
                <w:rFonts w:ascii="Times New Roman" w:hAnsi="Times New Roman"/>
                <w:b w:val="0"/>
                <w:bCs w:val="0"/>
                <w:noProof/>
                <w:webHidden/>
              </w:rPr>
              <w:fldChar w:fldCharType="separate"/>
            </w:r>
            <w:r w:rsidR="007D35BE">
              <w:rPr>
                <w:rFonts w:ascii="Times New Roman" w:hAnsi="Times New Roman"/>
                <w:b w:val="0"/>
                <w:bCs w:val="0"/>
                <w:noProof/>
                <w:webHidden/>
              </w:rPr>
              <w:t>8</w:t>
            </w:r>
            <w:r w:rsidRPr="007D35BE">
              <w:rPr>
                <w:rFonts w:ascii="Times New Roman" w:hAnsi="Times New Roman"/>
                <w:b w:val="0"/>
                <w:bCs w:val="0"/>
                <w:noProof/>
                <w:webHidden/>
              </w:rPr>
              <w:fldChar w:fldCharType="end"/>
            </w:r>
          </w:hyperlink>
        </w:p>
        <w:p w14:paraId="5FA1A111" w14:textId="28CDCFE8"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21" w:history="1">
            <w:r w:rsidRPr="007D35BE">
              <w:rPr>
                <w:rStyle w:val="Hyperlink"/>
                <w:rFonts w:ascii="Times New Roman" w:hAnsi="Times New Roman"/>
                <w:b w:val="0"/>
                <w:bCs w:val="0"/>
                <w:noProof/>
                <w:sz w:val="24"/>
                <w:szCs w:val="24"/>
              </w:rPr>
              <w:t>2.1 Theoretical basis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_Toc192529321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8</w:t>
            </w:r>
            <w:r w:rsidRPr="007D35BE">
              <w:rPr>
                <w:rFonts w:ascii="Times New Roman" w:hAnsi="Times New Roman"/>
                <w:b w:val="0"/>
                <w:bCs w:val="0"/>
                <w:noProof/>
                <w:webHidden/>
                <w:sz w:val="24"/>
                <w:szCs w:val="24"/>
              </w:rPr>
              <w:fldChar w:fldCharType="end"/>
            </w:r>
          </w:hyperlink>
        </w:p>
        <w:p w14:paraId="56ACE5B6" w14:textId="41D7E036" w:rsidR="00034830" w:rsidRPr="007D35BE" w:rsidRDefault="00034830" w:rsidP="00034830">
          <w:pPr>
            <w:pStyle w:val="TOC3"/>
            <w:tabs>
              <w:tab w:val="right" w:leader="dot" w:pos="9016"/>
            </w:tabs>
            <w:spacing w:line="360" w:lineRule="auto"/>
            <w:rPr>
              <w:rFonts w:ascii="Times New Roman" w:eastAsiaTheme="minorEastAsia" w:hAnsi="Times New Roman"/>
              <w:noProof/>
              <w:sz w:val="24"/>
              <w:szCs w:val="24"/>
              <w:lang w:val="en-HK"/>
              <w14:ligatures w14:val="standardContextual"/>
            </w:rPr>
          </w:pPr>
          <w:hyperlink w:anchor="_Toc192529322" w:history="1">
            <w:r w:rsidRPr="007D35BE">
              <w:rPr>
                <w:rStyle w:val="Hyperlink"/>
                <w:rFonts w:ascii="Times New Roman" w:hAnsi="Times New Roman"/>
                <w:noProof/>
                <w:sz w:val="24"/>
                <w:szCs w:val="24"/>
              </w:rPr>
              <w:t>2.1.1 Consumer inflation affecting economy’s health</w:t>
            </w:r>
            <w:r w:rsidRPr="007D35BE">
              <w:rPr>
                <w:rFonts w:ascii="Times New Roman" w:hAnsi="Times New Roman"/>
                <w:noProof/>
                <w:webHidden/>
                <w:sz w:val="24"/>
                <w:szCs w:val="24"/>
              </w:rPr>
              <w:tab/>
            </w:r>
            <w:r w:rsidRPr="007D35BE">
              <w:rPr>
                <w:rFonts w:ascii="Times New Roman" w:hAnsi="Times New Roman"/>
                <w:noProof/>
                <w:webHidden/>
                <w:sz w:val="24"/>
                <w:szCs w:val="24"/>
              </w:rPr>
              <w:fldChar w:fldCharType="begin"/>
            </w:r>
            <w:r w:rsidRPr="007D35BE">
              <w:rPr>
                <w:rFonts w:ascii="Times New Roman" w:hAnsi="Times New Roman"/>
                <w:noProof/>
                <w:webHidden/>
                <w:sz w:val="24"/>
                <w:szCs w:val="24"/>
              </w:rPr>
              <w:instrText xml:space="preserve"> PAGEREF _Toc192529322 \h </w:instrText>
            </w:r>
            <w:r w:rsidRPr="007D35BE">
              <w:rPr>
                <w:rFonts w:ascii="Times New Roman" w:hAnsi="Times New Roman"/>
                <w:noProof/>
                <w:webHidden/>
                <w:sz w:val="24"/>
                <w:szCs w:val="24"/>
              </w:rPr>
            </w:r>
            <w:r w:rsidRPr="007D35BE">
              <w:rPr>
                <w:rFonts w:ascii="Times New Roman" w:hAnsi="Times New Roman"/>
                <w:noProof/>
                <w:webHidden/>
                <w:sz w:val="24"/>
                <w:szCs w:val="24"/>
              </w:rPr>
              <w:fldChar w:fldCharType="separate"/>
            </w:r>
            <w:r w:rsidR="007D35BE">
              <w:rPr>
                <w:rFonts w:ascii="Times New Roman" w:hAnsi="Times New Roman"/>
                <w:noProof/>
                <w:webHidden/>
                <w:sz w:val="24"/>
                <w:szCs w:val="24"/>
              </w:rPr>
              <w:t>8</w:t>
            </w:r>
            <w:r w:rsidRPr="007D35BE">
              <w:rPr>
                <w:rFonts w:ascii="Times New Roman" w:hAnsi="Times New Roman"/>
                <w:noProof/>
                <w:webHidden/>
                <w:sz w:val="24"/>
                <w:szCs w:val="24"/>
              </w:rPr>
              <w:fldChar w:fldCharType="end"/>
            </w:r>
          </w:hyperlink>
        </w:p>
        <w:p w14:paraId="41F55D78" w14:textId="52B9EAAF" w:rsidR="00034830" w:rsidRPr="007D35BE" w:rsidRDefault="00034830" w:rsidP="00034830">
          <w:pPr>
            <w:pStyle w:val="TOC3"/>
            <w:tabs>
              <w:tab w:val="right" w:leader="dot" w:pos="9016"/>
            </w:tabs>
            <w:spacing w:line="360" w:lineRule="auto"/>
            <w:rPr>
              <w:rFonts w:ascii="Times New Roman" w:eastAsiaTheme="minorEastAsia" w:hAnsi="Times New Roman"/>
              <w:noProof/>
              <w:sz w:val="24"/>
              <w:szCs w:val="24"/>
              <w:lang w:val="en-HK"/>
              <w14:ligatures w14:val="standardContextual"/>
            </w:rPr>
          </w:pPr>
          <w:hyperlink w:anchor="_Toc192529323" w:history="1">
            <w:r w:rsidRPr="007D35BE">
              <w:rPr>
                <w:rStyle w:val="Hyperlink"/>
                <w:rFonts w:ascii="Times New Roman" w:hAnsi="Times New Roman"/>
                <w:noProof/>
                <w:sz w:val="24"/>
                <w:szCs w:val="24"/>
              </w:rPr>
              <w:t>2.1.2 Consumer inflation affecting retail industry</w:t>
            </w:r>
            <w:r w:rsidRPr="007D35BE">
              <w:rPr>
                <w:rFonts w:ascii="Times New Roman" w:hAnsi="Times New Roman"/>
                <w:noProof/>
                <w:webHidden/>
                <w:sz w:val="24"/>
                <w:szCs w:val="24"/>
              </w:rPr>
              <w:tab/>
            </w:r>
            <w:r w:rsidRPr="007D35BE">
              <w:rPr>
                <w:rFonts w:ascii="Times New Roman" w:hAnsi="Times New Roman"/>
                <w:noProof/>
                <w:webHidden/>
                <w:sz w:val="24"/>
                <w:szCs w:val="24"/>
              </w:rPr>
              <w:fldChar w:fldCharType="begin"/>
            </w:r>
            <w:r w:rsidRPr="007D35BE">
              <w:rPr>
                <w:rFonts w:ascii="Times New Roman" w:hAnsi="Times New Roman"/>
                <w:noProof/>
                <w:webHidden/>
                <w:sz w:val="24"/>
                <w:szCs w:val="24"/>
              </w:rPr>
              <w:instrText xml:space="preserve"> PAGEREF _Toc192529323 \h </w:instrText>
            </w:r>
            <w:r w:rsidRPr="007D35BE">
              <w:rPr>
                <w:rFonts w:ascii="Times New Roman" w:hAnsi="Times New Roman"/>
                <w:noProof/>
                <w:webHidden/>
                <w:sz w:val="24"/>
                <w:szCs w:val="24"/>
              </w:rPr>
            </w:r>
            <w:r w:rsidRPr="007D35BE">
              <w:rPr>
                <w:rFonts w:ascii="Times New Roman" w:hAnsi="Times New Roman"/>
                <w:noProof/>
                <w:webHidden/>
                <w:sz w:val="24"/>
                <w:szCs w:val="24"/>
              </w:rPr>
              <w:fldChar w:fldCharType="separate"/>
            </w:r>
            <w:r w:rsidR="007D35BE">
              <w:rPr>
                <w:rFonts w:ascii="Times New Roman" w:hAnsi="Times New Roman"/>
                <w:noProof/>
                <w:webHidden/>
                <w:sz w:val="24"/>
                <w:szCs w:val="24"/>
              </w:rPr>
              <w:t>9</w:t>
            </w:r>
            <w:r w:rsidRPr="007D35BE">
              <w:rPr>
                <w:rFonts w:ascii="Times New Roman" w:hAnsi="Times New Roman"/>
                <w:noProof/>
                <w:webHidden/>
                <w:sz w:val="24"/>
                <w:szCs w:val="24"/>
              </w:rPr>
              <w:fldChar w:fldCharType="end"/>
            </w:r>
          </w:hyperlink>
        </w:p>
        <w:p w14:paraId="7D0FA313" w14:textId="235F4A15"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24" w:history="1">
            <w:r w:rsidRPr="007D35BE">
              <w:rPr>
                <w:rStyle w:val="Hyperlink"/>
                <w:rFonts w:ascii="Times New Roman" w:hAnsi="Times New Roman"/>
                <w:b w:val="0"/>
                <w:bCs w:val="0"/>
                <w:noProof/>
                <w:sz w:val="24"/>
                <w:szCs w:val="24"/>
              </w:rPr>
              <w:t>2.2 Current performance of consumer inflation and retail sales in Hong Kong and Singapore</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_Toc192529324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11</w:t>
            </w:r>
            <w:r w:rsidRPr="007D35BE">
              <w:rPr>
                <w:rFonts w:ascii="Times New Roman" w:hAnsi="Times New Roman"/>
                <w:b w:val="0"/>
                <w:bCs w:val="0"/>
                <w:noProof/>
                <w:webHidden/>
                <w:sz w:val="24"/>
                <w:szCs w:val="24"/>
              </w:rPr>
              <w:fldChar w:fldCharType="end"/>
            </w:r>
          </w:hyperlink>
        </w:p>
        <w:p w14:paraId="5BF011FA" w14:textId="38DC66F2"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25" w:history="1">
            <w:r w:rsidRPr="007D35BE">
              <w:rPr>
                <w:rStyle w:val="Hyperlink"/>
                <w:rFonts w:ascii="Times New Roman" w:hAnsi="Times New Roman"/>
                <w:b w:val="0"/>
                <w:bCs w:val="0"/>
                <w:noProof/>
                <w:sz w:val="24"/>
                <w:szCs w:val="24"/>
              </w:rPr>
              <w:t>2.3 Dataset</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_Toc192529325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12</w:t>
            </w:r>
            <w:r w:rsidRPr="007D35BE">
              <w:rPr>
                <w:rFonts w:ascii="Times New Roman" w:hAnsi="Times New Roman"/>
                <w:b w:val="0"/>
                <w:bCs w:val="0"/>
                <w:noProof/>
                <w:webHidden/>
                <w:sz w:val="24"/>
                <w:szCs w:val="24"/>
              </w:rPr>
              <w:fldChar w:fldCharType="end"/>
            </w:r>
          </w:hyperlink>
        </w:p>
        <w:p w14:paraId="23EE8A40" w14:textId="38767024" w:rsidR="00034830" w:rsidRPr="007D35BE" w:rsidRDefault="00034830" w:rsidP="00034830">
          <w:pPr>
            <w:pStyle w:val="TOC3"/>
            <w:tabs>
              <w:tab w:val="right" w:leader="dot" w:pos="9016"/>
            </w:tabs>
            <w:spacing w:line="360" w:lineRule="auto"/>
            <w:rPr>
              <w:rFonts w:ascii="Times New Roman" w:eastAsiaTheme="minorEastAsia" w:hAnsi="Times New Roman"/>
              <w:noProof/>
              <w:sz w:val="24"/>
              <w:szCs w:val="24"/>
              <w:lang w:val="en-HK"/>
              <w14:ligatures w14:val="standardContextual"/>
            </w:rPr>
          </w:pPr>
          <w:hyperlink w:anchor="_Toc192529326" w:history="1">
            <w:r w:rsidRPr="007D35BE">
              <w:rPr>
                <w:rStyle w:val="Hyperlink"/>
                <w:rFonts w:ascii="Times New Roman" w:hAnsi="Times New Roman"/>
                <w:noProof/>
                <w:sz w:val="24"/>
                <w:szCs w:val="24"/>
              </w:rPr>
              <w:t>2.3.1 Variables Defined</w:t>
            </w:r>
            <w:r w:rsidRPr="007D35BE">
              <w:rPr>
                <w:rFonts w:ascii="Times New Roman" w:hAnsi="Times New Roman"/>
                <w:noProof/>
                <w:webHidden/>
                <w:sz w:val="24"/>
                <w:szCs w:val="24"/>
              </w:rPr>
              <w:tab/>
            </w:r>
            <w:r w:rsidRPr="007D35BE">
              <w:rPr>
                <w:rFonts w:ascii="Times New Roman" w:hAnsi="Times New Roman"/>
                <w:noProof/>
                <w:webHidden/>
                <w:sz w:val="24"/>
                <w:szCs w:val="24"/>
              </w:rPr>
              <w:fldChar w:fldCharType="begin"/>
            </w:r>
            <w:r w:rsidRPr="007D35BE">
              <w:rPr>
                <w:rFonts w:ascii="Times New Roman" w:hAnsi="Times New Roman"/>
                <w:noProof/>
                <w:webHidden/>
                <w:sz w:val="24"/>
                <w:szCs w:val="24"/>
              </w:rPr>
              <w:instrText xml:space="preserve"> PAGEREF _Toc192529326 \h </w:instrText>
            </w:r>
            <w:r w:rsidRPr="007D35BE">
              <w:rPr>
                <w:rFonts w:ascii="Times New Roman" w:hAnsi="Times New Roman"/>
                <w:noProof/>
                <w:webHidden/>
                <w:sz w:val="24"/>
                <w:szCs w:val="24"/>
              </w:rPr>
            </w:r>
            <w:r w:rsidRPr="007D35BE">
              <w:rPr>
                <w:rFonts w:ascii="Times New Roman" w:hAnsi="Times New Roman"/>
                <w:noProof/>
                <w:webHidden/>
                <w:sz w:val="24"/>
                <w:szCs w:val="24"/>
              </w:rPr>
              <w:fldChar w:fldCharType="separate"/>
            </w:r>
            <w:r w:rsidR="007D35BE">
              <w:rPr>
                <w:rFonts w:ascii="Times New Roman" w:hAnsi="Times New Roman"/>
                <w:noProof/>
                <w:webHidden/>
                <w:sz w:val="24"/>
                <w:szCs w:val="24"/>
              </w:rPr>
              <w:t>12</w:t>
            </w:r>
            <w:r w:rsidRPr="007D35BE">
              <w:rPr>
                <w:rFonts w:ascii="Times New Roman" w:hAnsi="Times New Roman"/>
                <w:noProof/>
                <w:webHidden/>
                <w:sz w:val="24"/>
                <w:szCs w:val="24"/>
              </w:rPr>
              <w:fldChar w:fldCharType="end"/>
            </w:r>
          </w:hyperlink>
        </w:p>
        <w:p w14:paraId="113A7858" w14:textId="5B5C50D8" w:rsidR="00034830" w:rsidRPr="007D35BE" w:rsidRDefault="00034830" w:rsidP="00034830">
          <w:pPr>
            <w:pStyle w:val="TOC3"/>
            <w:tabs>
              <w:tab w:val="right" w:leader="dot" w:pos="9016"/>
            </w:tabs>
            <w:spacing w:line="360" w:lineRule="auto"/>
            <w:rPr>
              <w:rFonts w:ascii="Times New Roman" w:eastAsiaTheme="minorEastAsia" w:hAnsi="Times New Roman"/>
              <w:noProof/>
              <w:sz w:val="24"/>
              <w:szCs w:val="24"/>
              <w:lang w:val="en-HK"/>
              <w14:ligatures w14:val="standardContextual"/>
            </w:rPr>
          </w:pPr>
          <w:hyperlink w:anchor="_Toc192529327" w:history="1">
            <w:r w:rsidRPr="007D35BE">
              <w:rPr>
                <w:rStyle w:val="Hyperlink"/>
                <w:rFonts w:ascii="Times New Roman" w:hAnsi="Times New Roman"/>
                <w:noProof/>
                <w:sz w:val="24"/>
                <w:szCs w:val="24"/>
              </w:rPr>
              <w:t>2.3.2  Time Frequency</w:t>
            </w:r>
            <w:r w:rsidRPr="007D35BE">
              <w:rPr>
                <w:rFonts w:ascii="Times New Roman" w:hAnsi="Times New Roman"/>
                <w:noProof/>
                <w:webHidden/>
                <w:sz w:val="24"/>
                <w:szCs w:val="24"/>
              </w:rPr>
              <w:tab/>
            </w:r>
            <w:r w:rsidRPr="007D35BE">
              <w:rPr>
                <w:rFonts w:ascii="Times New Roman" w:hAnsi="Times New Roman"/>
                <w:noProof/>
                <w:webHidden/>
                <w:sz w:val="24"/>
                <w:szCs w:val="24"/>
              </w:rPr>
              <w:fldChar w:fldCharType="begin"/>
            </w:r>
            <w:r w:rsidRPr="007D35BE">
              <w:rPr>
                <w:rFonts w:ascii="Times New Roman" w:hAnsi="Times New Roman"/>
                <w:noProof/>
                <w:webHidden/>
                <w:sz w:val="24"/>
                <w:szCs w:val="24"/>
              </w:rPr>
              <w:instrText xml:space="preserve"> PAGEREF _Toc192529327 \h </w:instrText>
            </w:r>
            <w:r w:rsidRPr="007D35BE">
              <w:rPr>
                <w:rFonts w:ascii="Times New Roman" w:hAnsi="Times New Roman"/>
                <w:noProof/>
                <w:webHidden/>
                <w:sz w:val="24"/>
                <w:szCs w:val="24"/>
              </w:rPr>
            </w:r>
            <w:r w:rsidRPr="007D35BE">
              <w:rPr>
                <w:rFonts w:ascii="Times New Roman" w:hAnsi="Times New Roman"/>
                <w:noProof/>
                <w:webHidden/>
                <w:sz w:val="24"/>
                <w:szCs w:val="24"/>
              </w:rPr>
              <w:fldChar w:fldCharType="separate"/>
            </w:r>
            <w:r w:rsidR="007D35BE">
              <w:rPr>
                <w:rFonts w:ascii="Times New Roman" w:hAnsi="Times New Roman"/>
                <w:noProof/>
                <w:webHidden/>
                <w:sz w:val="24"/>
                <w:szCs w:val="24"/>
              </w:rPr>
              <w:t>13</w:t>
            </w:r>
            <w:r w:rsidRPr="007D35BE">
              <w:rPr>
                <w:rFonts w:ascii="Times New Roman" w:hAnsi="Times New Roman"/>
                <w:noProof/>
                <w:webHidden/>
                <w:sz w:val="24"/>
                <w:szCs w:val="24"/>
              </w:rPr>
              <w:fldChar w:fldCharType="end"/>
            </w:r>
          </w:hyperlink>
        </w:p>
        <w:p w14:paraId="0B277933" w14:textId="0642B427" w:rsidR="00034830" w:rsidRPr="007D35BE" w:rsidRDefault="00034830" w:rsidP="00034830">
          <w:pPr>
            <w:pStyle w:val="TOC1"/>
            <w:tabs>
              <w:tab w:val="right" w:leader="dot" w:pos="9016"/>
            </w:tabs>
            <w:spacing w:line="360" w:lineRule="auto"/>
            <w:rPr>
              <w:rFonts w:ascii="Times New Roman" w:eastAsiaTheme="minorEastAsia" w:hAnsi="Times New Roman"/>
              <w:b w:val="0"/>
              <w:bCs w:val="0"/>
              <w:i w:val="0"/>
              <w:iCs w:val="0"/>
              <w:noProof/>
              <w:lang w:val="en-HK"/>
              <w14:ligatures w14:val="standardContextual"/>
            </w:rPr>
          </w:pPr>
          <w:hyperlink w:anchor="_Toc192529328" w:history="1">
            <w:r w:rsidRPr="007D35BE">
              <w:rPr>
                <w:rStyle w:val="Hyperlink"/>
                <w:rFonts w:ascii="Times New Roman" w:hAnsi="Times New Roman"/>
                <w:b w:val="0"/>
                <w:bCs w:val="0"/>
                <w:noProof/>
              </w:rPr>
              <w:t>3. Analysis and Discussion</w:t>
            </w:r>
            <w:r w:rsidRPr="007D35BE">
              <w:rPr>
                <w:rFonts w:ascii="Times New Roman" w:hAnsi="Times New Roman"/>
                <w:b w:val="0"/>
                <w:bCs w:val="0"/>
                <w:noProof/>
                <w:webHidden/>
              </w:rPr>
              <w:tab/>
            </w:r>
            <w:r w:rsidRPr="007D35BE">
              <w:rPr>
                <w:rFonts w:ascii="Times New Roman" w:hAnsi="Times New Roman"/>
                <w:b w:val="0"/>
                <w:bCs w:val="0"/>
                <w:noProof/>
                <w:webHidden/>
              </w:rPr>
              <w:fldChar w:fldCharType="begin"/>
            </w:r>
            <w:r w:rsidRPr="007D35BE">
              <w:rPr>
                <w:rFonts w:ascii="Times New Roman" w:hAnsi="Times New Roman"/>
                <w:b w:val="0"/>
                <w:bCs w:val="0"/>
                <w:noProof/>
                <w:webHidden/>
              </w:rPr>
              <w:instrText xml:space="preserve"> PAGEREF _Toc192529328 \h </w:instrText>
            </w:r>
            <w:r w:rsidRPr="007D35BE">
              <w:rPr>
                <w:rFonts w:ascii="Times New Roman" w:hAnsi="Times New Roman"/>
                <w:b w:val="0"/>
                <w:bCs w:val="0"/>
                <w:noProof/>
                <w:webHidden/>
              </w:rPr>
            </w:r>
            <w:r w:rsidRPr="007D35BE">
              <w:rPr>
                <w:rFonts w:ascii="Times New Roman" w:hAnsi="Times New Roman"/>
                <w:b w:val="0"/>
                <w:bCs w:val="0"/>
                <w:noProof/>
                <w:webHidden/>
              </w:rPr>
              <w:fldChar w:fldCharType="separate"/>
            </w:r>
            <w:r w:rsidR="007D35BE">
              <w:rPr>
                <w:rFonts w:ascii="Times New Roman" w:hAnsi="Times New Roman"/>
                <w:b w:val="0"/>
                <w:bCs w:val="0"/>
                <w:noProof/>
                <w:webHidden/>
              </w:rPr>
              <w:t>15</w:t>
            </w:r>
            <w:r w:rsidRPr="007D35BE">
              <w:rPr>
                <w:rFonts w:ascii="Times New Roman" w:hAnsi="Times New Roman"/>
                <w:b w:val="0"/>
                <w:bCs w:val="0"/>
                <w:noProof/>
                <w:webHidden/>
              </w:rPr>
              <w:fldChar w:fldCharType="end"/>
            </w:r>
          </w:hyperlink>
        </w:p>
        <w:p w14:paraId="046159F8" w14:textId="5F4C1DF3"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29" w:history="1">
            <w:r w:rsidRPr="007D35BE">
              <w:rPr>
                <w:rStyle w:val="Hyperlink"/>
                <w:rFonts w:ascii="Times New Roman" w:hAnsi="Times New Roman"/>
                <w:b w:val="0"/>
                <w:bCs w:val="0"/>
                <w:noProof/>
                <w:sz w:val="24"/>
                <w:szCs w:val="24"/>
              </w:rPr>
              <w:t>3.1 Relationship between consumer inflation and retail sales in Hong Kong</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_Toc192529329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16</w:t>
            </w:r>
            <w:r w:rsidRPr="007D35BE">
              <w:rPr>
                <w:rFonts w:ascii="Times New Roman" w:hAnsi="Times New Roman"/>
                <w:b w:val="0"/>
                <w:bCs w:val="0"/>
                <w:noProof/>
                <w:webHidden/>
                <w:sz w:val="24"/>
                <w:szCs w:val="24"/>
              </w:rPr>
              <w:fldChar w:fldCharType="end"/>
            </w:r>
          </w:hyperlink>
        </w:p>
        <w:p w14:paraId="25C53AAA" w14:textId="1AE08E8E"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0" w:history="1">
            <w:r w:rsidRPr="007D35BE">
              <w:rPr>
                <w:rStyle w:val="Hyperlink"/>
                <w:rFonts w:ascii="Times New Roman" w:hAnsi="Times New Roman"/>
                <w:b w:val="0"/>
                <w:bCs w:val="0"/>
                <w:noProof/>
                <w:sz w:val="24"/>
                <w:szCs w:val="24"/>
              </w:rPr>
              <w:t>3.2 Comparative Analysis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_Toc192529330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17</w:t>
            </w:r>
            <w:r w:rsidRPr="007D35BE">
              <w:rPr>
                <w:rFonts w:ascii="Times New Roman" w:hAnsi="Times New Roman"/>
                <w:b w:val="0"/>
                <w:bCs w:val="0"/>
                <w:noProof/>
                <w:webHidden/>
                <w:sz w:val="24"/>
                <w:szCs w:val="24"/>
              </w:rPr>
              <w:fldChar w:fldCharType="end"/>
            </w:r>
          </w:hyperlink>
        </w:p>
        <w:p w14:paraId="1A684EBF" w14:textId="52AE9B79" w:rsidR="00034830" w:rsidRPr="007D35BE" w:rsidRDefault="00034830" w:rsidP="00034830">
          <w:pPr>
            <w:pStyle w:val="TOC3"/>
            <w:tabs>
              <w:tab w:val="right" w:leader="dot" w:pos="9016"/>
            </w:tabs>
            <w:spacing w:line="360" w:lineRule="auto"/>
            <w:rPr>
              <w:rFonts w:ascii="Times New Roman" w:eastAsiaTheme="minorEastAsia" w:hAnsi="Times New Roman"/>
              <w:noProof/>
              <w:sz w:val="24"/>
              <w:szCs w:val="24"/>
              <w:lang w:val="en-HK"/>
              <w14:ligatures w14:val="standardContextual"/>
            </w:rPr>
          </w:pPr>
          <w:hyperlink w:anchor="_Toc192529331" w:history="1">
            <w:r w:rsidRPr="007D35BE">
              <w:rPr>
                <w:rStyle w:val="Hyperlink"/>
                <w:rFonts w:ascii="Times New Roman" w:hAnsi="Times New Roman"/>
                <w:noProof/>
                <w:sz w:val="24"/>
                <w:szCs w:val="24"/>
              </w:rPr>
              <w:t>3.2.1Correlation Analysis</w:t>
            </w:r>
            <w:r w:rsidRPr="007D35BE">
              <w:rPr>
                <w:rFonts w:ascii="Times New Roman" w:hAnsi="Times New Roman"/>
                <w:noProof/>
                <w:webHidden/>
                <w:sz w:val="24"/>
                <w:szCs w:val="24"/>
              </w:rPr>
              <w:tab/>
            </w:r>
            <w:r w:rsidRPr="007D35BE">
              <w:rPr>
                <w:rFonts w:ascii="Times New Roman" w:hAnsi="Times New Roman"/>
                <w:noProof/>
                <w:webHidden/>
                <w:sz w:val="24"/>
                <w:szCs w:val="24"/>
              </w:rPr>
              <w:fldChar w:fldCharType="begin"/>
            </w:r>
            <w:r w:rsidRPr="007D35BE">
              <w:rPr>
                <w:rFonts w:ascii="Times New Roman" w:hAnsi="Times New Roman"/>
                <w:noProof/>
                <w:webHidden/>
                <w:sz w:val="24"/>
                <w:szCs w:val="24"/>
              </w:rPr>
              <w:instrText xml:space="preserve"> PAGEREF _Toc192529331 \h </w:instrText>
            </w:r>
            <w:r w:rsidRPr="007D35BE">
              <w:rPr>
                <w:rFonts w:ascii="Times New Roman" w:hAnsi="Times New Roman"/>
                <w:noProof/>
                <w:webHidden/>
                <w:sz w:val="24"/>
                <w:szCs w:val="24"/>
              </w:rPr>
            </w:r>
            <w:r w:rsidRPr="007D35BE">
              <w:rPr>
                <w:rFonts w:ascii="Times New Roman" w:hAnsi="Times New Roman"/>
                <w:noProof/>
                <w:webHidden/>
                <w:sz w:val="24"/>
                <w:szCs w:val="24"/>
              </w:rPr>
              <w:fldChar w:fldCharType="separate"/>
            </w:r>
            <w:r w:rsidR="007D35BE">
              <w:rPr>
                <w:rFonts w:ascii="Times New Roman" w:hAnsi="Times New Roman"/>
                <w:noProof/>
                <w:webHidden/>
                <w:sz w:val="24"/>
                <w:szCs w:val="24"/>
              </w:rPr>
              <w:t>18</w:t>
            </w:r>
            <w:r w:rsidRPr="007D35BE">
              <w:rPr>
                <w:rFonts w:ascii="Times New Roman" w:hAnsi="Times New Roman"/>
                <w:noProof/>
                <w:webHidden/>
                <w:sz w:val="24"/>
                <w:szCs w:val="24"/>
              </w:rPr>
              <w:fldChar w:fldCharType="end"/>
            </w:r>
          </w:hyperlink>
        </w:p>
        <w:p w14:paraId="2EA1B7B3" w14:textId="4E4280A5"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2" w:history="1">
            <w:r w:rsidRPr="007D35BE">
              <w:rPr>
                <w:rStyle w:val="Hyperlink"/>
                <w:rFonts w:ascii="Times New Roman" w:hAnsi="Times New Roman"/>
                <w:b w:val="0"/>
                <w:bCs w:val="0"/>
                <w:noProof/>
                <w:sz w:val="24"/>
                <w:szCs w:val="24"/>
              </w:rPr>
              <w:t>3.3 Similarities and Differences in Patterns and Trends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_Toc192529332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19</w:t>
            </w:r>
            <w:r w:rsidRPr="007D35BE">
              <w:rPr>
                <w:rFonts w:ascii="Times New Roman" w:hAnsi="Times New Roman"/>
                <w:b w:val="0"/>
                <w:bCs w:val="0"/>
                <w:noProof/>
                <w:webHidden/>
                <w:sz w:val="24"/>
                <w:szCs w:val="24"/>
              </w:rPr>
              <w:fldChar w:fldCharType="end"/>
            </w:r>
          </w:hyperlink>
        </w:p>
        <w:p w14:paraId="0D111E5B" w14:textId="1AD1573A"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3" w:history="1">
            <w:r w:rsidRPr="007D35BE">
              <w:rPr>
                <w:rStyle w:val="Hyperlink"/>
                <w:rFonts w:ascii="Times New Roman" w:hAnsi="Times New Roman"/>
                <w:b w:val="0"/>
                <w:bCs w:val="0"/>
                <w:noProof/>
                <w:sz w:val="24"/>
                <w:szCs w:val="24"/>
              </w:rPr>
              <w:t>3.4 Summary of Findings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_Toc192529333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21</w:t>
            </w:r>
            <w:r w:rsidRPr="007D35BE">
              <w:rPr>
                <w:rFonts w:ascii="Times New Roman" w:hAnsi="Times New Roman"/>
                <w:b w:val="0"/>
                <w:bCs w:val="0"/>
                <w:noProof/>
                <w:webHidden/>
                <w:sz w:val="24"/>
                <w:szCs w:val="24"/>
              </w:rPr>
              <w:fldChar w:fldCharType="end"/>
            </w:r>
          </w:hyperlink>
        </w:p>
        <w:p w14:paraId="64C631BE" w14:textId="08177061" w:rsidR="00034830" w:rsidRPr="007D35BE" w:rsidRDefault="00034830" w:rsidP="00034830">
          <w:pPr>
            <w:pStyle w:val="TOC1"/>
            <w:tabs>
              <w:tab w:val="right" w:leader="dot" w:pos="9016"/>
            </w:tabs>
            <w:spacing w:line="360" w:lineRule="auto"/>
            <w:rPr>
              <w:rFonts w:ascii="Times New Roman" w:eastAsiaTheme="minorEastAsia" w:hAnsi="Times New Roman"/>
              <w:b w:val="0"/>
              <w:bCs w:val="0"/>
              <w:i w:val="0"/>
              <w:iCs w:val="0"/>
              <w:noProof/>
              <w:lang w:val="en-HK"/>
              <w14:ligatures w14:val="standardContextual"/>
            </w:rPr>
          </w:pPr>
          <w:hyperlink w:anchor="_Toc192529334" w:history="1">
            <w:r w:rsidRPr="007D35BE">
              <w:rPr>
                <w:rStyle w:val="Hyperlink"/>
                <w:rFonts w:ascii="Times New Roman" w:hAnsi="Times New Roman"/>
                <w:b w:val="0"/>
                <w:bCs w:val="0"/>
                <w:noProof/>
              </w:rPr>
              <w:t>4. Conclusion and Recommendations</w:t>
            </w:r>
            <w:r w:rsidRPr="007D35BE">
              <w:rPr>
                <w:rFonts w:ascii="Times New Roman" w:hAnsi="Times New Roman"/>
                <w:b w:val="0"/>
                <w:bCs w:val="0"/>
                <w:noProof/>
                <w:webHidden/>
              </w:rPr>
              <w:tab/>
            </w:r>
            <w:r w:rsidRPr="007D35BE">
              <w:rPr>
                <w:rFonts w:ascii="Times New Roman" w:hAnsi="Times New Roman"/>
                <w:b w:val="0"/>
                <w:bCs w:val="0"/>
                <w:noProof/>
                <w:webHidden/>
              </w:rPr>
              <w:fldChar w:fldCharType="begin"/>
            </w:r>
            <w:r w:rsidRPr="007D35BE">
              <w:rPr>
                <w:rFonts w:ascii="Times New Roman" w:hAnsi="Times New Roman"/>
                <w:b w:val="0"/>
                <w:bCs w:val="0"/>
                <w:noProof/>
                <w:webHidden/>
              </w:rPr>
              <w:instrText xml:space="preserve"> PAGEREF _Toc192529334 \h </w:instrText>
            </w:r>
            <w:r w:rsidRPr="007D35BE">
              <w:rPr>
                <w:rFonts w:ascii="Times New Roman" w:hAnsi="Times New Roman"/>
                <w:b w:val="0"/>
                <w:bCs w:val="0"/>
                <w:noProof/>
                <w:webHidden/>
              </w:rPr>
            </w:r>
            <w:r w:rsidRPr="007D35BE">
              <w:rPr>
                <w:rFonts w:ascii="Times New Roman" w:hAnsi="Times New Roman"/>
                <w:b w:val="0"/>
                <w:bCs w:val="0"/>
                <w:noProof/>
                <w:webHidden/>
              </w:rPr>
              <w:fldChar w:fldCharType="separate"/>
            </w:r>
            <w:r w:rsidR="007D35BE">
              <w:rPr>
                <w:rFonts w:ascii="Times New Roman" w:hAnsi="Times New Roman"/>
                <w:b w:val="0"/>
                <w:bCs w:val="0"/>
                <w:noProof/>
                <w:webHidden/>
              </w:rPr>
              <w:t>23</w:t>
            </w:r>
            <w:r w:rsidRPr="007D35BE">
              <w:rPr>
                <w:rFonts w:ascii="Times New Roman" w:hAnsi="Times New Roman"/>
                <w:b w:val="0"/>
                <w:bCs w:val="0"/>
                <w:noProof/>
                <w:webHidden/>
              </w:rPr>
              <w:fldChar w:fldCharType="end"/>
            </w:r>
          </w:hyperlink>
        </w:p>
        <w:p w14:paraId="226F3811" w14:textId="4FACB2CE"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5" w:history="1">
            <w:r w:rsidRPr="007D35BE">
              <w:rPr>
                <w:rStyle w:val="Hyperlink"/>
                <w:rFonts w:ascii="Times New Roman" w:hAnsi="Times New Roman"/>
                <w:b w:val="0"/>
                <w:bCs w:val="0"/>
                <w:noProof/>
                <w:sz w:val="24"/>
                <w:szCs w:val="24"/>
              </w:rPr>
              <w:t>4.1 Conclusion</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_Toc192529335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23</w:t>
            </w:r>
            <w:r w:rsidRPr="007D35BE">
              <w:rPr>
                <w:rFonts w:ascii="Times New Roman" w:hAnsi="Times New Roman"/>
                <w:b w:val="0"/>
                <w:bCs w:val="0"/>
                <w:noProof/>
                <w:webHidden/>
                <w:sz w:val="24"/>
                <w:szCs w:val="24"/>
              </w:rPr>
              <w:fldChar w:fldCharType="end"/>
            </w:r>
          </w:hyperlink>
        </w:p>
        <w:p w14:paraId="1FC6A930" w14:textId="3033716C"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6" w:history="1">
            <w:r w:rsidRPr="007D35BE">
              <w:rPr>
                <w:rStyle w:val="Hyperlink"/>
                <w:rFonts w:ascii="Times New Roman" w:hAnsi="Times New Roman"/>
                <w:b w:val="0"/>
                <w:bCs w:val="0"/>
                <w:noProof/>
                <w:sz w:val="24"/>
                <w:szCs w:val="24"/>
              </w:rPr>
              <w:t>4.2 Recommendations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_Toc192529336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24</w:t>
            </w:r>
            <w:r w:rsidRPr="007D35BE">
              <w:rPr>
                <w:rFonts w:ascii="Times New Roman" w:hAnsi="Times New Roman"/>
                <w:b w:val="0"/>
                <w:bCs w:val="0"/>
                <w:noProof/>
                <w:webHidden/>
                <w:sz w:val="24"/>
                <w:szCs w:val="24"/>
              </w:rPr>
              <w:fldChar w:fldCharType="end"/>
            </w:r>
          </w:hyperlink>
        </w:p>
        <w:p w14:paraId="23555514" w14:textId="3B9BBC4B" w:rsidR="00034830" w:rsidRPr="007D35BE" w:rsidRDefault="00034830" w:rsidP="00034830">
          <w:pPr>
            <w:pStyle w:val="TOC2"/>
            <w:tabs>
              <w:tab w:val="right" w:leader="dot" w:pos="9016"/>
            </w:tabs>
            <w:spacing w:line="360" w:lineRule="auto"/>
            <w:rPr>
              <w:rFonts w:ascii="Times New Roman" w:eastAsiaTheme="minorEastAsia" w:hAnsi="Times New Roman"/>
              <w:b w:val="0"/>
              <w:bCs w:val="0"/>
              <w:noProof/>
              <w:sz w:val="24"/>
              <w:szCs w:val="24"/>
              <w:lang w:val="en-HK"/>
              <w14:ligatures w14:val="standardContextual"/>
            </w:rPr>
          </w:pPr>
          <w:hyperlink w:anchor="_Toc192529337" w:history="1">
            <w:r w:rsidRPr="007D35BE">
              <w:rPr>
                <w:rStyle w:val="Hyperlink"/>
                <w:rFonts w:ascii="Times New Roman" w:hAnsi="Times New Roman"/>
                <w:b w:val="0"/>
                <w:bCs w:val="0"/>
                <w:noProof/>
                <w:sz w:val="24"/>
                <w:szCs w:val="24"/>
              </w:rPr>
              <w:t>4.3 Limitations and Future Research Opportunities</w:t>
            </w:r>
            <w:r w:rsidRPr="007D35BE">
              <w:rPr>
                <w:rFonts w:ascii="Times New Roman" w:hAnsi="Times New Roman"/>
                <w:b w:val="0"/>
                <w:bCs w:val="0"/>
                <w:noProof/>
                <w:webHidden/>
                <w:sz w:val="24"/>
                <w:szCs w:val="24"/>
              </w:rPr>
              <w:tab/>
            </w:r>
            <w:r w:rsidRPr="007D35BE">
              <w:rPr>
                <w:rFonts w:ascii="Times New Roman" w:hAnsi="Times New Roman"/>
                <w:b w:val="0"/>
                <w:bCs w:val="0"/>
                <w:noProof/>
                <w:webHidden/>
                <w:sz w:val="24"/>
                <w:szCs w:val="24"/>
              </w:rPr>
              <w:fldChar w:fldCharType="begin"/>
            </w:r>
            <w:r w:rsidRPr="007D35BE">
              <w:rPr>
                <w:rFonts w:ascii="Times New Roman" w:hAnsi="Times New Roman"/>
                <w:b w:val="0"/>
                <w:bCs w:val="0"/>
                <w:noProof/>
                <w:webHidden/>
                <w:sz w:val="24"/>
                <w:szCs w:val="24"/>
              </w:rPr>
              <w:instrText xml:space="preserve"> PAGEREF _Toc192529337 \h </w:instrText>
            </w:r>
            <w:r w:rsidRPr="007D35BE">
              <w:rPr>
                <w:rFonts w:ascii="Times New Roman" w:hAnsi="Times New Roman"/>
                <w:b w:val="0"/>
                <w:bCs w:val="0"/>
                <w:noProof/>
                <w:webHidden/>
                <w:sz w:val="24"/>
                <w:szCs w:val="24"/>
              </w:rPr>
            </w:r>
            <w:r w:rsidRPr="007D35BE">
              <w:rPr>
                <w:rFonts w:ascii="Times New Roman" w:hAnsi="Times New Roman"/>
                <w:b w:val="0"/>
                <w:bCs w:val="0"/>
                <w:noProof/>
                <w:webHidden/>
                <w:sz w:val="24"/>
                <w:szCs w:val="24"/>
              </w:rPr>
              <w:fldChar w:fldCharType="separate"/>
            </w:r>
            <w:r w:rsidR="007D35BE">
              <w:rPr>
                <w:rFonts w:ascii="Times New Roman" w:hAnsi="Times New Roman"/>
                <w:b w:val="0"/>
                <w:bCs w:val="0"/>
                <w:noProof/>
                <w:webHidden/>
                <w:sz w:val="24"/>
                <w:szCs w:val="24"/>
              </w:rPr>
              <w:t>25</w:t>
            </w:r>
            <w:r w:rsidRPr="007D35BE">
              <w:rPr>
                <w:rFonts w:ascii="Times New Roman" w:hAnsi="Times New Roman"/>
                <w:b w:val="0"/>
                <w:bCs w:val="0"/>
                <w:noProof/>
                <w:webHidden/>
                <w:sz w:val="24"/>
                <w:szCs w:val="24"/>
              </w:rPr>
              <w:fldChar w:fldCharType="end"/>
            </w:r>
          </w:hyperlink>
        </w:p>
        <w:p w14:paraId="19BF1957" w14:textId="1BADB46A" w:rsidR="00370672" w:rsidRPr="00012DD3" w:rsidRDefault="005376E2" w:rsidP="00034830">
          <w:pPr>
            <w:spacing w:line="360" w:lineRule="auto"/>
            <w:rPr>
              <w:color w:val="000000" w:themeColor="text1"/>
            </w:rPr>
          </w:pPr>
          <w:r w:rsidRPr="007D35BE">
            <w:rPr>
              <w:noProof/>
              <w:color w:val="000000" w:themeColor="text1"/>
              <w:lang w:val="en-GB"/>
            </w:rPr>
            <w:fldChar w:fldCharType="end"/>
          </w:r>
        </w:p>
      </w:sdtContent>
    </w:sdt>
    <w:p w14:paraId="1A853CA4" w14:textId="77777777" w:rsidR="004D1B56" w:rsidRPr="00012DD3" w:rsidRDefault="004D1B56" w:rsidP="000C1A1D">
      <w:pPr>
        <w:pStyle w:val="Heading1"/>
        <w:spacing w:line="360" w:lineRule="auto"/>
        <w:ind w:left="720"/>
        <w:rPr>
          <w:rFonts w:ascii="Times New Roman" w:hAnsi="Times New Roman" w:cs="Times New Roman"/>
          <w:color w:val="000000" w:themeColor="text1"/>
          <w:sz w:val="24"/>
          <w:szCs w:val="24"/>
        </w:rPr>
      </w:pPr>
    </w:p>
    <w:p w14:paraId="5D14F2BA" w14:textId="77777777" w:rsidR="004D1B56" w:rsidRPr="00012DD3" w:rsidRDefault="004D1B56" w:rsidP="004D1B56">
      <w:pPr>
        <w:rPr>
          <w:color w:val="000000" w:themeColor="text1"/>
        </w:rPr>
      </w:pPr>
    </w:p>
    <w:p w14:paraId="2264F7AF" w14:textId="77777777" w:rsidR="004D1B56" w:rsidRPr="00012DD3" w:rsidRDefault="004D1B56" w:rsidP="004D1B56">
      <w:pPr>
        <w:rPr>
          <w:color w:val="000000" w:themeColor="text1"/>
        </w:rPr>
      </w:pPr>
    </w:p>
    <w:p w14:paraId="16DECB6B" w14:textId="77777777" w:rsidR="004D1B56" w:rsidRPr="00012DD3" w:rsidRDefault="004D1B56" w:rsidP="004D1B56">
      <w:pPr>
        <w:rPr>
          <w:color w:val="000000" w:themeColor="text1"/>
        </w:rPr>
      </w:pPr>
    </w:p>
    <w:p w14:paraId="6255FB82" w14:textId="77777777" w:rsidR="004D1B56" w:rsidRPr="00012DD3" w:rsidRDefault="004D1B56" w:rsidP="004D1B56">
      <w:pPr>
        <w:rPr>
          <w:color w:val="000000" w:themeColor="text1"/>
        </w:rPr>
      </w:pPr>
    </w:p>
    <w:p w14:paraId="05D8B349" w14:textId="4BBAB1F9" w:rsidR="000E39FA" w:rsidRPr="00012DD3" w:rsidRDefault="0013509E" w:rsidP="00012DD3">
      <w:pPr>
        <w:pStyle w:val="Heading1"/>
        <w:numPr>
          <w:ilvl w:val="0"/>
          <w:numId w:val="12"/>
        </w:numPr>
        <w:spacing w:line="480" w:lineRule="auto"/>
        <w:rPr>
          <w:rFonts w:ascii="Times New Roman" w:hAnsi="Times New Roman" w:cs="Times New Roman"/>
        </w:rPr>
      </w:pPr>
      <w:bookmarkStart w:id="1" w:name="_Toc192529319"/>
      <w:r w:rsidRPr="00012DD3">
        <w:rPr>
          <w:rFonts w:ascii="Times New Roman" w:hAnsi="Times New Roman" w:cs="Times New Roman"/>
        </w:rPr>
        <w:lastRenderedPageBreak/>
        <w:t>Introduction</w:t>
      </w:r>
      <w:bookmarkEnd w:id="1"/>
    </w:p>
    <w:p w14:paraId="589A0667" w14:textId="52AA4ACB" w:rsidR="00D44704" w:rsidRPr="00012DD3" w:rsidRDefault="00DD71B7" w:rsidP="00012DD3">
      <w:pPr>
        <w:spacing w:line="480" w:lineRule="auto"/>
        <w:jc w:val="both"/>
        <w:rPr>
          <w:color w:val="000000" w:themeColor="text1"/>
        </w:rPr>
      </w:pPr>
      <w:r w:rsidRPr="00012DD3">
        <w:rPr>
          <w:color w:val="000000" w:themeColor="text1"/>
        </w:rPr>
        <w:t>In the past few years, the global economy is facing a</w:t>
      </w:r>
      <w:r w:rsidR="0070159C" w:rsidRPr="00012DD3">
        <w:rPr>
          <w:color w:val="000000" w:themeColor="text1"/>
        </w:rPr>
        <w:t>n</w:t>
      </w:r>
      <w:r w:rsidRPr="00012DD3">
        <w:rPr>
          <w:color w:val="000000" w:themeColor="text1"/>
        </w:rPr>
        <w:t xml:space="preserve"> inflation shock due to a series of unprecedented events, such as COVID-19 and the war </w:t>
      </w:r>
      <w:r w:rsidR="0070159C" w:rsidRPr="00012DD3">
        <w:rPr>
          <w:color w:val="000000" w:themeColor="text1"/>
        </w:rPr>
        <w:t xml:space="preserve">between </w:t>
      </w:r>
      <w:r w:rsidRPr="00012DD3">
        <w:rPr>
          <w:color w:val="000000" w:themeColor="text1"/>
        </w:rPr>
        <w:t xml:space="preserve">Russia and Ukraine </w:t>
      </w:r>
      <w:r w:rsidR="00501AA0" w:rsidRPr="00012DD3">
        <w:rPr>
          <w:color w:val="000000" w:themeColor="text1"/>
        </w:rPr>
        <w:t>(Maurya, Bansal and Mishra, 2023)</w:t>
      </w:r>
      <w:r w:rsidRPr="00012DD3">
        <w:rPr>
          <w:color w:val="000000" w:themeColor="text1"/>
        </w:rPr>
        <w:t xml:space="preserve">.  </w:t>
      </w:r>
      <w:r w:rsidR="0070159C" w:rsidRPr="00012DD3">
        <w:rPr>
          <w:color w:val="000000" w:themeColor="text1"/>
        </w:rPr>
        <w:t>At the end of 2022, t</w:t>
      </w:r>
      <w:r w:rsidRPr="00012DD3">
        <w:rPr>
          <w:color w:val="000000" w:themeColor="text1"/>
        </w:rPr>
        <w:t xml:space="preserve">he global inflation rate </w:t>
      </w:r>
      <w:r w:rsidR="0070159C" w:rsidRPr="00012DD3">
        <w:rPr>
          <w:color w:val="000000" w:themeColor="text1"/>
        </w:rPr>
        <w:t xml:space="preserve">had contributed to a soar of 8.8% in Consumer Price Index compared to previous year which was recorded as the </w:t>
      </w:r>
      <w:r w:rsidRPr="00012DD3">
        <w:rPr>
          <w:color w:val="000000" w:themeColor="text1"/>
        </w:rPr>
        <w:t xml:space="preserve">highest level over the three decades </w:t>
      </w:r>
      <w:r w:rsidR="00476616" w:rsidRPr="00012DD3">
        <w:rPr>
          <w:color w:val="000000" w:themeColor="text1"/>
        </w:rPr>
        <w:t xml:space="preserve">(International Monetary Fund, 2022). </w:t>
      </w:r>
      <w:r w:rsidRPr="00012DD3">
        <w:rPr>
          <w:color w:val="000000" w:themeColor="text1"/>
        </w:rPr>
        <w:t xml:space="preserve"> Even though the pattern of increasing inflation can be observed as co-movement around the world, comparing with different regions, Asia and Pacific's inflation experienced lower on average, around 4% to 6% </w:t>
      </w:r>
      <w:r w:rsidR="00D45703" w:rsidRPr="00012DD3">
        <w:rPr>
          <w:color w:val="000000" w:themeColor="text1"/>
        </w:rPr>
        <w:t>(Deb et al., 2023, pp.15–23)</w:t>
      </w:r>
      <w:r w:rsidRPr="00012DD3">
        <w:rPr>
          <w:color w:val="000000" w:themeColor="text1"/>
        </w:rPr>
        <w:t>. This phenomenon implies that regional and even countries inflation pattern can be significantly different.</w:t>
      </w:r>
      <w:r w:rsidR="003508F3" w:rsidRPr="00012DD3">
        <w:rPr>
          <w:color w:val="000000" w:themeColor="text1"/>
        </w:rPr>
        <w:t xml:space="preserve"> </w:t>
      </w:r>
      <w:r w:rsidR="00E90645" w:rsidRPr="00012DD3">
        <w:rPr>
          <w:color w:val="000000" w:themeColor="text1"/>
        </w:rPr>
        <w:t>These patterns</w:t>
      </w:r>
      <w:r w:rsidR="00975322" w:rsidRPr="00012DD3">
        <w:rPr>
          <w:color w:val="000000" w:themeColor="text1"/>
        </w:rPr>
        <w:t xml:space="preserve"> </w:t>
      </w:r>
      <w:r w:rsidR="003D69E2" w:rsidRPr="00012DD3">
        <w:rPr>
          <w:color w:val="000000" w:themeColor="text1"/>
        </w:rPr>
        <w:t xml:space="preserve">not only </w:t>
      </w:r>
      <w:r w:rsidR="006D527A" w:rsidRPr="00012DD3">
        <w:rPr>
          <w:color w:val="000000" w:themeColor="text1"/>
        </w:rPr>
        <w:t>bring</w:t>
      </w:r>
      <w:r w:rsidR="003D69E2" w:rsidRPr="00012DD3">
        <w:rPr>
          <w:color w:val="000000" w:themeColor="text1"/>
        </w:rPr>
        <w:t xml:space="preserve"> along </w:t>
      </w:r>
      <w:r w:rsidR="006D527A" w:rsidRPr="00012DD3">
        <w:rPr>
          <w:color w:val="000000" w:themeColor="text1"/>
        </w:rPr>
        <w:t xml:space="preserve"> opportunities </w:t>
      </w:r>
      <w:r w:rsidR="003D69E2" w:rsidRPr="00012DD3">
        <w:rPr>
          <w:color w:val="000000" w:themeColor="text1"/>
        </w:rPr>
        <w:t xml:space="preserve">but also </w:t>
      </w:r>
      <w:r w:rsidR="00E90645" w:rsidRPr="00012DD3">
        <w:rPr>
          <w:color w:val="000000" w:themeColor="text1"/>
        </w:rPr>
        <w:t>uncertaint</w:t>
      </w:r>
      <w:r w:rsidR="003D69E2" w:rsidRPr="00012DD3">
        <w:rPr>
          <w:color w:val="000000" w:themeColor="text1"/>
        </w:rPr>
        <w:t>ies</w:t>
      </w:r>
      <w:r w:rsidR="00E90645" w:rsidRPr="00012DD3">
        <w:rPr>
          <w:color w:val="000000" w:themeColor="text1"/>
        </w:rPr>
        <w:t xml:space="preserve"> for business development and investment. </w:t>
      </w:r>
      <w:r w:rsidRPr="00012DD3">
        <w:rPr>
          <w:color w:val="000000" w:themeColor="text1"/>
        </w:rPr>
        <w:t xml:space="preserve">This analytical report aims to provide an empirical study on how </w:t>
      </w:r>
      <w:r w:rsidR="003D69E2" w:rsidRPr="00012DD3">
        <w:rPr>
          <w:color w:val="000000" w:themeColor="text1"/>
        </w:rPr>
        <w:t xml:space="preserve">the shift of </w:t>
      </w:r>
      <w:r w:rsidRPr="00012DD3">
        <w:rPr>
          <w:color w:val="000000" w:themeColor="text1"/>
        </w:rPr>
        <w:t xml:space="preserve">global price affects domestic retail market </w:t>
      </w:r>
      <w:r w:rsidR="003D69E2" w:rsidRPr="00012DD3">
        <w:rPr>
          <w:color w:val="000000" w:themeColor="text1"/>
        </w:rPr>
        <w:t xml:space="preserve">through </w:t>
      </w:r>
      <w:r w:rsidRPr="00012DD3">
        <w:rPr>
          <w:color w:val="000000" w:themeColor="text1"/>
        </w:rPr>
        <w:t xml:space="preserve">a comparative analysis on consumer inflation pattern in Hong Kong and Singapore with </w:t>
      </w:r>
      <w:r w:rsidR="003D69E2" w:rsidRPr="00012DD3">
        <w:rPr>
          <w:color w:val="000000" w:themeColor="text1"/>
        </w:rPr>
        <w:t xml:space="preserve">an </w:t>
      </w:r>
      <w:r w:rsidRPr="00012DD3">
        <w:rPr>
          <w:color w:val="000000" w:themeColor="text1"/>
        </w:rPr>
        <w:t xml:space="preserve">aim to </w:t>
      </w:r>
      <w:r w:rsidR="003D69E2" w:rsidRPr="00012DD3">
        <w:rPr>
          <w:color w:val="000000" w:themeColor="text1"/>
        </w:rPr>
        <w:t xml:space="preserve">seek for </w:t>
      </w:r>
      <w:r w:rsidRPr="00012DD3">
        <w:rPr>
          <w:color w:val="000000" w:themeColor="text1"/>
        </w:rPr>
        <w:t>business investment opportunities for BEON to expand the</w:t>
      </w:r>
      <w:r w:rsidR="003D69E2" w:rsidRPr="00012DD3">
        <w:rPr>
          <w:color w:val="000000" w:themeColor="text1"/>
        </w:rPr>
        <w:t>ir</w:t>
      </w:r>
      <w:r w:rsidRPr="00012DD3">
        <w:rPr>
          <w:color w:val="000000" w:themeColor="text1"/>
        </w:rPr>
        <w:t xml:space="preserve"> global business.</w:t>
      </w:r>
    </w:p>
    <w:p w14:paraId="6D24BBE2" w14:textId="07341266" w:rsidR="00D44704" w:rsidRPr="00012DD3" w:rsidRDefault="00D44704" w:rsidP="00012DD3">
      <w:pPr>
        <w:spacing w:line="480" w:lineRule="auto"/>
        <w:jc w:val="both"/>
        <w:rPr>
          <w:color w:val="000000" w:themeColor="text1"/>
        </w:rPr>
      </w:pPr>
      <w:r w:rsidRPr="00012DD3">
        <w:rPr>
          <w:color w:val="000000" w:themeColor="text1"/>
        </w:rPr>
        <w:t xml:space="preserve">For </w:t>
      </w:r>
      <w:r w:rsidR="00E3274C" w:rsidRPr="00012DD3">
        <w:rPr>
          <w:color w:val="000000" w:themeColor="text1"/>
        </w:rPr>
        <w:t>fulfilling the research aim, there are three main research ob</w:t>
      </w:r>
      <w:r w:rsidR="00EC13E5" w:rsidRPr="00012DD3">
        <w:rPr>
          <w:color w:val="000000" w:themeColor="text1"/>
        </w:rPr>
        <w:t>jectives</w:t>
      </w:r>
      <w:r w:rsidR="00764732" w:rsidRPr="00012DD3">
        <w:rPr>
          <w:color w:val="000000" w:themeColor="text1"/>
        </w:rPr>
        <w:t xml:space="preserve">. </w:t>
      </w:r>
    </w:p>
    <w:p w14:paraId="0E71D516" w14:textId="77777777" w:rsidR="00DD71B7" w:rsidRPr="00012DD3" w:rsidRDefault="00DD71B7" w:rsidP="00012DD3">
      <w:pPr>
        <w:spacing w:line="480" w:lineRule="auto"/>
        <w:rPr>
          <w:color w:val="000000" w:themeColor="text1"/>
        </w:rPr>
      </w:pPr>
    </w:p>
    <w:p w14:paraId="5D15DEF1" w14:textId="49AB5654" w:rsidR="0063561A" w:rsidRPr="00012DD3" w:rsidRDefault="00B74959" w:rsidP="00012DD3">
      <w:pPr>
        <w:pStyle w:val="ListParagraph"/>
        <w:numPr>
          <w:ilvl w:val="0"/>
          <w:numId w:val="7"/>
        </w:numPr>
        <w:spacing w:line="480" w:lineRule="auto"/>
        <w:rPr>
          <w:rFonts w:ascii="Times New Roman" w:hAnsi="Times New Roman" w:cs="Times New Roman"/>
          <w:color w:val="000000" w:themeColor="text1"/>
        </w:rPr>
      </w:pPr>
      <w:r w:rsidRPr="00012DD3">
        <w:rPr>
          <w:rFonts w:ascii="Times New Roman" w:hAnsi="Times New Roman" w:cs="Times New Roman"/>
          <w:color w:val="000000" w:themeColor="text1"/>
        </w:rPr>
        <w:t xml:space="preserve">To </w:t>
      </w:r>
      <w:r w:rsidR="0013501C" w:rsidRPr="00012DD3">
        <w:rPr>
          <w:rFonts w:ascii="Times New Roman" w:hAnsi="Times New Roman" w:cs="Times New Roman"/>
          <w:color w:val="000000" w:themeColor="text1"/>
        </w:rPr>
        <w:t xml:space="preserve">identify the relationship between </w:t>
      </w:r>
      <w:r w:rsidR="007171F4" w:rsidRPr="00012DD3">
        <w:rPr>
          <w:rFonts w:ascii="Times New Roman" w:hAnsi="Times New Roman" w:cs="Times New Roman"/>
          <w:color w:val="000000" w:themeColor="text1"/>
        </w:rPr>
        <w:t>consumer inflation</w:t>
      </w:r>
      <w:r w:rsidR="0013501C" w:rsidRPr="00012DD3">
        <w:rPr>
          <w:rFonts w:ascii="Times New Roman" w:hAnsi="Times New Roman" w:cs="Times New Roman"/>
          <w:color w:val="000000" w:themeColor="text1"/>
        </w:rPr>
        <w:t xml:space="preserve"> and retail sales in Hong Kong</w:t>
      </w:r>
      <w:r w:rsidR="0062481A" w:rsidRPr="00012DD3">
        <w:rPr>
          <w:rFonts w:ascii="Times New Roman" w:hAnsi="Times New Roman" w:cs="Times New Roman"/>
          <w:color w:val="000000" w:themeColor="text1"/>
        </w:rPr>
        <w:t xml:space="preserve"> </w:t>
      </w:r>
    </w:p>
    <w:p w14:paraId="7720EE34" w14:textId="053ED692" w:rsidR="00F212A2" w:rsidRPr="00012DD3" w:rsidRDefault="0013501C" w:rsidP="00012DD3">
      <w:pPr>
        <w:pStyle w:val="ListParagraph"/>
        <w:numPr>
          <w:ilvl w:val="0"/>
          <w:numId w:val="7"/>
        </w:numPr>
        <w:spacing w:line="480" w:lineRule="auto"/>
        <w:rPr>
          <w:rFonts w:ascii="Times New Roman" w:hAnsi="Times New Roman" w:cs="Times New Roman"/>
          <w:color w:val="000000" w:themeColor="text1"/>
        </w:rPr>
      </w:pPr>
      <w:r w:rsidRPr="00012DD3">
        <w:rPr>
          <w:rFonts w:ascii="Times New Roman" w:hAnsi="Times New Roman" w:cs="Times New Roman"/>
          <w:color w:val="000000" w:themeColor="text1"/>
        </w:rPr>
        <w:t xml:space="preserve">To </w:t>
      </w:r>
      <w:r w:rsidR="00DC1ABD" w:rsidRPr="00012DD3">
        <w:rPr>
          <w:rFonts w:ascii="Times New Roman" w:hAnsi="Times New Roman" w:cs="Times New Roman"/>
          <w:color w:val="000000" w:themeColor="text1"/>
        </w:rPr>
        <w:t>examine the trend of consumer price change in Hong Kong and Singapore</w:t>
      </w:r>
    </w:p>
    <w:p w14:paraId="442D6CF0" w14:textId="10F9D370" w:rsidR="00DC1ABD" w:rsidRPr="00012DD3" w:rsidRDefault="00DC1ABD" w:rsidP="00012DD3">
      <w:pPr>
        <w:pStyle w:val="ListParagraph"/>
        <w:numPr>
          <w:ilvl w:val="0"/>
          <w:numId w:val="7"/>
        </w:numPr>
        <w:spacing w:line="480" w:lineRule="auto"/>
        <w:rPr>
          <w:rFonts w:ascii="Times New Roman" w:hAnsi="Times New Roman" w:cs="Times New Roman"/>
          <w:color w:val="000000" w:themeColor="text1"/>
        </w:rPr>
      </w:pPr>
      <w:r w:rsidRPr="00012DD3">
        <w:rPr>
          <w:rFonts w:ascii="Times New Roman" w:hAnsi="Times New Roman" w:cs="Times New Roman"/>
          <w:color w:val="000000" w:themeColor="text1"/>
        </w:rPr>
        <w:t xml:space="preserve">To analyse similarities and differences of consumer inflation pattern in Hong Kong and Singapore to explore business investment opportunities </w:t>
      </w:r>
    </w:p>
    <w:p w14:paraId="1178647C" w14:textId="77777777" w:rsidR="008B6E93" w:rsidRPr="00012DD3" w:rsidRDefault="008B6E93" w:rsidP="00012DD3">
      <w:pPr>
        <w:pStyle w:val="ListParagraph"/>
        <w:spacing w:line="480" w:lineRule="auto"/>
        <w:rPr>
          <w:rFonts w:ascii="Times New Roman" w:hAnsi="Times New Roman" w:cs="Times New Roman"/>
          <w:color w:val="000000" w:themeColor="text1"/>
        </w:rPr>
      </w:pPr>
    </w:p>
    <w:p w14:paraId="1E19A634" w14:textId="4D1BAA62" w:rsidR="008608A5" w:rsidRPr="00012DD3" w:rsidRDefault="008B6E93" w:rsidP="00012DD3">
      <w:pPr>
        <w:spacing w:line="480" w:lineRule="auto"/>
        <w:jc w:val="both"/>
        <w:rPr>
          <w:color w:val="000000" w:themeColor="text1"/>
        </w:rPr>
      </w:pPr>
      <w:bookmarkStart w:id="2" w:name="OLE_LINK13"/>
      <w:bookmarkStart w:id="3" w:name="OLE_LINK14"/>
      <w:r w:rsidRPr="00012DD3">
        <w:rPr>
          <w:color w:val="000000" w:themeColor="text1"/>
        </w:rPr>
        <w:lastRenderedPageBreak/>
        <w:t>BEON is one of the largest department store</w:t>
      </w:r>
      <w:r w:rsidR="003D69E2" w:rsidRPr="00012DD3">
        <w:rPr>
          <w:color w:val="000000" w:themeColor="text1"/>
        </w:rPr>
        <w:t>s</w:t>
      </w:r>
      <w:r w:rsidRPr="00012DD3">
        <w:rPr>
          <w:color w:val="000000" w:themeColor="text1"/>
        </w:rPr>
        <w:t xml:space="preserve"> in Hong Kong, mainly providing a wide range of premium and affordable daily necessities, such as food and beverage, household item</w:t>
      </w:r>
      <w:r w:rsidR="00FC2397" w:rsidRPr="00012DD3">
        <w:rPr>
          <w:color w:val="000000" w:themeColor="text1"/>
        </w:rPr>
        <w:t>s</w:t>
      </w:r>
      <w:r w:rsidRPr="00012DD3">
        <w:rPr>
          <w:color w:val="000000" w:themeColor="text1"/>
        </w:rPr>
        <w:t>, clothin</w:t>
      </w:r>
      <w:r w:rsidR="00FC2397" w:rsidRPr="00012DD3">
        <w:rPr>
          <w:color w:val="000000" w:themeColor="text1"/>
        </w:rPr>
        <w:t xml:space="preserve">g, </w:t>
      </w:r>
      <w:r w:rsidRPr="00012DD3">
        <w:rPr>
          <w:color w:val="000000" w:themeColor="text1"/>
        </w:rPr>
        <w:t>shoes and electrical appliances</w:t>
      </w:r>
      <w:r w:rsidR="003D69E2" w:rsidRPr="00012DD3">
        <w:rPr>
          <w:color w:val="000000" w:themeColor="text1"/>
        </w:rPr>
        <w:t xml:space="preserve"> etc… </w:t>
      </w:r>
      <w:r w:rsidRPr="00012DD3">
        <w:rPr>
          <w:color w:val="000000" w:themeColor="text1"/>
        </w:rPr>
        <w:t xml:space="preserve">In order to maximize the profit and reduce purchasing cost, BEON’s main business strategy is via market penetration. </w:t>
      </w:r>
      <w:r w:rsidR="00E02F27" w:rsidRPr="00012DD3">
        <w:rPr>
          <w:color w:val="000000" w:themeColor="text1"/>
        </w:rPr>
        <w:t xml:space="preserve">In </w:t>
      </w:r>
      <w:r w:rsidRPr="00012DD3">
        <w:rPr>
          <w:color w:val="000000" w:themeColor="text1"/>
        </w:rPr>
        <w:t>201</w:t>
      </w:r>
      <w:r w:rsidR="006F4DEA" w:rsidRPr="00012DD3">
        <w:rPr>
          <w:color w:val="000000" w:themeColor="text1"/>
        </w:rPr>
        <w:t>1</w:t>
      </w:r>
      <w:r w:rsidRPr="00012DD3">
        <w:rPr>
          <w:color w:val="000000" w:themeColor="text1"/>
        </w:rPr>
        <w:t>, BEON expand</w:t>
      </w:r>
      <w:r w:rsidR="003D69E2" w:rsidRPr="00012DD3">
        <w:rPr>
          <w:color w:val="000000" w:themeColor="text1"/>
        </w:rPr>
        <w:t>ed</w:t>
      </w:r>
      <w:r w:rsidRPr="00012DD3">
        <w:rPr>
          <w:color w:val="000000" w:themeColor="text1"/>
        </w:rPr>
        <w:t xml:space="preserve"> its department store’s business to Mainland China. Currently, they have more than 150 department store</w:t>
      </w:r>
      <w:r w:rsidR="00DB4DBE" w:rsidRPr="00012DD3">
        <w:rPr>
          <w:color w:val="000000" w:themeColor="text1"/>
        </w:rPr>
        <w:t>s</w:t>
      </w:r>
      <w:r w:rsidRPr="00012DD3">
        <w:rPr>
          <w:color w:val="000000" w:themeColor="text1"/>
        </w:rPr>
        <w:t xml:space="preserve"> in Hong Kong and China. In 2011 to 2015, cumulative gross net profit reached 12 million Hong Kong Dollars</w:t>
      </w:r>
      <w:r w:rsidR="00DB4DBE" w:rsidRPr="00012DD3">
        <w:rPr>
          <w:color w:val="000000" w:themeColor="text1"/>
        </w:rPr>
        <w:t xml:space="preserve"> (HKD)</w:t>
      </w:r>
      <w:r w:rsidRPr="00012DD3">
        <w:rPr>
          <w:color w:val="000000" w:themeColor="text1"/>
        </w:rPr>
        <w:t xml:space="preserve"> due to the successful expansion to China </w:t>
      </w:r>
      <w:r w:rsidR="00504FA1" w:rsidRPr="00012DD3">
        <w:rPr>
          <w:color w:val="000000" w:themeColor="text1"/>
        </w:rPr>
        <w:t>(BEON Stores (Hong Kong) Co, Limited., 2015)</w:t>
      </w:r>
      <w:r w:rsidRPr="00012DD3">
        <w:rPr>
          <w:color w:val="000000" w:themeColor="text1"/>
        </w:rPr>
        <w:t>. However, the gross net profit has been decreasing since 2016 due to economic crisis, COVID-19 and political issue</w:t>
      </w:r>
      <w:r w:rsidR="006F4DEA" w:rsidRPr="00012DD3">
        <w:rPr>
          <w:color w:val="000000" w:themeColor="text1"/>
        </w:rPr>
        <w:t>s</w:t>
      </w:r>
      <w:r w:rsidRPr="00012DD3">
        <w:rPr>
          <w:color w:val="000000" w:themeColor="text1"/>
        </w:rPr>
        <w:t xml:space="preserve">. </w:t>
      </w:r>
      <w:r w:rsidR="003D69E2" w:rsidRPr="00012DD3">
        <w:rPr>
          <w:color w:val="000000" w:themeColor="text1"/>
        </w:rPr>
        <w:t>From</w:t>
      </w:r>
      <w:r w:rsidRPr="00012DD3">
        <w:rPr>
          <w:color w:val="000000" w:themeColor="text1"/>
        </w:rPr>
        <w:t xml:space="preserve"> 2016 to the </w:t>
      </w:r>
      <w:r w:rsidR="003D69E2" w:rsidRPr="00012DD3">
        <w:rPr>
          <w:color w:val="000000" w:themeColor="text1"/>
        </w:rPr>
        <w:t xml:space="preserve">first </w:t>
      </w:r>
      <w:r w:rsidRPr="00012DD3">
        <w:rPr>
          <w:color w:val="000000" w:themeColor="text1"/>
        </w:rPr>
        <w:t xml:space="preserve">half </w:t>
      </w:r>
      <w:r w:rsidR="00155890" w:rsidRPr="00012DD3">
        <w:rPr>
          <w:color w:val="000000" w:themeColor="text1"/>
        </w:rPr>
        <w:t>of</w:t>
      </w:r>
      <w:r w:rsidRPr="00012DD3">
        <w:rPr>
          <w:color w:val="000000" w:themeColor="text1"/>
        </w:rPr>
        <w:t xml:space="preserve"> 2024, cumulative net loss exceed</w:t>
      </w:r>
      <w:r w:rsidR="00155890" w:rsidRPr="00012DD3">
        <w:rPr>
          <w:color w:val="000000" w:themeColor="text1"/>
        </w:rPr>
        <w:t>ed</w:t>
      </w:r>
      <w:r w:rsidRPr="00012DD3">
        <w:rPr>
          <w:color w:val="000000" w:themeColor="text1"/>
        </w:rPr>
        <w:t xml:space="preserve"> </w:t>
      </w:r>
      <w:r w:rsidR="00155890" w:rsidRPr="00012DD3">
        <w:rPr>
          <w:color w:val="000000" w:themeColor="text1"/>
        </w:rPr>
        <w:t>HKD 14 million</w:t>
      </w:r>
      <w:r w:rsidRPr="00012DD3">
        <w:rPr>
          <w:color w:val="000000" w:themeColor="text1"/>
        </w:rPr>
        <w:t xml:space="preserve">. </w:t>
      </w:r>
      <w:r w:rsidR="00155890" w:rsidRPr="00012DD3">
        <w:rPr>
          <w:color w:val="000000" w:themeColor="text1"/>
        </w:rPr>
        <w:t xml:space="preserve"> This tremendous loss did not destroy BEON overnight simply because </w:t>
      </w:r>
      <w:r w:rsidRPr="00012DD3">
        <w:rPr>
          <w:color w:val="000000" w:themeColor="text1"/>
        </w:rPr>
        <w:t>BEON has a</w:t>
      </w:r>
      <w:r w:rsidR="00155890" w:rsidRPr="00012DD3">
        <w:rPr>
          <w:color w:val="000000" w:themeColor="text1"/>
        </w:rPr>
        <w:t xml:space="preserve">n abundant cash and capital reserves.  </w:t>
      </w:r>
      <w:r w:rsidRPr="00012DD3">
        <w:rPr>
          <w:color w:val="000000" w:themeColor="text1"/>
        </w:rPr>
        <w:t xml:space="preserve"> According to th</w:t>
      </w:r>
      <w:r w:rsidR="00155890" w:rsidRPr="00012DD3">
        <w:rPr>
          <w:color w:val="000000" w:themeColor="text1"/>
        </w:rPr>
        <w:t xml:space="preserve">e interim report in 2024, BEON possessed </w:t>
      </w:r>
      <w:r w:rsidRPr="00012DD3">
        <w:rPr>
          <w:color w:val="000000" w:themeColor="text1"/>
        </w:rPr>
        <w:t xml:space="preserve">more than </w:t>
      </w:r>
      <w:r w:rsidR="00155890" w:rsidRPr="00012DD3">
        <w:rPr>
          <w:color w:val="000000" w:themeColor="text1"/>
        </w:rPr>
        <w:t xml:space="preserve">HKD </w:t>
      </w:r>
      <w:r w:rsidRPr="00012DD3">
        <w:rPr>
          <w:color w:val="000000" w:themeColor="text1"/>
        </w:rPr>
        <w:t xml:space="preserve">27 million </w:t>
      </w:r>
      <w:r w:rsidR="00155890" w:rsidRPr="00012DD3">
        <w:rPr>
          <w:color w:val="000000" w:themeColor="text1"/>
        </w:rPr>
        <w:t xml:space="preserve">worth capital </w:t>
      </w:r>
      <w:r w:rsidRPr="00012DD3">
        <w:rPr>
          <w:color w:val="000000" w:themeColor="text1"/>
        </w:rPr>
        <w:t xml:space="preserve"> </w:t>
      </w:r>
      <w:r w:rsidR="002A2A56" w:rsidRPr="00012DD3">
        <w:rPr>
          <w:color w:val="000000" w:themeColor="text1"/>
        </w:rPr>
        <w:t>(BEON Stores (Hong Kong) Co, Limited., 2024)</w:t>
      </w:r>
      <w:r w:rsidRPr="00012DD3">
        <w:rPr>
          <w:color w:val="000000" w:themeColor="text1"/>
        </w:rPr>
        <w:t xml:space="preserve">. To maximize the profit, BEON plans to further penetrate market to Singapore. </w:t>
      </w:r>
      <w:r w:rsidR="00E465DB" w:rsidRPr="00012DD3">
        <w:rPr>
          <w:color w:val="000000" w:themeColor="text1"/>
        </w:rPr>
        <w:t xml:space="preserve">This </w:t>
      </w:r>
      <w:r w:rsidRPr="00012DD3">
        <w:rPr>
          <w:color w:val="000000" w:themeColor="text1"/>
        </w:rPr>
        <w:t xml:space="preserve">report aims to complete comparative analysis on consumer inflation pattern in Hong Kong and Singapore for exploring the investment opportunities for BEON to expand </w:t>
      </w:r>
      <w:r w:rsidR="00155890" w:rsidRPr="00012DD3">
        <w:rPr>
          <w:color w:val="000000" w:themeColor="text1"/>
        </w:rPr>
        <w:t>in</w:t>
      </w:r>
      <w:r w:rsidRPr="00012DD3">
        <w:rPr>
          <w:color w:val="000000" w:themeColor="text1"/>
        </w:rPr>
        <w:t>to Singapore.</w:t>
      </w:r>
    </w:p>
    <w:p w14:paraId="7BB45EC1" w14:textId="6A042855" w:rsidR="00814FB9" w:rsidRPr="00012DD3" w:rsidRDefault="006B78D7" w:rsidP="00012DD3">
      <w:pPr>
        <w:spacing w:line="480" w:lineRule="auto"/>
        <w:jc w:val="both"/>
        <w:rPr>
          <w:color w:val="000000" w:themeColor="text1"/>
        </w:rPr>
      </w:pPr>
      <w:r w:rsidRPr="00012DD3">
        <w:rPr>
          <w:color w:val="000000" w:themeColor="text1"/>
        </w:rPr>
        <w:t xml:space="preserve">In this report, </w:t>
      </w:r>
      <w:r w:rsidR="00051B46" w:rsidRPr="00012DD3">
        <w:rPr>
          <w:color w:val="000000" w:themeColor="text1"/>
        </w:rPr>
        <w:t xml:space="preserve">a quantitative </w:t>
      </w:r>
      <w:r w:rsidR="00C5520E" w:rsidRPr="00012DD3">
        <w:rPr>
          <w:color w:val="000000" w:themeColor="text1"/>
        </w:rPr>
        <w:t xml:space="preserve">research is adopted, specifically using macroeconomics indicators and statistical analysis to </w:t>
      </w:r>
      <w:r w:rsidR="001A1507" w:rsidRPr="00012DD3">
        <w:rPr>
          <w:color w:val="000000" w:themeColor="text1"/>
        </w:rPr>
        <w:t xml:space="preserve">identify the relationship between inflation and retail sales in Hong Kong and Singapore. </w:t>
      </w:r>
      <w:r w:rsidR="00155890" w:rsidRPr="00012DD3">
        <w:rPr>
          <w:color w:val="000000" w:themeColor="text1"/>
        </w:rPr>
        <w:t xml:space="preserve">The </w:t>
      </w:r>
      <w:r w:rsidR="001A1507" w:rsidRPr="00012DD3">
        <w:rPr>
          <w:color w:val="000000" w:themeColor="text1"/>
        </w:rPr>
        <w:t xml:space="preserve">secondary data source of Consumer Price Index (CPI) </w:t>
      </w:r>
      <w:r w:rsidR="00155890" w:rsidRPr="00012DD3">
        <w:rPr>
          <w:color w:val="000000" w:themeColor="text1"/>
        </w:rPr>
        <w:t xml:space="preserve">has been used to indicate </w:t>
      </w:r>
      <w:r w:rsidR="001A1507" w:rsidRPr="00012DD3">
        <w:rPr>
          <w:color w:val="000000" w:themeColor="text1"/>
        </w:rPr>
        <w:t>trends and retail sales growth rates (2006 – 2023) from IMF</w:t>
      </w:r>
      <w:r w:rsidR="00FA426C" w:rsidRPr="00012DD3">
        <w:rPr>
          <w:color w:val="000000" w:themeColor="text1"/>
        </w:rPr>
        <w:t xml:space="preserve">, World Bank, Hong Kong Census and Statistics Department, Singapore Department of Statistics. </w:t>
      </w:r>
      <w:r w:rsidR="006A2E74" w:rsidRPr="00012DD3">
        <w:rPr>
          <w:color w:val="000000" w:themeColor="text1"/>
        </w:rPr>
        <w:t xml:space="preserve">Trends and the effects </w:t>
      </w:r>
      <w:r w:rsidR="00155890" w:rsidRPr="00012DD3">
        <w:rPr>
          <w:color w:val="000000" w:themeColor="text1"/>
        </w:rPr>
        <w:t xml:space="preserve">on </w:t>
      </w:r>
      <w:r w:rsidR="006A2E74" w:rsidRPr="00012DD3">
        <w:rPr>
          <w:color w:val="000000" w:themeColor="text1"/>
        </w:rPr>
        <w:t>inf</w:t>
      </w:r>
      <w:r w:rsidR="00155890" w:rsidRPr="00012DD3">
        <w:rPr>
          <w:color w:val="000000" w:themeColor="text1"/>
        </w:rPr>
        <w:t>lation for</w:t>
      </w:r>
      <w:r w:rsidR="006A2E74" w:rsidRPr="00012DD3">
        <w:rPr>
          <w:color w:val="000000" w:themeColor="text1"/>
        </w:rPr>
        <w:t xml:space="preserve"> both regions are evaluated through a comparative approach. </w:t>
      </w:r>
      <w:r w:rsidR="00FD46D3" w:rsidRPr="00012DD3">
        <w:rPr>
          <w:color w:val="000000" w:themeColor="text1"/>
        </w:rPr>
        <w:t>Harmonious stemmed from Pearson correlation analysis applied to assess the effect of CP</w:t>
      </w:r>
      <w:r w:rsidR="00E465DB" w:rsidRPr="00012DD3">
        <w:rPr>
          <w:color w:val="000000" w:themeColor="text1"/>
        </w:rPr>
        <w:t>I</w:t>
      </w:r>
      <w:r w:rsidR="00FD46D3" w:rsidRPr="00012DD3">
        <w:rPr>
          <w:color w:val="000000" w:themeColor="text1"/>
        </w:rPr>
        <w:t xml:space="preserve"> fluctuations on change in consumer spending and sales growth. The patterns of historical inflation, their </w:t>
      </w:r>
      <w:r w:rsidR="00D56697" w:rsidRPr="00012DD3">
        <w:rPr>
          <w:color w:val="000000" w:themeColor="text1"/>
        </w:rPr>
        <w:t>graphs</w:t>
      </w:r>
      <w:r w:rsidR="00FD46D3" w:rsidRPr="00012DD3">
        <w:rPr>
          <w:color w:val="000000" w:themeColor="text1"/>
        </w:rPr>
        <w:t xml:space="preserve"> </w:t>
      </w:r>
      <w:r w:rsidR="00FD46D3" w:rsidRPr="00012DD3">
        <w:rPr>
          <w:color w:val="000000" w:themeColor="text1"/>
        </w:rPr>
        <w:lastRenderedPageBreak/>
        <w:t xml:space="preserve">and statistical tables, offer </w:t>
      </w:r>
      <w:r w:rsidR="00BA3FDE" w:rsidRPr="00012DD3">
        <w:rPr>
          <w:color w:val="000000" w:themeColor="text1"/>
        </w:rPr>
        <w:t xml:space="preserve">empirical insights for </w:t>
      </w:r>
      <w:r w:rsidR="000F5931" w:rsidRPr="00012DD3">
        <w:rPr>
          <w:color w:val="000000" w:themeColor="text1"/>
        </w:rPr>
        <w:t xml:space="preserve">BEON to make reference for decision making purposes.  </w:t>
      </w:r>
    </w:p>
    <w:bookmarkEnd w:id="2"/>
    <w:bookmarkEnd w:id="3"/>
    <w:p w14:paraId="60E7E323" w14:textId="54EE2D02" w:rsidR="004D1B56" w:rsidRPr="00012DD3" w:rsidRDefault="00DB5E62" w:rsidP="00012DD3">
      <w:pPr>
        <w:spacing w:line="480" w:lineRule="auto"/>
        <w:jc w:val="both"/>
        <w:rPr>
          <w:color w:val="000000" w:themeColor="text1"/>
        </w:rPr>
      </w:pPr>
      <w:r w:rsidRPr="00012DD3">
        <w:rPr>
          <w:color w:val="000000" w:themeColor="text1"/>
        </w:rPr>
        <w:t>Th</w:t>
      </w:r>
      <w:r w:rsidR="000F5931" w:rsidRPr="00012DD3">
        <w:rPr>
          <w:color w:val="000000" w:themeColor="text1"/>
        </w:rPr>
        <w:t xml:space="preserve">is report begins with an introductory part followed by </w:t>
      </w:r>
      <w:r w:rsidR="009E6BE8" w:rsidRPr="00012DD3">
        <w:rPr>
          <w:color w:val="000000" w:themeColor="text1"/>
        </w:rPr>
        <w:t xml:space="preserve">a </w:t>
      </w:r>
      <w:r w:rsidR="000F5931" w:rsidRPr="00012DD3">
        <w:rPr>
          <w:color w:val="000000" w:themeColor="text1"/>
        </w:rPr>
        <w:t xml:space="preserve">discussion with the relevant </w:t>
      </w:r>
      <w:r w:rsidR="009E6BE8" w:rsidRPr="00012DD3">
        <w:rPr>
          <w:color w:val="000000" w:themeColor="text1"/>
        </w:rPr>
        <w:t xml:space="preserve"> </w:t>
      </w:r>
      <w:r w:rsidR="006F2DCE" w:rsidRPr="00012DD3">
        <w:rPr>
          <w:color w:val="000000" w:themeColor="text1"/>
        </w:rPr>
        <w:t xml:space="preserve">theories on </w:t>
      </w:r>
      <w:r w:rsidR="009D5BA5" w:rsidRPr="00012DD3">
        <w:rPr>
          <w:color w:val="000000" w:themeColor="text1"/>
        </w:rPr>
        <w:t xml:space="preserve">inflation affecting economy’s health, inflation affecting retail </w:t>
      </w:r>
      <w:r w:rsidR="00D638CE" w:rsidRPr="00012DD3">
        <w:rPr>
          <w:color w:val="000000" w:themeColor="text1"/>
        </w:rPr>
        <w:t xml:space="preserve">industry and relationship </w:t>
      </w:r>
      <w:r w:rsidR="000F5931" w:rsidRPr="00012DD3">
        <w:rPr>
          <w:color w:val="000000" w:themeColor="text1"/>
        </w:rPr>
        <w:tab/>
      </w:r>
      <w:r w:rsidR="00D638CE" w:rsidRPr="00012DD3">
        <w:rPr>
          <w:color w:val="000000" w:themeColor="text1"/>
        </w:rPr>
        <w:t xml:space="preserve">between inflation </w:t>
      </w:r>
      <w:r w:rsidR="005E7C7F" w:rsidRPr="00012DD3">
        <w:rPr>
          <w:color w:val="000000" w:themeColor="text1"/>
        </w:rPr>
        <w:t>and retail sales</w:t>
      </w:r>
      <w:r w:rsidR="000D7C9B" w:rsidRPr="00012DD3">
        <w:rPr>
          <w:color w:val="000000" w:themeColor="text1"/>
        </w:rPr>
        <w:t xml:space="preserve"> </w:t>
      </w:r>
      <w:r w:rsidR="00143A3B" w:rsidRPr="00012DD3">
        <w:rPr>
          <w:color w:val="000000" w:themeColor="text1"/>
        </w:rPr>
        <w:t>and the data setting</w:t>
      </w:r>
      <w:r w:rsidR="009E6BE8" w:rsidRPr="00012DD3">
        <w:rPr>
          <w:color w:val="000000" w:themeColor="text1"/>
        </w:rPr>
        <w:t xml:space="preserve">. </w:t>
      </w:r>
      <w:r w:rsidR="000F5931" w:rsidRPr="00012DD3">
        <w:rPr>
          <w:color w:val="000000" w:themeColor="text1"/>
        </w:rPr>
        <w:t xml:space="preserve">Furthermore, </w:t>
      </w:r>
      <w:r w:rsidR="009E6BE8" w:rsidRPr="00012DD3">
        <w:rPr>
          <w:color w:val="000000" w:themeColor="text1"/>
        </w:rPr>
        <w:t>inflation-retail sales relationships</w:t>
      </w:r>
      <w:r w:rsidR="007B2057" w:rsidRPr="00012DD3">
        <w:rPr>
          <w:color w:val="000000" w:themeColor="text1"/>
        </w:rPr>
        <w:t xml:space="preserve"> are compared and correlated</w:t>
      </w:r>
      <w:r w:rsidR="009E6BE8" w:rsidRPr="00012DD3">
        <w:rPr>
          <w:color w:val="000000" w:themeColor="text1"/>
        </w:rPr>
        <w:t xml:space="preserve">. </w:t>
      </w:r>
      <w:r w:rsidR="000F5931" w:rsidRPr="00012DD3">
        <w:rPr>
          <w:color w:val="000000" w:themeColor="text1"/>
        </w:rPr>
        <w:t xml:space="preserve">Lastly, </w:t>
      </w:r>
      <w:r w:rsidR="009E6BE8" w:rsidRPr="00012DD3">
        <w:rPr>
          <w:color w:val="000000" w:themeColor="text1"/>
        </w:rPr>
        <w:t>key findings and strategic recommendations</w:t>
      </w:r>
      <w:r w:rsidR="00F9636A" w:rsidRPr="00012DD3">
        <w:rPr>
          <w:color w:val="000000" w:themeColor="text1"/>
        </w:rPr>
        <w:t xml:space="preserve"> are presented</w:t>
      </w:r>
      <w:r w:rsidR="009E6BE8" w:rsidRPr="00012DD3">
        <w:rPr>
          <w:color w:val="000000" w:themeColor="text1"/>
        </w:rPr>
        <w:t xml:space="preserve"> for </w:t>
      </w:r>
      <w:r w:rsidR="00F9636A" w:rsidRPr="00012DD3">
        <w:rPr>
          <w:color w:val="000000" w:themeColor="text1"/>
        </w:rPr>
        <w:t>BEON</w:t>
      </w:r>
      <w:r w:rsidR="009E6BE8" w:rsidRPr="00012DD3">
        <w:rPr>
          <w:color w:val="000000" w:themeColor="text1"/>
        </w:rPr>
        <w:t xml:space="preserve"> based on </w:t>
      </w:r>
      <w:r w:rsidR="00362D9D" w:rsidRPr="00012DD3">
        <w:rPr>
          <w:color w:val="000000" w:themeColor="text1"/>
        </w:rPr>
        <w:t xml:space="preserve">the </w:t>
      </w:r>
      <w:r w:rsidR="009E6BE8" w:rsidRPr="00012DD3">
        <w:rPr>
          <w:color w:val="000000" w:themeColor="text1"/>
        </w:rPr>
        <w:t>pricing, mak</w:t>
      </w:r>
      <w:r w:rsidR="00362D9D" w:rsidRPr="00012DD3">
        <w:rPr>
          <w:color w:val="000000" w:themeColor="text1"/>
        </w:rPr>
        <w:t xml:space="preserve">ing </w:t>
      </w:r>
      <w:r w:rsidR="009E6BE8" w:rsidRPr="00012DD3">
        <w:rPr>
          <w:color w:val="000000" w:themeColor="text1"/>
        </w:rPr>
        <w:t>supply chain adjustment, and conside</w:t>
      </w:r>
      <w:r w:rsidR="00362D9D" w:rsidRPr="00012DD3">
        <w:rPr>
          <w:color w:val="000000" w:themeColor="text1"/>
        </w:rPr>
        <w:t>r</w:t>
      </w:r>
      <w:r w:rsidR="009E6BE8" w:rsidRPr="00012DD3">
        <w:rPr>
          <w:color w:val="000000" w:themeColor="text1"/>
        </w:rPr>
        <w:t xml:space="preserve"> its expansion into Singapore to tackle inflation risks</w:t>
      </w:r>
      <w:r w:rsidR="00E72E89" w:rsidRPr="00012DD3">
        <w:rPr>
          <w:color w:val="000000" w:themeColor="text1"/>
        </w:rPr>
        <w:t>.</w:t>
      </w:r>
    </w:p>
    <w:p w14:paraId="5BEA9D26" w14:textId="77777777" w:rsidR="00BB2639" w:rsidRPr="00012DD3" w:rsidRDefault="004D1B56" w:rsidP="00012DD3">
      <w:pPr>
        <w:pStyle w:val="Heading1"/>
        <w:spacing w:line="480" w:lineRule="auto"/>
        <w:rPr>
          <w:rFonts w:ascii="Times New Roman" w:hAnsi="Times New Roman" w:cs="Times New Roman"/>
          <w:color w:val="000000" w:themeColor="text1"/>
        </w:rPr>
      </w:pPr>
      <w:bookmarkStart w:id="4" w:name="_Toc192529320"/>
      <w:r w:rsidRPr="00012DD3">
        <w:rPr>
          <w:rFonts w:ascii="Times New Roman" w:hAnsi="Times New Roman" w:cs="Times New Roman"/>
          <w:color w:val="000000" w:themeColor="text1"/>
        </w:rPr>
        <w:t xml:space="preserve">2. </w:t>
      </w:r>
      <w:r w:rsidR="00EF740B" w:rsidRPr="00012DD3">
        <w:rPr>
          <w:rFonts w:ascii="Times New Roman" w:hAnsi="Times New Roman" w:cs="Times New Roman"/>
          <w:color w:val="000000" w:themeColor="text1"/>
        </w:rPr>
        <w:t>Research Background</w:t>
      </w:r>
      <w:bookmarkStart w:id="5" w:name="_Hlk192147455"/>
      <w:bookmarkEnd w:id="4"/>
    </w:p>
    <w:p w14:paraId="3D339754" w14:textId="5B4DCE34" w:rsidR="00C17883" w:rsidRPr="00012DD3" w:rsidRDefault="00BB2639" w:rsidP="00012DD3">
      <w:pPr>
        <w:pStyle w:val="Heading2"/>
        <w:spacing w:line="480" w:lineRule="auto"/>
        <w:rPr>
          <w:rFonts w:ascii="Times New Roman" w:hAnsi="Times New Roman" w:cs="Times New Roman"/>
          <w:color w:val="000000" w:themeColor="text1"/>
        </w:rPr>
      </w:pPr>
      <w:bookmarkStart w:id="6" w:name="_Toc192529321"/>
      <w:r w:rsidRPr="00012DD3">
        <w:rPr>
          <w:rFonts w:ascii="Times New Roman" w:hAnsi="Times New Roman" w:cs="Times New Roman"/>
          <w:color w:val="000000" w:themeColor="text1"/>
        </w:rPr>
        <w:t xml:space="preserve">2.1 </w:t>
      </w:r>
      <w:r w:rsidR="00394055" w:rsidRPr="00012DD3">
        <w:rPr>
          <w:rFonts w:ascii="Times New Roman" w:hAnsi="Times New Roman" w:cs="Times New Roman"/>
          <w:color w:val="000000" w:themeColor="text1"/>
        </w:rPr>
        <w:t>Theoretical basis</w:t>
      </w:r>
      <w:bookmarkEnd w:id="5"/>
      <w:bookmarkEnd w:id="6"/>
    </w:p>
    <w:p w14:paraId="0C9D8D46" w14:textId="7A744ECB" w:rsidR="005F7C00" w:rsidRPr="00012DD3" w:rsidRDefault="005F7C00" w:rsidP="00012DD3">
      <w:pPr>
        <w:pStyle w:val="Heading3"/>
        <w:spacing w:line="480" w:lineRule="auto"/>
        <w:rPr>
          <w:rFonts w:ascii="Times New Roman" w:hAnsi="Times New Roman" w:cs="Times New Roman"/>
          <w:color w:val="000000" w:themeColor="text1"/>
        </w:rPr>
      </w:pPr>
      <w:bookmarkStart w:id="7" w:name="_Toc192529322"/>
      <w:r w:rsidRPr="00012DD3">
        <w:rPr>
          <w:rFonts w:ascii="Times New Roman" w:hAnsi="Times New Roman" w:cs="Times New Roman"/>
          <w:color w:val="000000" w:themeColor="text1"/>
        </w:rPr>
        <w:t xml:space="preserve">2.1.1 </w:t>
      </w:r>
      <w:r w:rsidR="00A5017F" w:rsidRPr="00012DD3">
        <w:rPr>
          <w:rFonts w:ascii="Times New Roman" w:hAnsi="Times New Roman" w:cs="Times New Roman"/>
          <w:color w:val="000000" w:themeColor="text1"/>
        </w:rPr>
        <w:t>Consumer i</w:t>
      </w:r>
      <w:r w:rsidR="00105DF8" w:rsidRPr="00012DD3">
        <w:rPr>
          <w:rFonts w:ascii="Times New Roman" w:hAnsi="Times New Roman" w:cs="Times New Roman"/>
          <w:color w:val="000000" w:themeColor="text1"/>
        </w:rPr>
        <w:t xml:space="preserve">nflation affecting </w:t>
      </w:r>
      <w:r w:rsidR="00F33BDC" w:rsidRPr="00012DD3">
        <w:rPr>
          <w:rFonts w:ascii="Times New Roman" w:hAnsi="Times New Roman" w:cs="Times New Roman"/>
          <w:color w:val="000000" w:themeColor="text1"/>
        </w:rPr>
        <w:t xml:space="preserve">economy’s </w:t>
      </w:r>
      <w:r w:rsidR="00105DF8" w:rsidRPr="00012DD3">
        <w:rPr>
          <w:rFonts w:ascii="Times New Roman" w:hAnsi="Times New Roman" w:cs="Times New Roman"/>
          <w:color w:val="000000" w:themeColor="text1"/>
        </w:rPr>
        <w:t>health</w:t>
      </w:r>
      <w:bookmarkEnd w:id="7"/>
    </w:p>
    <w:p w14:paraId="78582774" w14:textId="77777777" w:rsidR="008B2C72" w:rsidRPr="00012DD3" w:rsidRDefault="008B2C72" w:rsidP="00012DD3">
      <w:pPr>
        <w:spacing w:line="480" w:lineRule="auto"/>
        <w:rPr>
          <w:color w:val="000000" w:themeColor="text1"/>
        </w:rPr>
      </w:pPr>
    </w:p>
    <w:p w14:paraId="1539D3E1" w14:textId="52BADE02" w:rsidR="008B2C72" w:rsidRPr="00012DD3" w:rsidRDefault="008B2C72" w:rsidP="00012DD3">
      <w:pPr>
        <w:spacing w:line="480" w:lineRule="auto"/>
        <w:jc w:val="both"/>
      </w:pPr>
      <w:r w:rsidRPr="00012DD3">
        <w:rPr>
          <w:color w:val="000000" w:themeColor="text1"/>
        </w:rPr>
        <w:t>Inflation significantly influences both the economy and business opportunities. In economic perspective, inflation will decrease consumer purchasing power</w:t>
      </w:r>
      <w:r w:rsidR="000F5931" w:rsidRPr="00012DD3">
        <w:rPr>
          <w:color w:val="000000" w:themeColor="text1"/>
        </w:rPr>
        <w:t xml:space="preserve"> which will in turn </w:t>
      </w:r>
      <w:r w:rsidRPr="00012DD3">
        <w:rPr>
          <w:color w:val="000000" w:themeColor="text1"/>
        </w:rPr>
        <w:t xml:space="preserve">lead </w:t>
      </w:r>
      <w:r w:rsidR="000F5931" w:rsidRPr="00012DD3">
        <w:rPr>
          <w:color w:val="000000" w:themeColor="text1"/>
        </w:rPr>
        <w:t xml:space="preserve">to a </w:t>
      </w:r>
      <w:r w:rsidRPr="00012DD3">
        <w:rPr>
          <w:color w:val="000000" w:themeColor="text1"/>
        </w:rPr>
        <w:t>reduction on spending o</w:t>
      </w:r>
      <w:r w:rsidR="000F5931" w:rsidRPr="00012DD3">
        <w:rPr>
          <w:color w:val="000000" w:themeColor="text1"/>
        </w:rPr>
        <w:t>ver</w:t>
      </w:r>
      <w:r w:rsidRPr="00012DD3">
        <w:rPr>
          <w:color w:val="000000" w:themeColor="text1"/>
        </w:rPr>
        <w:t xml:space="preserve"> the non-essential items, thus affecting the </w:t>
      </w:r>
      <w:r w:rsidR="000F5931" w:rsidRPr="00012DD3">
        <w:rPr>
          <w:color w:val="000000" w:themeColor="text1"/>
        </w:rPr>
        <w:t xml:space="preserve">sales in the </w:t>
      </w:r>
      <w:r w:rsidRPr="00012DD3">
        <w:rPr>
          <w:color w:val="000000" w:themeColor="text1"/>
        </w:rPr>
        <w:t xml:space="preserve">retail sector. </w:t>
      </w:r>
      <w:r w:rsidR="000F5931" w:rsidRPr="00012DD3">
        <w:rPr>
          <w:color w:val="000000" w:themeColor="text1"/>
        </w:rPr>
        <w:t xml:space="preserve">High </w:t>
      </w:r>
      <w:r w:rsidRPr="00012DD3">
        <w:rPr>
          <w:color w:val="000000" w:themeColor="text1"/>
        </w:rPr>
        <w:t xml:space="preserve">inflation </w:t>
      </w:r>
      <w:r w:rsidR="000F5931" w:rsidRPr="00012DD3">
        <w:rPr>
          <w:color w:val="000000" w:themeColor="text1"/>
        </w:rPr>
        <w:t xml:space="preserve">will prompt </w:t>
      </w:r>
      <w:r w:rsidRPr="00012DD3">
        <w:rPr>
          <w:color w:val="000000" w:themeColor="text1"/>
        </w:rPr>
        <w:t xml:space="preserve">central bank to increase interest rates that affect consumer cost of living and also increase the investment cost for businesses. However, some researchers found </w:t>
      </w:r>
      <w:r w:rsidRPr="00012DD3">
        <w:t>that moderate and stable inflation leads to economic growth and benefits to some sectors. Moderate inflation provides price adjustment and keep profits capability while provide opportunities to investment on capital and conduct digital transformation to cope with customers’ needs.</w:t>
      </w:r>
    </w:p>
    <w:p w14:paraId="166B2F6C" w14:textId="3C8C35DF" w:rsidR="00DF2579" w:rsidRPr="007D35BE" w:rsidRDefault="001D0EDA" w:rsidP="00012DD3">
      <w:pPr>
        <w:spacing w:line="480" w:lineRule="auto"/>
        <w:jc w:val="both"/>
        <w:rPr>
          <w:color w:val="000000" w:themeColor="text1"/>
        </w:rPr>
      </w:pPr>
      <w:r w:rsidRPr="00012DD3">
        <w:rPr>
          <w:color w:val="000000" w:themeColor="text1"/>
        </w:rPr>
        <w:lastRenderedPageBreak/>
        <w:t xml:space="preserve">Recently, extensive effort in research </w:t>
      </w:r>
      <w:r w:rsidR="008B2C72" w:rsidRPr="00012DD3">
        <w:rPr>
          <w:color w:val="000000" w:themeColor="text1"/>
        </w:rPr>
        <w:t>found that inflation is moved by an economic cycle in market-oriented entity to some business activities (e.g. retail sales) and unemployment level and linked with the macroeconomic theories - Phillips Curve and New Keynesian framework (</w:t>
      </w:r>
      <w:proofErr w:type="spellStart"/>
      <w:r w:rsidR="008B2C72" w:rsidRPr="00012DD3">
        <w:rPr>
          <w:color w:val="000000" w:themeColor="text1"/>
        </w:rPr>
        <w:t>Coibion</w:t>
      </w:r>
      <w:proofErr w:type="spellEnd"/>
      <w:r w:rsidR="008B2C72" w:rsidRPr="00012DD3">
        <w:rPr>
          <w:color w:val="000000" w:themeColor="text1"/>
        </w:rPr>
        <w:t xml:space="preserve">, </w:t>
      </w:r>
      <w:proofErr w:type="spellStart"/>
      <w:r w:rsidR="008B2C72" w:rsidRPr="00012DD3">
        <w:rPr>
          <w:color w:val="000000" w:themeColor="text1"/>
        </w:rPr>
        <w:t>Gorodnichenko</w:t>
      </w:r>
      <w:proofErr w:type="spellEnd"/>
      <w:r w:rsidR="008B2C72" w:rsidRPr="00012DD3">
        <w:rPr>
          <w:color w:val="000000" w:themeColor="text1"/>
        </w:rPr>
        <w:t xml:space="preserve"> and Hong, 2012; </w:t>
      </w:r>
      <w:proofErr w:type="spellStart"/>
      <w:r w:rsidR="008B2C72" w:rsidRPr="00012DD3">
        <w:rPr>
          <w:color w:val="000000" w:themeColor="text1"/>
        </w:rPr>
        <w:t>Aldrees</w:t>
      </w:r>
      <w:proofErr w:type="spellEnd"/>
      <w:r w:rsidR="008B2C72" w:rsidRPr="00012DD3">
        <w:rPr>
          <w:color w:val="000000" w:themeColor="text1"/>
        </w:rPr>
        <w:t xml:space="preserve">, 2016; </w:t>
      </w:r>
      <w:proofErr w:type="spellStart"/>
      <w:r w:rsidR="008B2C72" w:rsidRPr="00012DD3">
        <w:rPr>
          <w:color w:val="000000" w:themeColor="text1"/>
        </w:rPr>
        <w:t>Borraz</w:t>
      </w:r>
      <w:proofErr w:type="spellEnd"/>
      <w:r w:rsidR="008B2C72" w:rsidRPr="00012DD3">
        <w:rPr>
          <w:color w:val="000000" w:themeColor="text1"/>
        </w:rPr>
        <w:t xml:space="preserve"> et al., 2022). </w:t>
      </w:r>
      <w:r w:rsidRPr="00012DD3">
        <w:rPr>
          <w:color w:val="000000" w:themeColor="text1"/>
        </w:rPr>
        <w:t xml:space="preserve">This has performed a better forecast the inflation dynamics.   </w:t>
      </w:r>
      <w:r w:rsidR="008B2C72" w:rsidRPr="00012DD3">
        <w:rPr>
          <w:color w:val="000000" w:themeColor="text1"/>
        </w:rPr>
        <w:t xml:space="preserve">The economic cycle refers </w:t>
      </w:r>
      <w:r w:rsidRPr="00012DD3">
        <w:rPr>
          <w:color w:val="000000" w:themeColor="text1"/>
        </w:rPr>
        <w:t xml:space="preserve">to the </w:t>
      </w:r>
      <w:r w:rsidR="008B2C72" w:rsidRPr="00012DD3">
        <w:rPr>
          <w:color w:val="000000" w:themeColor="text1"/>
        </w:rPr>
        <w:t>four stages (i.e. expansion, peak, recession and through) which is the movements in economic activities that affect wages levels, gross domestic product (GDP), productivity and technology advancement</w:t>
      </w:r>
      <w:r w:rsidRPr="00012DD3">
        <w:rPr>
          <w:color w:val="000000" w:themeColor="text1"/>
        </w:rPr>
        <w:t>s</w:t>
      </w:r>
      <w:r w:rsidR="008B2C72" w:rsidRPr="00012DD3">
        <w:rPr>
          <w:color w:val="000000" w:themeColor="text1"/>
        </w:rPr>
        <w:t>. Each stage will have different extent of inflation affected by the economy condition</w:t>
      </w:r>
      <w:r w:rsidRPr="00012DD3">
        <w:rPr>
          <w:color w:val="000000" w:themeColor="text1"/>
        </w:rPr>
        <w:t>s</w:t>
      </w:r>
      <w:r w:rsidR="008B2C72" w:rsidRPr="00012DD3">
        <w:rPr>
          <w:color w:val="000000" w:themeColor="text1"/>
        </w:rPr>
        <w:t>. The stage of expansion is the most appropriate for investment because moderate and stable inflation can stimulate the business activity by investment and spending while workers or consumers are willing to purchase more due to unemployment rate low (</w:t>
      </w:r>
      <w:proofErr w:type="spellStart"/>
      <w:r w:rsidR="008B2C72" w:rsidRPr="00012DD3">
        <w:rPr>
          <w:color w:val="000000" w:themeColor="text1"/>
        </w:rPr>
        <w:t>Sule</w:t>
      </w:r>
      <w:proofErr w:type="spellEnd"/>
      <w:r w:rsidR="008B2C72" w:rsidRPr="00012DD3">
        <w:rPr>
          <w:color w:val="000000" w:themeColor="text1"/>
        </w:rPr>
        <w:t xml:space="preserve">, 2024). GDP growth, employment, increasing spending and investment are the signals for this stage. In contrast, recession stage is the highest risk for investment because the economy tends to </w:t>
      </w:r>
      <w:r w:rsidRPr="00012DD3">
        <w:rPr>
          <w:color w:val="000000" w:themeColor="text1"/>
        </w:rPr>
        <w:t>have a decreasing GDP, increased unemployment rate</w:t>
      </w:r>
      <w:r w:rsidR="008B2C72" w:rsidRPr="00012DD3">
        <w:rPr>
          <w:color w:val="000000" w:themeColor="text1"/>
        </w:rPr>
        <w:t xml:space="preserve"> and </w:t>
      </w:r>
      <w:r w:rsidRPr="00012DD3">
        <w:rPr>
          <w:color w:val="000000" w:themeColor="text1"/>
        </w:rPr>
        <w:t xml:space="preserve">decreased in </w:t>
      </w:r>
      <w:r w:rsidR="008B2C72" w:rsidRPr="00012DD3">
        <w:rPr>
          <w:color w:val="000000" w:themeColor="text1"/>
        </w:rPr>
        <w:t>inves</w:t>
      </w:r>
      <w:r w:rsidRPr="00012DD3">
        <w:rPr>
          <w:color w:val="000000" w:themeColor="text1"/>
        </w:rPr>
        <w:t>tment and consumption</w:t>
      </w:r>
      <w:r w:rsidR="008B2C72" w:rsidRPr="00012DD3">
        <w:rPr>
          <w:color w:val="000000" w:themeColor="text1"/>
        </w:rPr>
        <w:t xml:space="preserve">. Consumers tends to purchase less or switch the spending </w:t>
      </w:r>
      <w:r w:rsidRPr="00012DD3">
        <w:rPr>
          <w:color w:val="000000" w:themeColor="text1"/>
        </w:rPr>
        <w:t xml:space="preserve">to a saving </w:t>
      </w:r>
      <w:r w:rsidR="008B2C72" w:rsidRPr="00012DD3">
        <w:rPr>
          <w:color w:val="000000" w:themeColor="text1"/>
        </w:rPr>
        <w:t xml:space="preserve">habit due to </w:t>
      </w:r>
      <w:r w:rsidRPr="00012DD3">
        <w:rPr>
          <w:color w:val="000000" w:themeColor="text1"/>
        </w:rPr>
        <w:t xml:space="preserve">the </w:t>
      </w:r>
      <w:r w:rsidR="008B2C72" w:rsidRPr="00012DD3">
        <w:rPr>
          <w:color w:val="000000" w:themeColor="text1"/>
        </w:rPr>
        <w:t>threat</w:t>
      </w:r>
      <w:r w:rsidRPr="00012DD3">
        <w:rPr>
          <w:color w:val="000000" w:themeColor="text1"/>
        </w:rPr>
        <w:t xml:space="preserve"> of recession.  </w:t>
      </w:r>
    </w:p>
    <w:p w14:paraId="284BD35C" w14:textId="69FB828D" w:rsidR="00F07F55" w:rsidRPr="007D35BE" w:rsidRDefault="00FA418C" w:rsidP="007D35BE">
      <w:pPr>
        <w:pStyle w:val="Heading3"/>
        <w:spacing w:line="480" w:lineRule="auto"/>
        <w:rPr>
          <w:rFonts w:ascii="Times New Roman" w:eastAsiaTheme="minorEastAsia" w:hAnsi="Times New Roman" w:cs="Times New Roman"/>
          <w:color w:val="000000" w:themeColor="text1"/>
          <w:u w:val="single"/>
        </w:rPr>
      </w:pPr>
      <w:bookmarkStart w:id="8" w:name="_Toc192529323"/>
      <w:bookmarkStart w:id="9" w:name="OLE_LINK20"/>
      <w:bookmarkStart w:id="10" w:name="OLE_LINK21"/>
      <w:r w:rsidRPr="00012DD3">
        <w:rPr>
          <w:rFonts w:ascii="Times New Roman" w:hAnsi="Times New Roman" w:cs="Times New Roman"/>
          <w:color w:val="000000" w:themeColor="text1"/>
        </w:rPr>
        <w:t>2.1.</w:t>
      </w:r>
      <w:r w:rsidR="006E132B" w:rsidRPr="00012DD3">
        <w:rPr>
          <w:rFonts w:ascii="Times New Roman" w:hAnsi="Times New Roman" w:cs="Times New Roman"/>
          <w:color w:val="000000" w:themeColor="text1"/>
        </w:rPr>
        <w:t>2</w:t>
      </w:r>
      <w:r w:rsidRPr="00012DD3">
        <w:rPr>
          <w:rFonts w:ascii="Times New Roman" w:hAnsi="Times New Roman" w:cs="Times New Roman"/>
          <w:color w:val="000000" w:themeColor="text1"/>
        </w:rPr>
        <w:t xml:space="preserve"> </w:t>
      </w:r>
      <w:r w:rsidR="00AB43C9" w:rsidRPr="00012DD3">
        <w:rPr>
          <w:rFonts w:ascii="Times New Roman" w:hAnsi="Times New Roman" w:cs="Times New Roman"/>
          <w:color w:val="000000" w:themeColor="text1"/>
        </w:rPr>
        <w:t>Consumer inflation affecting retail industry</w:t>
      </w:r>
      <w:bookmarkEnd w:id="8"/>
      <w:bookmarkEnd w:id="9"/>
      <w:bookmarkEnd w:id="10"/>
    </w:p>
    <w:p w14:paraId="1EA553C7" w14:textId="51E27953" w:rsidR="00E72E89" w:rsidRPr="00012DD3" w:rsidRDefault="00E72E89" w:rsidP="00012DD3">
      <w:pPr>
        <w:spacing w:line="480" w:lineRule="auto"/>
        <w:jc w:val="both"/>
        <w:rPr>
          <w:rFonts w:eastAsiaTheme="minorEastAsia"/>
          <w:color w:val="000000" w:themeColor="text1"/>
        </w:rPr>
      </w:pPr>
      <w:r w:rsidRPr="00012DD3">
        <w:rPr>
          <w:rFonts w:eastAsiaTheme="minorEastAsia"/>
          <w:color w:val="000000" w:themeColor="text1"/>
        </w:rPr>
        <w:t>In recent recovery stage after COVID-19, most of the business</w:t>
      </w:r>
      <w:r w:rsidR="001D0EDA" w:rsidRPr="00012DD3">
        <w:rPr>
          <w:rFonts w:eastAsiaTheme="minorEastAsia"/>
          <w:color w:val="000000" w:themeColor="text1"/>
        </w:rPr>
        <w:t>es</w:t>
      </w:r>
      <w:r w:rsidRPr="00012DD3">
        <w:rPr>
          <w:rFonts w:eastAsiaTheme="minorEastAsia"/>
          <w:color w:val="000000" w:themeColor="text1"/>
        </w:rPr>
        <w:t xml:space="preserve"> face</w:t>
      </w:r>
      <w:r w:rsidR="001D0EDA" w:rsidRPr="00012DD3">
        <w:rPr>
          <w:rFonts w:eastAsiaTheme="minorEastAsia"/>
          <w:color w:val="000000" w:themeColor="text1"/>
        </w:rPr>
        <w:t>d</w:t>
      </w:r>
      <w:r w:rsidRPr="00012DD3">
        <w:rPr>
          <w:rFonts w:eastAsiaTheme="minorEastAsia"/>
          <w:color w:val="000000" w:themeColor="text1"/>
        </w:rPr>
        <w:t xml:space="preserve"> difficult</w:t>
      </w:r>
      <w:r w:rsidR="001D0EDA" w:rsidRPr="00012DD3">
        <w:rPr>
          <w:rFonts w:eastAsiaTheme="minorEastAsia"/>
          <w:color w:val="000000" w:themeColor="text1"/>
        </w:rPr>
        <w:t>ies</w:t>
      </w:r>
      <w:r w:rsidRPr="00012DD3">
        <w:rPr>
          <w:rFonts w:eastAsiaTheme="minorEastAsia"/>
          <w:color w:val="000000" w:themeColor="text1"/>
        </w:rPr>
        <w:t xml:space="preserve"> to grow especially in the retail sector. In the retail industry, extreme inflation is a threat of retail sales and its profit (Etgar and Shrivastava, 1983).  Retailer is </w:t>
      </w:r>
      <w:r w:rsidR="00492FF8" w:rsidRPr="00012DD3">
        <w:rPr>
          <w:rFonts w:eastAsiaTheme="minorEastAsia"/>
          <w:color w:val="000000" w:themeColor="text1"/>
        </w:rPr>
        <w:t xml:space="preserve">in a </w:t>
      </w:r>
      <w:r w:rsidRPr="00012DD3">
        <w:rPr>
          <w:rFonts w:eastAsiaTheme="minorEastAsia"/>
          <w:color w:val="000000" w:themeColor="text1"/>
        </w:rPr>
        <w:t>position in the middle of retail distribution</w:t>
      </w:r>
      <w:r w:rsidR="00492FF8" w:rsidRPr="00012DD3">
        <w:rPr>
          <w:rFonts w:eastAsiaTheme="minorEastAsia"/>
          <w:color w:val="000000" w:themeColor="text1"/>
        </w:rPr>
        <w:t xml:space="preserve"> process</w:t>
      </w:r>
      <w:r w:rsidRPr="00012DD3">
        <w:rPr>
          <w:rFonts w:eastAsiaTheme="minorEastAsia"/>
          <w:color w:val="000000" w:themeColor="text1"/>
        </w:rPr>
        <w:t>. In serious high inflation, retailers must find the equilibrium point between controlling the pass-through cost from wholesalers and retaining the customer and obtaining the competitive advantage in high competition environment (</w:t>
      </w:r>
      <w:proofErr w:type="spellStart"/>
      <w:r w:rsidRPr="00012DD3">
        <w:rPr>
          <w:rFonts w:eastAsiaTheme="minorEastAsia"/>
          <w:color w:val="000000" w:themeColor="text1"/>
        </w:rPr>
        <w:t>Dekimpe</w:t>
      </w:r>
      <w:proofErr w:type="spellEnd"/>
      <w:r w:rsidRPr="00012DD3">
        <w:rPr>
          <w:rFonts w:eastAsiaTheme="minorEastAsia"/>
          <w:color w:val="000000" w:themeColor="text1"/>
        </w:rPr>
        <w:t xml:space="preserve"> and </w:t>
      </w:r>
      <w:proofErr w:type="spellStart"/>
      <w:r w:rsidRPr="00012DD3">
        <w:rPr>
          <w:rFonts w:eastAsiaTheme="minorEastAsia"/>
          <w:color w:val="000000" w:themeColor="text1"/>
        </w:rPr>
        <w:t>Heerde</w:t>
      </w:r>
      <w:proofErr w:type="spellEnd"/>
      <w:r w:rsidRPr="00012DD3">
        <w:rPr>
          <w:rFonts w:eastAsiaTheme="minorEastAsia"/>
          <w:color w:val="000000" w:themeColor="text1"/>
        </w:rPr>
        <w:t>, 2023).</w:t>
      </w:r>
    </w:p>
    <w:p w14:paraId="478BAB92" w14:textId="6A9AF096" w:rsidR="00E72E89" w:rsidRPr="00012DD3" w:rsidRDefault="00E72E89" w:rsidP="00012DD3">
      <w:pPr>
        <w:spacing w:line="480" w:lineRule="auto"/>
        <w:jc w:val="both"/>
        <w:rPr>
          <w:rFonts w:eastAsiaTheme="minorEastAsia"/>
          <w:color w:val="000000" w:themeColor="text1"/>
        </w:rPr>
      </w:pPr>
      <w:r w:rsidRPr="00012DD3">
        <w:rPr>
          <w:rFonts w:eastAsiaTheme="minorEastAsia"/>
          <w:color w:val="000000" w:themeColor="text1"/>
        </w:rPr>
        <w:lastRenderedPageBreak/>
        <w:t xml:space="preserve">Extensive research found that inflation and retail sales </w:t>
      </w:r>
      <w:r w:rsidR="00492FF8" w:rsidRPr="00012DD3">
        <w:rPr>
          <w:rFonts w:eastAsiaTheme="minorEastAsia"/>
          <w:color w:val="000000" w:themeColor="text1"/>
        </w:rPr>
        <w:t xml:space="preserve">is in a </w:t>
      </w:r>
      <w:r w:rsidRPr="00012DD3">
        <w:rPr>
          <w:rFonts w:eastAsiaTheme="minorEastAsia"/>
          <w:color w:val="000000" w:themeColor="text1"/>
        </w:rPr>
        <w:t>negative relationship (</w:t>
      </w:r>
      <w:proofErr w:type="spellStart"/>
      <w:r w:rsidRPr="00012DD3">
        <w:rPr>
          <w:rFonts w:eastAsiaTheme="minorEastAsia"/>
          <w:color w:val="000000" w:themeColor="text1"/>
        </w:rPr>
        <w:t>Ganong</w:t>
      </w:r>
      <w:proofErr w:type="spellEnd"/>
      <w:r w:rsidRPr="00012DD3">
        <w:rPr>
          <w:rFonts w:eastAsiaTheme="minorEastAsia"/>
          <w:color w:val="000000" w:themeColor="text1"/>
        </w:rPr>
        <w:t xml:space="preserve"> and Noel, 2016; Kehoe and </w:t>
      </w:r>
      <w:proofErr w:type="spellStart"/>
      <w:r w:rsidRPr="00012DD3">
        <w:rPr>
          <w:rFonts w:eastAsiaTheme="minorEastAsia"/>
          <w:color w:val="000000" w:themeColor="text1"/>
        </w:rPr>
        <w:t>Midrigan</w:t>
      </w:r>
      <w:proofErr w:type="spellEnd"/>
      <w:r w:rsidRPr="00012DD3">
        <w:rPr>
          <w:rFonts w:eastAsiaTheme="minorEastAsia"/>
          <w:color w:val="000000" w:themeColor="text1"/>
        </w:rPr>
        <w:t>, 2015). The reasons are inflation will decrease the customers purchasing power and affect the relative price (Shaban et al., 2019). For customer, the level of purchasing power and relative price is determined by the extent of nominal income and actual income, which is determined the cost of living (Oner, 2024), In the extreme inflation, consumer tends to buy less or changing their consumption patterns (</w:t>
      </w:r>
      <w:proofErr w:type="spellStart"/>
      <w:r w:rsidRPr="00012DD3">
        <w:rPr>
          <w:rFonts w:eastAsiaTheme="minorEastAsia"/>
          <w:color w:val="000000" w:themeColor="text1"/>
        </w:rPr>
        <w:t>Dekimpe</w:t>
      </w:r>
      <w:proofErr w:type="spellEnd"/>
      <w:r w:rsidRPr="00012DD3">
        <w:rPr>
          <w:rFonts w:eastAsiaTheme="minorEastAsia"/>
          <w:color w:val="000000" w:themeColor="text1"/>
        </w:rPr>
        <w:t xml:space="preserve"> and </w:t>
      </w:r>
      <w:proofErr w:type="spellStart"/>
      <w:r w:rsidRPr="00012DD3">
        <w:rPr>
          <w:rFonts w:eastAsiaTheme="minorEastAsia"/>
          <w:color w:val="000000" w:themeColor="text1"/>
        </w:rPr>
        <w:t>Heerde</w:t>
      </w:r>
      <w:proofErr w:type="spellEnd"/>
      <w:r w:rsidRPr="00012DD3">
        <w:rPr>
          <w:rFonts w:eastAsiaTheme="minorEastAsia"/>
          <w:color w:val="000000" w:themeColor="text1"/>
        </w:rPr>
        <w:t xml:space="preserve">, 2023; </w:t>
      </w:r>
      <w:proofErr w:type="spellStart"/>
      <w:r w:rsidRPr="00012DD3">
        <w:rPr>
          <w:rFonts w:eastAsiaTheme="minorEastAsia"/>
          <w:color w:val="000000" w:themeColor="text1"/>
        </w:rPr>
        <w:t>Schnorpfeil</w:t>
      </w:r>
      <w:proofErr w:type="spellEnd"/>
      <w:r w:rsidRPr="00012DD3">
        <w:rPr>
          <w:rFonts w:eastAsiaTheme="minorEastAsia"/>
          <w:color w:val="000000" w:themeColor="text1"/>
        </w:rPr>
        <w:t xml:space="preserve">, Weber and </w:t>
      </w:r>
      <w:proofErr w:type="spellStart"/>
      <w:r w:rsidRPr="00012DD3">
        <w:rPr>
          <w:rFonts w:eastAsiaTheme="minorEastAsia"/>
          <w:color w:val="000000" w:themeColor="text1"/>
        </w:rPr>
        <w:t>Hackethal</w:t>
      </w:r>
      <w:proofErr w:type="spellEnd"/>
      <w:r w:rsidRPr="00012DD3">
        <w:rPr>
          <w:rFonts w:eastAsiaTheme="minorEastAsia"/>
          <w:color w:val="000000" w:themeColor="text1"/>
        </w:rPr>
        <w:t xml:space="preserve">, 2023). For example, Chinese households prefer durable products (e.g. apartment) in high inflation and pay less for commodities (Li, Sun and Qiu, 2025). </w:t>
      </w:r>
    </w:p>
    <w:p w14:paraId="7BB3C373" w14:textId="40A247EE" w:rsidR="00E72E89" w:rsidRPr="00012DD3" w:rsidRDefault="00E72E89" w:rsidP="00012DD3">
      <w:pPr>
        <w:spacing w:line="480" w:lineRule="auto"/>
        <w:jc w:val="both"/>
        <w:rPr>
          <w:rFonts w:eastAsiaTheme="minorEastAsia"/>
          <w:color w:val="000000" w:themeColor="text1"/>
        </w:rPr>
      </w:pPr>
      <w:r w:rsidRPr="00012DD3">
        <w:rPr>
          <w:rFonts w:eastAsiaTheme="minorEastAsia"/>
          <w:color w:val="000000" w:themeColor="text1"/>
        </w:rPr>
        <w:t xml:space="preserve">However, some of the research </w:t>
      </w:r>
      <w:r w:rsidR="00172D9E" w:rsidRPr="00012DD3">
        <w:rPr>
          <w:rFonts w:eastAsiaTheme="minorEastAsia"/>
          <w:color w:val="000000" w:themeColor="text1"/>
        </w:rPr>
        <w:t>found</w:t>
      </w:r>
      <w:r w:rsidRPr="00012DD3">
        <w:rPr>
          <w:rFonts w:eastAsiaTheme="minorEastAsia"/>
          <w:color w:val="000000" w:themeColor="text1"/>
        </w:rPr>
        <w:t xml:space="preserve"> that inflation and retail sales is </w:t>
      </w:r>
      <w:r w:rsidR="00492FF8" w:rsidRPr="00012DD3">
        <w:rPr>
          <w:rFonts w:eastAsiaTheme="minorEastAsia"/>
          <w:color w:val="000000" w:themeColor="text1"/>
        </w:rPr>
        <w:t xml:space="preserve">in </w:t>
      </w:r>
      <w:r w:rsidRPr="00012DD3">
        <w:rPr>
          <w:rFonts w:eastAsiaTheme="minorEastAsia"/>
          <w:color w:val="000000" w:themeColor="text1"/>
        </w:rPr>
        <w:t xml:space="preserve">a positive relationship. </w:t>
      </w:r>
      <w:proofErr w:type="spellStart"/>
      <w:r w:rsidRPr="00012DD3">
        <w:rPr>
          <w:rFonts w:eastAsiaTheme="minorEastAsia"/>
          <w:color w:val="000000" w:themeColor="text1"/>
        </w:rPr>
        <w:t>Coibion</w:t>
      </w:r>
      <w:proofErr w:type="spellEnd"/>
      <w:r w:rsidRPr="00012DD3">
        <w:rPr>
          <w:rFonts w:eastAsiaTheme="minorEastAsia"/>
          <w:color w:val="000000" w:themeColor="text1"/>
        </w:rPr>
        <w:t xml:space="preserve">, </w:t>
      </w:r>
      <w:proofErr w:type="spellStart"/>
      <w:r w:rsidRPr="00012DD3">
        <w:rPr>
          <w:rFonts w:eastAsiaTheme="minorEastAsia"/>
          <w:color w:val="000000" w:themeColor="text1"/>
        </w:rPr>
        <w:t>Gorodnichenko</w:t>
      </w:r>
      <w:proofErr w:type="spellEnd"/>
      <w:r w:rsidRPr="00012DD3">
        <w:rPr>
          <w:rFonts w:eastAsiaTheme="minorEastAsia"/>
          <w:color w:val="000000" w:themeColor="text1"/>
        </w:rPr>
        <w:t xml:space="preserve"> and Hong (2012) found retail sales increased when inflation extensively increased in 2008 economic recession in United States. Also, the terms price stickiness used to explain why sales and unemployment rate is </w:t>
      </w:r>
      <w:r w:rsidR="00492FF8" w:rsidRPr="00012DD3">
        <w:rPr>
          <w:rFonts w:eastAsiaTheme="minorEastAsia"/>
          <w:color w:val="000000" w:themeColor="text1"/>
        </w:rPr>
        <w:t xml:space="preserve">in </w:t>
      </w:r>
      <w:r w:rsidRPr="00012DD3">
        <w:rPr>
          <w:rFonts w:eastAsiaTheme="minorEastAsia"/>
          <w:color w:val="000000" w:themeColor="text1"/>
        </w:rPr>
        <w:t>positive relationship. Price stickiness is a phenomenon price adjustment eased when changing demand-supply condition, also known as market equilibrium. There are some reasons, such as retailer</w:t>
      </w:r>
      <w:r w:rsidR="00492FF8" w:rsidRPr="00012DD3">
        <w:rPr>
          <w:rFonts w:eastAsiaTheme="minorEastAsia"/>
          <w:color w:val="000000" w:themeColor="text1"/>
        </w:rPr>
        <w:t xml:space="preserve">s’ launch of </w:t>
      </w:r>
      <w:r w:rsidRPr="00012DD3">
        <w:rPr>
          <w:rFonts w:eastAsiaTheme="minorEastAsia"/>
          <w:color w:val="000000" w:themeColor="text1"/>
        </w:rPr>
        <w:t>promotion for rel</w:t>
      </w:r>
      <w:r w:rsidR="00492FF8" w:rsidRPr="00012DD3">
        <w:rPr>
          <w:rFonts w:eastAsiaTheme="minorEastAsia"/>
          <w:color w:val="000000" w:themeColor="text1"/>
        </w:rPr>
        <w:t xml:space="preserve">ieving </w:t>
      </w:r>
      <w:r w:rsidRPr="00012DD3">
        <w:rPr>
          <w:rFonts w:eastAsiaTheme="minorEastAsia"/>
          <w:color w:val="000000" w:themeColor="text1"/>
        </w:rPr>
        <w:t xml:space="preserve">the stock, customer information discrepancy with market. </w:t>
      </w:r>
    </w:p>
    <w:p w14:paraId="29BE5CD2" w14:textId="7CECDBB5" w:rsidR="00A955B8" w:rsidRPr="00012DD3" w:rsidRDefault="00492FF8" w:rsidP="00012DD3">
      <w:pPr>
        <w:spacing w:line="480" w:lineRule="auto"/>
        <w:jc w:val="both"/>
        <w:rPr>
          <w:color w:val="000000" w:themeColor="text1"/>
        </w:rPr>
      </w:pPr>
      <w:r w:rsidRPr="00012DD3">
        <w:rPr>
          <w:rFonts w:eastAsiaTheme="minorEastAsia"/>
          <w:color w:val="000000" w:themeColor="text1"/>
        </w:rPr>
        <w:t xml:space="preserve">Able to predict and acknowledge </w:t>
      </w:r>
      <w:r w:rsidR="00E72E89" w:rsidRPr="00012DD3">
        <w:rPr>
          <w:rFonts w:eastAsiaTheme="minorEastAsia"/>
          <w:color w:val="000000" w:themeColor="text1"/>
        </w:rPr>
        <w:t xml:space="preserve">inflation is crucial for planning investment because accurate </w:t>
      </w:r>
      <w:r w:rsidRPr="00012DD3">
        <w:rPr>
          <w:rFonts w:eastAsiaTheme="minorEastAsia"/>
          <w:color w:val="000000" w:themeColor="text1"/>
        </w:rPr>
        <w:t xml:space="preserve">forecast </w:t>
      </w:r>
      <w:r w:rsidR="00E72E89" w:rsidRPr="00012DD3">
        <w:rPr>
          <w:rFonts w:eastAsiaTheme="minorEastAsia"/>
          <w:color w:val="000000" w:themeColor="text1"/>
        </w:rPr>
        <w:t>can reduce the risk and loss (Bianchi, 2024</w:t>
      </w:r>
      <w:r w:rsidR="00885D0C" w:rsidRPr="00012DD3">
        <w:rPr>
          <w:rFonts w:eastAsiaTheme="minorEastAsia"/>
          <w:color w:val="000000" w:themeColor="text1"/>
        </w:rPr>
        <w:t xml:space="preserve">; </w:t>
      </w:r>
      <w:proofErr w:type="spellStart"/>
      <w:r w:rsidR="00885D0C" w:rsidRPr="00012DD3">
        <w:rPr>
          <w:rFonts w:eastAsiaTheme="minorEastAsia"/>
          <w:color w:val="000000" w:themeColor="text1"/>
          <w:lang w:val="en-US"/>
        </w:rPr>
        <w:t>Schito</w:t>
      </w:r>
      <w:proofErr w:type="spellEnd"/>
      <w:r w:rsidR="00885D0C" w:rsidRPr="00012DD3">
        <w:rPr>
          <w:rFonts w:eastAsiaTheme="minorEastAsia"/>
          <w:color w:val="000000" w:themeColor="text1"/>
          <w:lang w:val="en-US"/>
        </w:rPr>
        <w:t xml:space="preserve">, </w:t>
      </w:r>
      <w:proofErr w:type="spellStart"/>
      <w:r w:rsidR="00885D0C" w:rsidRPr="00012DD3">
        <w:rPr>
          <w:rFonts w:eastAsiaTheme="minorEastAsia"/>
          <w:color w:val="000000" w:themeColor="text1"/>
          <w:lang w:val="en-US"/>
        </w:rPr>
        <w:t>Klimavičiūtė</w:t>
      </w:r>
      <w:proofErr w:type="spellEnd"/>
      <w:r w:rsidR="00885D0C" w:rsidRPr="00012DD3">
        <w:rPr>
          <w:rFonts w:eastAsiaTheme="minorEastAsia"/>
          <w:color w:val="000000" w:themeColor="text1"/>
          <w:lang w:val="en-US"/>
        </w:rPr>
        <w:t xml:space="preserve"> and </w:t>
      </w:r>
      <w:proofErr w:type="spellStart"/>
      <w:r w:rsidR="00885D0C" w:rsidRPr="00012DD3">
        <w:rPr>
          <w:rFonts w:eastAsiaTheme="minorEastAsia"/>
          <w:color w:val="000000" w:themeColor="text1"/>
          <w:lang w:val="en-US"/>
        </w:rPr>
        <w:t>Pál</w:t>
      </w:r>
      <w:proofErr w:type="spellEnd"/>
      <w:r w:rsidR="00885D0C" w:rsidRPr="00012DD3">
        <w:rPr>
          <w:rFonts w:eastAsiaTheme="minorEastAsia"/>
          <w:color w:val="000000" w:themeColor="text1"/>
          <w:lang w:val="en-US"/>
        </w:rPr>
        <w:t>, 2024</w:t>
      </w:r>
      <w:r w:rsidR="00E72E89" w:rsidRPr="00012DD3">
        <w:rPr>
          <w:rFonts w:eastAsiaTheme="minorEastAsia"/>
          <w:color w:val="000000" w:themeColor="text1"/>
        </w:rPr>
        <w:t>).</w:t>
      </w:r>
      <w:r w:rsidR="002A07A9" w:rsidRPr="00012DD3">
        <w:rPr>
          <w:rFonts w:eastAsiaTheme="minorEastAsia"/>
          <w:color w:val="000000" w:themeColor="text1"/>
        </w:rPr>
        <w:t xml:space="preserve"> </w:t>
      </w:r>
      <w:r w:rsidR="00E72E89" w:rsidRPr="00012DD3">
        <w:rPr>
          <w:rFonts w:eastAsiaTheme="minorEastAsia"/>
          <w:color w:val="000000" w:themeColor="text1"/>
        </w:rPr>
        <w:t>To conduct comparative analysis of consumer inflation in Singapore and Hong Kong for the aim of exploring investment solution</w:t>
      </w:r>
      <w:r w:rsidRPr="00012DD3">
        <w:rPr>
          <w:rFonts w:eastAsiaTheme="minorEastAsia"/>
          <w:color w:val="000000" w:themeColor="text1"/>
        </w:rPr>
        <w:t>s</w:t>
      </w:r>
      <w:r w:rsidR="00E72E89" w:rsidRPr="00012DD3">
        <w:rPr>
          <w:rFonts w:eastAsiaTheme="minorEastAsia"/>
          <w:color w:val="000000" w:themeColor="text1"/>
        </w:rPr>
        <w:t xml:space="preserve">, </w:t>
      </w:r>
      <w:r w:rsidRPr="00012DD3">
        <w:rPr>
          <w:rFonts w:eastAsiaTheme="minorEastAsia"/>
          <w:color w:val="000000" w:themeColor="text1"/>
        </w:rPr>
        <w:t xml:space="preserve">this report has adopted </w:t>
      </w:r>
      <w:r w:rsidR="00E72E89" w:rsidRPr="00012DD3">
        <w:rPr>
          <w:rFonts w:eastAsiaTheme="minorEastAsia"/>
          <w:color w:val="000000" w:themeColor="text1"/>
        </w:rPr>
        <w:t>the research concepts from (</w:t>
      </w:r>
      <w:proofErr w:type="spellStart"/>
      <w:r w:rsidR="00E72E89" w:rsidRPr="00012DD3">
        <w:rPr>
          <w:rFonts w:eastAsiaTheme="minorEastAsia"/>
          <w:color w:val="000000" w:themeColor="text1"/>
        </w:rPr>
        <w:t>Borraz</w:t>
      </w:r>
      <w:proofErr w:type="spellEnd"/>
      <w:r w:rsidR="00E72E89" w:rsidRPr="00012DD3">
        <w:rPr>
          <w:rFonts w:eastAsiaTheme="minorEastAsia"/>
          <w:color w:val="000000" w:themeColor="text1"/>
        </w:rPr>
        <w:t xml:space="preserve"> et al, 2022), which proposed using microeconomic method to identify relationship between retail sales and inflation, and analysis the customers purchasing patterns in different extent of inflation.  </w:t>
      </w:r>
    </w:p>
    <w:p w14:paraId="1FB37C5B" w14:textId="77777777" w:rsidR="00281DD2" w:rsidRPr="00012DD3" w:rsidRDefault="00281DD2" w:rsidP="00012DD3">
      <w:pPr>
        <w:spacing w:line="480" w:lineRule="auto"/>
        <w:ind w:left="360"/>
        <w:jc w:val="both"/>
        <w:rPr>
          <w:color w:val="000000" w:themeColor="text1"/>
        </w:rPr>
      </w:pPr>
    </w:p>
    <w:p w14:paraId="3AC06D76" w14:textId="5012C6A3" w:rsidR="007F1BF6" w:rsidRPr="00012DD3" w:rsidRDefault="00F940A5" w:rsidP="00012DD3">
      <w:pPr>
        <w:pStyle w:val="Heading2"/>
        <w:spacing w:line="480" w:lineRule="auto"/>
        <w:rPr>
          <w:rFonts w:ascii="Times New Roman" w:hAnsi="Times New Roman" w:cs="Times New Roman"/>
        </w:rPr>
      </w:pPr>
      <w:bookmarkStart w:id="11" w:name="_Toc192529324"/>
      <w:r w:rsidRPr="00012DD3">
        <w:rPr>
          <w:rFonts w:ascii="Times New Roman" w:hAnsi="Times New Roman" w:cs="Times New Roman"/>
        </w:rPr>
        <w:lastRenderedPageBreak/>
        <w:t xml:space="preserve">2.2 </w:t>
      </w:r>
      <w:r w:rsidR="00CD5174" w:rsidRPr="00012DD3">
        <w:rPr>
          <w:rFonts w:ascii="Times New Roman" w:hAnsi="Times New Roman" w:cs="Times New Roman"/>
        </w:rPr>
        <w:t xml:space="preserve">Current </w:t>
      </w:r>
      <w:r w:rsidR="00BE11B8" w:rsidRPr="00012DD3">
        <w:rPr>
          <w:rFonts w:ascii="Times New Roman" w:hAnsi="Times New Roman" w:cs="Times New Roman"/>
        </w:rPr>
        <w:t>performance of consumer inflation and retail sales in Hong Kong and Singapore</w:t>
      </w:r>
      <w:bookmarkEnd w:id="11"/>
    </w:p>
    <w:p w14:paraId="01FDEE6E" w14:textId="77777777" w:rsidR="007F1BF6" w:rsidRPr="00012DD3" w:rsidRDefault="007F1BF6" w:rsidP="00012DD3">
      <w:pPr>
        <w:pStyle w:val="ListParagraph"/>
        <w:spacing w:line="480" w:lineRule="auto"/>
        <w:jc w:val="both"/>
        <w:rPr>
          <w:rFonts w:ascii="Times New Roman" w:hAnsi="Times New Roman" w:cs="Times New Roman"/>
          <w:color w:val="000000" w:themeColor="text1"/>
        </w:rPr>
      </w:pPr>
    </w:p>
    <w:p w14:paraId="508D4F53" w14:textId="65A3EB2B" w:rsidR="00492FF8" w:rsidRPr="00012DD3" w:rsidRDefault="001A562A" w:rsidP="00012DD3">
      <w:pPr>
        <w:spacing w:line="480" w:lineRule="auto"/>
        <w:jc w:val="both"/>
        <w:rPr>
          <w:color w:val="000000" w:themeColor="text1"/>
        </w:rPr>
      </w:pPr>
      <w:r w:rsidRPr="00012DD3">
        <w:rPr>
          <w:color w:val="000000" w:themeColor="text1"/>
        </w:rPr>
        <w:t xml:space="preserve">Retail sector in Hong Kong has been fluctuated greatly in the past two decades under the effects of international economic cycle and the impact of domestic and external policies. The retail sales value of about HKD 350 billion in 2022 increased to approximately HKD 406.7 billion in 2023 in Hong Kong </w:t>
      </w:r>
      <w:r w:rsidRPr="00012DD3">
        <w:rPr>
          <w:color w:val="000000" w:themeColor="text1"/>
        </w:rPr>
        <w:fldChar w:fldCharType="begin"/>
      </w:r>
      <w:r w:rsidRPr="00012DD3">
        <w:rPr>
          <w:color w:val="000000" w:themeColor="text1"/>
        </w:rPr>
        <w:instrText xml:space="preserve"> ADDIN ZOTERO_ITEM CSL_CITATION {"citationID":"bWTpUMin","properties":{"formattedCitation":"(Lee, no date)","plainCitation":"(Lee, no date)","noteIndex":0},"citationItems":[{"id":4043,"uris":["http://zotero.org/users/local/vJJCklt5/items/NDKGUJ47"],"itemData":{"id":4043,"type":"article-journal","source":"Google Scholar","title":"NAVIGATING ECONOMIC CHALLENGES: HONG KONG'S POST-PANDEMIC CONSUMER BEHAVIOR","title-short":"NAVIGATING ECONOMIC CHALLENGES","URL":"https://www.researchgate.net/profile/Zion-Lee-4/publication/383870046_Navigating_Economic_Challenges_Hong_Kong's_Post-pandemic_Consumer_Behavior/links/66deb25cb1606e24c21b280b/Navigating-Economic-Challenges-Hong-Kongs-Post-pandemic-Consumer-Behavior.pdf","author":[{"family":"Lee","given":"Zion"}],"accessed":{"date-parts":[["2025",3,7]]}}}],"schema":"https://github.com/citation-style-language/schema/raw/master/csl-citation.json"} </w:instrText>
      </w:r>
      <w:r w:rsidRPr="00012DD3">
        <w:rPr>
          <w:color w:val="000000" w:themeColor="text1"/>
        </w:rPr>
        <w:fldChar w:fldCharType="separate"/>
      </w:r>
      <w:r w:rsidRPr="00012DD3">
        <w:t>(Lee, 2024)</w:t>
      </w:r>
      <w:r w:rsidRPr="00012DD3">
        <w:rPr>
          <w:color w:val="000000" w:themeColor="text1"/>
        </w:rPr>
        <w:fldChar w:fldCharType="end"/>
      </w:r>
      <w:r w:rsidRPr="00012DD3">
        <w:rPr>
          <w:color w:val="000000" w:themeColor="text1"/>
        </w:rPr>
        <w:t xml:space="preserve">. The figure indicates recovery from what happened during the downturn of the pandemic when retail sales plunged. The inflation rates have also varied over the years; the CPI has been reflecting these changes. ​ </w:t>
      </w:r>
      <w:bookmarkStart w:id="12" w:name="_Toc192221999"/>
    </w:p>
    <w:p w14:paraId="72EB06FA" w14:textId="31D0DE2C" w:rsidR="004D1B56" w:rsidRPr="00012DD3" w:rsidRDefault="004D1B56" w:rsidP="00012DD3">
      <w:pPr>
        <w:spacing w:line="480" w:lineRule="auto"/>
        <w:jc w:val="both"/>
        <w:rPr>
          <w:color w:val="000000" w:themeColor="text1"/>
        </w:rPr>
      </w:pPr>
      <w:r w:rsidRPr="00012DD3">
        <w:rPr>
          <w:color w:val="000000" w:themeColor="text1"/>
        </w:rPr>
        <w:t xml:space="preserve">In Singapore, the retail sector in Singapore has been resilient, with the retail sales growing by 10.7% in 2022. According to Singapore, the annual consumer price inflation rate in 2023 stood at 4.82 percent against 6.12 percent in 2022, thus signalling stability </w:t>
      </w:r>
      <w:r w:rsidR="00492FF8" w:rsidRPr="00012DD3">
        <w:rPr>
          <w:color w:val="000000" w:themeColor="text1"/>
        </w:rPr>
        <w:t xml:space="preserve">reflected on </w:t>
      </w:r>
      <w:r w:rsidRPr="00012DD3">
        <w:rPr>
          <w:color w:val="000000" w:themeColor="text1"/>
        </w:rPr>
        <w:t xml:space="preserve">the prices of the essential commodities. </w:t>
      </w:r>
      <w:r w:rsidR="00492FF8" w:rsidRPr="00012DD3">
        <w:rPr>
          <w:color w:val="000000" w:themeColor="text1"/>
        </w:rPr>
        <w:t xml:space="preserve">Government </w:t>
      </w:r>
      <w:r w:rsidRPr="00012DD3">
        <w:rPr>
          <w:color w:val="000000" w:themeColor="text1"/>
        </w:rPr>
        <w:t xml:space="preserve">proactive </w:t>
      </w:r>
      <w:r w:rsidR="00492FF8" w:rsidRPr="00012DD3">
        <w:rPr>
          <w:color w:val="000000" w:themeColor="text1"/>
        </w:rPr>
        <w:t xml:space="preserve">measures </w:t>
      </w:r>
      <w:r w:rsidRPr="00012DD3">
        <w:rPr>
          <w:color w:val="000000" w:themeColor="text1"/>
        </w:rPr>
        <w:t>in regards to the monetary</w:t>
      </w:r>
      <w:r w:rsidR="00492FF8" w:rsidRPr="00012DD3">
        <w:rPr>
          <w:color w:val="000000" w:themeColor="text1"/>
        </w:rPr>
        <w:t xml:space="preserve"> policies</w:t>
      </w:r>
      <w:r w:rsidRPr="00012DD3">
        <w:rPr>
          <w:color w:val="000000" w:themeColor="text1"/>
        </w:rPr>
        <w:t>, which alongside the economy with a diversified economy</w:t>
      </w:r>
      <w:r w:rsidR="00492FF8" w:rsidRPr="00012DD3">
        <w:rPr>
          <w:color w:val="000000" w:themeColor="text1"/>
        </w:rPr>
        <w:t xml:space="preserve">, </w:t>
      </w:r>
      <w:r w:rsidRPr="00012DD3">
        <w:rPr>
          <w:color w:val="000000" w:themeColor="text1"/>
        </w:rPr>
        <w:t xml:space="preserve">have afforded </w:t>
      </w:r>
      <w:r w:rsidR="00492FF8" w:rsidRPr="00012DD3">
        <w:rPr>
          <w:color w:val="000000" w:themeColor="text1"/>
        </w:rPr>
        <w:t xml:space="preserve">a situation </w:t>
      </w:r>
      <w:r w:rsidRPr="00012DD3">
        <w:rPr>
          <w:color w:val="000000" w:themeColor="text1"/>
        </w:rPr>
        <w:t xml:space="preserve">to keep stable inflations rates which would then support consistent consumer spending </w:t>
      </w:r>
      <w:r w:rsidRPr="00012DD3">
        <w:rPr>
          <w:color w:val="000000" w:themeColor="text1"/>
        </w:rPr>
        <w:fldChar w:fldCharType="begin"/>
      </w:r>
      <w:r w:rsidRPr="00012DD3">
        <w:rPr>
          <w:color w:val="000000" w:themeColor="text1"/>
        </w:rPr>
        <w:instrText xml:space="preserve"> ADDIN ZOTERO_ITEM CSL_CITATION {"citationID":"96GNU0mc","properties":{"formattedCitation":"(Chow and Chan, 2024)","plainCitation":"(Chow and Chan, 2024)","noteIndex":0},"citationItems":[{"id":4042,"uris":["http://zotero.org/users/local/vJJCklt5/items/8KW62SUY"],"itemData":{"id":4042,"type":"article-journal","container-title":"The Asian Journal of Technology Management","issue":"2","note":"publisher: Institut Teknologi Bandung, School of Business and Management","page":"93–107","source":"Google Scholar","title":"An Empirical Analysis of The Trilemma: Inflation, Interest Rate and Exchange Rate Dynamics in Singapore","title-short":"An Empirical Analysis of The Trilemma","volume":"17","author":[{"family":"Chow","given":"Yong Jin"},{"family":"Chan","given":"Tze-Haw"}],"issued":{"date-parts":[["2024"]]}}}],"schema":"https://github.com/citation-style-language/schema/raw/master/csl-citation.json"} </w:instrText>
      </w:r>
      <w:r w:rsidRPr="00012DD3">
        <w:rPr>
          <w:color w:val="000000" w:themeColor="text1"/>
        </w:rPr>
        <w:fldChar w:fldCharType="separate"/>
      </w:r>
      <w:r w:rsidRPr="00012DD3">
        <w:rPr>
          <w:color w:val="000000" w:themeColor="text1"/>
        </w:rPr>
        <w:t>(Chow and Chan, 2024)</w:t>
      </w:r>
      <w:r w:rsidRPr="00012DD3">
        <w:rPr>
          <w:color w:val="000000" w:themeColor="text1"/>
        </w:rPr>
        <w:fldChar w:fldCharType="end"/>
      </w:r>
      <w:r w:rsidRPr="00012DD3">
        <w:rPr>
          <w:color w:val="000000" w:themeColor="text1"/>
        </w:rPr>
        <w:t xml:space="preserve"> .</w:t>
      </w:r>
    </w:p>
    <w:p w14:paraId="7250D9BB" w14:textId="5C81C9EE" w:rsidR="00FB77DD" w:rsidRPr="00012DD3" w:rsidRDefault="004D1B56" w:rsidP="00012DD3">
      <w:pPr>
        <w:spacing w:line="480" w:lineRule="auto"/>
        <w:jc w:val="both"/>
        <w:rPr>
          <w:color w:val="000000" w:themeColor="text1"/>
        </w:rPr>
      </w:pPr>
      <w:r w:rsidRPr="00012DD3">
        <w:rPr>
          <w:color w:val="000000" w:themeColor="text1"/>
        </w:rPr>
        <w:t xml:space="preserve">Hong Kong and Singapore both experienced difficulties attributed to global economic or fluctuating trends, though the policy that they adopted has positively affected how that index is controlled and how retail performance is carried out </w:t>
      </w:r>
      <w:r w:rsidRPr="00012DD3">
        <w:rPr>
          <w:color w:val="000000" w:themeColor="text1"/>
        </w:rPr>
        <w:fldChar w:fldCharType="begin"/>
      </w:r>
      <w:r w:rsidRPr="00012DD3">
        <w:rPr>
          <w:color w:val="000000" w:themeColor="text1"/>
        </w:rPr>
        <w:instrText xml:space="preserve"> ADDIN ZOTERO_ITEM CSL_CITATION {"citationID":"2VQGYJIE","properties":{"formattedCitation":"(So\\uc0\\u243{}s and Koz\\uc0\\u225{}k, 2022)","plainCitation":"(Soós and Kozák, 2022)","noteIndex":0},"citationItems":[{"id":4045,"uris":["http://zotero.org/users/local/vJJCklt5/items/3UZBYR6T"],"itemData":{"id":4045,"type":"article-journal","note":"publisher: Budapesti Gazdasági Egyetem","source":"Google Scholar","title":"The Role of the Retail Sector in the Taiwanese Macroeconomy","URL":"https://www.researchgate.net/profile/Gabriella-Soos/publication/367200840_The_Role_of_the_Retail_Sector_in_the_Taiwanese_Macroeconomy/links/644d3a6097449a0e1a67ea01/The-Role-of-the-Retail-Sector-in-the-Taiwanese-Macroeconomy.pdf","author":[{"family":"Soós","given":"Gabriella"},{"family":"Kozák","given":"Tamás József"}],"accessed":{"date-parts":[["2025",3,7]]},"issued":{"date-parts":[["2022"]]}}}],"schema":"https://github.com/citation-style-language/schema/raw/master/csl-citation.json"} </w:instrText>
      </w:r>
      <w:r w:rsidRPr="00012DD3">
        <w:rPr>
          <w:color w:val="000000" w:themeColor="text1"/>
        </w:rPr>
        <w:fldChar w:fldCharType="separate"/>
      </w:r>
      <w:r w:rsidRPr="00012DD3">
        <w:rPr>
          <w:color w:val="000000" w:themeColor="text1"/>
        </w:rPr>
        <w:t>(Soós and Kozák, 2022)</w:t>
      </w:r>
      <w:r w:rsidRPr="00012DD3">
        <w:rPr>
          <w:color w:val="000000" w:themeColor="text1"/>
        </w:rPr>
        <w:fldChar w:fldCharType="end"/>
      </w:r>
      <w:r w:rsidRPr="00012DD3">
        <w:rPr>
          <w:color w:val="000000" w:themeColor="text1"/>
        </w:rPr>
        <w:t xml:space="preserve">. The implementation of the linked exchange rate system has made Hong Kong more vigorous to the external inflationary pressures and the retail sales fluctuation are more pronounced. In contrast, Singapore’s managed monetary policies have meant more stable inflation rates that led to steady growth in the retail sector. This kind of comparison brings out the necessity of varied </w:t>
      </w:r>
      <w:r w:rsidRPr="00012DD3">
        <w:rPr>
          <w:color w:val="000000" w:themeColor="text1"/>
        </w:rPr>
        <w:lastRenderedPageBreak/>
        <w:t xml:space="preserve">monetary policy rules towards curbing inflation's effect on retail performance </w:t>
      </w:r>
      <w:r w:rsidRPr="00012DD3">
        <w:rPr>
          <w:color w:val="000000" w:themeColor="text1"/>
        </w:rPr>
        <w:fldChar w:fldCharType="begin"/>
      </w:r>
      <w:r w:rsidRPr="00012DD3">
        <w:rPr>
          <w:color w:val="000000" w:themeColor="text1"/>
        </w:rPr>
        <w:instrText xml:space="preserve"> ADDIN ZOTERO_ITEM CSL_CITATION {"citationID":"S1SbdGsl","properties":{"formattedCitation":"(Kiselev and Zhivaykina, 2020)","plainCitation":"(Kiselev and Zhivaykina, 2020)","noteIndex":0},"citationItems":[{"id":4014,"uris":["http://zotero.org/users/local/vJJCklt5/items/25PWSHTZ"],"itemData":{"id":4014,"type":"article-journal","container-title":"The Journal of Economic Asymmetries","note":"publisher: Elsevier","page":"e00175","source":"Google Scholar","title":"The role of global relative price changes in international comovement of inflation","volume":"22","author":[{"family":"Kiselev","given":"Aleksei"},{"family":"Zhivaykina","given":"Aleksandra"}],"issued":{"date-parts":[["2020"]]}}}],"schema":"https://github.com/citation-style-language/schema/raw/master/csl-citation.json"} </w:instrText>
      </w:r>
      <w:r w:rsidRPr="00012DD3">
        <w:rPr>
          <w:color w:val="000000" w:themeColor="text1"/>
        </w:rPr>
        <w:fldChar w:fldCharType="separate"/>
      </w:r>
      <w:r w:rsidRPr="00012DD3">
        <w:rPr>
          <w:color w:val="000000" w:themeColor="text1"/>
        </w:rPr>
        <w:t xml:space="preserve">(Kiselev and </w:t>
      </w:r>
      <w:proofErr w:type="spellStart"/>
      <w:r w:rsidRPr="00012DD3">
        <w:rPr>
          <w:color w:val="000000" w:themeColor="text1"/>
        </w:rPr>
        <w:t>Zhivaykina</w:t>
      </w:r>
      <w:proofErr w:type="spellEnd"/>
      <w:r w:rsidRPr="00012DD3">
        <w:rPr>
          <w:color w:val="000000" w:themeColor="text1"/>
        </w:rPr>
        <w:t>, 2020)</w:t>
      </w:r>
      <w:r w:rsidRPr="00012DD3">
        <w:rPr>
          <w:color w:val="000000" w:themeColor="text1"/>
        </w:rPr>
        <w:fldChar w:fldCharType="end"/>
      </w:r>
      <w:r w:rsidRPr="00012DD3">
        <w:rPr>
          <w:color w:val="000000" w:themeColor="text1"/>
        </w:rPr>
        <w:t>.</w:t>
      </w:r>
      <w:bookmarkEnd w:id="12"/>
    </w:p>
    <w:p w14:paraId="73579583" w14:textId="58810C98" w:rsidR="00741D5A" w:rsidRPr="00012DD3" w:rsidRDefault="006E132B" w:rsidP="00012DD3">
      <w:pPr>
        <w:pStyle w:val="Heading2"/>
        <w:spacing w:line="480" w:lineRule="auto"/>
        <w:rPr>
          <w:rFonts w:ascii="Times New Roman" w:hAnsi="Times New Roman" w:cs="Times New Roman"/>
        </w:rPr>
      </w:pPr>
      <w:bookmarkStart w:id="13" w:name="_Toc192529325"/>
      <w:r w:rsidRPr="00012DD3">
        <w:rPr>
          <w:rFonts w:ascii="Times New Roman" w:hAnsi="Times New Roman" w:cs="Times New Roman"/>
        </w:rPr>
        <w:t>2.3 Dataset</w:t>
      </w:r>
      <w:bookmarkEnd w:id="13"/>
    </w:p>
    <w:p w14:paraId="6B9D73B3" w14:textId="4E25274F" w:rsidR="00A60EF4" w:rsidRPr="00012DD3" w:rsidRDefault="00E16A85" w:rsidP="00012DD3">
      <w:pPr>
        <w:spacing w:line="480" w:lineRule="auto"/>
        <w:jc w:val="both"/>
        <w:rPr>
          <w:color w:val="000000" w:themeColor="text1"/>
        </w:rPr>
      </w:pPr>
      <w:r w:rsidRPr="00012DD3">
        <w:rPr>
          <w:color w:val="000000" w:themeColor="text1"/>
        </w:rPr>
        <w:t>Based on secondary data source, this study examines the correlation between retail sales performance and inflation in Hong Kong and Singapore between 2009 and 2023. This data set helps us understand how inflationary pressures affect the dynamics of the retail sector in both economies thereby enabling a comparison of emerging and mature market key economic indicators.</w:t>
      </w:r>
    </w:p>
    <w:p w14:paraId="2AC6F295" w14:textId="1A0C3B9A" w:rsidR="00A60EF4" w:rsidRPr="00012DD3" w:rsidRDefault="00AF577D" w:rsidP="00012DD3">
      <w:pPr>
        <w:spacing w:line="480" w:lineRule="auto"/>
        <w:jc w:val="both"/>
        <w:rPr>
          <w:color w:val="000000" w:themeColor="text1"/>
        </w:rPr>
      </w:pPr>
      <w:r w:rsidRPr="00012DD3">
        <w:rPr>
          <w:color w:val="000000" w:themeColor="text1"/>
        </w:rPr>
        <w:t>The dataset is compiled from official government statistical agencies and reputable financial sources. CPI data for Hong Kong and Singapore is from International Monetary Fund. Retail sales da</w:t>
      </w:r>
      <w:r w:rsidR="00A60EF4" w:rsidRPr="00012DD3">
        <w:rPr>
          <w:color w:val="000000" w:themeColor="text1"/>
        </w:rPr>
        <w:t xml:space="preserve">ta for Hong Kong and Singapore are </w:t>
      </w:r>
      <w:r w:rsidRPr="00012DD3">
        <w:rPr>
          <w:color w:val="000000" w:themeColor="text1"/>
        </w:rPr>
        <w:t>from Hong Kong Census and Statistics Department and Singapore Department of Statistics.</w:t>
      </w:r>
    </w:p>
    <w:p w14:paraId="68BB71B8" w14:textId="7A2C8C38" w:rsidR="00A60EF4" w:rsidRPr="00012DD3" w:rsidRDefault="006E132B" w:rsidP="00012DD3">
      <w:pPr>
        <w:pStyle w:val="Heading3"/>
        <w:spacing w:line="480" w:lineRule="auto"/>
        <w:rPr>
          <w:rFonts w:ascii="Times New Roman" w:hAnsi="Times New Roman" w:cs="Times New Roman"/>
        </w:rPr>
      </w:pPr>
      <w:bookmarkStart w:id="14" w:name="_Toc192529326"/>
      <w:r w:rsidRPr="00012DD3">
        <w:rPr>
          <w:rFonts w:ascii="Times New Roman" w:hAnsi="Times New Roman" w:cs="Times New Roman"/>
        </w:rPr>
        <w:t xml:space="preserve">2.3.1 </w:t>
      </w:r>
      <w:r w:rsidR="00362A18" w:rsidRPr="00012DD3">
        <w:rPr>
          <w:rFonts w:ascii="Times New Roman" w:hAnsi="Times New Roman" w:cs="Times New Roman"/>
        </w:rPr>
        <w:t>Variables Defined</w:t>
      </w:r>
      <w:bookmarkEnd w:id="14"/>
    </w:p>
    <w:p w14:paraId="1F6F8244" w14:textId="4DBBA4F7" w:rsidR="000933E5" w:rsidRPr="00012DD3" w:rsidRDefault="009236EE" w:rsidP="00012DD3">
      <w:pPr>
        <w:spacing w:line="480" w:lineRule="auto"/>
        <w:jc w:val="both"/>
        <w:rPr>
          <w:color w:val="000000" w:themeColor="text1"/>
        </w:rPr>
      </w:pPr>
      <w:r w:rsidRPr="00012DD3">
        <w:rPr>
          <w:color w:val="000000" w:themeColor="text1"/>
        </w:rPr>
        <w:t xml:space="preserve">In this research, objectives are </w:t>
      </w:r>
      <w:r w:rsidR="00A60EF4" w:rsidRPr="00012DD3">
        <w:rPr>
          <w:color w:val="000000" w:themeColor="text1"/>
        </w:rPr>
        <w:t xml:space="preserve">set </w:t>
      </w:r>
      <w:r w:rsidRPr="00012DD3">
        <w:rPr>
          <w:color w:val="000000" w:themeColor="text1"/>
        </w:rPr>
        <w:t>to identify the relationship between consumer inflation and retail sales in Hong Kong and Singapore, to examine the trend of consumer inflation and analyse the similarities and differences pattern of consumer inflation in both countries. There are four sets of variables which are consumer price index (CPI), sub-items of CPI (e.g. Food and non-alcoholic beverages, Alcoholic Beverages, Tobacco, and Narcotics, Clothing and footwear, Furnishings, household equipment and routine household maintenance), values of retail sales (VRS) and retail sales index (RSI). Due to the Alcoholic culture banned, Alcoholic Beverages, Tobacco and Narcotics of CPI category is not calculated in the CPI in Singapore.</w:t>
      </w:r>
    </w:p>
    <w:p w14:paraId="101A794B" w14:textId="71EC1CF9" w:rsidR="00692396" w:rsidRPr="00012DD3" w:rsidRDefault="00692396" w:rsidP="00012DD3">
      <w:pPr>
        <w:pStyle w:val="Heading3"/>
        <w:spacing w:line="480" w:lineRule="auto"/>
        <w:rPr>
          <w:rFonts w:ascii="Times New Roman" w:hAnsi="Times New Roman" w:cs="Times New Roman"/>
        </w:rPr>
      </w:pPr>
      <w:bookmarkStart w:id="15" w:name="_Toc192529327"/>
      <w:r w:rsidRPr="00012DD3">
        <w:rPr>
          <w:rFonts w:ascii="Times New Roman" w:hAnsi="Times New Roman" w:cs="Times New Roman"/>
        </w:rPr>
        <w:lastRenderedPageBreak/>
        <w:t>2.3.2</w:t>
      </w:r>
      <w:r w:rsidR="00731B5E" w:rsidRPr="00012DD3">
        <w:rPr>
          <w:rFonts w:ascii="Times New Roman" w:hAnsi="Times New Roman" w:cs="Times New Roman"/>
        </w:rPr>
        <w:t xml:space="preserve">  Time Frequency</w:t>
      </w:r>
      <w:bookmarkEnd w:id="15"/>
    </w:p>
    <w:p w14:paraId="732B9666" w14:textId="77777777" w:rsidR="003C06F0" w:rsidRPr="00012DD3" w:rsidRDefault="003C06F0" w:rsidP="00012DD3">
      <w:pPr>
        <w:spacing w:line="480" w:lineRule="auto"/>
        <w:jc w:val="both"/>
        <w:rPr>
          <w:color w:val="000000" w:themeColor="text1"/>
        </w:rPr>
      </w:pPr>
      <w:r w:rsidRPr="00012DD3">
        <w:rPr>
          <w:color w:val="000000" w:themeColor="text1"/>
        </w:rPr>
        <w:t>The dataset includes annual figures from 2009 to 2023 for inflation and retail sales growth on 15 years is historical information. The period covered are key economic events like post financial crisis recovery (2009–2013), pre pandemic growth (2014–2019), impact of COVID-19 (2020–2021), economic recovery (2022–2023).</w:t>
      </w:r>
    </w:p>
    <w:p w14:paraId="5039D7F8" w14:textId="43A30F70" w:rsidR="00D472DA" w:rsidRPr="00012DD3" w:rsidRDefault="003C06F0" w:rsidP="00012DD3">
      <w:pPr>
        <w:spacing w:line="480" w:lineRule="auto"/>
        <w:jc w:val="both"/>
        <w:rPr>
          <w:color w:val="000000" w:themeColor="text1"/>
        </w:rPr>
      </w:pPr>
      <w:r w:rsidRPr="00012DD3">
        <w:rPr>
          <w:color w:val="000000" w:themeColor="text1"/>
        </w:rPr>
        <w:t>By having this structured dataset available, it will allow us to conduct a quantitative analysis of the link between inflation and retail sales and compare the market stability and investment opportunities in Hong Kong and Singapore.</w:t>
      </w:r>
    </w:p>
    <w:p w14:paraId="7703CAC9" w14:textId="4720A0A2" w:rsidR="00FB77DD" w:rsidRPr="00012DD3" w:rsidRDefault="00816827" w:rsidP="00D472DA">
      <w:pPr>
        <w:spacing w:line="360" w:lineRule="auto"/>
        <w:jc w:val="both"/>
        <w:rPr>
          <w:color w:val="000000" w:themeColor="text1"/>
        </w:rPr>
      </w:pPr>
      <w:r w:rsidRPr="00012DD3">
        <w:rPr>
          <w:color w:val="000000" w:themeColor="text1"/>
        </w:rPr>
        <w:t xml:space="preserve">Table 1: </w:t>
      </w:r>
      <w:r w:rsidR="00D472DA" w:rsidRPr="00012DD3">
        <w:rPr>
          <w:color w:val="000000" w:themeColor="text1"/>
        </w:rPr>
        <w:t>Annual Percent Change (%) in Retail Sales Value and Consumer Inflation in Hong Kong</w:t>
      </w:r>
      <w:r w:rsidR="001D1E98" w:rsidRPr="00012DD3">
        <w:rPr>
          <w:color w:val="000000" w:themeColor="text1"/>
        </w:rPr>
        <w:t xml:space="preserve">; Retail Sales Index and Consumer Inflation in </w:t>
      </w:r>
      <w:r w:rsidR="00D472DA" w:rsidRPr="00012DD3">
        <w:rPr>
          <w:color w:val="000000" w:themeColor="text1"/>
        </w:rPr>
        <w:t>Singapore (2006–2023)</w:t>
      </w:r>
    </w:p>
    <w:p w14:paraId="26F81799" w14:textId="2B07428E" w:rsidR="003038A3" w:rsidRPr="00012DD3" w:rsidRDefault="00F331AF" w:rsidP="00D472DA">
      <w:pPr>
        <w:spacing w:line="360" w:lineRule="auto"/>
        <w:jc w:val="both"/>
        <w:rPr>
          <w:color w:val="000000" w:themeColor="text1"/>
        </w:rPr>
      </w:pPr>
      <w:r w:rsidRPr="00012DD3">
        <w:rPr>
          <w:noProof/>
          <w:color w:val="000000" w:themeColor="text1"/>
          <w:lang w:val="en-US"/>
          <w14:ligatures w14:val="standardContextual"/>
        </w:rPr>
        <mc:AlternateContent>
          <mc:Choice Requires="wps">
            <w:drawing>
              <wp:anchor distT="0" distB="0" distL="114300" distR="114300" simplePos="0" relativeHeight="251659264" behindDoc="0" locked="0" layoutInCell="1" allowOverlap="1" wp14:anchorId="6313EBF3" wp14:editId="09174B4D">
                <wp:simplePos x="0" y="0"/>
                <wp:positionH relativeFrom="column">
                  <wp:posOffset>87923</wp:posOffset>
                </wp:positionH>
                <wp:positionV relativeFrom="paragraph">
                  <wp:posOffset>37807</wp:posOffset>
                </wp:positionV>
                <wp:extent cx="5301762" cy="2901461"/>
                <wp:effectExtent l="0" t="0" r="6985" b="6985"/>
                <wp:wrapNone/>
                <wp:docPr id="14249699" name="Text Box 1"/>
                <wp:cNvGraphicFramePr/>
                <a:graphic xmlns:a="http://schemas.openxmlformats.org/drawingml/2006/main">
                  <a:graphicData uri="http://schemas.microsoft.com/office/word/2010/wordprocessingShape">
                    <wps:wsp>
                      <wps:cNvSpPr txBox="1"/>
                      <wps:spPr>
                        <a:xfrm>
                          <a:off x="0" y="0"/>
                          <a:ext cx="5301762" cy="2901461"/>
                        </a:xfrm>
                        <a:prstGeom prst="rect">
                          <a:avLst/>
                        </a:prstGeom>
                        <a:solidFill>
                          <a:schemeClr val="lt1"/>
                        </a:solidFill>
                        <a:ln w="6350">
                          <a:solidFill>
                            <a:prstClr val="black"/>
                          </a:solidFill>
                        </a:ln>
                      </wps:spPr>
                      <wps:txbx>
                        <w:txbxContent>
                          <w:p w14:paraId="42584B14" w14:textId="73D18368" w:rsidR="00A60EF4" w:rsidRDefault="00A60EF4">
                            <w:r w:rsidRPr="005A6DB6">
                              <w:rPr>
                                <w:noProof/>
                                <w:lang w:val="en-US"/>
                              </w:rPr>
                              <w:drawing>
                                <wp:inline distT="0" distB="0" distL="0" distR="0" wp14:anchorId="47AB1A07" wp14:editId="39C7AFAB">
                                  <wp:extent cx="5112385" cy="2673985"/>
                                  <wp:effectExtent l="0" t="0" r="5715" b="5715"/>
                                  <wp:docPr id="1205669189" name="Picture 1"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69189" name="Picture 1" descr="A table of numbers and letters&#10;&#10;Description automatically generated"/>
                                          <pic:cNvPicPr/>
                                        </pic:nvPicPr>
                                        <pic:blipFill>
                                          <a:blip r:embed="rId12"/>
                                          <a:stretch>
                                            <a:fillRect/>
                                          </a:stretch>
                                        </pic:blipFill>
                                        <pic:spPr>
                                          <a:xfrm>
                                            <a:off x="0" y="0"/>
                                            <a:ext cx="5112385" cy="26739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13EBF3" id="_x0000_t202" coordsize="21600,21600" o:spt="202" path="m,l,21600r21600,l21600,xe">
                <v:stroke joinstyle="miter"/>
                <v:path gradientshapeok="t" o:connecttype="rect"/>
              </v:shapetype>
              <v:shape id="Text Box 1" o:spid="_x0000_s1026" type="#_x0000_t202" style="position:absolute;left:0;text-align:left;margin-left:6.9pt;margin-top:3pt;width:417.45pt;height:22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" fillcolor="white [3201]" strokeweight=".5pt">
                <v:textbox>
                  <w:txbxContent>
                    <w:p w14:paraId="42584B14" w14:textId="73D18368" w:rsidR="00A60EF4" w:rsidRDefault="00A60EF4">
                      <w:r w:rsidRPr="005A6DB6">
                        <w:rPr>
                          <w:noProof/>
                          <w:lang w:val="en-US"/>
                        </w:rPr>
                        <w:drawing>
                          <wp:inline distT="0" distB="0" distL="0" distR="0" wp14:anchorId="47AB1A07" wp14:editId="39C7AFAB">
                            <wp:extent cx="5112385" cy="2673985"/>
                            <wp:effectExtent l="0" t="0" r="5715" b="5715"/>
                            <wp:docPr id="1205669189" name="Picture 1"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69189" name="Picture 1" descr="A table of numbers and letters&#10;&#10;Description automatically generated"/>
                                    <pic:cNvPicPr/>
                                  </pic:nvPicPr>
                                  <pic:blipFill>
                                    <a:blip r:embed="rId13"/>
                                    <a:stretch>
                                      <a:fillRect/>
                                    </a:stretch>
                                  </pic:blipFill>
                                  <pic:spPr>
                                    <a:xfrm>
                                      <a:off x="0" y="0"/>
                                      <a:ext cx="5112385" cy="2673985"/>
                                    </a:xfrm>
                                    <a:prstGeom prst="rect">
                                      <a:avLst/>
                                    </a:prstGeom>
                                  </pic:spPr>
                                </pic:pic>
                              </a:graphicData>
                            </a:graphic>
                          </wp:inline>
                        </w:drawing>
                      </w:r>
                    </w:p>
                  </w:txbxContent>
                </v:textbox>
              </v:shape>
            </w:pict>
          </mc:Fallback>
        </mc:AlternateContent>
      </w:r>
    </w:p>
    <w:p w14:paraId="2D498A80" w14:textId="77777777" w:rsidR="003038A3" w:rsidRPr="00012DD3" w:rsidRDefault="003038A3" w:rsidP="00D472DA">
      <w:pPr>
        <w:spacing w:line="360" w:lineRule="auto"/>
        <w:jc w:val="both"/>
        <w:rPr>
          <w:color w:val="000000" w:themeColor="text1"/>
        </w:rPr>
      </w:pPr>
    </w:p>
    <w:p w14:paraId="03C8FD18" w14:textId="77777777" w:rsidR="003038A3" w:rsidRPr="00012DD3" w:rsidRDefault="003038A3" w:rsidP="00D472DA">
      <w:pPr>
        <w:spacing w:line="360" w:lineRule="auto"/>
        <w:jc w:val="both"/>
        <w:rPr>
          <w:color w:val="000000" w:themeColor="text1"/>
        </w:rPr>
      </w:pPr>
    </w:p>
    <w:p w14:paraId="0DB96655" w14:textId="77777777" w:rsidR="003151A1" w:rsidRPr="00012DD3" w:rsidRDefault="003151A1" w:rsidP="00FB77DD">
      <w:pPr>
        <w:jc w:val="both"/>
        <w:rPr>
          <w:color w:val="000000" w:themeColor="text1"/>
        </w:rPr>
      </w:pPr>
    </w:p>
    <w:p w14:paraId="3FB32E5B" w14:textId="77777777" w:rsidR="003038A3" w:rsidRPr="00012DD3" w:rsidRDefault="003038A3" w:rsidP="00FB77DD">
      <w:pPr>
        <w:jc w:val="both"/>
        <w:rPr>
          <w:color w:val="000000" w:themeColor="text1"/>
        </w:rPr>
      </w:pPr>
    </w:p>
    <w:p w14:paraId="7DFE7433" w14:textId="77777777" w:rsidR="003038A3" w:rsidRPr="00012DD3" w:rsidRDefault="003038A3" w:rsidP="00FB77DD">
      <w:pPr>
        <w:jc w:val="both"/>
        <w:rPr>
          <w:color w:val="000000" w:themeColor="text1"/>
        </w:rPr>
      </w:pPr>
    </w:p>
    <w:p w14:paraId="589E0663" w14:textId="77777777" w:rsidR="003038A3" w:rsidRPr="00012DD3" w:rsidRDefault="003038A3" w:rsidP="00FB77DD">
      <w:pPr>
        <w:jc w:val="both"/>
        <w:rPr>
          <w:color w:val="000000" w:themeColor="text1"/>
        </w:rPr>
      </w:pPr>
    </w:p>
    <w:p w14:paraId="48F156CB" w14:textId="77777777" w:rsidR="003038A3" w:rsidRPr="00012DD3" w:rsidRDefault="003038A3" w:rsidP="00FB77DD">
      <w:pPr>
        <w:jc w:val="both"/>
        <w:rPr>
          <w:color w:val="000000" w:themeColor="text1"/>
        </w:rPr>
      </w:pPr>
    </w:p>
    <w:p w14:paraId="008A14E3" w14:textId="77777777" w:rsidR="003038A3" w:rsidRPr="00012DD3" w:rsidRDefault="003038A3" w:rsidP="00FB77DD">
      <w:pPr>
        <w:jc w:val="both"/>
        <w:rPr>
          <w:color w:val="000000" w:themeColor="text1"/>
        </w:rPr>
      </w:pPr>
    </w:p>
    <w:p w14:paraId="31D1F1A0" w14:textId="77777777" w:rsidR="003038A3" w:rsidRPr="00012DD3" w:rsidRDefault="003038A3" w:rsidP="00FB77DD">
      <w:pPr>
        <w:jc w:val="both"/>
        <w:rPr>
          <w:color w:val="000000" w:themeColor="text1"/>
        </w:rPr>
      </w:pPr>
    </w:p>
    <w:p w14:paraId="57353D1B" w14:textId="77777777" w:rsidR="003038A3" w:rsidRPr="00012DD3" w:rsidRDefault="003038A3" w:rsidP="00FB77DD">
      <w:pPr>
        <w:jc w:val="both"/>
        <w:rPr>
          <w:color w:val="000000" w:themeColor="text1"/>
        </w:rPr>
      </w:pPr>
    </w:p>
    <w:p w14:paraId="3BEBEA2D" w14:textId="77777777" w:rsidR="003038A3" w:rsidRPr="00012DD3" w:rsidRDefault="003038A3" w:rsidP="00FB77DD">
      <w:pPr>
        <w:jc w:val="both"/>
        <w:rPr>
          <w:color w:val="000000" w:themeColor="text1"/>
        </w:rPr>
      </w:pPr>
    </w:p>
    <w:p w14:paraId="26ADE166" w14:textId="77777777" w:rsidR="003038A3" w:rsidRPr="00012DD3" w:rsidRDefault="003038A3" w:rsidP="00FB77DD">
      <w:pPr>
        <w:jc w:val="both"/>
        <w:rPr>
          <w:color w:val="000000" w:themeColor="text1"/>
        </w:rPr>
      </w:pPr>
    </w:p>
    <w:p w14:paraId="3972FB47" w14:textId="77777777" w:rsidR="003038A3" w:rsidRPr="00012DD3" w:rsidRDefault="003038A3" w:rsidP="00FB77DD">
      <w:pPr>
        <w:jc w:val="both"/>
        <w:rPr>
          <w:color w:val="000000" w:themeColor="text1"/>
        </w:rPr>
      </w:pPr>
    </w:p>
    <w:p w14:paraId="0FB93AE5" w14:textId="77777777" w:rsidR="003038A3" w:rsidRPr="00012DD3" w:rsidRDefault="003038A3" w:rsidP="00FB77DD">
      <w:pPr>
        <w:jc w:val="both"/>
        <w:rPr>
          <w:color w:val="000000" w:themeColor="text1"/>
        </w:rPr>
      </w:pPr>
    </w:p>
    <w:p w14:paraId="55F65A11" w14:textId="77777777" w:rsidR="003038A3" w:rsidRPr="00012DD3" w:rsidRDefault="003038A3" w:rsidP="00FB77DD">
      <w:pPr>
        <w:jc w:val="both"/>
        <w:rPr>
          <w:color w:val="000000" w:themeColor="text1"/>
        </w:rPr>
      </w:pPr>
    </w:p>
    <w:tbl>
      <w:tblPr>
        <w:tblW w:w="8020" w:type="dxa"/>
        <w:tblLook w:val="04A0" w:firstRow="1" w:lastRow="0" w:firstColumn="1" w:lastColumn="0" w:noHBand="0" w:noVBand="1"/>
      </w:tblPr>
      <w:tblGrid>
        <w:gridCol w:w="1300"/>
        <w:gridCol w:w="7079"/>
      </w:tblGrid>
      <w:tr w:rsidR="00D5492D" w:rsidRPr="00012DD3" w14:paraId="206593EC" w14:textId="77777777" w:rsidTr="0070159C">
        <w:trPr>
          <w:trHeight w:val="320"/>
        </w:trPr>
        <w:tc>
          <w:tcPr>
            <w:tcW w:w="1300" w:type="dxa"/>
            <w:tcBorders>
              <w:top w:val="nil"/>
              <w:left w:val="nil"/>
              <w:bottom w:val="nil"/>
              <w:right w:val="nil"/>
            </w:tcBorders>
            <w:shd w:val="clear" w:color="auto" w:fill="auto"/>
            <w:noWrap/>
            <w:vAlign w:val="bottom"/>
            <w:hideMark/>
          </w:tcPr>
          <w:p w14:paraId="343DDA5B" w14:textId="77777777" w:rsidR="00D5492D" w:rsidRPr="00012DD3" w:rsidRDefault="00D5492D" w:rsidP="0070159C">
            <w:pPr>
              <w:rPr>
                <w:color w:val="000000"/>
              </w:rPr>
            </w:pPr>
            <w:r w:rsidRPr="00012DD3">
              <w:rPr>
                <w:color w:val="000000"/>
              </w:rPr>
              <w:t>Sources</w:t>
            </w:r>
          </w:p>
        </w:tc>
        <w:tc>
          <w:tcPr>
            <w:tcW w:w="6720" w:type="dxa"/>
            <w:tcBorders>
              <w:top w:val="single" w:sz="4" w:space="0" w:color="auto"/>
              <w:left w:val="nil"/>
              <w:bottom w:val="nil"/>
              <w:right w:val="nil"/>
            </w:tcBorders>
            <w:shd w:val="clear" w:color="auto" w:fill="auto"/>
            <w:noWrap/>
            <w:hideMark/>
          </w:tcPr>
          <w:p w14:paraId="43EE9CC4" w14:textId="16C13EB2" w:rsidR="00D5492D" w:rsidRPr="00012DD3" w:rsidRDefault="00F331AF" w:rsidP="0070159C">
            <w:pPr>
              <w:adjustRightInd w:val="0"/>
              <w:snapToGrid w:val="0"/>
              <w:rPr>
                <w:bCs/>
                <w:color w:val="0000CC"/>
                <w:sz w:val="20"/>
                <w:szCs w:val="20"/>
              </w:rPr>
            </w:pPr>
            <w:hyperlink r:id="rId14" w:history="1">
              <w:r w:rsidRPr="00012DD3">
                <w:rPr>
                  <w:rStyle w:val="Hyperlink"/>
                  <w:bCs/>
                  <w:sz w:val="20"/>
                  <w:szCs w:val="20"/>
                </w:rPr>
                <w:t>https://www.censtatd.gov.hk/en/web_table.html?id=620-67012</w:t>
              </w:r>
            </w:hyperlink>
          </w:p>
          <w:p w14:paraId="6080C1D4" w14:textId="6223DC8A" w:rsidR="00F331AF" w:rsidRPr="00012DD3" w:rsidRDefault="00F331AF" w:rsidP="0070159C">
            <w:pPr>
              <w:adjustRightInd w:val="0"/>
              <w:snapToGrid w:val="0"/>
              <w:rPr>
                <w:bCs/>
                <w:color w:val="0000CC"/>
                <w:sz w:val="20"/>
                <w:szCs w:val="20"/>
              </w:rPr>
            </w:pPr>
            <w:r w:rsidRPr="00012DD3">
              <w:rPr>
                <w:bCs/>
                <w:color w:val="0000CC"/>
                <w:sz w:val="20"/>
                <w:szCs w:val="20"/>
              </w:rPr>
              <w:t xml:space="preserve">https://www.singstat.gov.sg/publications/reference/ebook/industry/services </w:t>
            </w:r>
          </w:p>
          <w:p w14:paraId="3400DE86" w14:textId="77777777" w:rsidR="00D5492D" w:rsidRPr="00012DD3" w:rsidRDefault="00D5492D" w:rsidP="0070159C">
            <w:pPr>
              <w:jc w:val="center"/>
              <w:rPr>
                <w:color w:val="000000"/>
              </w:rPr>
            </w:pPr>
            <w:r w:rsidRPr="00012DD3">
              <w:rPr>
                <w:bCs/>
                <w:color w:val="0000CC"/>
                <w:sz w:val="20"/>
                <w:szCs w:val="20"/>
              </w:rPr>
              <w:t>https://www.imf.org/external/datamapper/PCPIEPCH@WEO/CHN/HKG?year=2025</w:t>
            </w:r>
          </w:p>
        </w:tc>
      </w:tr>
      <w:tr w:rsidR="00D5492D" w:rsidRPr="00012DD3" w14:paraId="5F6D88A6" w14:textId="77777777" w:rsidTr="0070159C">
        <w:trPr>
          <w:trHeight w:val="320"/>
        </w:trPr>
        <w:tc>
          <w:tcPr>
            <w:tcW w:w="1300" w:type="dxa"/>
            <w:tcBorders>
              <w:top w:val="nil"/>
              <w:left w:val="nil"/>
              <w:bottom w:val="nil"/>
              <w:right w:val="nil"/>
            </w:tcBorders>
            <w:shd w:val="clear" w:color="auto" w:fill="auto"/>
            <w:noWrap/>
            <w:vAlign w:val="bottom"/>
            <w:hideMark/>
          </w:tcPr>
          <w:p w14:paraId="73E88505" w14:textId="77777777" w:rsidR="00D5492D" w:rsidRPr="00012DD3" w:rsidRDefault="00D5492D" w:rsidP="0070159C">
            <w:pPr>
              <w:rPr>
                <w:color w:val="000000"/>
              </w:rPr>
            </w:pPr>
            <w:r w:rsidRPr="00012DD3">
              <w:rPr>
                <w:color w:val="000000"/>
              </w:rPr>
              <w:t>Notes</w:t>
            </w:r>
          </w:p>
        </w:tc>
        <w:tc>
          <w:tcPr>
            <w:tcW w:w="6720" w:type="dxa"/>
            <w:tcBorders>
              <w:top w:val="nil"/>
              <w:left w:val="nil"/>
              <w:bottom w:val="nil"/>
              <w:right w:val="nil"/>
            </w:tcBorders>
            <w:shd w:val="clear" w:color="auto" w:fill="auto"/>
            <w:noWrap/>
            <w:vAlign w:val="bottom"/>
            <w:hideMark/>
          </w:tcPr>
          <w:p w14:paraId="19F84A33" w14:textId="7BC6069F" w:rsidR="00734E02" w:rsidRPr="00012DD3" w:rsidRDefault="003F2F02" w:rsidP="003F2F02">
            <w:pPr>
              <w:rPr>
                <w:color w:val="000000"/>
                <w:sz w:val="20"/>
                <w:szCs w:val="20"/>
              </w:rPr>
            </w:pPr>
            <w:r w:rsidRPr="00012DD3">
              <w:rPr>
                <w:color w:val="000000"/>
                <w:sz w:val="20"/>
                <w:szCs w:val="20"/>
              </w:rPr>
              <w:t>-</w:t>
            </w:r>
            <w:r w:rsidR="00D5492D" w:rsidRPr="00012DD3">
              <w:rPr>
                <w:color w:val="000000"/>
                <w:sz w:val="20"/>
                <w:szCs w:val="20"/>
              </w:rPr>
              <w:t xml:space="preserve">Inflation rate, end of period consumer prices </w:t>
            </w:r>
            <w:r w:rsidR="00734E02" w:rsidRPr="00012DD3">
              <w:rPr>
                <w:color w:val="000000"/>
                <w:sz w:val="20"/>
                <w:szCs w:val="20"/>
              </w:rPr>
              <w:t>(annual % change)</w:t>
            </w:r>
          </w:p>
          <w:p w14:paraId="3A440B2D" w14:textId="2DDC902D" w:rsidR="003F2F02" w:rsidRPr="00012DD3" w:rsidRDefault="003F2F02" w:rsidP="003F2F02">
            <w:pPr>
              <w:rPr>
                <w:color w:val="000000"/>
              </w:rPr>
            </w:pPr>
            <w:r w:rsidRPr="00012DD3">
              <w:rPr>
                <w:color w:val="000000"/>
                <w:sz w:val="20"/>
                <w:szCs w:val="20"/>
              </w:rPr>
              <w:t>-Values of retail sales and Retail sales index in Department stores, at current price, Annual</w:t>
            </w:r>
          </w:p>
        </w:tc>
      </w:tr>
    </w:tbl>
    <w:p w14:paraId="7504B3BD" w14:textId="77777777" w:rsidR="0021687B" w:rsidRPr="00012DD3" w:rsidRDefault="0021687B" w:rsidP="008B37F8">
      <w:pPr>
        <w:jc w:val="both"/>
        <w:rPr>
          <w:color w:val="000000" w:themeColor="text1"/>
        </w:rPr>
      </w:pPr>
    </w:p>
    <w:p w14:paraId="7FE3F416" w14:textId="77777777" w:rsidR="0021687B" w:rsidRPr="00012DD3" w:rsidRDefault="0021687B" w:rsidP="008B37F8">
      <w:pPr>
        <w:jc w:val="both"/>
        <w:rPr>
          <w:color w:val="000000" w:themeColor="text1"/>
        </w:rPr>
      </w:pPr>
    </w:p>
    <w:p w14:paraId="19D9FD32" w14:textId="77777777" w:rsidR="0021687B" w:rsidRDefault="0021687B" w:rsidP="008B37F8">
      <w:pPr>
        <w:jc w:val="both"/>
        <w:rPr>
          <w:color w:val="000000" w:themeColor="text1"/>
        </w:rPr>
      </w:pPr>
    </w:p>
    <w:p w14:paraId="002183F2" w14:textId="77777777" w:rsidR="007D35BE" w:rsidRDefault="007D35BE" w:rsidP="008B37F8">
      <w:pPr>
        <w:jc w:val="both"/>
        <w:rPr>
          <w:color w:val="000000" w:themeColor="text1"/>
        </w:rPr>
      </w:pPr>
    </w:p>
    <w:p w14:paraId="5562BD53" w14:textId="77777777" w:rsidR="007D35BE" w:rsidRDefault="007D35BE" w:rsidP="008B37F8">
      <w:pPr>
        <w:jc w:val="both"/>
        <w:rPr>
          <w:color w:val="000000" w:themeColor="text1"/>
        </w:rPr>
      </w:pPr>
    </w:p>
    <w:p w14:paraId="28C8FA9E" w14:textId="77777777" w:rsidR="007D35BE" w:rsidRPr="00012DD3" w:rsidRDefault="007D35BE" w:rsidP="008B37F8">
      <w:pPr>
        <w:jc w:val="both"/>
        <w:rPr>
          <w:color w:val="000000" w:themeColor="text1"/>
        </w:rPr>
      </w:pPr>
    </w:p>
    <w:p w14:paraId="29E8310B" w14:textId="083F3E49" w:rsidR="00E228C2" w:rsidRPr="00012DD3" w:rsidRDefault="00E228C2" w:rsidP="00E228C2">
      <w:pPr>
        <w:spacing w:line="360" w:lineRule="auto"/>
        <w:jc w:val="both"/>
        <w:rPr>
          <w:color w:val="000000" w:themeColor="text1"/>
        </w:rPr>
      </w:pPr>
      <w:r w:rsidRPr="00012DD3">
        <w:rPr>
          <w:color w:val="000000" w:themeColor="text1"/>
        </w:rPr>
        <w:lastRenderedPageBreak/>
        <w:t xml:space="preserve">Table 2: </w:t>
      </w:r>
      <w:r w:rsidR="00246EE0" w:rsidRPr="00012DD3">
        <w:rPr>
          <w:color w:val="000000" w:themeColor="text1"/>
        </w:rPr>
        <w:t>Annual</w:t>
      </w:r>
      <w:r w:rsidR="00191730" w:rsidRPr="00012DD3">
        <w:rPr>
          <w:color w:val="000000" w:themeColor="text1"/>
        </w:rPr>
        <w:t xml:space="preserve"> change</w:t>
      </w:r>
      <w:r w:rsidR="0017686C" w:rsidRPr="00012DD3">
        <w:rPr>
          <w:color w:val="000000" w:themeColor="text1"/>
        </w:rPr>
        <w:t xml:space="preserve"> (%) </w:t>
      </w:r>
      <w:r w:rsidRPr="00012DD3">
        <w:rPr>
          <w:color w:val="000000" w:themeColor="text1"/>
        </w:rPr>
        <w:t xml:space="preserve">in </w:t>
      </w:r>
      <w:r w:rsidR="00CB2B83" w:rsidRPr="00012DD3">
        <w:rPr>
          <w:color w:val="000000" w:themeColor="text1"/>
        </w:rPr>
        <w:t>CPI Sub-items index</w:t>
      </w:r>
      <w:r w:rsidRPr="00012DD3">
        <w:rPr>
          <w:color w:val="000000" w:themeColor="text1"/>
        </w:rPr>
        <w:t xml:space="preserve"> in Hong Kong (20</w:t>
      </w:r>
      <w:r w:rsidR="00191730" w:rsidRPr="00012DD3">
        <w:rPr>
          <w:color w:val="000000" w:themeColor="text1"/>
        </w:rPr>
        <w:t>09</w:t>
      </w:r>
      <w:r w:rsidRPr="00012DD3">
        <w:rPr>
          <w:color w:val="000000" w:themeColor="text1"/>
        </w:rPr>
        <w:t>–2023)</w:t>
      </w:r>
    </w:p>
    <w:p w14:paraId="4172BB31" w14:textId="77777777" w:rsidR="00E228C2" w:rsidRPr="00012DD3" w:rsidRDefault="00E228C2" w:rsidP="008B37F8">
      <w:pPr>
        <w:jc w:val="both"/>
        <w:rPr>
          <w:color w:val="000000" w:themeColor="text1"/>
        </w:rPr>
      </w:pPr>
    </w:p>
    <w:p w14:paraId="40B6E06A" w14:textId="401C41F2" w:rsidR="00636E54" w:rsidRPr="00012DD3" w:rsidRDefault="00CE4FBD" w:rsidP="008B37F8">
      <w:pPr>
        <w:jc w:val="both"/>
        <w:rPr>
          <w:color w:val="000000" w:themeColor="text1"/>
        </w:rPr>
      </w:pPr>
      <w:r w:rsidRPr="00012DD3">
        <w:rPr>
          <w:noProof/>
          <w:color w:val="000000" w:themeColor="text1"/>
          <w:lang w:val="en-US"/>
          <w14:ligatures w14:val="standardContextual"/>
        </w:rPr>
        <mc:AlternateContent>
          <mc:Choice Requires="wps">
            <w:drawing>
              <wp:anchor distT="0" distB="0" distL="114300" distR="114300" simplePos="0" relativeHeight="251660288" behindDoc="0" locked="0" layoutInCell="1" allowOverlap="1" wp14:anchorId="171ABE34" wp14:editId="4D16DB2E">
                <wp:simplePos x="0" y="0"/>
                <wp:positionH relativeFrom="column">
                  <wp:posOffset>131974</wp:posOffset>
                </wp:positionH>
                <wp:positionV relativeFrom="paragraph">
                  <wp:posOffset>56561</wp:posOffset>
                </wp:positionV>
                <wp:extent cx="5467547" cy="2620357"/>
                <wp:effectExtent l="0" t="0" r="19050" b="8890"/>
                <wp:wrapNone/>
                <wp:docPr id="278324851" name="Text Box 2"/>
                <wp:cNvGraphicFramePr/>
                <a:graphic xmlns:a="http://schemas.openxmlformats.org/drawingml/2006/main">
                  <a:graphicData uri="http://schemas.microsoft.com/office/word/2010/wordprocessingShape">
                    <wps:wsp>
                      <wps:cNvSpPr txBox="1"/>
                      <wps:spPr>
                        <a:xfrm>
                          <a:off x="0" y="0"/>
                          <a:ext cx="5467547" cy="2620357"/>
                        </a:xfrm>
                        <a:prstGeom prst="rect">
                          <a:avLst/>
                        </a:prstGeom>
                        <a:solidFill>
                          <a:schemeClr val="lt1"/>
                        </a:solidFill>
                        <a:ln w="6350">
                          <a:solidFill>
                            <a:prstClr val="black"/>
                          </a:solidFill>
                        </a:ln>
                      </wps:spPr>
                      <wps:txbx>
                        <w:txbxContent>
                          <w:p w14:paraId="3C6312C6" w14:textId="7919806D" w:rsidR="00A60EF4" w:rsidRDefault="00A60EF4" w:rsidP="00E13AB8">
                            <w:pPr>
                              <w:jc w:val="center"/>
                            </w:pPr>
                            <w:r w:rsidRPr="00E27FBC">
                              <w:rPr>
                                <w:noProof/>
                                <w:lang w:val="en-US"/>
                              </w:rPr>
                              <w:drawing>
                                <wp:inline distT="0" distB="0" distL="0" distR="0" wp14:anchorId="6260C324" wp14:editId="542AC50E">
                                  <wp:extent cx="3265805" cy="2522220"/>
                                  <wp:effectExtent l="0" t="0" r="0" b="5080"/>
                                  <wp:docPr id="1372850953" name="Picture 1" descr="A table with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50953" name="Picture 1" descr="A table with numbers and a number of items&#10;&#10;Description automatically generated"/>
                                          <pic:cNvPicPr/>
                                        </pic:nvPicPr>
                                        <pic:blipFill>
                                          <a:blip r:embed="rId15"/>
                                          <a:stretch>
                                            <a:fillRect/>
                                          </a:stretch>
                                        </pic:blipFill>
                                        <pic:spPr>
                                          <a:xfrm>
                                            <a:off x="0" y="0"/>
                                            <a:ext cx="3265805" cy="2522220"/>
                                          </a:xfrm>
                                          <a:prstGeom prst="rect">
                                            <a:avLst/>
                                          </a:prstGeom>
                                        </pic:spPr>
                                      </pic:pic>
                                    </a:graphicData>
                                  </a:graphic>
                                </wp:inline>
                              </w:drawing>
                            </w:r>
                            <w:r w:rsidRPr="00CE4FBD">
                              <w:rPr>
                                <w:noProof/>
                                <w:lang w:val="en-US"/>
                              </w:rPr>
                              <w:drawing>
                                <wp:inline distT="0" distB="0" distL="0" distR="0" wp14:anchorId="578610D7" wp14:editId="07DDD3D1">
                                  <wp:extent cx="3255010" cy="2522220"/>
                                  <wp:effectExtent l="0" t="0" r="0" b="5080"/>
                                  <wp:docPr id="1008758970" name="Picture 1" descr="A table with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58970" name="Picture 1" descr="A table with numbers and a number of items&#10;&#10;Description automatically generated"/>
                                          <pic:cNvPicPr/>
                                        </pic:nvPicPr>
                                        <pic:blipFill>
                                          <a:blip r:embed="rId16"/>
                                          <a:stretch>
                                            <a:fillRect/>
                                          </a:stretch>
                                        </pic:blipFill>
                                        <pic:spPr>
                                          <a:xfrm>
                                            <a:off x="0" y="0"/>
                                            <a:ext cx="3255010" cy="25222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ABE34" id="Text Box 2" o:spid="_x0000_s1027" type="#_x0000_t202" style="position:absolute;left:0;text-align:left;margin-left:10.4pt;margin-top:4.45pt;width:430.5pt;height:206.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" fillcolor="white [3201]" strokeweight=".5pt">
                <v:textbox>
                  <w:txbxContent>
                    <w:p w14:paraId="3C6312C6" w14:textId="7919806D" w:rsidR="00A60EF4" w:rsidRDefault="00A60EF4" w:rsidP="00E13AB8">
                      <w:pPr>
                        <w:jc w:val="center"/>
                      </w:pPr>
                      <w:r w:rsidRPr="00E27FBC">
                        <w:rPr>
                          <w:noProof/>
                          <w:lang w:val="en-US"/>
                        </w:rPr>
                        <w:drawing>
                          <wp:inline distT="0" distB="0" distL="0" distR="0" wp14:anchorId="6260C324" wp14:editId="542AC50E">
                            <wp:extent cx="3265805" cy="2522220"/>
                            <wp:effectExtent l="0" t="0" r="0" b="5080"/>
                            <wp:docPr id="1372850953" name="Picture 1" descr="A table with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50953" name="Picture 1" descr="A table with numbers and a number of items&#10;&#10;Description automatically generated"/>
                                    <pic:cNvPicPr/>
                                  </pic:nvPicPr>
                                  <pic:blipFill>
                                    <a:blip r:embed="rId17"/>
                                    <a:stretch>
                                      <a:fillRect/>
                                    </a:stretch>
                                  </pic:blipFill>
                                  <pic:spPr>
                                    <a:xfrm>
                                      <a:off x="0" y="0"/>
                                      <a:ext cx="3265805" cy="2522220"/>
                                    </a:xfrm>
                                    <a:prstGeom prst="rect">
                                      <a:avLst/>
                                    </a:prstGeom>
                                  </pic:spPr>
                                </pic:pic>
                              </a:graphicData>
                            </a:graphic>
                          </wp:inline>
                        </w:drawing>
                      </w:r>
                      <w:r w:rsidRPr="00CE4FBD">
                        <w:rPr>
                          <w:noProof/>
                          <w:lang w:val="en-US"/>
                        </w:rPr>
                        <w:drawing>
                          <wp:inline distT="0" distB="0" distL="0" distR="0" wp14:anchorId="578610D7" wp14:editId="07DDD3D1">
                            <wp:extent cx="3255010" cy="2522220"/>
                            <wp:effectExtent l="0" t="0" r="0" b="5080"/>
                            <wp:docPr id="1008758970" name="Picture 1" descr="A table with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58970" name="Picture 1" descr="A table with numbers and a number of items&#10;&#10;Description automatically generated"/>
                                    <pic:cNvPicPr/>
                                  </pic:nvPicPr>
                                  <pic:blipFill>
                                    <a:blip r:embed="rId18"/>
                                    <a:stretch>
                                      <a:fillRect/>
                                    </a:stretch>
                                  </pic:blipFill>
                                  <pic:spPr>
                                    <a:xfrm>
                                      <a:off x="0" y="0"/>
                                      <a:ext cx="3255010" cy="2522220"/>
                                    </a:xfrm>
                                    <a:prstGeom prst="rect">
                                      <a:avLst/>
                                    </a:prstGeom>
                                  </pic:spPr>
                                </pic:pic>
                              </a:graphicData>
                            </a:graphic>
                          </wp:inline>
                        </w:drawing>
                      </w:r>
                    </w:p>
                  </w:txbxContent>
                </v:textbox>
              </v:shape>
            </w:pict>
          </mc:Fallback>
        </mc:AlternateContent>
      </w:r>
    </w:p>
    <w:p w14:paraId="2CF7E207" w14:textId="77777777" w:rsidR="00636E54" w:rsidRPr="00012DD3" w:rsidRDefault="00636E54" w:rsidP="008B37F8">
      <w:pPr>
        <w:jc w:val="both"/>
        <w:rPr>
          <w:color w:val="000000" w:themeColor="text1"/>
        </w:rPr>
      </w:pPr>
    </w:p>
    <w:p w14:paraId="21CACE00" w14:textId="77777777" w:rsidR="008B37F8" w:rsidRPr="00012DD3" w:rsidRDefault="008B37F8" w:rsidP="008B37F8">
      <w:pPr>
        <w:jc w:val="both"/>
        <w:rPr>
          <w:color w:val="000000" w:themeColor="text1"/>
        </w:rPr>
      </w:pPr>
    </w:p>
    <w:p w14:paraId="7024E7D9" w14:textId="77777777" w:rsidR="00CE4FBD" w:rsidRPr="00012DD3" w:rsidRDefault="00CE4FBD" w:rsidP="008B37F8">
      <w:pPr>
        <w:jc w:val="both"/>
        <w:rPr>
          <w:color w:val="000000" w:themeColor="text1"/>
        </w:rPr>
      </w:pPr>
    </w:p>
    <w:p w14:paraId="5F306E28" w14:textId="77777777" w:rsidR="00CE4FBD" w:rsidRPr="00012DD3" w:rsidRDefault="00CE4FBD" w:rsidP="008B37F8">
      <w:pPr>
        <w:jc w:val="both"/>
        <w:rPr>
          <w:color w:val="000000" w:themeColor="text1"/>
        </w:rPr>
      </w:pPr>
    </w:p>
    <w:p w14:paraId="4DA47FA8" w14:textId="77777777" w:rsidR="00CE4FBD" w:rsidRPr="00012DD3" w:rsidRDefault="00CE4FBD" w:rsidP="008B37F8">
      <w:pPr>
        <w:jc w:val="both"/>
        <w:rPr>
          <w:color w:val="000000" w:themeColor="text1"/>
        </w:rPr>
      </w:pPr>
    </w:p>
    <w:p w14:paraId="449886B1" w14:textId="77777777" w:rsidR="00CE4FBD" w:rsidRPr="00012DD3" w:rsidRDefault="00CE4FBD" w:rsidP="008B37F8">
      <w:pPr>
        <w:jc w:val="both"/>
        <w:rPr>
          <w:color w:val="000000" w:themeColor="text1"/>
        </w:rPr>
      </w:pPr>
    </w:p>
    <w:p w14:paraId="438E32E3" w14:textId="77777777" w:rsidR="00CE4FBD" w:rsidRPr="00012DD3" w:rsidRDefault="00CE4FBD" w:rsidP="008B37F8">
      <w:pPr>
        <w:jc w:val="both"/>
        <w:rPr>
          <w:color w:val="000000" w:themeColor="text1"/>
        </w:rPr>
      </w:pPr>
    </w:p>
    <w:p w14:paraId="40C84ADB" w14:textId="77777777" w:rsidR="00CE4FBD" w:rsidRPr="00012DD3" w:rsidRDefault="00CE4FBD" w:rsidP="008B37F8">
      <w:pPr>
        <w:jc w:val="both"/>
        <w:rPr>
          <w:color w:val="000000" w:themeColor="text1"/>
        </w:rPr>
      </w:pPr>
    </w:p>
    <w:p w14:paraId="358BC19F" w14:textId="77777777" w:rsidR="00CE4FBD" w:rsidRPr="00012DD3" w:rsidRDefault="00CE4FBD" w:rsidP="008B37F8">
      <w:pPr>
        <w:jc w:val="both"/>
        <w:rPr>
          <w:color w:val="000000" w:themeColor="text1"/>
        </w:rPr>
      </w:pPr>
    </w:p>
    <w:p w14:paraId="20118AFB" w14:textId="77777777" w:rsidR="00CE4FBD" w:rsidRPr="00012DD3" w:rsidRDefault="00CE4FBD" w:rsidP="008B37F8">
      <w:pPr>
        <w:jc w:val="both"/>
        <w:rPr>
          <w:color w:val="000000" w:themeColor="text1"/>
        </w:rPr>
      </w:pPr>
    </w:p>
    <w:p w14:paraId="0F725B57" w14:textId="77777777" w:rsidR="00CE4FBD" w:rsidRPr="00012DD3" w:rsidRDefault="00CE4FBD" w:rsidP="008B37F8">
      <w:pPr>
        <w:jc w:val="both"/>
        <w:rPr>
          <w:color w:val="000000" w:themeColor="text1"/>
        </w:rPr>
      </w:pPr>
    </w:p>
    <w:p w14:paraId="388CD202" w14:textId="77777777" w:rsidR="00CE4FBD" w:rsidRPr="00012DD3" w:rsidRDefault="00CE4FBD" w:rsidP="008B37F8">
      <w:pPr>
        <w:jc w:val="both"/>
        <w:rPr>
          <w:color w:val="000000" w:themeColor="text1"/>
        </w:rPr>
      </w:pPr>
    </w:p>
    <w:p w14:paraId="41878587" w14:textId="77777777" w:rsidR="00E13AB8" w:rsidRPr="00012DD3" w:rsidRDefault="00E13AB8" w:rsidP="008B37F8">
      <w:pPr>
        <w:jc w:val="both"/>
        <w:rPr>
          <w:color w:val="000000" w:themeColor="text1"/>
        </w:rPr>
      </w:pPr>
    </w:p>
    <w:p w14:paraId="1A4AA635" w14:textId="77777777" w:rsidR="00E13AB8" w:rsidRPr="00012DD3" w:rsidRDefault="00E13AB8" w:rsidP="008B37F8">
      <w:pPr>
        <w:jc w:val="both"/>
        <w:rPr>
          <w:color w:val="000000" w:themeColor="text1"/>
        </w:rPr>
      </w:pPr>
    </w:p>
    <w:p w14:paraId="3D8E4FAA" w14:textId="77777777" w:rsidR="00E228C2" w:rsidRPr="00012DD3" w:rsidRDefault="00E228C2" w:rsidP="008B37F8">
      <w:pPr>
        <w:jc w:val="both"/>
        <w:rPr>
          <w:color w:val="000000" w:themeColor="text1"/>
        </w:rPr>
      </w:pPr>
    </w:p>
    <w:tbl>
      <w:tblPr>
        <w:tblW w:w="8379" w:type="dxa"/>
        <w:tblLook w:val="04A0" w:firstRow="1" w:lastRow="0" w:firstColumn="1" w:lastColumn="0" w:noHBand="0" w:noVBand="1"/>
      </w:tblPr>
      <w:tblGrid>
        <w:gridCol w:w="1300"/>
        <w:gridCol w:w="7079"/>
      </w:tblGrid>
      <w:tr w:rsidR="00E228C2" w:rsidRPr="00012DD3" w14:paraId="23A7C294" w14:textId="77777777" w:rsidTr="0048183D">
        <w:trPr>
          <w:trHeight w:val="320"/>
        </w:trPr>
        <w:tc>
          <w:tcPr>
            <w:tcW w:w="1300" w:type="dxa"/>
            <w:tcBorders>
              <w:top w:val="nil"/>
              <w:left w:val="nil"/>
              <w:bottom w:val="nil"/>
              <w:right w:val="nil"/>
            </w:tcBorders>
            <w:shd w:val="clear" w:color="auto" w:fill="auto"/>
            <w:noWrap/>
            <w:vAlign w:val="bottom"/>
            <w:hideMark/>
          </w:tcPr>
          <w:p w14:paraId="2609BBA9" w14:textId="77777777" w:rsidR="00E228C2" w:rsidRPr="00012DD3" w:rsidRDefault="00E228C2" w:rsidP="0070159C">
            <w:pPr>
              <w:rPr>
                <w:color w:val="000000"/>
              </w:rPr>
            </w:pPr>
            <w:r w:rsidRPr="00012DD3">
              <w:rPr>
                <w:color w:val="000000"/>
              </w:rPr>
              <w:t>Sources</w:t>
            </w:r>
          </w:p>
        </w:tc>
        <w:tc>
          <w:tcPr>
            <w:tcW w:w="7079" w:type="dxa"/>
            <w:tcBorders>
              <w:top w:val="single" w:sz="4" w:space="0" w:color="auto"/>
              <w:left w:val="nil"/>
              <w:bottom w:val="nil"/>
              <w:right w:val="nil"/>
            </w:tcBorders>
            <w:shd w:val="clear" w:color="auto" w:fill="auto"/>
            <w:noWrap/>
            <w:hideMark/>
          </w:tcPr>
          <w:p w14:paraId="209F8B17" w14:textId="29BC24D3" w:rsidR="00E228C2" w:rsidRPr="00012DD3" w:rsidRDefault="00BF425A" w:rsidP="00BF425A">
            <w:pPr>
              <w:rPr>
                <w:color w:val="000000"/>
              </w:rPr>
            </w:pPr>
            <w:r w:rsidRPr="00012DD3">
              <w:rPr>
                <w:bCs/>
                <w:color w:val="0000CC"/>
                <w:sz w:val="20"/>
                <w:szCs w:val="20"/>
              </w:rPr>
              <w:t>https://data.imf.org/regular.aspx?key=61015894</w:t>
            </w:r>
          </w:p>
        </w:tc>
      </w:tr>
    </w:tbl>
    <w:p w14:paraId="7DA7B64E" w14:textId="77777777" w:rsidR="00E228C2" w:rsidRPr="00012DD3" w:rsidRDefault="00E228C2" w:rsidP="008B37F8">
      <w:pPr>
        <w:jc w:val="both"/>
        <w:rPr>
          <w:color w:val="000000" w:themeColor="text1"/>
        </w:rPr>
      </w:pPr>
    </w:p>
    <w:p w14:paraId="12DA327D" w14:textId="77777777" w:rsidR="002C4440" w:rsidRPr="00012DD3" w:rsidRDefault="002C4440" w:rsidP="00191730">
      <w:pPr>
        <w:spacing w:line="360" w:lineRule="auto"/>
        <w:jc w:val="both"/>
        <w:rPr>
          <w:color w:val="000000" w:themeColor="text1"/>
        </w:rPr>
      </w:pPr>
    </w:p>
    <w:p w14:paraId="200AA080" w14:textId="4B44BB5E" w:rsidR="00E13AB8" w:rsidRPr="00012DD3" w:rsidRDefault="00191730" w:rsidP="00191730">
      <w:pPr>
        <w:spacing w:line="360" w:lineRule="auto"/>
        <w:jc w:val="both"/>
        <w:rPr>
          <w:color w:val="000000" w:themeColor="text1"/>
        </w:rPr>
      </w:pPr>
      <w:r w:rsidRPr="00012DD3">
        <w:rPr>
          <w:color w:val="000000" w:themeColor="text1"/>
        </w:rPr>
        <w:t>Table 3: Annual change</w:t>
      </w:r>
      <w:r w:rsidR="0017686C" w:rsidRPr="00012DD3">
        <w:rPr>
          <w:color w:val="000000" w:themeColor="text1"/>
        </w:rPr>
        <w:t xml:space="preserve"> (%) </w:t>
      </w:r>
      <w:r w:rsidRPr="00012DD3">
        <w:rPr>
          <w:color w:val="000000" w:themeColor="text1"/>
        </w:rPr>
        <w:t>in CPI Sub-items index in Singapore (2009–2023)</w:t>
      </w:r>
    </w:p>
    <w:p w14:paraId="1473452A" w14:textId="6D636586" w:rsidR="00E13AB8" w:rsidRPr="00012DD3" w:rsidRDefault="00E228C2" w:rsidP="008B37F8">
      <w:pPr>
        <w:jc w:val="both"/>
        <w:rPr>
          <w:color w:val="000000" w:themeColor="text1"/>
        </w:rPr>
      </w:pPr>
      <w:r w:rsidRPr="00012DD3">
        <w:rPr>
          <w:noProof/>
          <w:color w:val="000000" w:themeColor="text1"/>
          <w:lang w:val="en-US"/>
          <w14:ligatures w14:val="standardContextual"/>
        </w:rPr>
        <mc:AlternateContent>
          <mc:Choice Requires="wps">
            <w:drawing>
              <wp:anchor distT="0" distB="0" distL="114300" distR="114300" simplePos="0" relativeHeight="251661312" behindDoc="0" locked="0" layoutInCell="1" allowOverlap="1" wp14:anchorId="193AABBC" wp14:editId="3A7DFCF5">
                <wp:simplePos x="0" y="0"/>
                <wp:positionH relativeFrom="column">
                  <wp:posOffset>75414</wp:posOffset>
                </wp:positionH>
                <wp:positionV relativeFrom="paragraph">
                  <wp:posOffset>118045</wp:posOffset>
                </wp:positionV>
                <wp:extent cx="5589951" cy="2677213"/>
                <wp:effectExtent l="0" t="0" r="10795" b="15240"/>
                <wp:wrapNone/>
                <wp:docPr id="461622195" name="Text Box 3"/>
                <wp:cNvGraphicFramePr/>
                <a:graphic xmlns:a="http://schemas.openxmlformats.org/drawingml/2006/main">
                  <a:graphicData uri="http://schemas.microsoft.com/office/word/2010/wordprocessingShape">
                    <wps:wsp>
                      <wps:cNvSpPr txBox="1"/>
                      <wps:spPr>
                        <a:xfrm>
                          <a:off x="0" y="0"/>
                          <a:ext cx="5589951" cy="2677213"/>
                        </a:xfrm>
                        <a:prstGeom prst="rect">
                          <a:avLst/>
                        </a:prstGeom>
                        <a:solidFill>
                          <a:schemeClr val="lt1"/>
                        </a:solidFill>
                        <a:ln w="6350">
                          <a:solidFill>
                            <a:prstClr val="black"/>
                          </a:solidFill>
                        </a:ln>
                      </wps:spPr>
                      <wps:txbx>
                        <w:txbxContent>
                          <w:p w14:paraId="7128523F" w14:textId="59325E60" w:rsidR="00A60EF4" w:rsidRDefault="00A60EF4" w:rsidP="00E228C2">
                            <w:pPr>
                              <w:jc w:val="center"/>
                            </w:pPr>
                            <w:r w:rsidRPr="004C3FB6">
                              <w:rPr>
                                <w:noProof/>
                                <w:lang w:val="en-US"/>
                              </w:rPr>
                              <w:drawing>
                                <wp:inline distT="0" distB="0" distL="0" distR="0" wp14:anchorId="7C5B5E71" wp14:editId="1D5195DE">
                                  <wp:extent cx="2956560" cy="2579370"/>
                                  <wp:effectExtent l="0" t="0" r="2540" b="0"/>
                                  <wp:docPr id="1148531815" name="Picture 1" descr="A table of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31815" name="Picture 1" descr="A table of numbers and a number of items&#10;&#10;Description automatically generated"/>
                                          <pic:cNvPicPr/>
                                        </pic:nvPicPr>
                                        <pic:blipFill>
                                          <a:blip r:embed="rId19"/>
                                          <a:stretch>
                                            <a:fillRect/>
                                          </a:stretch>
                                        </pic:blipFill>
                                        <pic:spPr>
                                          <a:xfrm>
                                            <a:off x="0" y="0"/>
                                            <a:ext cx="2956560" cy="25793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AABBC" id="Text Box 3" o:spid="_x0000_s1028" type="#_x0000_t202" style="position:absolute;left:0;text-align:left;margin-left:5.95pt;margin-top:9.3pt;width:440.15pt;height:21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" fillcolor="white [3201]" strokeweight=".5pt">
                <v:textbox>
                  <w:txbxContent>
                    <w:p w14:paraId="7128523F" w14:textId="59325E60" w:rsidR="00A60EF4" w:rsidRDefault="00A60EF4" w:rsidP="00E228C2">
                      <w:pPr>
                        <w:jc w:val="center"/>
                      </w:pPr>
                      <w:r w:rsidRPr="004C3FB6">
                        <w:rPr>
                          <w:noProof/>
                          <w:lang w:val="en-US"/>
                        </w:rPr>
                        <w:drawing>
                          <wp:inline distT="0" distB="0" distL="0" distR="0" wp14:anchorId="7C5B5E71" wp14:editId="1D5195DE">
                            <wp:extent cx="2956560" cy="2579370"/>
                            <wp:effectExtent l="0" t="0" r="2540" b="0"/>
                            <wp:docPr id="1148531815" name="Picture 1" descr="A table of numbers and a number of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31815" name="Picture 1" descr="A table of numbers and a number of items&#10;&#10;Description automatically generated"/>
                                    <pic:cNvPicPr/>
                                  </pic:nvPicPr>
                                  <pic:blipFill>
                                    <a:blip r:embed="rId20"/>
                                    <a:stretch>
                                      <a:fillRect/>
                                    </a:stretch>
                                  </pic:blipFill>
                                  <pic:spPr>
                                    <a:xfrm>
                                      <a:off x="0" y="0"/>
                                      <a:ext cx="2956560" cy="2579370"/>
                                    </a:xfrm>
                                    <a:prstGeom prst="rect">
                                      <a:avLst/>
                                    </a:prstGeom>
                                  </pic:spPr>
                                </pic:pic>
                              </a:graphicData>
                            </a:graphic>
                          </wp:inline>
                        </w:drawing>
                      </w:r>
                    </w:p>
                  </w:txbxContent>
                </v:textbox>
              </v:shape>
            </w:pict>
          </mc:Fallback>
        </mc:AlternateContent>
      </w:r>
    </w:p>
    <w:p w14:paraId="66F8E82C" w14:textId="77777777" w:rsidR="00E13AB8" w:rsidRPr="00012DD3" w:rsidRDefault="00E13AB8" w:rsidP="008B37F8">
      <w:pPr>
        <w:jc w:val="both"/>
        <w:rPr>
          <w:color w:val="000000" w:themeColor="text1"/>
        </w:rPr>
      </w:pPr>
    </w:p>
    <w:p w14:paraId="0CA6B810" w14:textId="77777777" w:rsidR="00E13AB8" w:rsidRPr="00012DD3" w:rsidRDefault="00E13AB8" w:rsidP="008B37F8">
      <w:pPr>
        <w:jc w:val="both"/>
        <w:rPr>
          <w:color w:val="000000" w:themeColor="text1"/>
        </w:rPr>
      </w:pPr>
    </w:p>
    <w:p w14:paraId="471D728D" w14:textId="77777777" w:rsidR="00CE4FBD" w:rsidRPr="00012DD3" w:rsidRDefault="00CE4FBD" w:rsidP="008B37F8">
      <w:pPr>
        <w:jc w:val="both"/>
        <w:rPr>
          <w:color w:val="000000" w:themeColor="text1"/>
        </w:rPr>
      </w:pPr>
    </w:p>
    <w:p w14:paraId="55E4A030" w14:textId="77777777" w:rsidR="00E228C2" w:rsidRPr="00012DD3" w:rsidRDefault="00E228C2" w:rsidP="008B37F8">
      <w:pPr>
        <w:jc w:val="both"/>
        <w:rPr>
          <w:color w:val="000000" w:themeColor="text1"/>
        </w:rPr>
      </w:pPr>
    </w:p>
    <w:p w14:paraId="090A0D48" w14:textId="77777777" w:rsidR="00E228C2" w:rsidRPr="00012DD3" w:rsidRDefault="00E228C2" w:rsidP="008B37F8">
      <w:pPr>
        <w:jc w:val="both"/>
        <w:rPr>
          <w:color w:val="000000" w:themeColor="text1"/>
        </w:rPr>
      </w:pPr>
    </w:p>
    <w:p w14:paraId="293F796D" w14:textId="77777777" w:rsidR="00E228C2" w:rsidRPr="00012DD3" w:rsidRDefault="00E228C2" w:rsidP="008B37F8">
      <w:pPr>
        <w:jc w:val="both"/>
        <w:rPr>
          <w:color w:val="000000" w:themeColor="text1"/>
        </w:rPr>
      </w:pPr>
    </w:p>
    <w:p w14:paraId="4ED15A63" w14:textId="77777777" w:rsidR="00E228C2" w:rsidRPr="00012DD3" w:rsidRDefault="00E228C2" w:rsidP="008B37F8">
      <w:pPr>
        <w:jc w:val="both"/>
        <w:rPr>
          <w:color w:val="000000" w:themeColor="text1"/>
        </w:rPr>
      </w:pPr>
    </w:p>
    <w:p w14:paraId="27E665EF" w14:textId="77777777" w:rsidR="00E228C2" w:rsidRPr="00012DD3" w:rsidRDefault="00E228C2" w:rsidP="00C464D5">
      <w:pPr>
        <w:jc w:val="both"/>
        <w:rPr>
          <w:color w:val="000000" w:themeColor="text1"/>
        </w:rPr>
      </w:pPr>
    </w:p>
    <w:p w14:paraId="7C249ED3" w14:textId="77777777" w:rsidR="00E228C2" w:rsidRPr="00012DD3" w:rsidRDefault="00E228C2" w:rsidP="00C464D5">
      <w:pPr>
        <w:jc w:val="both"/>
        <w:rPr>
          <w:color w:val="000000" w:themeColor="text1"/>
        </w:rPr>
      </w:pPr>
    </w:p>
    <w:p w14:paraId="65CEED83" w14:textId="77777777" w:rsidR="00E228C2" w:rsidRPr="00012DD3" w:rsidRDefault="00E228C2" w:rsidP="00C464D5">
      <w:pPr>
        <w:jc w:val="both"/>
        <w:rPr>
          <w:color w:val="000000" w:themeColor="text1"/>
        </w:rPr>
      </w:pPr>
    </w:p>
    <w:p w14:paraId="53F85F74" w14:textId="77777777" w:rsidR="00E228C2" w:rsidRPr="00012DD3" w:rsidRDefault="00E228C2" w:rsidP="00C464D5">
      <w:pPr>
        <w:jc w:val="both"/>
        <w:rPr>
          <w:color w:val="000000" w:themeColor="text1"/>
        </w:rPr>
      </w:pPr>
    </w:p>
    <w:p w14:paraId="20DBA06D" w14:textId="77777777" w:rsidR="00E228C2" w:rsidRPr="00012DD3" w:rsidRDefault="00E228C2" w:rsidP="00C464D5">
      <w:pPr>
        <w:jc w:val="both"/>
        <w:rPr>
          <w:color w:val="000000" w:themeColor="text1"/>
        </w:rPr>
      </w:pPr>
    </w:p>
    <w:p w14:paraId="15998E8B" w14:textId="77777777" w:rsidR="00E228C2" w:rsidRPr="00012DD3" w:rsidRDefault="00E228C2" w:rsidP="00C464D5">
      <w:pPr>
        <w:jc w:val="both"/>
        <w:rPr>
          <w:color w:val="000000" w:themeColor="text1"/>
        </w:rPr>
      </w:pPr>
    </w:p>
    <w:p w14:paraId="368E6298" w14:textId="77777777" w:rsidR="00E228C2" w:rsidRPr="00012DD3" w:rsidRDefault="00E228C2" w:rsidP="00C464D5">
      <w:pPr>
        <w:jc w:val="both"/>
        <w:rPr>
          <w:color w:val="000000" w:themeColor="text1"/>
        </w:rPr>
      </w:pPr>
    </w:p>
    <w:p w14:paraId="527606D8" w14:textId="77777777" w:rsidR="00E228C2" w:rsidRPr="00012DD3" w:rsidRDefault="00E228C2" w:rsidP="00C464D5">
      <w:pPr>
        <w:jc w:val="both"/>
        <w:rPr>
          <w:color w:val="000000" w:themeColor="text1"/>
        </w:rPr>
      </w:pPr>
    </w:p>
    <w:p w14:paraId="1AF62E71" w14:textId="77777777" w:rsidR="00E228C2" w:rsidRPr="00012DD3" w:rsidRDefault="00E228C2" w:rsidP="00C464D5">
      <w:pPr>
        <w:jc w:val="both"/>
        <w:rPr>
          <w:color w:val="000000" w:themeColor="text1"/>
        </w:rPr>
      </w:pPr>
    </w:p>
    <w:tbl>
      <w:tblPr>
        <w:tblpPr w:leftFromText="180" w:rightFromText="180" w:vertAnchor="text" w:tblpY="1"/>
        <w:tblOverlap w:val="never"/>
        <w:tblW w:w="1097" w:type="dxa"/>
        <w:tblLook w:val="04A0" w:firstRow="1" w:lastRow="0" w:firstColumn="1" w:lastColumn="0" w:noHBand="0" w:noVBand="1"/>
      </w:tblPr>
      <w:tblGrid>
        <w:gridCol w:w="1097"/>
      </w:tblGrid>
      <w:tr w:rsidR="00512285" w:rsidRPr="00012DD3" w14:paraId="7E36B621" w14:textId="77777777" w:rsidTr="00BF425A">
        <w:trPr>
          <w:trHeight w:val="320"/>
        </w:trPr>
        <w:tc>
          <w:tcPr>
            <w:tcW w:w="1097" w:type="dxa"/>
            <w:tcBorders>
              <w:top w:val="nil"/>
              <w:left w:val="nil"/>
              <w:bottom w:val="nil"/>
              <w:right w:val="nil"/>
            </w:tcBorders>
            <w:shd w:val="clear" w:color="auto" w:fill="auto"/>
            <w:noWrap/>
            <w:vAlign w:val="bottom"/>
            <w:hideMark/>
          </w:tcPr>
          <w:p w14:paraId="61E7B1B2" w14:textId="77777777" w:rsidR="00512285" w:rsidRPr="00012DD3" w:rsidRDefault="00512285" w:rsidP="00C464D5">
            <w:pPr>
              <w:jc w:val="both"/>
              <w:rPr>
                <w:color w:val="000000"/>
              </w:rPr>
            </w:pPr>
            <w:r w:rsidRPr="00012DD3">
              <w:rPr>
                <w:color w:val="000000"/>
              </w:rPr>
              <w:t>Sources</w:t>
            </w:r>
          </w:p>
        </w:tc>
      </w:tr>
    </w:tbl>
    <w:p w14:paraId="33826AB1" w14:textId="77777777" w:rsidR="00BF425A" w:rsidRPr="00012DD3" w:rsidRDefault="00BF425A" w:rsidP="00C464D5">
      <w:pPr>
        <w:jc w:val="both"/>
        <w:rPr>
          <w:color w:val="000000"/>
        </w:rPr>
      </w:pPr>
      <w:r w:rsidRPr="00012DD3">
        <w:rPr>
          <w:bCs/>
          <w:color w:val="0000CC"/>
          <w:sz w:val="20"/>
          <w:szCs w:val="20"/>
        </w:rPr>
        <w:t>https://data.imf.org/regular.aspx?key=61015894</w:t>
      </w:r>
    </w:p>
    <w:p w14:paraId="4051621B" w14:textId="58BE7495" w:rsidR="005B308D" w:rsidRPr="00012DD3" w:rsidRDefault="00BF425A" w:rsidP="00012DD3">
      <w:pPr>
        <w:spacing w:line="480" w:lineRule="auto"/>
        <w:jc w:val="both"/>
        <w:rPr>
          <w:color w:val="000000" w:themeColor="text1"/>
        </w:rPr>
      </w:pPr>
      <w:r w:rsidRPr="00012DD3">
        <w:rPr>
          <w:color w:val="000000" w:themeColor="text1"/>
        </w:rPr>
        <w:br w:type="textWrapping" w:clear="all"/>
      </w:r>
      <w:r w:rsidR="005B308D" w:rsidRPr="00012DD3">
        <w:rPr>
          <w:color w:val="000000" w:themeColor="text1"/>
        </w:rPr>
        <w:t xml:space="preserve">The dataset illustrates 15 years (2009–2023) of retail sales and inflation performance overview against key economic shifts and external influences in Hong Kong and Singapore. Retail sector in Hong Kong was volatile with large growth periods form 2010 to 2013, especially in 2011 </w:t>
      </w:r>
      <w:r w:rsidR="005B308D" w:rsidRPr="00012DD3">
        <w:rPr>
          <w:color w:val="000000" w:themeColor="text1"/>
        </w:rPr>
        <w:lastRenderedPageBreak/>
        <w:t xml:space="preserve">recorded highest value of retail sales. However, in 2015, the growth of retail sales turned negative and plunged to its worst level in 2020 (-22.5%). During the COVID-19 in 2020, </w:t>
      </w:r>
      <w:r w:rsidR="00A60EF4" w:rsidRPr="00012DD3">
        <w:rPr>
          <w:color w:val="000000" w:themeColor="text1"/>
        </w:rPr>
        <w:t>deflation e</w:t>
      </w:r>
      <w:r w:rsidR="005B308D" w:rsidRPr="00012DD3">
        <w:rPr>
          <w:color w:val="000000" w:themeColor="text1"/>
        </w:rPr>
        <w:t xml:space="preserve">merged </w:t>
      </w:r>
      <w:r w:rsidR="00A60EF4" w:rsidRPr="00012DD3">
        <w:rPr>
          <w:color w:val="000000" w:themeColor="text1"/>
        </w:rPr>
        <w:t xml:space="preserve">the </w:t>
      </w:r>
      <w:r w:rsidR="005B308D" w:rsidRPr="00012DD3">
        <w:rPr>
          <w:color w:val="000000" w:themeColor="text1"/>
        </w:rPr>
        <w:t xml:space="preserve">first-time in </w:t>
      </w:r>
      <w:r w:rsidR="00A60EF4" w:rsidRPr="00012DD3">
        <w:rPr>
          <w:color w:val="000000" w:themeColor="text1"/>
        </w:rPr>
        <w:t xml:space="preserve">Hong Kong for the last </w:t>
      </w:r>
      <w:r w:rsidR="005B308D" w:rsidRPr="00012DD3">
        <w:rPr>
          <w:color w:val="000000" w:themeColor="text1"/>
        </w:rPr>
        <w:t xml:space="preserve">15 years. This was </w:t>
      </w:r>
      <w:r w:rsidR="00E81CBD" w:rsidRPr="00012DD3">
        <w:rPr>
          <w:color w:val="000000" w:themeColor="text1"/>
        </w:rPr>
        <w:t>possibility</w:t>
      </w:r>
      <w:r w:rsidR="005B308D" w:rsidRPr="00012DD3">
        <w:rPr>
          <w:color w:val="000000" w:themeColor="text1"/>
        </w:rPr>
        <w:t xml:space="preserve"> the effect of COVID-19 with the </w:t>
      </w:r>
      <w:r w:rsidR="00A60EF4" w:rsidRPr="00012DD3">
        <w:rPr>
          <w:color w:val="000000" w:themeColor="text1"/>
        </w:rPr>
        <w:t xml:space="preserve">political unrest activities </w:t>
      </w:r>
      <w:r w:rsidR="005B308D" w:rsidRPr="00012DD3">
        <w:rPr>
          <w:color w:val="000000" w:themeColor="text1"/>
        </w:rPr>
        <w:t xml:space="preserve">that deeply contracted consumer spending. In 2023, retail sales showed signs of recovery by 12.4% while inflation stabilized at 2.3%, indicating that the economic phase of recovery is starting. Retail market in Hong Kong also fluctuated but was relatively more stable compared to Singapore's retail. The impact of lockdowns meant Singapore's retail saw an extreme contraction in 2020 of -41.7%. However, its post COVID-19 recovery was much stronger with the breaking record 31.5% retail sales growth in 2022 with the highest record of inflation 6.5%. This showed a strong rebound in consumer spending. After the peak of inflation, in 2023 inflation in Singapore were more controlled, coming down to 3.7%. </w:t>
      </w:r>
    </w:p>
    <w:p w14:paraId="255BECAE" w14:textId="2E7F9B1C" w:rsidR="00CE4FBD" w:rsidRPr="00012DD3" w:rsidRDefault="005B308D" w:rsidP="00012DD3">
      <w:pPr>
        <w:spacing w:line="480" w:lineRule="auto"/>
        <w:jc w:val="both"/>
        <w:rPr>
          <w:color w:val="000000" w:themeColor="text1"/>
        </w:rPr>
      </w:pPr>
      <w:r w:rsidRPr="00012DD3">
        <w:rPr>
          <w:color w:val="000000" w:themeColor="text1"/>
        </w:rPr>
        <w:t>For the pattern of sub-items in CPI, in Hong Kong, overall was volatile compared with Singapore, especially Alcoholic Beverages, Tobacco, and Narcotics, the highest record was almost triple percentage compared with other sub-items</w:t>
      </w:r>
      <w:r w:rsidR="006A6BB0" w:rsidRPr="00012DD3">
        <w:rPr>
          <w:color w:val="000000" w:themeColor="text1"/>
        </w:rPr>
        <w:t xml:space="preserve"> in </w:t>
      </w:r>
      <w:r w:rsidR="00D23CB2" w:rsidRPr="00012DD3">
        <w:rPr>
          <w:color w:val="000000" w:themeColor="text1"/>
        </w:rPr>
        <w:t>2009, 2011 and 2023</w:t>
      </w:r>
      <w:r w:rsidRPr="00012DD3">
        <w:rPr>
          <w:color w:val="000000" w:themeColor="text1"/>
        </w:rPr>
        <w:t xml:space="preserve">. </w:t>
      </w:r>
      <w:r w:rsidR="007F03A7" w:rsidRPr="00012DD3">
        <w:rPr>
          <w:color w:val="000000" w:themeColor="text1"/>
        </w:rPr>
        <w:t xml:space="preserve">This possibility showed the </w:t>
      </w:r>
      <w:r w:rsidR="00752447" w:rsidRPr="00012DD3">
        <w:rPr>
          <w:color w:val="000000" w:themeColor="text1"/>
        </w:rPr>
        <w:t xml:space="preserve">consumer </w:t>
      </w:r>
      <w:r w:rsidR="008140AB" w:rsidRPr="00012DD3">
        <w:rPr>
          <w:color w:val="000000" w:themeColor="text1"/>
        </w:rPr>
        <w:t xml:space="preserve">spending </w:t>
      </w:r>
      <w:r w:rsidR="00A60EF4" w:rsidRPr="00012DD3">
        <w:rPr>
          <w:color w:val="000000" w:themeColor="text1"/>
        </w:rPr>
        <w:t xml:space="preserve">on </w:t>
      </w:r>
      <w:r w:rsidR="006A6BB0" w:rsidRPr="00012DD3">
        <w:rPr>
          <w:color w:val="000000" w:themeColor="text1"/>
        </w:rPr>
        <w:t xml:space="preserve">this types of product after facing series local events, such as </w:t>
      </w:r>
      <w:r w:rsidR="00592483" w:rsidRPr="00012DD3">
        <w:rPr>
          <w:color w:val="000000" w:themeColor="text1"/>
        </w:rPr>
        <w:t>post-</w:t>
      </w:r>
      <w:r w:rsidR="00D23CB2" w:rsidRPr="00012DD3">
        <w:rPr>
          <w:color w:val="000000" w:themeColor="text1"/>
        </w:rPr>
        <w:t>COVID-19</w:t>
      </w:r>
      <w:r w:rsidR="00592483" w:rsidRPr="00012DD3">
        <w:rPr>
          <w:color w:val="000000" w:themeColor="text1"/>
        </w:rPr>
        <w:t xml:space="preserve"> in 2022 and economic crisis in 2008</w:t>
      </w:r>
      <w:r w:rsidR="0015148D" w:rsidRPr="00012DD3">
        <w:rPr>
          <w:color w:val="000000" w:themeColor="text1"/>
        </w:rPr>
        <w:t xml:space="preserve"> </w:t>
      </w:r>
      <w:r w:rsidR="00683E4D" w:rsidRPr="00012DD3">
        <w:rPr>
          <w:color w:val="000000" w:themeColor="text1"/>
        </w:rPr>
        <w:t xml:space="preserve">(de </w:t>
      </w:r>
      <w:proofErr w:type="spellStart"/>
      <w:r w:rsidR="00683E4D" w:rsidRPr="00012DD3">
        <w:rPr>
          <w:color w:val="000000" w:themeColor="text1"/>
        </w:rPr>
        <w:t>Goeij</w:t>
      </w:r>
      <w:proofErr w:type="spellEnd"/>
      <w:r w:rsidR="00683E4D" w:rsidRPr="00012DD3">
        <w:rPr>
          <w:color w:val="000000" w:themeColor="text1"/>
        </w:rPr>
        <w:t xml:space="preserve"> et al., 2015)</w:t>
      </w:r>
      <w:r w:rsidR="00592483" w:rsidRPr="00012DD3">
        <w:rPr>
          <w:color w:val="000000" w:themeColor="text1"/>
        </w:rPr>
        <w:t xml:space="preserve">. </w:t>
      </w:r>
      <w:r w:rsidRPr="00012DD3">
        <w:rPr>
          <w:color w:val="000000" w:themeColor="text1"/>
        </w:rPr>
        <w:t>In contrast, overall sub-items in Singapore was moderate, but the trend on Food and non-alcoholic beverages and clothing and footwear are increasing after COVID-19. This showed consumers spend more in these two items.</w:t>
      </w:r>
    </w:p>
    <w:p w14:paraId="2460E72F" w14:textId="77777777" w:rsidR="00703266" w:rsidRPr="00012DD3" w:rsidRDefault="006E132B" w:rsidP="00012DD3">
      <w:pPr>
        <w:pStyle w:val="Heading1"/>
        <w:spacing w:line="480" w:lineRule="auto"/>
        <w:ind w:left="360"/>
        <w:rPr>
          <w:rFonts w:ascii="Times New Roman" w:hAnsi="Times New Roman" w:cs="Times New Roman"/>
        </w:rPr>
      </w:pPr>
      <w:bookmarkStart w:id="16" w:name="_Toc192529328"/>
      <w:r w:rsidRPr="00012DD3">
        <w:rPr>
          <w:rFonts w:ascii="Times New Roman" w:hAnsi="Times New Roman" w:cs="Times New Roman"/>
        </w:rPr>
        <w:t xml:space="preserve">3. </w:t>
      </w:r>
      <w:r w:rsidR="00D448EA" w:rsidRPr="00012DD3">
        <w:rPr>
          <w:rFonts w:ascii="Times New Roman" w:hAnsi="Times New Roman" w:cs="Times New Roman"/>
        </w:rPr>
        <w:t>Analysis and Discussion</w:t>
      </w:r>
      <w:bookmarkStart w:id="17" w:name="OLE_LINK40"/>
      <w:bookmarkStart w:id="18" w:name="OLE_LINK41"/>
      <w:bookmarkEnd w:id="16"/>
    </w:p>
    <w:p w14:paraId="3552327F" w14:textId="1D8B7051" w:rsidR="0047385F" w:rsidRPr="00012DD3" w:rsidRDefault="0047385F" w:rsidP="00012DD3">
      <w:pPr>
        <w:spacing w:line="480" w:lineRule="auto"/>
        <w:jc w:val="both"/>
        <w:rPr>
          <w:color w:val="0F4761" w:themeColor="accent1" w:themeShade="BF"/>
          <w:sz w:val="40"/>
          <w:szCs w:val="40"/>
        </w:rPr>
      </w:pPr>
      <w:r w:rsidRPr="00012DD3">
        <w:t xml:space="preserve">Using Hong Kong and Singapore as comparisons, this section includes the statistical analysis and provides a graphical presentation that shows the consumer inflation and retail sales trends </w:t>
      </w:r>
      <w:r w:rsidRPr="00012DD3">
        <w:lastRenderedPageBreak/>
        <w:t>in Hong Kong and Singapore since 2009 to 2023. This is accomplished by graphical representation and statistical correlation analysis to determine the strength of association between retail sales performance and inflation rates. Finally, a comparison is made with regards to differences and similarities of the retail market behaviour between Hong Kong and Singapore to determine market stability, consumer spending behaviour and investment potential.</w:t>
      </w:r>
      <w:bookmarkEnd w:id="17"/>
      <w:bookmarkEnd w:id="18"/>
    </w:p>
    <w:p w14:paraId="1C2BD94F" w14:textId="77777777" w:rsidR="00AA5754" w:rsidRPr="00012DD3" w:rsidRDefault="00AA5754" w:rsidP="00AA5754">
      <w:pPr>
        <w:ind w:left="360"/>
        <w:jc w:val="both"/>
        <w:rPr>
          <w:color w:val="000000" w:themeColor="text1"/>
        </w:rPr>
      </w:pPr>
    </w:p>
    <w:p w14:paraId="6ABFEEDD" w14:textId="44B0649D" w:rsidR="00BB00C8" w:rsidRPr="00012DD3" w:rsidRDefault="000C1A1D" w:rsidP="006E132B">
      <w:pPr>
        <w:pStyle w:val="Heading2"/>
        <w:rPr>
          <w:rFonts w:ascii="Times New Roman" w:hAnsi="Times New Roman" w:cs="Times New Roman"/>
        </w:rPr>
      </w:pPr>
      <w:r w:rsidRPr="00012DD3">
        <w:rPr>
          <w:rFonts w:ascii="Times New Roman" w:hAnsi="Times New Roman" w:cs="Times New Roman"/>
          <w:color w:val="000000" w:themeColor="text1"/>
        </w:rPr>
        <w:t xml:space="preserve">   </w:t>
      </w:r>
      <w:bookmarkStart w:id="19" w:name="_Toc192529329"/>
      <w:r w:rsidRPr="00012DD3">
        <w:rPr>
          <w:rFonts w:ascii="Times New Roman" w:hAnsi="Times New Roman" w:cs="Times New Roman"/>
        </w:rPr>
        <w:t>3.1 Relationship between c</w:t>
      </w:r>
      <w:r w:rsidR="00C9793C" w:rsidRPr="00012DD3">
        <w:rPr>
          <w:rFonts w:ascii="Times New Roman" w:hAnsi="Times New Roman" w:cs="Times New Roman"/>
        </w:rPr>
        <w:t>onsumer inflation</w:t>
      </w:r>
      <w:r w:rsidR="00DE1E42" w:rsidRPr="00012DD3">
        <w:rPr>
          <w:rFonts w:ascii="Times New Roman" w:hAnsi="Times New Roman" w:cs="Times New Roman"/>
        </w:rPr>
        <w:t xml:space="preserve"> and retail sales in Hong</w:t>
      </w:r>
      <w:r w:rsidR="00034830" w:rsidRPr="00012DD3">
        <w:rPr>
          <w:rFonts w:ascii="Times New Roman" w:hAnsi="Times New Roman" w:cs="Times New Roman"/>
        </w:rPr>
        <w:t xml:space="preserve"> Kong</w:t>
      </w:r>
      <w:bookmarkEnd w:id="19"/>
    </w:p>
    <w:p w14:paraId="135DBAEB" w14:textId="77777777" w:rsidR="004A016A" w:rsidRPr="00012DD3" w:rsidRDefault="004A016A" w:rsidP="004A016A">
      <w:pPr>
        <w:ind w:left="360"/>
      </w:pPr>
    </w:p>
    <w:p w14:paraId="4874BE6B" w14:textId="6764FD18" w:rsidR="009D739D" w:rsidRPr="00012DD3" w:rsidRDefault="004A016A" w:rsidP="0024665C">
      <w:pPr>
        <w:ind w:left="360"/>
      </w:pPr>
      <w:r w:rsidRPr="00012DD3">
        <w:t xml:space="preserve">Figure 1: </w:t>
      </w:r>
      <w:r w:rsidR="008150AC" w:rsidRPr="00012DD3">
        <w:t xml:space="preserve">Time plot of retail sales values, </w:t>
      </w:r>
      <w:r w:rsidR="0024665C" w:rsidRPr="00012DD3">
        <w:t xml:space="preserve">annual percent change (%) in retail sales values, and CPI </w:t>
      </w:r>
      <w:r w:rsidR="00252626" w:rsidRPr="00012DD3">
        <w:t>inflation rates in Hong Kong: 200</w:t>
      </w:r>
      <w:r w:rsidR="008C1E8B" w:rsidRPr="00012DD3">
        <w:t>9</w:t>
      </w:r>
      <w:r w:rsidR="00252626" w:rsidRPr="00012DD3">
        <w:t xml:space="preserve"> to 20</w:t>
      </w:r>
      <w:r w:rsidR="008C1E8B" w:rsidRPr="00012DD3">
        <w:t>23</w:t>
      </w:r>
    </w:p>
    <w:p w14:paraId="20E14752" w14:textId="77777777" w:rsidR="00FE5975" w:rsidRPr="00012DD3" w:rsidRDefault="00FE5975" w:rsidP="00D34C86"/>
    <w:p w14:paraId="61BD19A1" w14:textId="49A7794C" w:rsidR="00FE03FD" w:rsidRPr="00012DD3" w:rsidRDefault="00FE03FD" w:rsidP="00FE03FD"/>
    <w:p w14:paraId="4A630226" w14:textId="36EB4745" w:rsidR="002723E9" w:rsidRPr="00012DD3" w:rsidRDefault="00FE5975" w:rsidP="002723E9">
      <w:pPr>
        <w:ind w:left="360"/>
      </w:pPr>
      <w:r w:rsidRPr="00012DD3">
        <w:rPr>
          <w:noProof/>
          <w:lang w:val="en-US"/>
          <w14:ligatures w14:val="standardContextual"/>
        </w:rPr>
        <w:drawing>
          <wp:inline distT="0" distB="0" distL="0" distR="0" wp14:anchorId="7B19FE00" wp14:editId="1A0AD659">
            <wp:extent cx="5433060" cy="2226310"/>
            <wp:effectExtent l="0" t="0" r="15240" b="8890"/>
            <wp:docPr id="1154372754" name="Chart 1">
              <a:extLst xmlns:a="http://schemas.openxmlformats.org/drawingml/2006/main">
                <a:ext uri="{FF2B5EF4-FFF2-40B4-BE49-F238E27FC236}">
                  <a16:creationId xmlns:a16="http://schemas.microsoft.com/office/drawing/2014/main" id="{4FAEB515-9FCD-784B-839C-E0CDE8E2E3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2F59948" w14:textId="77777777" w:rsidR="008C1E8B" w:rsidRPr="00012DD3" w:rsidRDefault="008C1E8B" w:rsidP="002723E9">
      <w:pPr>
        <w:ind w:left="360"/>
      </w:pPr>
    </w:p>
    <w:p w14:paraId="445CE7DF" w14:textId="547D83CF" w:rsidR="00F7470F" w:rsidRPr="00012DD3" w:rsidRDefault="004D7CBF" w:rsidP="006C2CEC">
      <w:pPr>
        <w:ind w:left="360"/>
        <w:jc w:val="center"/>
        <w:rPr>
          <w:color w:val="000000" w:themeColor="text1"/>
        </w:rPr>
      </w:pPr>
      <w:r w:rsidRPr="00012DD3">
        <w:rPr>
          <w:color w:val="000000" w:themeColor="text1"/>
        </w:rPr>
        <w:t>Sources: Calculated from the dataset listed in Table 1</w:t>
      </w:r>
    </w:p>
    <w:p w14:paraId="0ABF0EA3" w14:textId="77777777" w:rsidR="00752945" w:rsidRPr="00012DD3" w:rsidRDefault="00752945" w:rsidP="006C2CEC">
      <w:pPr>
        <w:ind w:left="360"/>
        <w:jc w:val="center"/>
      </w:pPr>
    </w:p>
    <w:p w14:paraId="5F24671D" w14:textId="0951157A" w:rsidR="006C2CEC" w:rsidRPr="00012DD3" w:rsidRDefault="006C2CEC" w:rsidP="00012DD3">
      <w:pPr>
        <w:spacing w:line="480" w:lineRule="auto"/>
        <w:ind w:left="360"/>
        <w:jc w:val="both"/>
      </w:pPr>
      <w:r w:rsidRPr="00012DD3">
        <w:t xml:space="preserve">Figure 1 summarizes the performance of Hong Kong's retail market nationally including figures for total retail sales values (blue bars), the annual percentage change in retail sales (green line) and the annual percentage change of inflation (purple line) from 2009 to 2023. From the visualization, it illustrates several notable trend of retail sales with inflation. </w:t>
      </w:r>
    </w:p>
    <w:p w14:paraId="0FAA1A6E" w14:textId="1CEFA902" w:rsidR="007D39A1" w:rsidRPr="00012DD3" w:rsidRDefault="00D64EF1" w:rsidP="00012DD3">
      <w:pPr>
        <w:spacing w:line="480" w:lineRule="auto"/>
        <w:ind w:left="360"/>
        <w:jc w:val="both"/>
      </w:pPr>
      <w:r w:rsidRPr="00012DD3">
        <w:t>First, m</w:t>
      </w:r>
      <w:r w:rsidR="006C2CEC" w:rsidRPr="00012DD3">
        <w:t>ost of the trend of retail sales with inflation are consistent</w:t>
      </w:r>
      <w:r w:rsidR="00691D61" w:rsidRPr="00012DD3">
        <w:t xml:space="preserve"> (i.e. when retail sales increase, inflation also increase)</w:t>
      </w:r>
      <w:r w:rsidR="006C2CEC" w:rsidRPr="00012DD3">
        <w:t>. The result is consistent with the research by (</w:t>
      </w:r>
      <w:proofErr w:type="spellStart"/>
      <w:r w:rsidR="006C2CEC" w:rsidRPr="00012DD3">
        <w:t>Coibion</w:t>
      </w:r>
      <w:proofErr w:type="spellEnd"/>
      <w:r w:rsidR="006C2CEC" w:rsidRPr="00012DD3">
        <w:t xml:space="preserve">, </w:t>
      </w:r>
      <w:proofErr w:type="spellStart"/>
      <w:r w:rsidR="006C2CEC" w:rsidRPr="00012DD3">
        <w:lastRenderedPageBreak/>
        <w:t>Gorodnichenko</w:t>
      </w:r>
      <w:proofErr w:type="spellEnd"/>
      <w:r w:rsidR="006C2CEC" w:rsidRPr="00012DD3">
        <w:t xml:space="preserve"> and Hong, 2012). There are numbers of reasons. Price stickiness, is a phenomenon price adjustment eased when changing demand-supply condition, as a theory of New Keynesian framework (</w:t>
      </w:r>
      <w:proofErr w:type="spellStart"/>
      <w:r w:rsidR="006C2CEC" w:rsidRPr="00012DD3">
        <w:t>Aldrees</w:t>
      </w:r>
      <w:proofErr w:type="spellEnd"/>
      <w:r w:rsidR="006C2CEC" w:rsidRPr="00012DD3">
        <w:t xml:space="preserve">, 2016; </w:t>
      </w:r>
      <w:proofErr w:type="spellStart"/>
      <w:r w:rsidR="006C2CEC" w:rsidRPr="00012DD3">
        <w:t>Borraz</w:t>
      </w:r>
      <w:proofErr w:type="spellEnd"/>
      <w:r w:rsidR="006C2CEC" w:rsidRPr="00012DD3">
        <w:t xml:space="preserve"> et al., 2022). For retailer, with the increasing the awareness of customer loyalty, retailers might launch some loyalty programme, such as membership, so that customers are still willing to pay even the price increasing (Lin and Bowman, 2022). For businesses, workers' wages might not quickly adjust in the line of economic condition. Hong Kong has a strict employment policy (e.g. minimum wages) that means businesses will not be easy to dismiss the workers or reduce the wages level even in the poor economic condition (Lau and Wong, 2016).</w:t>
      </w:r>
    </w:p>
    <w:p w14:paraId="0D6D7FA5" w14:textId="62BC21F3" w:rsidR="00703266" w:rsidRPr="00012DD3" w:rsidRDefault="007D39A1" w:rsidP="00012DD3">
      <w:pPr>
        <w:spacing w:line="480" w:lineRule="auto"/>
        <w:ind w:left="360"/>
        <w:jc w:val="both"/>
      </w:pPr>
      <w:r w:rsidRPr="00012DD3">
        <w:t xml:space="preserve">Second, although most of the trend of retail sales with inflation are consistent, negative relationship in 2014 and in Second, although most of the trend of retail sales with inflation are consistent, negative relationship in 2014 and in 2019 were found. The reasons is large local political issues (i.e.2014 Umbrella Movement; Extradition Bill Protests in 2019) in these two years and affect the image of tourism and shopping paradise countries (Scherrer and Horn, 2020). Tourism industry is one of the main economic contribution and leads some retail sales values to retail industry. This implies that external </w:t>
      </w:r>
      <w:r w:rsidR="00742B2F" w:rsidRPr="00012DD3">
        <w:t>force</w:t>
      </w:r>
      <w:r w:rsidRPr="00012DD3">
        <w:t xml:space="preserve"> (e.g. political issue) will lead negative relationship between the retail sales and inflation.  </w:t>
      </w:r>
    </w:p>
    <w:p w14:paraId="7916D3C7" w14:textId="77777777" w:rsidR="00ED2FA4" w:rsidRPr="00012DD3" w:rsidRDefault="006F3389" w:rsidP="00012DD3">
      <w:pPr>
        <w:pStyle w:val="Heading2"/>
        <w:spacing w:line="480" w:lineRule="auto"/>
        <w:rPr>
          <w:rFonts w:ascii="Times New Roman" w:hAnsi="Times New Roman" w:cs="Times New Roman"/>
        </w:rPr>
      </w:pPr>
      <w:bookmarkStart w:id="20" w:name="_Toc192222007"/>
      <w:bookmarkStart w:id="21" w:name="_Toc192529330"/>
      <w:r w:rsidRPr="00012DD3">
        <w:rPr>
          <w:rFonts w:ascii="Times New Roman" w:hAnsi="Times New Roman" w:cs="Times New Roman"/>
        </w:rPr>
        <w:t>3.2 Comparative Analysis</w:t>
      </w:r>
      <w:bookmarkEnd w:id="20"/>
      <w:bookmarkEnd w:id="21"/>
    </w:p>
    <w:p w14:paraId="186EE4F1" w14:textId="77777777" w:rsidR="00ED2FA4" w:rsidRPr="00012DD3" w:rsidRDefault="00ED2FA4" w:rsidP="00012DD3">
      <w:pPr>
        <w:spacing w:line="480" w:lineRule="auto"/>
        <w:jc w:val="both"/>
      </w:pPr>
      <w:r w:rsidRPr="00012DD3">
        <w:t xml:space="preserve">     </w:t>
      </w:r>
      <w:r w:rsidR="006F3389" w:rsidRPr="00012DD3">
        <w:t xml:space="preserve">This section compares the trends in retail sales and inflation in Hong Kong and Singapore </w:t>
      </w:r>
      <w:r w:rsidRPr="00012DD3">
        <w:t xml:space="preserve">       </w:t>
      </w:r>
    </w:p>
    <w:p w14:paraId="50EAFEB5" w14:textId="77777777" w:rsidR="00ED2FA4" w:rsidRPr="00012DD3" w:rsidRDefault="00ED2FA4" w:rsidP="00012DD3">
      <w:pPr>
        <w:spacing w:line="480" w:lineRule="auto"/>
        <w:jc w:val="both"/>
      </w:pPr>
      <w:r w:rsidRPr="00012DD3">
        <w:t xml:space="preserve">     </w:t>
      </w:r>
      <w:r w:rsidR="006F3389" w:rsidRPr="00012DD3">
        <w:t xml:space="preserve">and then explains as to how inflation affects the consumer spending in the two economies. </w:t>
      </w:r>
    </w:p>
    <w:p w14:paraId="4F436588" w14:textId="77777777" w:rsidR="00ED2FA4" w:rsidRPr="00012DD3" w:rsidRDefault="00ED2FA4" w:rsidP="00012DD3">
      <w:pPr>
        <w:spacing w:line="480" w:lineRule="auto"/>
        <w:jc w:val="both"/>
      </w:pPr>
      <w:r w:rsidRPr="00012DD3">
        <w:t xml:space="preserve">     </w:t>
      </w:r>
      <w:r w:rsidR="006F3389" w:rsidRPr="00012DD3">
        <w:t xml:space="preserve">It </w:t>
      </w:r>
      <w:proofErr w:type="spellStart"/>
      <w:r w:rsidR="006F3389" w:rsidRPr="00012DD3">
        <w:t>analyzes</w:t>
      </w:r>
      <w:proofErr w:type="spellEnd"/>
      <w:r w:rsidR="006F3389" w:rsidRPr="00012DD3">
        <w:t xml:space="preserve"> the relationship of inflation to the growth of retail sales through correlation </w:t>
      </w:r>
    </w:p>
    <w:p w14:paraId="5CCA78DB" w14:textId="57773461" w:rsidR="00703266" w:rsidRPr="00012DD3" w:rsidRDefault="00ED2FA4" w:rsidP="00012DD3">
      <w:pPr>
        <w:spacing w:line="480" w:lineRule="auto"/>
        <w:jc w:val="both"/>
        <w:rPr>
          <w:color w:val="0F4761" w:themeColor="accent1" w:themeShade="BF"/>
        </w:rPr>
      </w:pPr>
      <w:r w:rsidRPr="00012DD3">
        <w:t xml:space="preserve">     </w:t>
      </w:r>
      <w:r w:rsidR="006F3389" w:rsidRPr="00012DD3">
        <w:t>metrics that can help show risk in investment and market resiliency.</w:t>
      </w:r>
    </w:p>
    <w:p w14:paraId="794E195B" w14:textId="666F4ADB" w:rsidR="001C4E4D" w:rsidRPr="00012DD3" w:rsidRDefault="007E3C0B" w:rsidP="00012DD3">
      <w:pPr>
        <w:pStyle w:val="Heading3"/>
        <w:spacing w:line="480" w:lineRule="auto"/>
        <w:rPr>
          <w:rFonts w:ascii="Times New Roman" w:hAnsi="Times New Roman" w:cs="Times New Roman"/>
        </w:rPr>
      </w:pPr>
      <w:bookmarkStart w:id="22" w:name="_Toc192222008"/>
      <w:bookmarkStart w:id="23" w:name="_Toc192529331"/>
      <w:r w:rsidRPr="00012DD3">
        <w:rPr>
          <w:rFonts w:ascii="Times New Roman" w:hAnsi="Times New Roman" w:cs="Times New Roman"/>
        </w:rPr>
        <w:lastRenderedPageBreak/>
        <w:t>3.2.1Correlation Analysis</w:t>
      </w:r>
      <w:bookmarkEnd w:id="22"/>
      <w:bookmarkEnd w:id="23"/>
    </w:p>
    <w:p w14:paraId="2217DB6E" w14:textId="1AB9CB41" w:rsidR="008E76B7" w:rsidRPr="00012DD3" w:rsidRDefault="001640E0" w:rsidP="002723E9">
      <w:pPr>
        <w:ind w:left="360"/>
      </w:pPr>
      <w:r w:rsidRPr="00012DD3">
        <w:t xml:space="preserve">Figure </w:t>
      </w:r>
      <w:r w:rsidR="005C4DCD" w:rsidRPr="00012DD3">
        <w:t>2</w:t>
      </w:r>
      <w:r w:rsidRPr="00012DD3">
        <w:t>: Time plot of annual percent change (%) in retail sales values in Hong Kong, consumer inflation rates in Hong Kong and in Singapore: 2000 to 2023</w:t>
      </w:r>
    </w:p>
    <w:p w14:paraId="27B6591A" w14:textId="77777777" w:rsidR="006F6BF1" w:rsidRPr="00012DD3" w:rsidRDefault="006F6BF1" w:rsidP="002723E9">
      <w:pPr>
        <w:ind w:left="360"/>
      </w:pPr>
    </w:p>
    <w:p w14:paraId="1C68DFBE" w14:textId="290A3C45" w:rsidR="006F6BF1" w:rsidRPr="00012DD3" w:rsidRDefault="006F6BF1" w:rsidP="002723E9">
      <w:pPr>
        <w:ind w:left="360"/>
      </w:pPr>
      <w:r w:rsidRPr="00012DD3">
        <w:rPr>
          <w:noProof/>
          <w:lang w:val="en-US"/>
          <w14:ligatures w14:val="standardContextual"/>
        </w:rPr>
        <w:drawing>
          <wp:inline distT="0" distB="0" distL="0" distR="0" wp14:anchorId="08B6FAE3" wp14:editId="5D0C0E5B">
            <wp:extent cx="5731510" cy="2403475"/>
            <wp:effectExtent l="0" t="0" r="8890" b="9525"/>
            <wp:docPr id="834869505" name="Chart 1">
              <a:extLst xmlns:a="http://schemas.openxmlformats.org/drawingml/2006/main">
                <a:ext uri="{FF2B5EF4-FFF2-40B4-BE49-F238E27FC236}">
                  <a16:creationId xmlns:a16="http://schemas.microsoft.com/office/drawing/2014/main" id="{EFC0A64B-8F13-8240-BC15-44C7F9F027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CF8F43B" w14:textId="733DBA02" w:rsidR="00642D0F" w:rsidRPr="00012DD3" w:rsidRDefault="00E41133" w:rsidP="00EF132A">
      <w:pPr>
        <w:rPr>
          <w:color w:val="000000" w:themeColor="text1"/>
        </w:rPr>
      </w:pPr>
      <w:r w:rsidRPr="00012DD3">
        <w:rPr>
          <w:color w:val="000000" w:themeColor="text1"/>
        </w:rPr>
        <w:t xml:space="preserve">                                 Sources: Calculated from the dataset listed in Table 1</w:t>
      </w:r>
    </w:p>
    <w:p w14:paraId="275338B5" w14:textId="66988C55" w:rsidR="0023005C" w:rsidRPr="00012DD3" w:rsidRDefault="0023005C" w:rsidP="0023005C">
      <w:pPr>
        <w:rPr>
          <w:color w:val="000000" w:themeColor="text1"/>
        </w:rPr>
      </w:pPr>
    </w:p>
    <w:p w14:paraId="405DCEE7" w14:textId="4A6FE57F" w:rsidR="004A5A39" w:rsidRPr="00012DD3" w:rsidRDefault="004A5A39" w:rsidP="00012DD3">
      <w:pPr>
        <w:spacing w:before="240" w:line="480" w:lineRule="auto"/>
        <w:jc w:val="both"/>
        <w:rPr>
          <w:color w:val="000000" w:themeColor="text1"/>
        </w:rPr>
      </w:pPr>
      <w:r w:rsidRPr="00012DD3">
        <w:rPr>
          <w:color w:val="000000" w:themeColor="text1"/>
        </w:rPr>
        <w:t xml:space="preserve">Figure </w:t>
      </w:r>
      <w:r w:rsidR="005C4DCD" w:rsidRPr="00012DD3">
        <w:rPr>
          <w:color w:val="000000" w:themeColor="text1"/>
        </w:rPr>
        <w:t>2</w:t>
      </w:r>
      <w:r w:rsidRPr="00012DD3">
        <w:rPr>
          <w:color w:val="000000" w:themeColor="text1"/>
        </w:rPr>
        <w:t xml:space="preserve"> shows the annual percentage changes of Hong Kong’s retail sales (APCHKVRS), Hong Kong’s inflation rate (APCHKCPI) and Singapore’s inflation rate (APCSGCPI) from 2009 to 2023. There are a few critical trends that become apparent from the visualization. Retail sales in Hong Kong (blue line), while very volatile, peak around 20 percent in 2011 but experience varying growth from 2009 to 2013. It is also noteworthy that a downward trend starts after 2014, with large contractions of -13.0% in 2019 and -22.5% in 2020, when during the COVID-19 pandemic, the reduced consumer spending and the unknown economic impact caused by the pandemic drop below zero percent. It indicates a return to retail activity as consumer confidence rises in 2023 (12.4%) post pandemic recovery.</w:t>
      </w:r>
    </w:p>
    <w:p w14:paraId="5E3B84F0" w14:textId="7D6A71F8" w:rsidR="00467659" w:rsidRPr="00012DD3" w:rsidRDefault="004A5A39" w:rsidP="00012DD3">
      <w:pPr>
        <w:spacing w:before="240" w:line="480" w:lineRule="auto"/>
        <w:jc w:val="both"/>
        <w:rPr>
          <w:color w:val="000000" w:themeColor="text1"/>
        </w:rPr>
      </w:pPr>
      <w:r w:rsidRPr="00012DD3">
        <w:rPr>
          <w:color w:val="000000" w:themeColor="text1"/>
        </w:rPr>
        <w:t xml:space="preserve">On the other hand, retail sales volatility in Hong Kong (purple line) and Singapore (green line) is very sharp while inflation stays almost stable. Hong Kong’s inflation fluctuates between 1.2% and 5.7% before the pandemic, showing a moderate correlation (0.7099) with retail sales (Table 2). Nevertheless, the relationship is reduced in the post pandemic (0.5756, Table 3), </w:t>
      </w:r>
      <w:r w:rsidRPr="00012DD3">
        <w:rPr>
          <w:color w:val="000000" w:themeColor="text1"/>
        </w:rPr>
        <w:lastRenderedPageBreak/>
        <w:t>implying that the retail sales relationship was weakening as factors beyond inflation, namely lockdowns and economic uncertainty, predominated the determinant. These periods of Hong Kong’s retail sales trend had weaker (0.3700 in Table 2; 0.1078 in Table 3) correlation with Singapore’s inflation, and thus Singapore’s inflation had little direct influence on Hong Kong’s retail sales. These findings support the evidence that retail market in Hong Kong is very responsive to external economic shocks and local inflationary pressures, and that businesses should pursue such strategies to shield themselves from the inflation risks.</w:t>
      </w:r>
    </w:p>
    <w:p w14:paraId="3FD6A937" w14:textId="5FF52759" w:rsidR="00467659" w:rsidRPr="00012DD3" w:rsidRDefault="00F33F24" w:rsidP="00012DD3">
      <w:pPr>
        <w:pStyle w:val="Heading2"/>
        <w:spacing w:line="480" w:lineRule="auto"/>
        <w:rPr>
          <w:rFonts w:ascii="Times New Roman" w:hAnsi="Times New Roman" w:cs="Times New Roman"/>
        </w:rPr>
      </w:pPr>
      <w:bookmarkStart w:id="24" w:name="_Toc192222009"/>
      <w:bookmarkStart w:id="25" w:name="_Toc192529332"/>
      <w:r w:rsidRPr="00012DD3">
        <w:rPr>
          <w:rFonts w:ascii="Times New Roman" w:hAnsi="Times New Roman" w:cs="Times New Roman"/>
        </w:rPr>
        <w:t xml:space="preserve">3.3 </w:t>
      </w:r>
      <w:r w:rsidR="00467659" w:rsidRPr="00012DD3">
        <w:rPr>
          <w:rFonts w:ascii="Times New Roman" w:hAnsi="Times New Roman" w:cs="Times New Roman"/>
        </w:rPr>
        <w:t>Similarities and Differences in Patterns and Trends</w:t>
      </w:r>
      <w:bookmarkEnd w:id="24"/>
      <w:bookmarkEnd w:id="25"/>
    </w:p>
    <w:p w14:paraId="79CA3769" w14:textId="414349A7" w:rsidR="00012DD3" w:rsidRPr="00012DD3" w:rsidRDefault="00467659" w:rsidP="007D35BE">
      <w:pPr>
        <w:spacing w:line="480" w:lineRule="auto"/>
        <w:jc w:val="both"/>
        <w:rPr>
          <w:color w:val="000000" w:themeColor="text1"/>
        </w:rPr>
      </w:pPr>
      <w:r w:rsidRPr="00012DD3">
        <w:rPr>
          <w:color w:val="000000" w:themeColor="text1"/>
        </w:rPr>
        <w:t xml:space="preserve">The trends and patterns of retail sales growth and inflation rates </w:t>
      </w:r>
      <w:r w:rsidR="00A60EF4" w:rsidRPr="00012DD3">
        <w:rPr>
          <w:color w:val="000000" w:themeColor="text1"/>
        </w:rPr>
        <w:t xml:space="preserve">provide an </w:t>
      </w:r>
      <w:r w:rsidRPr="00012DD3">
        <w:rPr>
          <w:color w:val="000000" w:themeColor="text1"/>
        </w:rPr>
        <w:t xml:space="preserve">invaluable insights regarding economic stability and volatility in Hong Kong’s retail sector. Based on analysis of mean, median, standard deviation, range, and skewness, we can detect the key variations that occur in the retail performance and inflation patterns. However, the analysis shows that Hong Kong’s retail sales growth has shown high volatility across years with significant fluctuations. </w:t>
      </w:r>
    </w:p>
    <w:p w14:paraId="415C1AD2" w14:textId="77777777" w:rsidR="00467659" w:rsidRPr="00012DD3" w:rsidRDefault="00467659" w:rsidP="00467659">
      <w:pPr>
        <w:pStyle w:val="Caption"/>
        <w:keepNext/>
        <w:rPr>
          <w:rFonts w:ascii="Times New Roman" w:hAnsi="Times New Roman" w:cs="Times New Roman"/>
          <w:i w:val="0"/>
          <w:iCs w:val="0"/>
          <w:color w:val="000000" w:themeColor="text1"/>
          <w:sz w:val="24"/>
          <w:szCs w:val="24"/>
        </w:rPr>
      </w:pPr>
      <w:r w:rsidRPr="00012DD3">
        <w:rPr>
          <w:rFonts w:ascii="Times New Roman" w:hAnsi="Times New Roman" w:cs="Times New Roman"/>
          <w:i w:val="0"/>
          <w:iCs w:val="0"/>
          <w:color w:val="000000" w:themeColor="text1"/>
          <w:sz w:val="24"/>
          <w:szCs w:val="24"/>
        </w:rPr>
        <w:t xml:space="preserve">Table </w:t>
      </w:r>
      <w:r w:rsidRPr="00012DD3">
        <w:rPr>
          <w:rFonts w:ascii="Times New Roman" w:hAnsi="Times New Roman" w:cs="Times New Roman"/>
          <w:i w:val="0"/>
          <w:iCs w:val="0"/>
          <w:color w:val="000000" w:themeColor="text1"/>
          <w:sz w:val="24"/>
          <w:szCs w:val="24"/>
        </w:rPr>
        <w:fldChar w:fldCharType="begin"/>
      </w:r>
      <w:r w:rsidRPr="00012DD3">
        <w:rPr>
          <w:rFonts w:ascii="Times New Roman" w:hAnsi="Times New Roman" w:cs="Times New Roman"/>
          <w:i w:val="0"/>
          <w:iCs w:val="0"/>
          <w:color w:val="000000" w:themeColor="text1"/>
          <w:sz w:val="24"/>
          <w:szCs w:val="24"/>
        </w:rPr>
        <w:instrText xml:space="preserve"> SEQ Table \* ARABIC </w:instrText>
      </w:r>
      <w:r w:rsidRPr="00012DD3">
        <w:rPr>
          <w:rFonts w:ascii="Times New Roman" w:hAnsi="Times New Roman" w:cs="Times New Roman"/>
          <w:i w:val="0"/>
          <w:iCs w:val="0"/>
          <w:color w:val="000000" w:themeColor="text1"/>
          <w:sz w:val="24"/>
          <w:szCs w:val="24"/>
        </w:rPr>
        <w:fldChar w:fldCharType="separate"/>
      </w:r>
      <w:r w:rsidRPr="00012DD3">
        <w:rPr>
          <w:rFonts w:ascii="Times New Roman" w:hAnsi="Times New Roman" w:cs="Times New Roman"/>
          <w:i w:val="0"/>
          <w:iCs w:val="0"/>
          <w:noProof/>
          <w:color w:val="000000" w:themeColor="text1"/>
          <w:sz w:val="24"/>
          <w:szCs w:val="24"/>
        </w:rPr>
        <w:t>4</w:t>
      </w:r>
      <w:r w:rsidRPr="00012DD3">
        <w:rPr>
          <w:rFonts w:ascii="Times New Roman" w:hAnsi="Times New Roman" w:cs="Times New Roman"/>
          <w:i w:val="0"/>
          <w:iCs w:val="0"/>
          <w:color w:val="000000" w:themeColor="text1"/>
          <w:sz w:val="24"/>
          <w:szCs w:val="24"/>
        </w:rPr>
        <w:fldChar w:fldCharType="end"/>
      </w:r>
      <w:r w:rsidRPr="00012DD3">
        <w:rPr>
          <w:rFonts w:ascii="Times New Roman" w:hAnsi="Times New Roman" w:cs="Times New Roman"/>
          <w:i w:val="0"/>
          <w:iCs w:val="0"/>
          <w:color w:val="000000" w:themeColor="text1"/>
          <w:sz w:val="24"/>
          <w:szCs w:val="24"/>
        </w:rPr>
        <w:t>: Key Observations from Summary Statistics (2009–2023)</w:t>
      </w:r>
    </w:p>
    <w:tbl>
      <w:tblPr>
        <w:tblStyle w:val="TableGrid"/>
        <w:tblW w:w="9085" w:type="dxa"/>
        <w:tblLook w:val="04A0" w:firstRow="1" w:lastRow="0" w:firstColumn="1" w:lastColumn="0" w:noHBand="0" w:noVBand="1"/>
      </w:tblPr>
      <w:tblGrid>
        <w:gridCol w:w="1190"/>
        <w:gridCol w:w="2424"/>
        <w:gridCol w:w="3049"/>
        <w:gridCol w:w="2422"/>
      </w:tblGrid>
      <w:tr w:rsidR="00467659" w:rsidRPr="00012DD3" w14:paraId="20FFECBC" w14:textId="77777777" w:rsidTr="0070159C">
        <w:tc>
          <w:tcPr>
            <w:tcW w:w="0" w:type="auto"/>
            <w:vAlign w:val="center"/>
            <w:hideMark/>
          </w:tcPr>
          <w:p w14:paraId="057DB4EC"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Statistic</w:t>
            </w:r>
          </w:p>
        </w:tc>
        <w:tc>
          <w:tcPr>
            <w:tcW w:w="2424" w:type="dxa"/>
            <w:vAlign w:val="center"/>
            <w:hideMark/>
          </w:tcPr>
          <w:p w14:paraId="429271EA"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APCHKVRS (Retail Sales HK)</w:t>
            </w:r>
          </w:p>
        </w:tc>
        <w:tc>
          <w:tcPr>
            <w:tcW w:w="3049" w:type="dxa"/>
            <w:vAlign w:val="center"/>
            <w:hideMark/>
          </w:tcPr>
          <w:p w14:paraId="0728EFFC"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APCHKCPI (Inflation HK)</w:t>
            </w:r>
          </w:p>
        </w:tc>
        <w:tc>
          <w:tcPr>
            <w:tcW w:w="2422" w:type="dxa"/>
            <w:vAlign w:val="center"/>
            <w:hideMark/>
          </w:tcPr>
          <w:p w14:paraId="488B3F15"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APCSGCPI (Inflation SG)</w:t>
            </w:r>
          </w:p>
        </w:tc>
      </w:tr>
      <w:tr w:rsidR="00467659" w:rsidRPr="00012DD3" w14:paraId="78DD6C39" w14:textId="77777777" w:rsidTr="0070159C">
        <w:tc>
          <w:tcPr>
            <w:tcW w:w="0" w:type="auto"/>
            <w:vAlign w:val="center"/>
            <w:hideMark/>
          </w:tcPr>
          <w:p w14:paraId="1529B58D"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Count</w:t>
            </w:r>
          </w:p>
        </w:tc>
        <w:tc>
          <w:tcPr>
            <w:tcW w:w="2424" w:type="dxa"/>
            <w:vAlign w:val="center"/>
            <w:hideMark/>
          </w:tcPr>
          <w:p w14:paraId="7C26A01C"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15</w:t>
            </w:r>
          </w:p>
        </w:tc>
        <w:tc>
          <w:tcPr>
            <w:tcW w:w="3049" w:type="dxa"/>
            <w:vAlign w:val="center"/>
            <w:hideMark/>
          </w:tcPr>
          <w:p w14:paraId="70D953B8"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15</w:t>
            </w:r>
          </w:p>
        </w:tc>
        <w:tc>
          <w:tcPr>
            <w:tcW w:w="2422" w:type="dxa"/>
            <w:vAlign w:val="center"/>
            <w:hideMark/>
          </w:tcPr>
          <w:p w14:paraId="5C6DBC4B"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15</w:t>
            </w:r>
          </w:p>
        </w:tc>
      </w:tr>
      <w:tr w:rsidR="00467659" w:rsidRPr="00012DD3" w14:paraId="46C4BB08" w14:textId="77777777" w:rsidTr="0070159C">
        <w:tc>
          <w:tcPr>
            <w:tcW w:w="0" w:type="auto"/>
            <w:vAlign w:val="center"/>
            <w:hideMark/>
          </w:tcPr>
          <w:p w14:paraId="618DC4E2"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Mean</w:t>
            </w:r>
          </w:p>
        </w:tc>
        <w:tc>
          <w:tcPr>
            <w:tcW w:w="2424" w:type="dxa"/>
            <w:vAlign w:val="center"/>
            <w:hideMark/>
          </w:tcPr>
          <w:p w14:paraId="16C70DD0"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2.27</w:t>
            </w:r>
          </w:p>
        </w:tc>
        <w:tc>
          <w:tcPr>
            <w:tcW w:w="3049" w:type="dxa"/>
            <w:vAlign w:val="center"/>
            <w:hideMark/>
          </w:tcPr>
          <w:p w14:paraId="6D6993C4"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2.63</w:t>
            </w:r>
          </w:p>
        </w:tc>
        <w:tc>
          <w:tcPr>
            <w:tcW w:w="2422" w:type="dxa"/>
            <w:vAlign w:val="center"/>
            <w:hideMark/>
          </w:tcPr>
          <w:p w14:paraId="0656B0AE"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2.05</w:t>
            </w:r>
          </w:p>
        </w:tc>
      </w:tr>
      <w:tr w:rsidR="00467659" w:rsidRPr="00012DD3" w14:paraId="1A6D7E98" w14:textId="77777777" w:rsidTr="0070159C">
        <w:tc>
          <w:tcPr>
            <w:tcW w:w="0" w:type="auto"/>
            <w:vAlign w:val="center"/>
            <w:hideMark/>
          </w:tcPr>
          <w:p w14:paraId="0448081D"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Std Dev</w:t>
            </w:r>
          </w:p>
        </w:tc>
        <w:tc>
          <w:tcPr>
            <w:tcW w:w="2424" w:type="dxa"/>
            <w:vAlign w:val="center"/>
            <w:hideMark/>
          </w:tcPr>
          <w:p w14:paraId="5A6BEAB8"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12.44</w:t>
            </w:r>
          </w:p>
        </w:tc>
        <w:tc>
          <w:tcPr>
            <w:tcW w:w="3049" w:type="dxa"/>
            <w:vAlign w:val="center"/>
            <w:hideMark/>
          </w:tcPr>
          <w:p w14:paraId="791878CC"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1.60</w:t>
            </w:r>
          </w:p>
        </w:tc>
        <w:tc>
          <w:tcPr>
            <w:tcW w:w="2422" w:type="dxa"/>
            <w:vAlign w:val="center"/>
            <w:hideMark/>
          </w:tcPr>
          <w:p w14:paraId="3ADF0FCA"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2.42</w:t>
            </w:r>
          </w:p>
        </w:tc>
      </w:tr>
      <w:tr w:rsidR="00467659" w:rsidRPr="00012DD3" w14:paraId="7D8A202D" w14:textId="77777777" w:rsidTr="0070159C">
        <w:tc>
          <w:tcPr>
            <w:tcW w:w="0" w:type="auto"/>
            <w:vAlign w:val="center"/>
            <w:hideMark/>
          </w:tcPr>
          <w:p w14:paraId="759E4842"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Min</w:t>
            </w:r>
          </w:p>
        </w:tc>
        <w:tc>
          <w:tcPr>
            <w:tcW w:w="2424" w:type="dxa"/>
            <w:vAlign w:val="center"/>
            <w:hideMark/>
          </w:tcPr>
          <w:p w14:paraId="5447114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-22.5</w:t>
            </w:r>
          </w:p>
        </w:tc>
        <w:tc>
          <w:tcPr>
            <w:tcW w:w="3049" w:type="dxa"/>
            <w:vAlign w:val="center"/>
            <w:hideMark/>
          </w:tcPr>
          <w:p w14:paraId="456E89AA"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-0.9</w:t>
            </w:r>
          </w:p>
        </w:tc>
        <w:tc>
          <w:tcPr>
            <w:tcW w:w="2422" w:type="dxa"/>
            <w:vAlign w:val="center"/>
            <w:hideMark/>
          </w:tcPr>
          <w:p w14:paraId="3CA4136D"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-0.6</w:t>
            </w:r>
          </w:p>
        </w:tc>
      </w:tr>
      <w:tr w:rsidR="00467659" w:rsidRPr="00012DD3" w14:paraId="72BAF487" w14:textId="77777777" w:rsidTr="0070159C">
        <w:tc>
          <w:tcPr>
            <w:tcW w:w="0" w:type="auto"/>
            <w:vAlign w:val="center"/>
            <w:hideMark/>
          </w:tcPr>
          <w:p w14:paraId="3701478C"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Median</w:t>
            </w:r>
          </w:p>
        </w:tc>
        <w:tc>
          <w:tcPr>
            <w:tcW w:w="2424" w:type="dxa"/>
            <w:vAlign w:val="center"/>
            <w:hideMark/>
          </w:tcPr>
          <w:p w14:paraId="4722A099"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1.3</w:t>
            </w:r>
          </w:p>
        </w:tc>
        <w:tc>
          <w:tcPr>
            <w:tcW w:w="3049" w:type="dxa"/>
            <w:vAlign w:val="center"/>
            <w:hideMark/>
          </w:tcPr>
          <w:p w14:paraId="1677E62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2.4</w:t>
            </w:r>
          </w:p>
        </w:tc>
        <w:tc>
          <w:tcPr>
            <w:tcW w:w="2422" w:type="dxa"/>
            <w:vAlign w:val="center"/>
            <w:hideMark/>
          </w:tcPr>
          <w:p w14:paraId="10C50E1C"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0.8</w:t>
            </w:r>
          </w:p>
        </w:tc>
      </w:tr>
      <w:tr w:rsidR="00467659" w:rsidRPr="00012DD3" w14:paraId="3B7251C7" w14:textId="77777777" w:rsidTr="0070159C">
        <w:tc>
          <w:tcPr>
            <w:tcW w:w="0" w:type="auto"/>
            <w:vAlign w:val="center"/>
            <w:hideMark/>
          </w:tcPr>
          <w:p w14:paraId="0943CD44"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Max</w:t>
            </w:r>
          </w:p>
        </w:tc>
        <w:tc>
          <w:tcPr>
            <w:tcW w:w="2424" w:type="dxa"/>
            <w:vAlign w:val="center"/>
            <w:hideMark/>
          </w:tcPr>
          <w:p w14:paraId="092664AD"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21.6</w:t>
            </w:r>
          </w:p>
        </w:tc>
        <w:tc>
          <w:tcPr>
            <w:tcW w:w="3049" w:type="dxa"/>
            <w:vAlign w:val="center"/>
            <w:hideMark/>
          </w:tcPr>
          <w:p w14:paraId="20F0F274"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5.7</w:t>
            </w:r>
          </w:p>
        </w:tc>
        <w:tc>
          <w:tcPr>
            <w:tcW w:w="2422" w:type="dxa"/>
            <w:vAlign w:val="center"/>
            <w:hideMark/>
          </w:tcPr>
          <w:p w14:paraId="5692090E"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6.5</w:t>
            </w:r>
          </w:p>
        </w:tc>
      </w:tr>
      <w:tr w:rsidR="00467659" w:rsidRPr="00012DD3" w14:paraId="0911F224" w14:textId="77777777" w:rsidTr="0070159C">
        <w:tc>
          <w:tcPr>
            <w:tcW w:w="0" w:type="auto"/>
            <w:vAlign w:val="center"/>
            <w:hideMark/>
          </w:tcPr>
          <w:p w14:paraId="2BB80427"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Range</w:t>
            </w:r>
          </w:p>
        </w:tc>
        <w:tc>
          <w:tcPr>
            <w:tcW w:w="2424" w:type="dxa"/>
            <w:vAlign w:val="center"/>
            <w:hideMark/>
          </w:tcPr>
          <w:p w14:paraId="4D84233C"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44.1</w:t>
            </w:r>
          </w:p>
        </w:tc>
        <w:tc>
          <w:tcPr>
            <w:tcW w:w="3049" w:type="dxa"/>
            <w:vAlign w:val="center"/>
            <w:hideMark/>
          </w:tcPr>
          <w:p w14:paraId="6148912F"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6.6</w:t>
            </w:r>
          </w:p>
        </w:tc>
        <w:tc>
          <w:tcPr>
            <w:tcW w:w="2422" w:type="dxa"/>
            <w:vAlign w:val="center"/>
            <w:hideMark/>
          </w:tcPr>
          <w:p w14:paraId="37F6907E"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7.1</w:t>
            </w:r>
          </w:p>
        </w:tc>
      </w:tr>
      <w:tr w:rsidR="00467659" w:rsidRPr="00012DD3" w14:paraId="1D7D252A" w14:textId="77777777" w:rsidTr="0070159C">
        <w:tc>
          <w:tcPr>
            <w:tcW w:w="0" w:type="auto"/>
            <w:vAlign w:val="center"/>
          </w:tcPr>
          <w:p w14:paraId="108303AE"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Skewness</w:t>
            </w:r>
          </w:p>
        </w:tc>
        <w:tc>
          <w:tcPr>
            <w:tcW w:w="2424" w:type="dxa"/>
            <w:vAlign w:val="center"/>
          </w:tcPr>
          <w:p w14:paraId="0D30F152"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-0.26</w:t>
            </w:r>
          </w:p>
        </w:tc>
        <w:tc>
          <w:tcPr>
            <w:tcW w:w="3049" w:type="dxa"/>
            <w:vAlign w:val="center"/>
          </w:tcPr>
          <w:p w14:paraId="29A698BA"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-0.057</w:t>
            </w:r>
          </w:p>
        </w:tc>
        <w:tc>
          <w:tcPr>
            <w:tcW w:w="2422" w:type="dxa"/>
            <w:vAlign w:val="center"/>
          </w:tcPr>
          <w:p w14:paraId="773DEB69"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0.56</w:t>
            </w:r>
          </w:p>
        </w:tc>
      </w:tr>
      <w:tr w:rsidR="00467659" w:rsidRPr="00012DD3" w14:paraId="4618BF03" w14:textId="77777777" w:rsidTr="0070159C">
        <w:tc>
          <w:tcPr>
            <w:tcW w:w="0" w:type="auto"/>
            <w:vAlign w:val="center"/>
          </w:tcPr>
          <w:p w14:paraId="6507860F"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Kurtosis</w:t>
            </w:r>
          </w:p>
        </w:tc>
        <w:tc>
          <w:tcPr>
            <w:tcW w:w="2424" w:type="dxa"/>
            <w:vAlign w:val="center"/>
          </w:tcPr>
          <w:p w14:paraId="6CAEEA6D"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-0.49</w:t>
            </w:r>
          </w:p>
        </w:tc>
        <w:tc>
          <w:tcPr>
            <w:tcW w:w="3049" w:type="dxa"/>
            <w:vAlign w:val="center"/>
          </w:tcPr>
          <w:p w14:paraId="0D6456E7"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1.02</w:t>
            </w:r>
          </w:p>
        </w:tc>
        <w:tc>
          <w:tcPr>
            <w:tcW w:w="2422" w:type="dxa"/>
            <w:vAlign w:val="center"/>
          </w:tcPr>
          <w:p w14:paraId="5D66A6C5"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-1.30</w:t>
            </w:r>
          </w:p>
        </w:tc>
      </w:tr>
    </w:tbl>
    <w:p w14:paraId="3E64C210" w14:textId="77777777" w:rsidR="00467659" w:rsidRPr="00012DD3" w:rsidRDefault="00467659" w:rsidP="00467659">
      <w:pPr>
        <w:pStyle w:val="Caption"/>
        <w:keepNext/>
        <w:rPr>
          <w:rFonts w:ascii="Times New Roman" w:hAnsi="Times New Roman" w:cs="Times New Roman"/>
          <w:color w:val="000000" w:themeColor="text1"/>
          <w:sz w:val="20"/>
          <w:szCs w:val="20"/>
        </w:rPr>
      </w:pPr>
    </w:p>
    <w:p w14:paraId="3A75AFD6" w14:textId="77777777" w:rsidR="00467659" w:rsidRPr="00012DD3" w:rsidRDefault="00467659" w:rsidP="00467659">
      <w:pPr>
        <w:pStyle w:val="Caption"/>
        <w:keepNext/>
        <w:rPr>
          <w:rFonts w:ascii="Times New Roman" w:hAnsi="Times New Roman" w:cs="Times New Roman"/>
          <w:i w:val="0"/>
          <w:iCs w:val="0"/>
          <w:color w:val="000000" w:themeColor="text1"/>
          <w:sz w:val="24"/>
          <w:szCs w:val="24"/>
        </w:rPr>
      </w:pPr>
      <w:r w:rsidRPr="00012DD3">
        <w:rPr>
          <w:rFonts w:ascii="Times New Roman" w:hAnsi="Times New Roman" w:cs="Times New Roman"/>
          <w:i w:val="0"/>
          <w:iCs w:val="0"/>
          <w:color w:val="000000" w:themeColor="text1"/>
          <w:sz w:val="24"/>
          <w:szCs w:val="24"/>
        </w:rPr>
        <w:t xml:space="preserve">Table </w:t>
      </w:r>
      <w:r w:rsidRPr="00012DD3">
        <w:rPr>
          <w:rFonts w:ascii="Times New Roman" w:hAnsi="Times New Roman" w:cs="Times New Roman"/>
          <w:i w:val="0"/>
          <w:iCs w:val="0"/>
          <w:color w:val="000000" w:themeColor="text1"/>
          <w:sz w:val="24"/>
          <w:szCs w:val="24"/>
        </w:rPr>
        <w:fldChar w:fldCharType="begin"/>
      </w:r>
      <w:r w:rsidRPr="00012DD3">
        <w:rPr>
          <w:rFonts w:ascii="Times New Roman" w:hAnsi="Times New Roman" w:cs="Times New Roman"/>
          <w:i w:val="0"/>
          <w:iCs w:val="0"/>
          <w:color w:val="000000" w:themeColor="text1"/>
          <w:sz w:val="24"/>
          <w:szCs w:val="24"/>
        </w:rPr>
        <w:instrText xml:space="preserve"> SEQ Table \* ARABIC </w:instrText>
      </w:r>
      <w:r w:rsidRPr="00012DD3">
        <w:rPr>
          <w:rFonts w:ascii="Times New Roman" w:hAnsi="Times New Roman" w:cs="Times New Roman"/>
          <w:i w:val="0"/>
          <w:iCs w:val="0"/>
          <w:color w:val="000000" w:themeColor="text1"/>
          <w:sz w:val="24"/>
          <w:szCs w:val="24"/>
        </w:rPr>
        <w:fldChar w:fldCharType="separate"/>
      </w:r>
      <w:r w:rsidRPr="00012DD3">
        <w:rPr>
          <w:rFonts w:ascii="Times New Roman" w:hAnsi="Times New Roman" w:cs="Times New Roman"/>
          <w:i w:val="0"/>
          <w:iCs w:val="0"/>
          <w:noProof/>
          <w:color w:val="000000" w:themeColor="text1"/>
          <w:sz w:val="24"/>
          <w:szCs w:val="24"/>
        </w:rPr>
        <w:t>5</w:t>
      </w:r>
      <w:r w:rsidRPr="00012DD3">
        <w:rPr>
          <w:rFonts w:ascii="Times New Roman" w:hAnsi="Times New Roman" w:cs="Times New Roman"/>
          <w:i w:val="0"/>
          <w:iCs w:val="0"/>
          <w:color w:val="000000" w:themeColor="text1"/>
          <w:sz w:val="24"/>
          <w:szCs w:val="24"/>
        </w:rPr>
        <w:fldChar w:fldCharType="end"/>
      </w:r>
      <w:r w:rsidRPr="00012DD3">
        <w:rPr>
          <w:rFonts w:ascii="Times New Roman" w:hAnsi="Times New Roman" w:cs="Times New Roman"/>
          <w:i w:val="0"/>
          <w:iCs w:val="0"/>
          <w:color w:val="000000" w:themeColor="text1"/>
          <w:sz w:val="24"/>
          <w:szCs w:val="24"/>
        </w:rPr>
        <w:t>: Summary Statistics (2019-2023 - Pandemic Impact Period)</w:t>
      </w:r>
    </w:p>
    <w:tbl>
      <w:tblPr>
        <w:tblStyle w:val="TableGrid"/>
        <w:tblW w:w="9105" w:type="dxa"/>
        <w:jc w:val="center"/>
        <w:tblLook w:val="04A0" w:firstRow="1" w:lastRow="0" w:firstColumn="1" w:lastColumn="0" w:noHBand="0" w:noVBand="1"/>
      </w:tblPr>
      <w:tblGrid>
        <w:gridCol w:w="1655"/>
        <w:gridCol w:w="2786"/>
        <w:gridCol w:w="2369"/>
        <w:gridCol w:w="2295"/>
      </w:tblGrid>
      <w:tr w:rsidR="00467659" w:rsidRPr="00012DD3" w14:paraId="59E28E2D" w14:textId="77777777" w:rsidTr="0070159C">
        <w:trPr>
          <w:trHeight w:val="749"/>
          <w:jc w:val="center"/>
        </w:trPr>
        <w:tc>
          <w:tcPr>
            <w:tcW w:w="0" w:type="auto"/>
            <w:vAlign w:val="center"/>
            <w:hideMark/>
          </w:tcPr>
          <w:p w14:paraId="4FE77E48"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Statistic</w:t>
            </w:r>
          </w:p>
        </w:tc>
        <w:tc>
          <w:tcPr>
            <w:tcW w:w="0" w:type="auto"/>
            <w:vAlign w:val="center"/>
            <w:hideMark/>
          </w:tcPr>
          <w:p w14:paraId="7EE46C51"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 xml:space="preserve">APCHKVRS </w:t>
            </w:r>
          </w:p>
          <w:p w14:paraId="1C1C494D"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(Retail Sales HK)</w:t>
            </w:r>
          </w:p>
        </w:tc>
        <w:tc>
          <w:tcPr>
            <w:tcW w:w="0" w:type="auto"/>
            <w:vAlign w:val="center"/>
            <w:hideMark/>
          </w:tcPr>
          <w:p w14:paraId="0434DBC7"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 xml:space="preserve">APCHKCPI </w:t>
            </w:r>
          </w:p>
          <w:p w14:paraId="7AE01BBC"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(Inflation HK)</w:t>
            </w:r>
          </w:p>
        </w:tc>
        <w:tc>
          <w:tcPr>
            <w:tcW w:w="0" w:type="auto"/>
            <w:vAlign w:val="center"/>
            <w:hideMark/>
          </w:tcPr>
          <w:p w14:paraId="0294EF37"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 xml:space="preserve">APCSGCPI </w:t>
            </w:r>
          </w:p>
          <w:p w14:paraId="26A9C475"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(Inflation SG)</w:t>
            </w:r>
          </w:p>
        </w:tc>
      </w:tr>
      <w:tr w:rsidR="00467659" w:rsidRPr="00012DD3" w14:paraId="21B18E08" w14:textId="77777777" w:rsidTr="0070159C">
        <w:trPr>
          <w:trHeight w:val="370"/>
          <w:jc w:val="center"/>
        </w:trPr>
        <w:tc>
          <w:tcPr>
            <w:tcW w:w="0" w:type="auto"/>
            <w:vAlign w:val="center"/>
            <w:hideMark/>
          </w:tcPr>
          <w:p w14:paraId="637544BD"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Count</w:t>
            </w:r>
          </w:p>
        </w:tc>
        <w:tc>
          <w:tcPr>
            <w:tcW w:w="0" w:type="auto"/>
            <w:vAlign w:val="center"/>
            <w:hideMark/>
          </w:tcPr>
          <w:p w14:paraId="24DAF22F"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5</w:t>
            </w:r>
          </w:p>
        </w:tc>
        <w:tc>
          <w:tcPr>
            <w:tcW w:w="0" w:type="auto"/>
            <w:vAlign w:val="center"/>
            <w:hideMark/>
          </w:tcPr>
          <w:p w14:paraId="7E89C1A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5</w:t>
            </w:r>
          </w:p>
        </w:tc>
        <w:tc>
          <w:tcPr>
            <w:tcW w:w="0" w:type="auto"/>
            <w:vAlign w:val="center"/>
            <w:hideMark/>
          </w:tcPr>
          <w:p w14:paraId="05D6EF93"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5</w:t>
            </w:r>
          </w:p>
        </w:tc>
      </w:tr>
      <w:tr w:rsidR="00467659" w:rsidRPr="00012DD3" w14:paraId="13A8101F" w14:textId="77777777" w:rsidTr="0070159C">
        <w:trPr>
          <w:trHeight w:val="379"/>
          <w:jc w:val="center"/>
        </w:trPr>
        <w:tc>
          <w:tcPr>
            <w:tcW w:w="0" w:type="auto"/>
            <w:vAlign w:val="center"/>
            <w:hideMark/>
          </w:tcPr>
          <w:p w14:paraId="33A28227"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Mean</w:t>
            </w:r>
          </w:p>
        </w:tc>
        <w:tc>
          <w:tcPr>
            <w:tcW w:w="0" w:type="auto"/>
            <w:vAlign w:val="center"/>
            <w:hideMark/>
          </w:tcPr>
          <w:p w14:paraId="7C67E350"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-7.28</w:t>
            </w:r>
          </w:p>
        </w:tc>
        <w:tc>
          <w:tcPr>
            <w:tcW w:w="0" w:type="auto"/>
            <w:vAlign w:val="center"/>
            <w:hideMark/>
          </w:tcPr>
          <w:p w14:paraId="38886967"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1.74</w:t>
            </w:r>
          </w:p>
        </w:tc>
        <w:tc>
          <w:tcPr>
            <w:tcW w:w="0" w:type="auto"/>
            <w:vAlign w:val="center"/>
            <w:hideMark/>
          </w:tcPr>
          <w:p w14:paraId="64405920"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3.00</w:t>
            </w:r>
          </w:p>
        </w:tc>
      </w:tr>
      <w:tr w:rsidR="00467659" w:rsidRPr="00012DD3" w14:paraId="1B24A102" w14:textId="77777777" w:rsidTr="0070159C">
        <w:trPr>
          <w:trHeight w:val="370"/>
          <w:jc w:val="center"/>
        </w:trPr>
        <w:tc>
          <w:tcPr>
            <w:tcW w:w="0" w:type="auto"/>
            <w:vAlign w:val="center"/>
            <w:hideMark/>
          </w:tcPr>
          <w:p w14:paraId="317F3387"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Std Dev</w:t>
            </w:r>
          </w:p>
        </w:tc>
        <w:tc>
          <w:tcPr>
            <w:tcW w:w="0" w:type="auto"/>
            <w:vAlign w:val="center"/>
            <w:hideMark/>
          </w:tcPr>
          <w:p w14:paraId="77E899B5"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12.99</w:t>
            </w:r>
          </w:p>
        </w:tc>
        <w:tc>
          <w:tcPr>
            <w:tcW w:w="0" w:type="auto"/>
            <w:vAlign w:val="center"/>
            <w:hideMark/>
          </w:tcPr>
          <w:p w14:paraId="315DA28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1.51</w:t>
            </w:r>
          </w:p>
        </w:tc>
        <w:tc>
          <w:tcPr>
            <w:tcW w:w="0" w:type="auto"/>
            <w:vAlign w:val="center"/>
            <w:hideMark/>
          </w:tcPr>
          <w:p w14:paraId="7030CC90"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2.62</w:t>
            </w:r>
          </w:p>
        </w:tc>
      </w:tr>
      <w:tr w:rsidR="00467659" w:rsidRPr="00012DD3" w14:paraId="62FC3593" w14:textId="77777777" w:rsidTr="0070159C">
        <w:trPr>
          <w:trHeight w:val="370"/>
          <w:jc w:val="center"/>
        </w:trPr>
        <w:tc>
          <w:tcPr>
            <w:tcW w:w="0" w:type="auto"/>
            <w:vAlign w:val="center"/>
            <w:hideMark/>
          </w:tcPr>
          <w:p w14:paraId="67418465"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Min</w:t>
            </w:r>
          </w:p>
        </w:tc>
        <w:tc>
          <w:tcPr>
            <w:tcW w:w="0" w:type="auto"/>
            <w:vAlign w:val="center"/>
            <w:hideMark/>
          </w:tcPr>
          <w:p w14:paraId="5780F925"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-22.5</w:t>
            </w:r>
          </w:p>
        </w:tc>
        <w:tc>
          <w:tcPr>
            <w:tcW w:w="0" w:type="auto"/>
            <w:vAlign w:val="center"/>
            <w:hideMark/>
          </w:tcPr>
          <w:p w14:paraId="09E2F43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-0.9</w:t>
            </w:r>
          </w:p>
        </w:tc>
        <w:tc>
          <w:tcPr>
            <w:tcW w:w="0" w:type="auto"/>
            <w:vAlign w:val="center"/>
            <w:hideMark/>
          </w:tcPr>
          <w:p w14:paraId="62BF6114"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0.0</w:t>
            </w:r>
          </w:p>
        </w:tc>
      </w:tr>
      <w:tr w:rsidR="00467659" w:rsidRPr="00012DD3" w14:paraId="4BD140DB" w14:textId="77777777" w:rsidTr="0070159C">
        <w:trPr>
          <w:trHeight w:val="379"/>
          <w:jc w:val="center"/>
        </w:trPr>
        <w:tc>
          <w:tcPr>
            <w:tcW w:w="0" w:type="auto"/>
            <w:vAlign w:val="center"/>
            <w:hideMark/>
          </w:tcPr>
          <w:p w14:paraId="00A0252B"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Median</w:t>
            </w:r>
          </w:p>
        </w:tc>
        <w:tc>
          <w:tcPr>
            <w:tcW w:w="0" w:type="auto"/>
            <w:vAlign w:val="center"/>
            <w:hideMark/>
          </w:tcPr>
          <w:p w14:paraId="1ABE9127"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-10.0</w:t>
            </w:r>
          </w:p>
        </w:tc>
        <w:tc>
          <w:tcPr>
            <w:tcW w:w="0" w:type="auto"/>
            <w:vAlign w:val="center"/>
            <w:hideMark/>
          </w:tcPr>
          <w:p w14:paraId="1BD3574B"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2.3</w:t>
            </w:r>
          </w:p>
        </w:tc>
        <w:tc>
          <w:tcPr>
            <w:tcW w:w="0" w:type="auto"/>
            <w:vAlign w:val="center"/>
            <w:hideMark/>
          </w:tcPr>
          <w:p w14:paraId="15C89A39"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3.7</w:t>
            </w:r>
          </w:p>
        </w:tc>
      </w:tr>
      <w:tr w:rsidR="00467659" w:rsidRPr="00012DD3" w14:paraId="0AE1634E" w14:textId="77777777" w:rsidTr="0070159C">
        <w:trPr>
          <w:trHeight w:val="370"/>
          <w:jc w:val="center"/>
        </w:trPr>
        <w:tc>
          <w:tcPr>
            <w:tcW w:w="0" w:type="auto"/>
            <w:vAlign w:val="center"/>
            <w:hideMark/>
          </w:tcPr>
          <w:p w14:paraId="35B1DFF9"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Max</w:t>
            </w:r>
          </w:p>
        </w:tc>
        <w:tc>
          <w:tcPr>
            <w:tcW w:w="0" w:type="auto"/>
            <w:vAlign w:val="center"/>
            <w:hideMark/>
          </w:tcPr>
          <w:p w14:paraId="03EA1D7D"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12.4</w:t>
            </w:r>
          </w:p>
        </w:tc>
        <w:tc>
          <w:tcPr>
            <w:tcW w:w="0" w:type="auto"/>
            <w:vAlign w:val="center"/>
            <w:hideMark/>
          </w:tcPr>
          <w:p w14:paraId="477A0992"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2.9</w:t>
            </w:r>
          </w:p>
        </w:tc>
        <w:tc>
          <w:tcPr>
            <w:tcW w:w="0" w:type="auto"/>
            <w:vAlign w:val="center"/>
            <w:hideMark/>
          </w:tcPr>
          <w:p w14:paraId="2FCDF29E"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6.5</w:t>
            </w:r>
          </w:p>
        </w:tc>
      </w:tr>
      <w:tr w:rsidR="00467659" w:rsidRPr="00012DD3" w14:paraId="5963F9F4" w14:textId="77777777" w:rsidTr="0070159C">
        <w:trPr>
          <w:trHeight w:val="379"/>
          <w:jc w:val="center"/>
        </w:trPr>
        <w:tc>
          <w:tcPr>
            <w:tcW w:w="0" w:type="auto"/>
            <w:vAlign w:val="center"/>
            <w:hideMark/>
          </w:tcPr>
          <w:p w14:paraId="03AB5AE4"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Range</w:t>
            </w:r>
          </w:p>
        </w:tc>
        <w:tc>
          <w:tcPr>
            <w:tcW w:w="0" w:type="auto"/>
            <w:vAlign w:val="center"/>
            <w:hideMark/>
          </w:tcPr>
          <w:p w14:paraId="5FCA8F1A"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34.9</w:t>
            </w:r>
          </w:p>
        </w:tc>
        <w:tc>
          <w:tcPr>
            <w:tcW w:w="0" w:type="auto"/>
            <w:vAlign w:val="center"/>
            <w:hideMark/>
          </w:tcPr>
          <w:p w14:paraId="78E0D413"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3.8</w:t>
            </w:r>
          </w:p>
        </w:tc>
        <w:tc>
          <w:tcPr>
            <w:tcW w:w="0" w:type="auto"/>
            <w:vAlign w:val="center"/>
            <w:hideMark/>
          </w:tcPr>
          <w:p w14:paraId="6434D1DD"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6.5</w:t>
            </w:r>
          </w:p>
        </w:tc>
      </w:tr>
      <w:tr w:rsidR="00467659" w:rsidRPr="00012DD3" w14:paraId="642DA582" w14:textId="77777777" w:rsidTr="0070159C">
        <w:trPr>
          <w:trHeight w:val="370"/>
          <w:jc w:val="center"/>
        </w:trPr>
        <w:tc>
          <w:tcPr>
            <w:tcW w:w="0" w:type="auto"/>
            <w:vAlign w:val="center"/>
          </w:tcPr>
          <w:p w14:paraId="6B78EA58"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Skewness</w:t>
            </w:r>
          </w:p>
        </w:tc>
        <w:tc>
          <w:tcPr>
            <w:tcW w:w="0" w:type="auto"/>
            <w:vAlign w:val="center"/>
          </w:tcPr>
          <w:p w14:paraId="18C3109B"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0.75</w:t>
            </w:r>
          </w:p>
        </w:tc>
        <w:tc>
          <w:tcPr>
            <w:tcW w:w="0" w:type="auto"/>
            <w:vAlign w:val="center"/>
          </w:tcPr>
          <w:p w14:paraId="0E60CDAC"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-1.97</w:t>
            </w:r>
          </w:p>
        </w:tc>
        <w:tc>
          <w:tcPr>
            <w:tcW w:w="0" w:type="auto"/>
            <w:vAlign w:val="center"/>
          </w:tcPr>
          <w:p w14:paraId="32BEFE47"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0.15</w:t>
            </w:r>
          </w:p>
        </w:tc>
      </w:tr>
      <w:tr w:rsidR="00467659" w:rsidRPr="00012DD3" w14:paraId="20EBF998" w14:textId="77777777" w:rsidTr="0070159C">
        <w:trPr>
          <w:trHeight w:val="370"/>
          <w:jc w:val="center"/>
        </w:trPr>
        <w:tc>
          <w:tcPr>
            <w:tcW w:w="0" w:type="auto"/>
            <w:vAlign w:val="center"/>
          </w:tcPr>
          <w:p w14:paraId="46336383" w14:textId="77777777" w:rsidR="00467659" w:rsidRPr="00012DD3" w:rsidRDefault="00467659" w:rsidP="0070159C">
            <w:pPr>
              <w:pStyle w:val="NoSpacing"/>
              <w:spacing w:line="360" w:lineRule="auto"/>
              <w:jc w:val="center"/>
              <w:rPr>
                <w:rFonts w:ascii="Times New Roman" w:hAnsi="Times New Roman" w:cs="Times New Roman"/>
                <w:b/>
                <w:bCs/>
                <w:sz w:val="24"/>
                <w:szCs w:val="24"/>
              </w:rPr>
            </w:pPr>
            <w:r w:rsidRPr="00012DD3">
              <w:rPr>
                <w:rFonts w:ascii="Times New Roman" w:hAnsi="Times New Roman" w:cs="Times New Roman"/>
                <w:b/>
                <w:bCs/>
                <w:sz w:val="24"/>
                <w:szCs w:val="24"/>
              </w:rPr>
              <w:t>Kurtosis</w:t>
            </w:r>
          </w:p>
        </w:tc>
        <w:tc>
          <w:tcPr>
            <w:tcW w:w="0" w:type="auto"/>
            <w:vAlign w:val="center"/>
          </w:tcPr>
          <w:p w14:paraId="3C7D7906"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1.00</w:t>
            </w:r>
          </w:p>
        </w:tc>
        <w:tc>
          <w:tcPr>
            <w:tcW w:w="0" w:type="auto"/>
            <w:vAlign w:val="center"/>
          </w:tcPr>
          <w:p w14:paraId="3498AC41"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4.15</w:t>
            </w:r>
          </w:p>
        </w:tc>
        <w:tc>
          <w:tcPr>
            <w:tcW w:w="0" w:type="auto"/>
            <w:vAlign w:val="center"/>
          </w:tcPr>
          <w:p w14:paraId="6015019E" w14:textId="77777777" w:rsidR="00467659" w:rsidRPr="00012DD3" w:rsidRDefault="00467659" w:rsidP="0070159C">
            <w:pPr>
              <w:pStyle w:val="NoSpacing"/>
              <w:spacing w:line="360" w:lineRule="auto"/>
              <w:jc w:val="center"/>
              <w:rPr>
                <w:rFonts w:ascii="Times New Roman" w:hAnsi="Times New Roman" w:cs="Times New Roman"/>
                <w:sz w:val="24"/>
                <w:szCs w:val="24"/>
              </w:rPr>
            </w:pPr>
            <w:r w:rsidRPr="00012DD3">
              <w:rPr>
                <w:rFonts w:ascii="Times New Roman" w:hAnsi="Times New Roman" w:cs="Times New Roman"/>
                <w:sz w:val="24"/>
                <w:szCs w:val="24"/>
              </w:rPr>
              <w:t>-1.27</w:t>
            </w:r>
          </w:p>
        </w:tc>
      </w:tr>
    </w:tbl>
    <w:p w14:paraId="17D304FA" w14:textId="77777777" w:rsidR="00467659" w:rsidRPr="00012DD3" w:rsidRDefault="00467659" w:rsidP="00012DD3">
      <w:pPr>
        <w:spacing w:before="240" w:line="480" w:lineRule="auto"/>
        <w:jc w:val="both"/>
        <w:rPr>
          <w:color w:val="000000" w:themeColor="text1"/>
        </w:rPr>
      </w:pPr>
      <w:r w:rsidRPr="00012DD3">
        <w:rPr>
          <w:color w:val="000000" w:themeColor="text1"/>
        </w:rPr>
        <w:t>The summary statistics show the volatility of retail sales growth for Hong Kong (APCHKVRS) and Hong Kong compared to the inflation rates (APCHKCPI) and Singapore (APCSGCPI). The random variable of mean retail sales growth rate in Hong Kong grew progressively over the period of 2009 to 2023 at 2.27%, while the standard deviation or the spread reflects the substantial fluctuations of the random variable at about 12.44%. The extreme ranges of the retail sector show through since there was 21.6% maximum retail sales growth rate and -22.5% minimum one. As opposed to retail sales volatility, Hong Kong’s inflation rate had a mean of 2.63 and a standard deviation of 1.60 which implies moderate inflation in general. Its inflation rate in Singapore followed the same pattern with mean of 2.05% and slightly higher standard deviation of 2.42% but with a smaller range (7.1%) as compared to Hong Kong retail sales range of 44.1%, which implies that the inflationary trends in Singapore’s retail sales far exceed that in Hong Kong’s retail sector performance.</w:t>
      </w:r>
    </w:p>
    <w:p w14:paraId="1572AC9C" w14:textId="2D2BA086" w:rsidR="00467659" w:rsidRPr="00012DD3" w:rsidRDefault="00467659" w:rsidP="00012DD3">
      <w:pPr>
        <w:spacing w:before="240" w:line="480" w:lineRule="auto"/>
        <w:jc w:val="both"/>
        <w:rPr>
          <w:color w:val="000000" w:themeColor="text1"/>
        </w:rPr>
      </w:pPr>
      <w:r w:rsidRPr="00012DD3">
        <w:rPr>
          <w:color w:val="000000" w:themeColor="text1"/>
        </w:rPr>
        <w:lastRenderedPageBreak/>
        <w:t xml:space="preserve">From 2019 to 2023, the period of the pandemic, Hong Kong’s retail sales </w:t>
      </w:r>
      <w:r w:rsidR="00A60EF4" w:rsidRPr="00012DD3">
        <w:rPr>
          <w:color w:val="000000" w:themeColor="text1"/>
        </w:rPr>
        <w:t>were</w:t>
      </w:r>
      <w:r w:rsidRPr="00012DD3">
        <w:rPr>
          <w:color w:val="000000" w:themeColor="text1"/>
        </w:rPr>
        <w:t xml:space="preserve"> affected very much </w:t>
      </w:r>
      <w:r w:rsidR="00A60EF4" w:rsidRPr="00012DD3">
        <w:rPr>
          <w:color w:val="000000" w:themeColor="text1"/>
        </w:rPr>
        <w:t xml:space="preserve">by </w:t>
      </w:r>
      <w:r w:rsidRPr="00012DD3">
        <w:rPr>
          <w:color w:val="000000" w:themeColor="text1"/>
        </w:rPr>
        <w:t>the average decline of -7.28 percent, indicating the transcription of negative impacts by the COVID. It remained high at 12.99% as market still remains volatile. The skewness of 0.75 implies that the distribution of retail sales growth during this time appears to be slightly right skewed – there are more low negative values and fewer strong recoveries. Hong Kong’s inflation rate during this period averaged 1.74%, which was lower than for previous decades, except that it showed an increase in kurtosis (4.15) revealing so-called statistically significant periods with sharp fluctuations. It’s interesting that, during that same period, Singapore’s inflation rate went up to an average of 3.00% with a stable standard deviation (2.62%). Such a result indicates that while Singapore’s inflation had remained relatively stable, its retail sector suffered from extreme instability. The observations point to Hong Kong’s retail market being very sensitive to external shocks, and its inflation trends in Singapore were less consistent given economic disruptions.</w:t>
      </w:r>
    </w:p>
    <w:p w14:paraId="6B54A294" w14:textId="0B9199A2" w:rsidR="00467659" w:rsidRPr="00012DD3" w:rsidRDefault="00F33F24" w:rsidP="00012DD3">
      <w:pPr>
        <w:pStyle w:val="Heading2"/>
        <w:spacing w:line="480" w:lineRule="auto"/>
        <w:rPr>
          <w:rFonts w:ascii="Times New Roman" w:hAnsi="Times New Roman" w:cs="Times New Roman"/>
        </w:rPr>
      </w:pPr>
      <w:bookmarkStart w:id="26" w:name="_Toc192222010"/>
      <w:bookmarkStart w:id="27" w:name="_Toc192529333"/>
      <w:r w:rsidRPr="00012DD3">
        <w:rPr>
          <w:rFonts w:ascii="Times New Roman" w:hAnsi="Times New Roman" w:cs="Times New Roman"/>
        </w:rPr>
        <w:t xml:space="preserve">3.4 </w:t>
      </w:r>
      <w:r w:rsidR="00467659" w:rsidRPr="00012DD3">
        <w:rPr>
          <w:rFonts w:ascii="Times New Roman" w:hAnsi="Times New Roman" w:cs="Times New Roman"/>
        </w:rPr>
        <w:t>Summary of Findings</w:t>
      </w:r>
      <w:bookmarkEnd w:id="26"/>
      <w:bookmarkEnd w:id="27"/>
      <w:r w:rsidR="00467659" w:rsidRPr="00012DD3">
        <w:rPr>
          <w:rFonts w:ascii="Times New Roman" w:hAnsi="Times New Roman" w:cs="Times New Roman"/>
        </w:rPr>
        <w:t xml:space="preserve"> </w:t>
      </w:r>
    </w:p>
    <w:p w14:paraId="28EDF3AA" w14:textId="09A25F23" w:rsidR="00467659" w:rsidRPr="00012DD3" w:rsidRDefault="00467659" w:rsidP="00012DD3">
      <w:pPr>
        <w:spacing w:line="480" w:lineRule="auto"/>
        <w:jc w:val="both"/>
        <w:rPr>
          <w:color w:val="000000" w:themeColor="text1"/>
        </w:rPr>
      </w:pPr>
      <w:r w:rsidRPr="00012DD3">
        <w:rPr>
          <w:color w:val="000000" w:themeColor="text1"/>
        </w:rPr>
        <w:t xml:space="preserve">From 2009 – 2023, the retail sales growth and inflation trends from Hong Kong and Singapore are </w:t>
      </w:r>
      <w:r w:rsidR="00432CF5" w:rsidRPr="00012DD3">
        <w:rPr>
          <w:color w:val="000000" w:themeColor="text1"/>
        </w:rPr>
        <w:t>analysed</w:t>
      </w:r>
      <w:r w:rsidRPr="00012DD3">
        <w:rPr>
          <w:color w:val="000000" w:themeColor="text1"/>
        </w:rPr>
        <w:t xml:space="preserve"> and are indicative of the volatile and stable economic environment of these two regions. The findings underscore the excursion of retail sales that Hong Kong’s retail sector has </w:t>
      </w:r>
      <w:r w:rsidR="00432CF5" w:rsidRPr="00012DD3">
        <w:rPr>
          <w:color w:val="000000" w:themeColor="text1"/>
        </w:rPr>
        <w:t>travelled</w:t>
      </w:r>
      <w:r w:rsidRPr="00012DD3">
        <w:rPr>
          <w:color w:val="000000" w:themeColor="text1"/>
        </w:rPr>
        <w:t xml:space="preserve"> over the years, with their max and min values being extreme highs and extreme lows. Using correlation analysis, we find that Hong Kong inflation is moderately correlated with retail sales growth in the long term, but there is more weakening tendency of that correlation in the time of the pandemic when external economic shocks are more powerful. High standard deviation (12.44%) and wide range of fluctuations (-22.5% to 21.6%) in Hong Kong’s retail market indicate that its retail sector is prone to economic disruption. On the other </w:t>
      </w:r>
      <w:r w:rsidRPr="00012DD3">
        <w:rPr>
          <w:color w:val="000000" w:themeColor="text1"/>
        </w:rPr>
        <w:lastRenderedPageBreak/>
        <w:t>hand, less volatile inflation rates in Singapore prove that the country’s economy was better resilient.</w:t>
      </w:r>
    </w:p>
    <w:p w14:paraId="4BA989D0" w14:textId="53D79B8D" w:rsidR="00467659" w:rsidRPr="00012DD3" w:rsidRDefault="00467659" w:rsidP="00012DD3">
      <w:pPr>
        <w:spacing w:before="240" w:line="480" w:lineRule="auto"/>
        <w:jc w:val="both"/>
        <w:rPr>
          <w:color w:val="000000" w:themeColor="text1"/>
        </w:rPr>
      </w:pPr>
      <w:r w:rsidRPr="00012DD3">
        <w:rPr>
          <w:color w:val="000000" w:themeColor="text1"/>
        </w:rPr>
        <w:t xml:space="preserve">From the COVID 19 pandemic (2019–2023), Hong Kong’s retail sector went into contraction by an average of – 7.28%, caused by global lockdowns and supply chain disruptions. In this period, inflation and retail sales growth became an increasingly weaker correlation, indicating other external factors, including consumer </w:t>
      </w:r>
      <w:r w:rsidR="00432CF5" w:rsidRPr="00012DD3">
        <w:rPr>
          <w:color w:val="000000" w:themeColor="text1"/>
        </w:rPr>
        <w:t>behaviour</w:t>
      </w:r>
      <w:r w:rsidRPr="00012DD3">
        <w:rPr>
          <w:color w:val="000000" w:themeColor="text1"/>
        </w:rPr>
        <w:t xml:space="preserve"> shifts and government policies, more domestic than inflation, accounted for more of retail’s performance. On the other hand, Singapore’s inflation rate, on average, went up to 3.00%, which means its economy did not have crippling retail sales instability when faced with inflationary pressure like Hong Kong.</w:t>
      </w:r>
    </w:p>
    <w:p w14:paraId="4218CE39" w14:textId="67087400" w:rsidR="00467659" w:rsidRPr="00012DD3" w:rsidRDefault="00467659" w:rsidP="00012DD3">
      <w:pPr>
        <w:spacing w:before="240" w:line="480" w:lineRule="auto"/>
        <w:jc w:val="both"/>
        <w:rPr>
          <w:color w:val="000000" w:themeColor="text1"/>
        </w:rPr>
      </w:pPr>
      <w:r w:rsidRPr="00012DD3">
        <w:rPr>
          <w:color w:val="000000" w:themeColor="text1"/>
        </w:rPr>
        <w:t xml:space="preserve">Consistent with common characteristics of the retail sector in Hong Kong, it </w:t>
      </w:r>
      <w:r w:rsidR="00A60EF4" w:rsidRPr="00012DD3">
        <w:rPr>
          <w:color w:val="000000" w:themeColor="text1"/>
        </w:rPr>
        <w:t xml:space="preserve">is </w:t>
      </w:r>
      <w:r w:rsidRPr="00012DD3">
        <w:rPr>
          <w:color w:val="000000" w:themeColor="text1"/>
        </w:rPr>
        <w:t>confirm</w:t>
      </w:r>
      <w:r w:rsidR="00A60EF4" w:rsidRPr="00012DD3">
        <w:rPr>
          <w:color w:val="000000" w:themeColor="text1"/>
        </w:rPr>
        <w:t>ed</w:t>
      </w:r>
      <w:r w:rsidRPr="00012DD3">
        <w:rPr>
          <w:color w:val="000000" w:themeColor="text1"/>
        </w:rPr>
        <w:t xml:space="preserve"> that the sector is highly volatile and susceptible to macroeconomic fluctuations, which would </w:t>
      </w:r>
      <w:r w:rsidR="0042279B" w:rsidRPr="00012DD3">
        <w:rPr>
          <w:color w:val="000000" w:themeColor="text1"/>
        </w:rPr>
        <w:t xml:space="preserve">put the traditional </w:t>
      </w:r>
      <w:r w:rsidRPr="00012DD3">
        <w:rPr>
          <w:color w:val="000000" w:themeColor="text1"/>
        </w:rPr>
        <w:t xml:space="preserve">stability </w:t>
      </w:r>
      <w:r w:rsidR="0042279B" w:rsidRPr="00012DD3">
        <w:rPr>
          <w:color w:val="000000" w:themeColor="text1"/>
        </w:rPr>
        <w:t xml:space="preserve">of long term investment </w:t>
      </w:r>
      <w:r w:rsidRPr="00012DD3">
        <w:rPr>
          <w:color w:val="000000" w:themeColor="text1"/>
        </w:rPr>
        <w:t xml:space="preserve">in Hong Kong’s retail sector </w:t>
      </w:r>
      <w:r w:rsidR="0042279B" w:rsidRPr="00012DD3">
        <w:rPr>
          <w:color w:val="000000" w:themeColor="text1"/>
        </w:rPr>
        <w:t xml:space="preserve">onto a </w:t>
      </w:r>
      <w:r w:rsidRPr="00012DD3">
        <w:rPr>
          <w:color w:val="000000" w:themeColor="text1"/>
        </w:rPr>
        <w:t>challenging</w:t>
      </w:r>
      <w:r w:rsidR="0042279B" w:rsidRPr="00012DD3">
        <w:rPr>
          <w:color w:val="000000" w:themeColor="text1"/>
        </w:rPr>
        <w:t xml:space="preserve"> situation.  </w:t>
      </w:r>
      <w:r w:rsidRPr="00012DD3">
        <w:rPr>
          <w:color w:val="000000" w:themeColor="text1"/>
        </w:rPr>
        <w:t xml:space="preserve">Singapore’s inflation trends </w:t>
      </w:r>
      <w:r w:rsidR="0042279B" w:rsidRPr="00012DD3">
        <w:rPr>
          <w:color w:val="000000" w:themeColor="text1"/>
        </w:rPr>
        <w:t xml:space="preserve">are on the opposite, representing </w:t>
      </w:r>
      <w:r w:rsidRPr="00012DD3">
        <w:rPr>
          <w:color w:val="000000" w:themeColor="text1"/>
        </w:rPr>
        <w:t xml:space="preserve">a more controlled economic environment, giving opportunities to the businesses </w:t>
      </w:r>
      <w:r w:rsidR="0042279B" w:rsidRPr="00012DD3">
        <w:rPr>
          <w:color w:val="000000" w:themeColor="text1"/>
        </w:rPr>
        <w:t>t</w:t>
      </w:r>
      <w:r w:rsidRPr="00012DD3">
        <w:rPr>
          <w:color w:val="000000" w:themeColor="text1"/>
        </w:rPr>
        <w:t xml:space="preserve">o operate in more predictable market conditions. They match the </w:t>
      </w:r>
      <w:r w:rsidR="0042279B" w:rsidRPr="00012DD3">
        <w:rPr>
          <w:color w:val="000000" w:themeColor="text1"/>
        </w:rPr>
        <w:t xml:space="preserve">research </w:t>
      </w:r>
      <w:r w:rsidRPr="00012DD3">
        <w:rPr>
          <w:color w:val="000000" w:themeColor="text1"/>
        </w:rPr>
        <w:t>goals as they clarify the link between inflation and retail sales, looking the differences between Hong Kong and Singapore economy and arguing for the potential for market stretch for BEON. The results are validated through statistical analysis, thus ensuring reliability for supporting the strategic decision making for business in the retail sector.</w:t>
      </w:r>
    </w:p>
    <w:p w14:paraId="23B3B294" w14:textId="1F7A66C8" w:rsidR="00467659" w:rsidRPr="00012DD3" w:rsidRDefault="00F33F24" w:rsidP="00012DD3">
      <w:pPr>
        <w:pStyle w:val="Heading1"/>
        <w:spacing w:line="480" w:lineRule="auto"/>
        <w:rPr>
          <w:rFonts w:ascii="Times New Roman" w:hAnsi="Times New Roman" w:cs="Times New Roman"/>
        </w:rPr>
      </w:pPr>
      <w:bookmarkStart w:id="28" w:name="_Toc192222011"/>
      <w:bookmarkStart w:id="29" w:name="_Toc192529334"/>
      <w:r w:rsidRPr="00012DD3">
        <w:rPr>
          <w:rFonts w:ascii="Times New Roman" w:hAnsi="Times New Roman" w:cs="Times New Roman"/>
        </w:rPr>
        <w:lastRenderedPageBreak/>
        <w:t xml:space="preserve">4. </w:t>
      </w:r>
      <w:r w:rsidR="006C60C5" w:rsidRPr="00012DD3">
        <w:rPr>
          <w:rFonts w:ascii="Times New Roman" w:hAnsi="Times New Roman" w:cs="Times New Roman"/>
        </w:rPr>
        <w:t>Conclusion and Recommendations</w:t>
      </w:r>
      <w:bookmarkEnd w:id="28"/>
      <w:bookmarkEnd w:id="29"/>
    </w:p>
    <w:p w14:paraId="18002E8B" w14:textId="35C5B842" w:rsidR="00A55A34" w:rsidRPr="00012DD3" w:rsidRDefault="00F33F24" w:rsidP="00012DD3">
      <w:pPr>
        <w:pStyle w:val="Heading2"/>
        <w:spacing w:line="480" w:lineRule="auto"/>
        <w:rPr>
          <w:rFonts w:ascii="Times New Roman" w:hAnsi="Times New Roman" w:cs="Times New Roman"/>
        </w:rPr>
      </w:pPr>
      <w:bookmarkStart w:id="30" w:name="_Toc192529335"/>
      <w:r w:rsidRPr="00012DD3">
        <w:rPr>
          <w:rFonts w:ascii="Times New Roman" w:hAnsi="Times New Roman" w:cs="Times New Roman"/>
        </w:rPr>
        <w:t>4.1 Conclusion</w:t>
      </w:r>
      <w:bookmarkEnd w:id="30"/>
      <w:r w:rsidRPr="00012DD3">
        <w:rPr>
          <w:rFonts w:ascii="Times New Roman" w:hAnsi="Times New Roman" w:cs="Times New Roman"/>
        </w:rPr>
        <w:t xml:space="preserve"> </w:t>
      </w:r>
    </w:p>
    <w:p w14:paraId="0782A5BC" w14:textId="77777777" w:rsidR="0038105C" w:rsidRPr="00012DD3" w:rsidRDefault="0038105C" w:rsidP="00012DD3">
      <w:pPr>
        <w:spacing w:line="480" w:lineRule="auto"/>
        <w:jc w:val="both"/>
        <w:rPr>
          <w:rFonts w:eastAsiaTheme="minorEastAsia"/>
          <w:color w:val="000000" w:themeColor="text1"/>
        </w:rPr>
      </w:pPr>
      <w:r w:rsidRPr="00012DD3">
        <w:rPr>
          <w:rFonts w:eastAsiaTheme="minorEastAsia"/>
          <w:color w:val="000000" w:themeColor="text1"/>
        </w:rPr>
        <w:t>This research successfully examined the relationship between inflation and retail sales in Hong Kong and Singapore from 2009 to 2023, which was the purpose of the research. With its extreme volatility of sales growth, both internally and externally induced, the findings indicate that Hong Kong’s retail market is vulnerable. However, Singapore’s retail sector is presented to have come more generally at a much more stable pace with higher levels of more proactive monetary policies influencing inflation better.</w:t>
      </w:r>
    </w:p>
    <w:p w14:paraId="3A1CD3C5" w14:textId="77777777" w:rsidR="0038105C" w:rsidRPr="00012DD3" w:rsidRDefault="0038105C" w:rsidP="00012DD3">
      <w:pPr>
        <w:spacing w:line="480" w:lineRule="auto"/>
        <w:jc w:val="both"/>
        <w:rPr>
          <w:rFonts w:eastAsiaTheme="minorEastAsia"/>
          <w:color w:val="000000" w:themeColor="text1"/>
        </w:rPr>
      </w:pPr>
      <w:r w:rsidRPr="00012DD3">
        <w:rPr>
          <w:rFonts w:eastAsiaTheme="minorEastAsia"/>
          <w:color w:val="000000" w:themeColor="text1"/>
        </w:rPr>
        <w:t>The results of the correlation analysis show that a moderate effect of inflation in Hong Kong on retail sales growth in the long run, but this relation weakens during the COVID-19 economic shocks. The retail sales of Hong Kong went through a sharp ups and downs during the pandemic period (2019–2023) in which averages of -7.28% with an exceptionally high standard deviation revealed that the sector was very unstable. During this period, Singapore’s inflation rate has remained quite stable, which has helped sustain retail market recovery.</w:t>
      </w:r>
    </w:p>
    <w:p w14:paraId="0912D643" w14:textId="1E014092" w:rsidR="00E55B5C" w:rsidRPr="00012DD3" w:rsidRDefault="0038105C" w:rsidP="00012DD3">
      <w:pPr>
        <w:spacing w:line="480" w:lineRule="auto"/>
        <w:jc w:val="both"/>
        <w:rPr>
          <w:rFonts w:eastAsiaTheme="minorEastAsia"/>
          <w:color w:val="000000" w:themeColor="text1"/>
        </w:rPr>
      </w:pPr>
      <w:r w:rsidRPr="00012DD3">
        <w:rPr>
          <w:rFonts w:eastAsiaTheme="minorEastAsia"/>
          <w:color w:val="000000" w:themeColor="text1"/>
        </w:rPr>
        <w:t xml:space="preserve">The research objective of the correlation between inflation and retail sales is supported by these findings and highlights those external macroeconomic factors that influence retail sector performance so much, such as consumer </w:t>
      </w:r>
      <w:r w:rsidR="00432CF5" w:rsidRPr="00012DD3">
        <w:rPr>
          <w:rFonts w:eastAsiaTheme="minorEastAsia"/>
          <w:color w:val="000000" w:themeColor="text1"/>
        </w:rPr>
        <w:t>behaviour</w:t>
      </w:r>
      <w:r w:rsidRPr="00012DD3">
        <w:rPr>
          <w:rFonts w:eastAsiaTheme="minorEastAsia"/>
          <w:color w:val="000000" w:themeColor="text1"/>
        </w:rPr>
        <w:t xml:space="preserve"> change, supply chain disruptions, and government policies. The study offers important insights to businesses such as BEON about how Hong Kong’s market is riskier in relation to the volatility of inflation compared with Singapore</w:t>
      </w:r>
      <w:r w:rsidR="00432CF5" w:rsidRPr="00012DD3">
        <w:rPr>
          <w:rFonts w:eastAsiaTheme="minorEastAsia"/>
          <w:color w:val="000000" w:themeColor="text1"/>
        </w:rPr>
        <w:t>.</w:t>
      </w:r>
    </w:p>
    <w:p w14:paraId="673B925E" w14:textId="0DF743A3" w:rsidR="00205B25" w:rsidRPr="00012DD3" w:rsidRDefault="00F33F24" w:rsidP="00012DD3">
      <w:pPr>
        <w:pStyle w:val="Heading2"/>
        <w:spacing w:line="480" w:lineRule="auto"/>
        <w:rPr>
          <w:rFonts w:ascii="Times New Roman" w:hAnsi="Times New Roman" w:cs="Times New Roman"/>
        </w:rPr>
      </w:pPr>
      <w:bookmarkStart w:id="31" w:name="_Toc192222013"/>
      <w:bookmarkStart w:id="32" w:name="_Toc192529336"/>
      <w:r w:rsidRPr="00012DD3">
        <w:rPr>
          <w:rFonts w:ascii="Times New Roman" w:hAnsi="Times New Roman" w:cs="Times New Roman"/>
        </w:rPr>
        <w:lastRenderedPageBreak/>
        <w:t xml:space="preserve">4.2 </w:t>
      </w:r>
      <w:r w:rsidR="00205B25" w:rsidRPr="00012DD3">
        <w:rPr>
          <w:rFonts w:ascii="Times New Roman" w:hAnsi="Times New Roman" w:cs="Times New Roman"/>
        </w:rPr>
        <w:t>Recommendations</w:t>
      </w:r>
      <w:bookmarkEnd w:id="31"/>
      <w:bookmarkEnd w:id="32"/>
    </w:p>
    <w:p w14:paraId="736B1B41" w14:textId="77777777" w:rsidR="00205B25" w:rsidRPr="00012DD3" w:rsidRDefault="00205B25" w:rsidP="00012DD3">
      <w:pPr>
        <w:spacing w:line="480" w:lineRule="auto"/>
        <w:jc w:val="both"/>
        <w:rPr>
          <w:color w:val="000000" w:themeColor="text1"/>
        </w:rPr>
      </w:pPr>
      <w:r w:rsidRPr="00012DD3">
        <w:rPr>
          <w:color w:val="000000" w:themeColor="text1"/>
        </w:rPr>
        <w:t>According to the findings, we make the following recommendations based on the review of BEON and how they can handle the internal pressures of inflation:</w:t>
      </w:r>
    </w:p>
    <w:p w14:paraId="6F017729" w14:textId="1493C5D7"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t>Diversification and Market Expansion into Singapore</w:t>
      </w:r>
      <w:r w:rsidRPr="00012DD3">
        <w:rPr>
          <w:color w:val="000000" w:themeColor="text1"/>
        </w:rPr>
        <w:t xml:space="preserve">: With Retail market volatility in Hong Kong and stable inflation trend in Singapore, we recommend that BEON should </w:t>
      </w:r>
      <w:r w:rsidR="00786772" w:rsidRPr="00012DD3">
        <w:rPr>
          <w:color w:val="000000" w:themeColor="text1"/>
        </w:rPr>
        <w:t xml:space="preserve">expand </w:t>
      </w:r>
      <w:r w:rsidRPr="00012DD3">
        <w:rPr>
          <w:color w:val="000000" w:themeColor="text1"/>
        </w:rPr>
        <w:t>to Singapore. This would offer access to a more controlled economic environment whereby it would reduce exposure to inflationary shocks and would improve long term profitability.</w:t>
      </w:r>
    </w:p>
    <w:p w14:paraId="264544FA" w14:textId="326EEBF0"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t>Inflation-Resistant Pricing and Cost Strategies</w:t>
      </w:r>
      <w:r w:rsidRPr="00012DD3">
        <w:rPr>
          <w:color w:val="000000" w:themeColor="text1"/>
        </w:rPr>
        <w:t>: BEON should consider implement dynamic pricing models that allocate part of sales toward prices that take into consideration inflationary pressure. As a data driven strategy, it could be going by data driven pricing where the pricing is dependent on inflation trends to secure profitability, while pricing at a competitive price.</w:t>
      </w:r>
    </w:p>
    <w:p w14:paraId="4A73DFA5" w14:textId="77777777"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t>Supply Chain Optimization and Risk Mitigation</w:t>
      </w:r>
      <w:r w:rsidRPr="00012DD3">
        <w:rPr>
          <w:color w:val="000000" w:themeColor="text1"/>
        </w:rPr>
        <w:t>: Considering the supply chain disruptions experienced in the last few years, BEON should expand its supplier network and plan alternative sourcing strategies that will reduce dependency on volatile import products that are sensitive to inflation. It is also possible to benefit operationally by investing in technology driven inventory management.</w:t>
      </w:r>
    </w:p>
    <w:p w14:paraId="5A5798F4" w14:textId="77777777"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t>Enhancing Digital and E-commerce Capabilities</w:t>
      </w:r>
      <w:r w:rsidRPr="00012DD3">
        <w:rPr>
          <w:color w:val="000000" w:themeColor="text1"/>
        </w:rPr>
        <w:t>: With changing consumer spending habits, and more so during difficult economic times, BEON really needs to accelerate the growth of their e-commerce presence. It can contribute to reducing the losses in brick-and-mortar sales in times of economic downturn and inflationary pressure.</w:t>
      </w:r>
    </w:p>
    <w:p w14:paraId="6D93A493" w14:textId="1788844B"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lastRenderedPageBreak/>
        <w:t xml:space="preserve">Consumer </w:t>
      </w:r>
      <w:r w:rsidR="00432CF5" w:rsidRPr="00012DD3">
        <w:rPr>
          <w:b/>
          <w:bCs/>
          <w:color w:val="000000" w:themeColor="text1"/>
        </w:rPr>
        <w:t>Behaviour</w:t>
      </w:r>
      <w:r w:rsidRPr="00012DD3">
        <w:rPr>
          <w:b/>
          <w:bCs/>
          <w:color w:val="000000" w:themeColor="text1"/>
        </w:rPr>
        <w:t xml:space="preserve"> Monitoring and Adaptive Marketing Strategies</w:t>
      </w:r>
      <w:r w:rsidRPr="00012DD3">
        <w:rPr>
          <w:color w:val="000000" w:themeColor="text1"/>
        </w:rPr>
        <w:t>: Considering increased inflation, the price sensitive customers should be retained through adopting consumer centric marketing campaigns such as customized promotions and loyalty programs by BEON. Through data analytics, they will be able to understand consumer preferences so they can adjust in terms of product offerings and promotions made to the products.</w:t>
      </w:r>
    </w:p>
    <w:p w14:paraId="541D96BC" w14:textId="77777777" w:rsidR="00205B25" w:rsidRPr="00012DD3" w:rsidRDefault="00205B25" w:rsidP="00012DD3">
      <w:pPr>
        <w:numPr>
          <w:ilvl w:val="0"/>
          <w:numId w:val="13"/>
        </w:numPr>
        <w:spacing w:before="240" w:after="160" w:line="480" w:lineRule="auto"/>
        <w:jc w:val="both"/>
        <w:rPr>
          <w:color w:val="000000" w:themeColor="text1"/>
        </w:rPr>
      </w:pPr>
      <w:r w:rsidRPr="00012DD3">
        <w:rPr>
          <w:b/>
          <w:bCs/>
          <w:color w:val="000000" w:themeColor="text1"/>
        </w:rPr>
        <w:t>Policy and Economic Risk Monitoring</w:t>
      </w:r>
      <w:r w:rsidRPr="00012DD3">
        <w:rPr>
          <w:color w:val="000000" w:themeColor="text1"/>
        </w:rPr>
        <w:t>: As retail sales of BEON is affected by external economic factors, therefore centralizing a frame for monitoring inflation trends, policy changes, and macroeconomic conditions in both Hong Kong and Singapore are important for it. It will help with proactive decision making and risk management.</w:t>
      </w:r>
    </w:p>
    <w:p w14:paraId="0E2C8364" w14:textId="723ADEB2" w:rsidR="00205B25" w:rsidRPr="00012DD3" w:rsidRDefault="00F33F24" w:rsidP="00012DD3">
      <w:pPr>
        <w:pStyle w:val="Heading2"/>
        <w:spacing w:line="480" w:lineRule="auto"/>
        <w:rPr>
          <w:rFonts w:ascii="Times New Roman" w:hAnsi="Times New Roman" w:cs="Times New Roman"/>
        </w:rPr>
      </w:pPr>
      <w:bookmarkStart w:id="33" w:name="_Toc192222014"/>
      <w:bookmarkStart w:id="34" w:name="_Toc192529337"/>
      <w:r w:rsidRPr="00012DD3">
        <w:rPr>
          <w:rFonts w:ascii="Times New Roman" w:hAnsi="Times New Roman" w:cs="Times New Roman"/>
        </w:rPr>
        <w:t xml:space="preserve">4.3 </w:t>
      </w:r>
      <w:r w:rsidR="00205B25" w:rsidRPr="00012DD3">
        <w:rPr>
          <w:rFonts w:ascii="Times New Roman" w:hAnsi="Times New Roman" w:cs="Times New Roman"/>
        </w:rPr>
        <w:t>Limitations and Future Research Opportunities</w:t>
      </w:r>
      <w:bookmarkEnd w:id="33"/>
      <w:bookmarkEnd w:id="34"/>
    </w:p>
    <w:p w14:paraId="5CB945AE" w14:textId="77777777" w:rsidR="00205B25" w:rsidRPr="00012DD3" w:rsidRDefault="00205B25" w:rsidP="00012DD3">
      <w:pPr>
        <w:spacing w:before="240" w:line="480" w:lineRule="auto"/>
        <w:jc w:val="both"/>
        <w:rPr>
          <w:color w:val="000000" w:themeColor="text1"/>
        </w:rPr>
      </w:pPr>
      <w:r w:rsidRPr="00012DD3">
        <w:rPr>
          <w:color w:val="000000" w:themeColor="text1"/>
        </w:rPr>
        <w:t xml:space="preserve">This study makes some important contributions, but some limitations may be noted. The focus of the analysis is inflation and retail sales, and not on various other economic indicators like GDP growth, employment rates, and the levels of consumer disposable income, all of which affect retail market performance. Furthermore, Singapore’s availability of retail sales meant we couldn’t directly compare results. Additional work should consider a more complete set of economic variables along with qualitative understanding of consumer </w:t>
      </w:r>
      <w:proofErr w:type="spellStart"/>
      <w:r w:rsidRPr="00012DD3">
        <w:rPr>
          <w:color w:val="000000" w:themeColor="text1"/>
        </w:rPr>
        <w:t>behavior</w:t>
      </w:r>
      <w:proofErr w:type="spellEnd"/>
      <w:r w:rsidRPr="00012DD3">
        <w:rPr>
          <w:color w:val="000000" w:themeColor="text1"/>
        </w:rPr>
        <w:t xml:space="preserve"> to better understand the effect of inflation on the retail business.</w:t>
      </w:r>
    </w:p>
    <w:p w14:paraId="057AF53B" w14:textId="7D3A9F41" w:rsidR="00012DD3" w:rsidRPr="00012DD3" w:rsidRDefault="00205B25" w:rsidP="00012DD3">
      <w:pPr>
        <w:spacing w:before="240" w:line="480" w:lineRule="auto"/>
        <w:jc w:val="both"/>
        <w:rPr>
          <w:color w:val="000000" w:themeColor="text1"/>
        </w:rPr>
      </w:pPr>
      <w:r w:rsidRPr="00012DD3">
        <w:rPr>
          <w:color w:val="000000" w:themeColor="text1"/>
        </w:rPr>
        <w:t>By adopting these recommendations, BEON can build a more resilient business model with market expansion in Singapore, driven by restaurateur spending trends, and inflationary risk mitigation by staying out of Hong Kong.</w:t>
      </w:r>
    </w:p>
    <w:p w14:paraId="1FBC8075" w14:textId="77777777" w:rsidR="00012DD3" w:rsidRPr="00E55B5C" w:rsidRDefault="00012DD3" w:rsidP="005B184F">
      <w:pPr>
        <w:rPr>
          <w:rFonts w:eastAsiaTheme="minorEastAsia"/>
          <w:color w:val="000000" w:themeColor="text1"/>
          <w:sz w:val="36"/>
          <w:szCs w:val="36"/>
        </w:rPr>
      </w:pPr>
    </w:p>
    <w:p w14:paraId="157D9947" w14:textId="5F6219CA" w:rsidR="00880E8A" w:rsidRDefault="00605487" w:rsidP="00445DF0">
      <w:pPr>
        <w:pStyle w:val="Heading1"/>
      </w:pPr>
      <w:r>
        <w:rPr>
          <w:rFonts w:hint="eastAsia"/>
        </w:rPr>
        <w:lastRenderedPageBreak/>
        <w:t>Reference</w:t>
      </w:r>
    </w:p>
    <w:p w14:paraId="62A37528" w14:textId="77777777" w:rsidR="00605487" w:rsidRPr="00E55B5C" w:rsidRDefault="00605487" w:rsidP="005B184F">
      <w:pPr>
        <w:rPr>
          <w:rFonts w:eastAsiaTheme="minorEastAsia"/>
          <w:color w:val="000000" w:themeColor="text1"/>
        </w:rPr>
      </w:pPr>
    </w:p>
    <w:p w14:paraId="6D46E8AD" w14:textId="77777777" w:rsidR="006934A5" w:rsidRPr="006934A5" w:rsidRDefault="006934A5" w:rsidP="006934A5">
      <w:pPr>
        <w:rPr>
          <w:rFonts w:eastAsiaTheme="minorEastAsia"/>
          <w:color w:val="000000" w:themeColor="text1"/>
        </w:rPr>
      </w:pPr>
      <w:proofErr w:type="spellStart"/>
      <w:r w:rsidRPr="006934A5">
        <w:rPr>
          <w:rFonts w:eastAsiaTheme="minorEastAsia"/>
          <w:color w:val="000000" w:themeColor="text1"/>
        </w:rPr>
        <w:t>Aldrees</w:t>
      </w:r>
      <w:proofErr w:type="spellEnd"/>
      <w:r w:rsidRPr="006934A5">
        <w:rPr>
          <w:rFonts w:eastAsiaTheme="minorEastAsia"/>
          <w:color w:val="000000" w:themeColor="text1"/>
        </w:rPr>
        <w:t xml:space="preserve">, A.A. (2016). Four-Factor Affect the U.S. Retail Sales Indicator &amp; Forecasting. </w:t>
      </w:r>
      <w:r w:rsidRPr="006934A5">
        <w:rPr>
          <w:rFonts w:eastAsiaTheme="minorEastAsia"/>
          <w:i/>
          <w:iCs/>
          <w:color w:val="000000" w:themeColor="text1"/>
        </w:rPr>
        <w:t>International Journal of Scientific &amp; Engineering Research</w:t>
      </w:r>
      <w:r w:rsidRPr="006934A5">
        <w:rPr>
          <w:rFonts w:eastAsiaTheme="minorEastAsia"/>
          <w:color w:val="000000" w:themeColor="text1"/>
        </w:rPr>
        <w:t xml:space="preserve">, 7(5), pp.834–837. </w:t>
      </w:r>
      <w:proofErr w:type="spellStart"/>
      <w:r w:rsidRPr="006934A5">
        <w:rPr>
          <w:rFonts w:eastAsiaTheme="minorEastAsia"/>
          <w:color w:val="000000" w:themeColor="text1"/>
        </w:rPr>
        <w:t>doi:https</w:t>
      </w:r>
      <w:proofErr w:type="spellEnd"/>
      <w:r w:rsidRPr="006934A5">
        <w:rPr>
          <w:rFonts w:eastAsiaTheme="minorEastAsia"/>
          <w:color w:val="000000" w:themeColor="text1"/>
        </w:rPr>
        <w:t>://doi.org/ISSN%202229-5518.</w:t>
      </w:r>
    </w:p>
    <w:p w14:paraId="371320E6" w14:textId="5620EC36" w:rsidR="006934A5" w:rsidRDefault="006934A5" w:rsidP="006000D5">
      <w:pPr>
        <w:rPr>
          <w:rFonts w:eastAsiaTheme="minorEastAsia"/>
          <w:color w:val="000000" w:themeColor="text1"/>
        </w:rPr>
      </w:pPr>
      <w:r>
        <w:rPr>
          <w:rFonts w:eastAsiaTheme="minorEastAsia"/>
          <w:color w:val="000000" w:themeColor="text1"/>
        </w:rPr>
        <w:t xml:space="preserve"> </w:t>
      </w:r>
    </w:p>
    <w:p w14:paraId="16C73BE7" w14:textId="09D29658" w:rsidR="00FF41B6" w:rsidRPr="00FF41B6" w:rsidRDefault="00FF41B6" w:rsidP="00FF41B6">
      <w:pPr>
        <w:rPr>
          <w:rFonts w:eastAsiaTheme="minorEastAsia"/>
          <w:color w:val="000000" w:themeColor="text1"/>
        </w:rPr>
      </w:pPr>
      <w:r w:rsidRPr="00FF41B6">
        <w:rPr>
          <w:rFonts w:eastAsiaTheme="minorEastAsia"/>
          <w:color w:val="000000" w:themeColor="text1"/>
        </w:rPr>
        <w:t xml:space="preserve">Bianchi, F. (2024). </w:t>
      </w:r>
      <w:r w:rsidRPr="00FF41B6">
        <w:rPr>
          <w:rFonts w:eastAsiaTheme="minorEastAsia"/>
          <w:i/>
          <w:iCs/>
          <w:color w:val="000000" w:themeColor="text1"/>
        </w:rPr>
        <w:t>Inflation and Real Activity over the Business Cycle</w:t>
      </w:r>
      <w:r w:rsidRPr="00FF41B6">
        <w:rPr>
          <w:rFonts w:eastAsiaTheme="minorEastAsia"/>
          <w:color w:val="000000" w:themeColor="text1"/>
        </w:rPr>
        <w:t xml:space="preserve">. [online] European Central Bank. Available at: </w:t>
      </w:r>
      <w:hyperlink r:id="rId23" w:history="1">
        <w:r w:rsidRPr="00FF41B6">
          <w:rPr>
            <w:rStyle w:val="Hyperlink"/>
            <w:rFonts w:eastAsiaTheme="minorEastAsia"/>
          </w:rPr>
          <w:t>https://www.ecb.europa.eu/press/conferences/shared/pdf/20230831_inflation/Nicolo_paper.en.pdf</w:t>
        </w:r>
      </w:hyperlink>
      <w:r>
        <w:rPr>
          <w:rFonts w:eastAsiaTheme="minorEastAsia"/>
          <w:color w:val="000000" w:themeColor="text1"/>
        </w:rPr>
        <w:t xml:space="preserve">. </w:t>
      </w:r>
    </w:p>
    <w:p w14:paraId="7658AA40" w14:textId="77777777" w:rsidR="00FF41B6" w:rsidRDefault="00FF41B6" w:rsidP="006000D5">
      <w:pPr>
        <w:rPr>
          <w:rFonts w:eastAsiaTheme="minorEastAsia"/>
          <w:color w:val="000000" w:themeColor="text1"/>
        </w:rPr>
      </w:pPr>
    </w:p>
    <w:p w14:paraId="3B9DBC65" w14:textId="38EE422B" w:rsidR="006934A5" w:rsidRDefault="006A617F" w:rsidP="006000D5">
      <w:pPr>
        <w:rPr>
          <w:rFonts w:eastAsiaTheme="minorEastAsia"/>
          <w:color w:val="000000" w:themeColor="text1"/>
        </w:rPr>
      </w:pPr>
      <w:r>
        <w:rPr>
          <w:rFonts w:eastAsiaTheme="minorEastAsia"/>
          <w:color w:val="000000" w:themeColor="text1"/>
        </w:rPr>
        <w:t>B</w:t>
      </w:r>
      <w:r w:rsidRPr="006A617F">
        <w:rPr>
          <w:rFonts w:eastAsiaTheme="minorEastAsia"/>
          <w:color w:val="000000" w:themeColor="text1"/>
        </w:rPr>
        <w:t xml:space="preserve">EON Stores (Hong Kong) Co, Limited. (2015). Annual Report 2015. [online] AEON Stores (Hong Kong) Co, Limited. Available at: </w:t>
      </w:r>
      <w:hyperlink r:id="rId24" w:history="1">
        <w:r w:rsidR="006A013F" w:rsidRPr="005E4700">
          <w:rPr>
            <w:rStyle w:val="Hyperlink"/>
            <w:rFonts w:eastAsiaTheme="minorEastAsia"/>
          </w:rPr>
          <w:t>https://www.aeonstores.com.hk/announcement/download?id=226&amp;q[id_eq]=226&amp;f=file_chk</w:t>
        </w:r>
      </w:hyperlink>
    </w:p>
    <w:p w14:paraId="1DD28F0D" w14:textId="77777777" w:rsidR="006A013F" w:rsidRDefault="006A013F" w:rsidP="006000D5">
      <w:pPr>
        <w:rPr>
          <w:rFonts w:eastAsiaTheme="minorEastAsia"/>
          <w:color w:val="000000" w:themeColor="text1"/>
        </w:rPr>
      </w:pPr>
    </w:p>
    <w:p w14:paraId="00E3C6D5" w14:textId="73211F9F" w:rsidR="006A013F" w:rsidRDefault="006A013F" w:rsidP="006000D5">
      <w:pPr>
        <w:rPr>
          <w:rFonts w:eastAsiaTheme="minorEastAsia"/>
          <w:color w:val="000000" w:themeColor="text1"/>
        </w:rPr>
      </w:pPr>
      <w:r>
        <w:rPr>
          <w:rFonts w:eastAsiaTheme="minorEastAsia"/>
          <w:color w:val="000000" w:themeColor="text1"/>
        </w:rPr>
        <w:t>B</w:t>
      </w:r>
      <w:r w:rsidRPr="006A013F">
        <w:rPr>
          <w:rFonts w:eastAsiaTheme="minorEastAsia"/>
          <w:color w:val="000000" w:themeColor="text1"/>
        </w:rPr>
        <w:t>EON Stores (Hong Kong) Co, Limited. (2024). Annual Report 2024. [online] AEON Stores (Hong Kong) Co, Limited. Available at: https://www.aeonstores.com.hk/announcement/download?id=676&amp;q[id_eq]=676&amp;f=file_chk.</w:t>
      </w:r>
    </w:p>
    <w:p w14:paraId="013A8247" w14:textId="77777777" w:rsidR="006A617F" w:rsidRDefault="006A617F" w:rsidP="006000D5">
      <w:pPr>
        <w:rPr>
          <w:rFonts w:eastAsiaTheme="minorEastAsia"/>
          <w:color w:val="000000" w:themeColor="text1"/>
        </w:rPr>
      </w:pPr>
    </w:p>
    <w:p w14:paraId="04FDD7F4" w14:textId="73E1E1BB" w:rsidR="008C66FB" w:rsidRDefault="008C66FB" w:rsidP="006000D5">
      <w:pPr>
        <w:rPr>
          <w:rFonts w:eastAsiaTheme="minorEastAsia"/>
          <w:color w:val="000000" w:themeColor="text1"/>
        </w:rPr>
      </w:pPr>
      <w:proofErr w:type="spellStart"/>
      <w:r w:rsidRPr="008C66FB">
        <w:rPr>
          <w:rFonts w:eastAsiaTheme="minorEastAsia"/>
          <w:color w:val="000000" w:themeColor="text1"/>
        </w:rPr>
        <w:t>Borraz</w:t>
      </w:r>
      <w:proofErr w:type="spellEnd"/>
      <w:r w:rsidRPr="008C66FB">
        <w:rPr>
          <w:rFonts w:eastAsiaTheme="minorEastAsia"/>
          <w:color w:val="000000" w:themeColor="text1"/>
        </w:rPr>
        <w:t xml:space="preserve">, F., Livan, G., Rodríguez-Martínez, A. and Picardo, P. (2022). Price, sales, and the Business cycle: Microeconomic Evidence. </w:t>
      </w:r>
      <w:r w:rsidRPr="008C66FB">
        <w:rPr>
          <w:rFonts w:eastAsiaTheme="minorEastAsia"/>
          <w:i/>
          <w:iCs/>
          <w:color w:val="000000" w:themeColor="text1"/>
        </w:rPr>
        <w:t>Latin American Journal of Central Banking</w:t>
      </w:r>
      <w:r w:rsidRPr="008C66FB">
        <w:rPr>
          <w:rFonts w:eastAsiaTheme="minorEastAsia"/>
          <w:color w:val="000000" w:themeColor="text1"/>
        </w:rPr>
        <w:t xml:space="preserve">, 3(1), p.100048. </w:t>
      </w:r>
      <w:proofErr w:type="spellStart"/>
      <w:r w:rsidRPr="008C66FB">
        <w:rPr>
          <w:rFonts w:eastAsiaTheme="minorEastAsia"/>
          <w:color w:val="000000" w:themeColor="text1"/>
        </w:rPr>
        <w:t>doi:https</w:t>
      </w:r>
      <w:proofErr w:type="spellEnd"/>
      <w:r w:rsidRPr="008C66FB">
        <w:rPr>
          <w:rFonts w:eastAsiaTheme="minorEastAsia"/>
          <w:color w:val="000000" w:themeColor="text1"/>
        </w:rPr>
        <w:t>://doi.org/10.1016/j.latcb.2022.100048.</w:t>
      </w:r>
      <w:r>
        <w:rPr>
          <w:rFonts w:eastAsiaTheme="minorEastAsia"/>
          <w:color w:val="000000" w:themeColor="text1"/>
        </w:rPr>
        <w:t xml:space="preserve"> </w:t>
      </w:r>
    </w:p>
    <w:p w14:paraId="08D86AE9" w14:textId="77777777" w:rsidR="008C66FB" w:rsidRDefault="008C66FB" w:rsidP="006000D5">
      <w:pPr>
        <w:rPr>
          <w:rFonts w:eastAsiaTheme="minorEastAsia"/>
          <w:color w:val="000000" w:themeColor="text1"/>
        </w:rPr>
      </w:pPr>
    </w:p>
    <w:p w14:paraId="35CEE506" w14:textId="37A883CA" w:rsidR="00D15B23" w:rsidRDefault="00D15B23" w:rsidP="006000D5">
      <w:pPr>
        <w:rPr>
          <w:rFonts w:eastAsiaTheme="minorEastAsia"/>
          <w:color w:val="000000" w:themeColor="text1"/>
        </w:rPr>
      </w:pPr>
      <w:r w:rsidRPr="00395F0A">
        <w:rPr>
          <w:rFonts w:eastAsiaTheme="minorEastAsia"/>
          <w:color w:val="000000" w:themeColor="text1"/>
        </w:rPr>
        <w:t>Chow, Y.J. and Chan, T.-H. (2024) ‘An Empirical Analysis of The Trilemma: Inflation, Interest Rate and Exchange Rate Dynamics in Singapore’, The Asian Journal of Technology Management, 17(2), pp. 93–107.</w:t>
      </w:r>
      <w:r>
        <w:rPr>
          <w:rFonts w:eastAsiaTheme="minorEastAsia"/>
          <w:color w:val="000000" w:themeColor="text1"/>
        </w:rPr>
        <w:t xml:space="preserve"> </w:t>
      </w:r>
    </w:p>
    <w:p w14:paraId="52CA2197" w14:textId="77777777" w:rsidR="00D15B23" w:rsidRDefault="00D15B23" w:rsidP="006000D5">
      <w:pPr>
        <w:rPr>
          <w:rFonts w:eastAsiaTheme="minorEastAsia"/>
          <w:color w:val="000000" w:themeColor="text1"/>
        </w:rPr>
      </w:pPr>
    </w:p>
    <w:p w14:paraId="7867DD46" w14:textId="19526424" w:rsidR="006000D5" w:rsidRPr="006000D5" w:rsidRDefault="006000D5" w:rsidP="006000D5">
      <w:pPr>
        <w:rPr>
          <w:rFonts w:eastAsiaTheme="minorEastAsia"/>
          <w:color w:val="000000" w:themeColor="text1"/>
        </w:rPr>
      </w:pPr>
      <w:proofErr w:type="spellStart"/>
      <w:r w:rsidRPr="006000D5">
        <w:rPr>
          <w:rFonts w:eastAsiaTheme="minorEastAsia"/>
          <w:color w:val="000000" w:themeColor="text1"/>
        </w:rPr>
        <w:t>Coibion</w:t>
      </w:r>
      <w:proofErr w:type="spellEnd"/>
      <w:r w:rsidRPr="006000D5">
        <w:rPr>
          <w:rFonts w:eastAsiaTheme="minorEastAsia"/>
          <w:color w:val="000000" w:themeColor="text1"/>
        </w:rPr>
        <w:t xml:space="preserve">, O., </w:t>
      </w:r>
      <w:proofErr w:type="spellStart"/>
      <w:r w:rsidRPr="006000D5">
        <w:rPr>
          <w:rFonts w:eastAsiaTheme="minorEastAsia"/>
          <w:color w:val="000000" w:themeColor="text1"/>
        </w:rPr>
        <w:t>Gorodnichenko</w:t>
      </w:r>
      <w:proofErr w:type="spellEnd"/>
      <w:r w:rsidRPr="006000D5">
        <w:rPr>
          <w:rFonts w:eastAsiaTheme="minorEastAsia"/>
          <w:color w:val="000000" w:themeColor="text1"/>
        </w:rPr>
        <w:t xml:space="preserve">, Y. and Hong, G.H. (2012). </w:t>
      </w:r>
      <w:r w:rsidRPr="006000D5">
        <w:rPr>
          <w:rFonts w:eastAsiaTheme="minorEastAsia"/>
          <w:i/>
          <w:iCs/>
          <w:color w:val="000000" w:themeColor="text1"/>
        </w:rPr>
        <w:t>The Cyclicality of Sales, Regular and Effective Prices: Business Cycle and Policy Implications</w:t>
      </w:r>
      <w:r w:rsidRPr="006000D5">
        <w:rPr>
          <w:rFonts w:eastAsiaTheme="minorEastAsia"/>
          <w:color w:val="000000" w:themeColor="text1"/>
        </w:rPr>
        <w:t xml:space="preserve">. [online] International Monetary Fund. Available at: </w:t>
      </w:r>
      <w:hyperlink r:id="rId25" w:history="1">
        <w:r w:rsidRPr="006000D5">
          <w:rPr>
            <w:rStyle w:val="Hyperlink"/>
            <w:rFonts w:eastAsiaTheme="minorEastAsia"/>
          </w:rPr>
          <w:t>https://www.imf.org/external/pubs/ft/wp/2012/wp12207.pdf</w:t>
        </w:r>
      </w:hyperlink>
      <w:r>
        <w:rPr>
          <w:rFonts w:eastAsiaTheme="minorEastAsia"/>
          <w:color w:val="000000" w:themeColor="text1"/>
        </w:rPr>
        <w:t xml:space="preserve"> </w:t>
      </w:r>
      <w:r w:rsidRPr="006000D5">
        <w:rPr>
          <w:rFonts w:eastAsiaTheme="minorEastAsia"/>
          <w:color w:val="000000" w:themeColor="text1"/>
        </w:rPr>
        <w:t>.</w:t>
      </w:r>
      <w:r>
        <w:rPr>
          <w:rFonts w:eastAsiaTheme="minorEastAsia"/>
          <w:color w:val="000000" w:themeColor="text1"/>
        </w:rPr>
        <w:t xml:space="preserve"> </w:t>
      </w:r>
    </w:p>
    <w:p w14:paraId="48F46E58" w14:textId="77777777" w:rsidR="006000D5" w:rsidRDefault="006000D5" w:rsidP="00DF2579">
      <w:pPr>
        <w:rPr>
          <w:rFonts w:eastAsiaTheme="minorEastAsia"/>
          <w:color w:val="000000" w:themeColor="text1"/>
          <w:lang w:val="en-US"/>
        </w:rPr>
      </w:pPr>
    </w:p>
    <w:p w14:paraId="0BAB8E9D" w14:textId="1E7EB8A7" w:rsidR="00AF39B2" w:rsidRDefault="00AF39B2" w:rsidP="00DF2579">
      <w:pPr>
        <w:rPr>
          <w:rFonts w:eastAsiaTheme="minorEastAsia"/>
          <w:color w:val="000000" w:themeColor="text1"/>
          <w:lang w:val="en-US"/>
        </w:rPr>
      </w:pPr>
      <w:r w:rsidRPr="00AF39B2">
        <w:rPr>
          <w:rFonts w:eastAsiaTheme="minorEastAsia"/>
          <w:color w:val="000000" w:themeColor="text1"/>
          <w:lang w:val="en-US"/>
        </w:rPr>
        <w:t xml:space="preserve">de </w:t>
      </w:r>
      <w:proofErr w:type="spellStart"/>
      <w:r w:rsidRPr="00AF39B2">
        <w:rPr>
          <w:rFonts w:eastAsiaTheme="minorEastAsia"/>
          <w:color w:val="000000" w:themeColor="text1"/>
          <w:lang w:val="en-US"/>
        </w:rPr>
        <w:t>Goeij</w:t>
      </w:r>
      <w:proofErr w:type="spellEnd"/>
      <w:r w:rsidRPr="00AF39B2">
        <w:rPr>
          <w:rFonts w:eastAsiaTheme="minorEastAsia"/>
          <w:color w:val="000000" w:themeColor="text1"/>
          <w:lang w:val="en-US"/>
        </w:rPr>
        <w:t xml:space="preserve">, M.C.M., </w:t>
      </w:r>
      <w:proofErr w:type="spellStart"/>
      <w:r w:rsidRPr="00AF39B2">
        <w:rPr>
          <w:rFonts w:eastAsiaTheme="minorEastAsia"/>
          <w:color w:val="000000" w:themeColor="text1"/>
          <w:lang w:val="en-US"/>
        </w:rPr>
        <w:t>Suhrcke</w:t>
      </w:r>
      <w:proofErr w:type="spellEnd"/>
      <w:r w:rsidRPr="00AF39B2">
        <w:rPr>
          <w:rFonts w:eastAsiaTheme="minorEastAsia"/>
          <w:color w:val="000000" w:themeColor="text1"/>
          <w:lang w:val="en-US"/>
        </w:rPr>
        <w:t xml:space="preserve">, M., </w:t>
      </w:r>
      <w:proofErr w:type="spellStart"/>
      <w:r w:rsidRPr="00AF39B2">
        <w:rPr>
          <w:rFonts w:eastAsiaTheme="minorEastAsia"/>
          <w:color w:val="000000" w:themeColor="text1"/>
          <w:lang w:val="en-US"/>
        </w:rPr>
        <w:t>Toffolutti</w:t>
      </w:r>
      <w:proofErr w:type="spellEnd"/>
      <w:r w:rsidRPr="00AF39B2">
        <w:rPr>
          <w:rFonts w:eastAsiaTheme="minorEastAsia"/>
          <w:color w:val="000000" w:themeColor="text1"/>
          <w:lang w:val="en-US"/>
        </w:rPr>
        <w:t xml:space="preserve">, V., van de </w:t>
      </w:r>
      <w:proofErr w:type="spellStart"/>
      <w:r w:rsidRPr="00AF39B2">
        <w:rPr>
          <w:rFonts w:eastAsiaTheme="minorEastAsia"/>
          <w:color w:val="000000" w:themeColor="text1"/>
          <w:lang w:val="en-US"/>
        </w:rPr>
        <w:t>Mheen</w:t>
      </w:r>
      <w:proofErr w:type="spellEnd"/>
      <w:r w:rsidRPr="00AF39B2">
        <w:rPr>
          <w:rFonts w:eastAsiaTheme="minorEastAsia"/>
          <w:color w:val="000000" w:themeColor="text1"/>
          <w:lang w:val="en-US"/>
        </w:rPr>
        <w:t xml:space="preserve">, D., </w:t>
      </w:r>
      <w:proofErr w:type="spellStart"/>
      <w:r w:rsidRPr="00AF39B2">
        <w:rPr>
          <w:rFonts w:eastAsiaTheme="minorEastAsia"/>
          <w:color w:val="000000" w:themeColor="text1"/>
          <w:lang w:val="en-US"/>
        </w:rPr>
        <w:t>Schoenmakers</w:t>
      </w:r>
      <w:proofErr w:type="spellEnd"/>
      <w:r w:rsidRPr="00AF39B2">
        <w:rPr>
          <w:rFonts w:eastAsiaTheme="minorEastAsia"/>
          <w:color w:val="000000" w:themeColor="text1"/>
          <w:lang w:val="en-US"/>
        </w:rPr>
        <w:t xml:space="preserve">, T.M. and Kunst, A.E. (2015). How economic crises affect alcohol consumption and alcohol-related health problems: A realist systematic review. Social Science &amp; Medicine, 131(131), pp.131–146. </w:t>
      </w:r>
      <w:proofErr w:type="spellStart"/>
      <w:proofErr w:type="gramStart"/>
      <w:r w:rsidRPr="00AF39B2">
        <w:rPr>
          <w:rFonts w:eastAsiaTheme="minorEastAsia"/>
          <w:color w:val="000000" w:themeColor="text1"/>
          <w:lang w:val="en-US"/>
        </w:rPr>
        <w:t>doi:https</w:t>
      </w:r>
      <w:proofErr w:type="spellEnd"/>
      <w:r w:rsidRPr="00AF39B2">
        <w:rPr>
          <w:rFonts w:eastAsiaTheme="minorEastAsia"/>
          <w:color w:val="000000" w:themeColor="text1"/>
          <w:lang w:val="en-US"/>
        </w:rPr>
        <w:t>://doi.org/10.1016/j.socscimed.2015.02.025</w:t>
      </w:r>
      <w:proofErr w:type="gramEnd"/>
      <w:r w:rsidRPr="00AF39B2">
        <w:rPr>
          <w:rFonts w:eastAsiaTheme="minorEastAsia"/>
          <w:color w:val="000000" w:themeColor="text1"/>
          <w:lang w:val="en-US"/>
        </w:rPr>
        <w:t>.</w:t>
      </w:r>
    </w:p>
    <w:p w14:paraId="1E8D1F50" w14:textId="77777777" w:rsidR="00AF39B2" w:rsidRDefault="00AF39B2" w:rsidP="00DF2579">
      <w:pPr>
        <w:rPr>
          <w:rFonts w:eastAsiaTheme="minorEastAsia"/>
          <w:color w:val="000000" w:themeColor="text1"/>
          <w:lang w:val="en-US"/>
        </w:rPr>
      </w:pPr>
    </w:p>
    <w:p w14:paraId="3C410870" w14:textId="0C8EA6B8" w:rsidR="000B7FB1" w:rsidRPr="000B7FB1" w:rsidRDefault="000B7FB1" w:rsidP="00DF2579">
      <w:pPr>
        <w:rPr>
          <w:rFonts w:eastAsiaTheme="minorEastAsia"/>
          <w:color w:val="000000" w:themeColor="text1"/>
        </w:rPr>
      </w:pPr>
      <w:r w:rsidRPr="000B7FB1">
        <w:rPr>
          <w:rFonts w:eastAsiaTheme="minorEastAsia"/>
          <w:color w:val="000000" w:themeColor="text1"/>
        </w:rPr>
        <w:t xml:space="preserve">Deb, P., Estefania Flores, J., </w:t>
      </w:r>
      <w:proofErr w:type="spellStart"/>
      <w:r w:rsidRPr="000B7FB1">
        <w:rPr>
          <w:rFonts w:eastAsiaTheme="minorEastAsia"/>
          <w:color w:val="000000" w:themeColor="text1"/>
        </w:rPr>
        <w:t>Firat</w:t>
      </w:r>
      <w:proofErr w:type="spellEnd"/>
      <w:r w:rsidRPr="000B7FB1">
        <w:rPr>
          <w:rFonts w:eastAsiaTheme="minorEastAsia"/>
          <w:color w:val="000000" w:themeColor="text1"/>
        </w:rPr>
        <w:t xml:space="preserve">, M., Hao, O., </w:t>
      </w:r>
      <w:proofErr w:type="spellStart"/>
      <w:r w:rsidRPr="000B7FB1">
        <w:rPr>
          <w:rFonts w:eastAsiaTheme="minorEastAsia"/>
          <w:color w:val="000000" w:themeColor="text1"/>
        </w:rPr>
        <w:t>Jimenéz</w:t>
      </w:r>
      <w:proofErr w:type="spellEnd"/>
      <w:r w:rsidRPr="000B7FB1">
        <w:rPr>
          <w:rFonts w:eastAsiaTheme="minorEastAsia"/>
          <w:color w:val="000000" w:themeColor="text1"/>
        </w:rPr>
        <w:t xml:space="preserve">, D., Khan, S., </w:t>
      </w:r>
      <w:proofErr w:type="spellStart"/>
      <w:r w:rsidRPr="000B7FB1">
        <w:rPr>
          <w:rFonts w:eastAsiaTheme="minorEastAsia"/>
          <w:color w:val="000000" w:themeColor="text1"/>
        </w:rPr>
        <w:t>Kothar</w:t>
      </w:r>
      <w:proofErr w:type="spellEnd"/>
      <w:r w:rsidRPr="000B7FB1">
        <w:rPr>
          <w:rFonts w:eastAsiaTheme="minorEastAsia"/>
          <w:color w:val="000000" w:themeColor="text1"/>
        </w:rPr>
        <w:t xml:space="preserve">, S., </w:t>
      </w:r>
      <w:proofErr w:type="spellStart"/>
      <w:r w:rsidRPr="000B7FB1">
        <w:rPr>
          <w:rFonts w:eastAsiaTheme="minorEastAsia"/>
          <w:color w:val="000000" w:themeColor="text1"/>
        </w:rPr>
        <w:t>Redl</w:t>
      </w:r>
      <w:proofErr w:type="spellEnd"/>
      <w:r w:rsidRPr="000B7FB1">
        <w:rPr>
          <w:rFonts w:eastAsiaTheme="minorEastAsia"/>
          <w:color w:val="000000" w:themeColor="text1"/>
        </w:rPr>
        <w:t xml:space="preserve">, C., Scott, A., Spray, J. and </w:t>
      </w:r>
      <w:proofErr w:type="spellStart"/>
      <w:r w:rsidRPr="000B7FB1">
        <w:rPr>
          <w:rFonts w:eastAsiaTheme="minorEastAsia"/>
          <w:color w:val="000000" w:themeColor="text1"/>
        </w:rPr>
        <w:t>Carrière</w:t>
      </w:r>
      <w:proofErr w:type="spellEnd"/>
      <w:r w:rsidRPr="000B7FB1">
        <w:rPr>
          <w:rFonts w:eastAsiaTheme="minorEastAsia"/>
          <w:color w:val="000000" w:themeColor="text1"/>
        </w:rPr>
        <w:t xml:space="preserve">-Swallow., Y. (2023). Regional Economic Outlook, Asia and Pacific, October 2023. [online] International Monetary Fund eBooks, International Monetary Fund, pp.15–23. </w:t>
      </w:r>
      <w:proofErr w:type="spellStart"/>
      <w:r w:rsidRPr="000B7FB1">
        <w:rPr>
          <w:rFonts w:eastAsiaTheme="minorEastAsia"/>
          <w:color w:val="000000" w:themeColor="text1"/>
        </w:rPr>
        <w:t>doi:https</w:t>
      </w:r>
      <w:proofErr w:type="spellEnd"/>
      <w:r w:rsidRPr="000B7FB1">
        <w:rPr>
          <w:rFonts w:eastAsiaTheme="minorEastAsia"/>
          <w:color w:val="000000" w:themeColor="text1"/>
        </w:rPr>
        <w:t>://doi.org/10.5089/9798400253591.086.</w:t>
      </w:r>
    </w:p>
    <w:p w14:paraId="1E21E07A" w14:textId="77777777" w:rsidR="006000D5" w:rsidRDefault="006000D5" w:rsidP="00DF2579">
      <w:pPr>
        <w:rPr>
          <w:rFonts w:eastAsiaTheme="minorEastAsia"/>
          <w:color w:val="000000" w:themeColor="text1"/>
          <w:lang w:val="en-US"/>
        </w:rPr>
      </w:pPr>
    </w:p>
    <w:p w14:paraId="15A38032" w14:textId="6439F2BB" w:rsidR="00DF2579" w:rsidRPr="00DF2579" w:rsidRDefault="00DF2579" w:rsidP="00DF2579">
      <w:pPr>
        <w:rPr>
          <w:rFonts w:eastAsiaTheme="minorEastAsia"/>
          <w:color w:val="000000" w:themeColor="text1"/>
          <w:lang w:val="en-US"/>
        </w:rPr>
      </w:pPr>
      <w:proofErr w:type="spellStart"/>
      <w:r w:rsidRPr="00DF2579">
        <w:rPr>
          <w:rFonts w:eastAsiaTheme="minorEastAsia"/>
          <w:color w:val="000000" w:themeColor="text1"/>
          <w:lang w:val="en-US"/>
        </w:rPr>
        <w:t>Dekimpe</w:t>
      </w:r>
      <w:proofErr w:type="spellEnd"/>
      <w:r w:rsidRPr="00DF2579">
        <w:rPr>
          <w:rFonts w:eastAsiaTheme="minorEastAsia"/>
          <w:color w:val="000000" w:themeColor="text1"/>
          <w:lang w:val="en-US"/>
        </w:rPr>
        <w:t xml:space="preserve">, M.G. and </w:t>
      </w:r>
      <w:proofErr w:type="spellStart"/>
      <w:r w:rsidRPr="00DF2579">
        <w:rPr>
          <w:rFonts w:eastAsiaTheme="minorEastAsia"/>
          <w:color w:val="000000" w:themeColor="text1"/>
          <w:lang w:val="en-US"/>
        </w:rPr>
        <w:t>Heerde</w:t>
      </w:r>
      <w:proofErr w:type="spellEnd"/>
      <w:r w:rsidRPr="00DF2579">
        <w:rPr>
          <w:rFonts w:eastAsiaTheme="minorEastAsia"/>
          <w:color w:val="000000" w:themeColor="text1"/>
          <w:lang w:val="en-US"/>
        </w:rPr>
        <w:t xml:space="preserve">, van (2023). Retailing in Times of Soaring inflation: What We know, What We don’t know, and a Research Agenda. </w:t>
      </w:r>
      <w:r w:rsidRPr="00DF2579">
        <w:rPr>
          <w:rFonts w:eastAsiaTheme="minorEastAsia"/>
          <w:i/>
          <w:iCs/>
          <w:color w:val="000000" w:themeColor="text1"/>
          <w:lang w:val="en-US"/>
        </w:rPr>
        <w:t>Journal of Retailing</w:t>
      </w:r>
      <w:r w:rsidRPr="00DF2579">
        <w:rPr>
          <w:rFonts w:eastAsiaTheme="minorEastAsia"/>
          <w:color w:val="000000" w:themeColor="text1"/>
          <w:lang w:val="en-US"/>
        </w:rPr>
        <w:t xml:space="preserve">, [online] 99(3). </w:t>
      </w:r>
      <w:proofErr w:type="spellStart"/>
      <w:proofErr w:type="gramStart"/>
      <w:r w:rsidRPr="00DF2579">
        <w:rPr>
          <w:rFonts w:eastAsiaTheme="minorEastAsia"/>
          <w:color w:val="000000" w:themeColor="text1"/>
          <w:lang w:val="en-US"/>
        </w:rPr>
        <w:t>doi:https</w:t>
      </w:r>
      <w:proofErr w:type="spellEnd"/>
      <w:r w:rsidRPr="00DF2579">
        <w:rPr>
          <w:rFonts w:eastAsiaTheme="minorEastAsia"/>
          <w:color w:val="000000" w:themeColor="text1"/>
          <w:lang w:val="en-US"/>
        </w:rPr>
        <w:t>://doi.org/10.1016/j.jretai.2023.07.002</w:t>
      </w:r>
      <w:proofErr w:type="gramEnd"/>
      <w:r w:rsidRPr="00DF2579">
        <w:rPr>
          <w:rFonts w:eastAsiaTheme="minorEastAsia"/>
          <w:color w:val="000000" w:themeColor="text1"/>
          <w:lang w:val="en-US"/>
        </w:rPr>
        <w:t>.</w:t>
      </w:r>
    </w:p>
    <w:p w14:paraId="314180F6" w14:textId="745E2899" w:rsidR="007B175C" w:rsidRDefault="00DF2579" w:rsidP="005B184F">
      <w:pPr>
        <w:rPr>
          <w:rFonts w:eastAsiaTheme="minorEastAsia"/>
          <w:color w:val="000000" w:themeColor="text1"/>
        </w:rPr>
      </w:pPr>
      <w:r w:rsidRPr="00E55B5C">
        <w:rPr>
          <w:rFonts w:eastAsiaTheme="minorEastAsia" w:hint="eastAsia"/>
          <w:color w:val="000000" w:themeColor="text1"/>
        </w:rPr>
        <w:t xml:space="preserve"> </w:t>
      </w:r>
    </w:p>
    <w:p w14:paraId="62AC5B69" w14:textId="77777777" w:rsidR="007B175C" w:rsidRDefault="007B175C" w:rsidP="005B184F">
      <w:pPr>
        <w:rPr>
          <w:rFonts w:eastAsiaTheme="minorEastAsia"/>
          <w:color w:val="000000" w:themeColor="text1"/>
        </w:rPr>
      </w:pPr>
    </w:p>
    <w:p w14:paraId="7D32910B" w14:textId="77777777" w:rsidR="00E63642" w:rsidRPr="00E63642" w:rsidRDefault="00E63642" w:rsidP="00E63642">
      <w:pPr>
        <w:rPr>
          <w:rFonts w:eastAsiaTheme="minorEastAsia"/>
          <w:color w:val="000000" w:themeColor="text1"/>
        </w:rPr>
      </w:pPr>
      <w:r w:rsidRPr="00E63642">
        <w:rPr>
          <w:rFonts w:eastAsiaTheme="minorEastAsia"/>
          <w:color w:val="000000" w:themeColor="text1"/>
        </w:rPr>
        <w:lastRenderedPageBreak/>
        <w:t xml:space="preserve">Etgar, M. and Shrivastava, P. (1983). Retailing Strategies in Inflationary Times. </w:t>
      </w:r>
      <w:r w:rsidRPr="00E63642">
        <w:rPr>
          <w:rFonts w:eastAsiaTheme="minorEastAsia"/>
          <w:i/>
          <w:iCs/>
          <w:color w:val="000000" w:themeColor="text1"/>
        </w:rPr>
        <w:t>Journal of Business Strategy</w:t>
      </w:r>
      <w:r w:rsidRPr="00E63642">
        <w:rPr>
          <w:rFonts w:eastAsiaTheme="minorEastAsia"/>
          <w:color w:val="000000" w:themeColor="text1"/>
        </w:rPr>
        <w:t xml:space="preserve">, 4(1), pp.31–39. </w:t>
      </w:r>
      <w:proofErr w:type="spellStart"/>
      <w:r w:rsidRPr="00E63642">
        <w:rPr>
          <w:rFonts w:eastAsiaTheme="minorEastAsia"/>
          <w:color w:val="000000" w:themeColor="text1"/>
        </w:rPr>
        <w:t>doi:https</w:t>
      </w:r>
      <w:proofErr w:type="spellEnd"/>
      <w:r w:rsidRPr="00E63642">
        <w:rPr>
          <w:rFonts w:eastAsiaTheme="minorEastAsia"/>
          <w:color w:val="000000" w:themeColor="text1"/>
        </w:rPr>
        <w:t>://doi.org/10.1108/eb039004.</w:t>
      </w:r>
    </w:p>
    <w:p w14:paraId="3BC18F51" w14:textId="77777777" w:rsidR="00E63642" w:rsidRPr="00E55B5C" w:rsidRDefault="00E63642" w:rsidP="005B184F">
      <w:pPr>
        <w:rPr>
          <w:rFonts w:eastAsiaTheme="minorEastAsia"/>
          <w:color w:val="000000" w:themeColor="text1"/>
        </w:rPr>
      </w:pPr>
    </w:p>
    <w:p w14:paraId="2F462D7A" w14:textId="77777777" w:rsidR="00DF2579" w:rsidRDefault="00DF2579" w:rsidP="005B184F">
      <w:pPr>
        <w:rPr>
          <w:rFonts w:eastAsiaTheme="minorEastAsia"/>
          <w:color w:val="000000" w:themeColor="text1"/>
        </w:rPr>
      </w:pPr>
    </w:p>
    <w:p w14:paraId="33DD9BA3" w14:textId="77777777" w:rsidR="00CD7F57" w:rsidRPr="00CD7F57" w:rsidRDefault="00CD7F57" w:rsidP="00CD7F57">
      <w:pPr>
        <w:rPr>
          <w:rFonts w:eastAsiaTheme="minorEastAsia"/>
          <w:color w:val="000000" w:themeColor="text1"/>
        </w:rPr>
      </w:pPr>
      <w:proofErr w:type="spellStart"/>
      <w:r w:rsidRPr="00CD7F57">
        <w:rPr>
          <w:rFonts w:eastAsiaTheme="minorEastAsia"/>
          <w:color w:val="000000" w:themeColor="text1"/>
        </w:rPr>
        <w:t>Ganong</w:t>
      </w:r>
      <w:proofErr w:type="spellEnd"/>
      <w:r w:rsidRPr="00CD7F57">
        <w:rPr>
          <w:rFonts w:eastAsiaTheme="minorEastAsia"/>
          <w:color w:val="000000" w:themeColor="text1"/>
        </w:rPr>
        <w:t xml:space="preserve"> , P. and Noel, P. (2016). </w:t>
      </w:r>
      <w:r w:rsidRPr="00CD7F57">
        <w:rPr>
          <w:rFonts w:eastAsiaTheme="minorEastAsia"/>
          <w:i/>
          <w:iCs/>
          <w:color w:val="000000" w:themeColor="text1"/>
        </w:rPr>
        <w:t>How Does Unemployment Affect Consumer Spending?</w:t>
      </w:r>
      <w:r w:rsidRPr="00CD7F57">
        <w:rPr>
          <w:rFonts w:eastAsiaTheme="minorEastAsia"/>
          <w:color w:val="000000" w:themeColor="text1"/>
        </w:rPr>
        <w:t xml:space="preserve"> [online] Harvard Scholar. Available at: https://scholar.harvard.edu/files/ganong/files/ganong_jmp_unemployment_spending.pdf.</w:t>
      </w:r>
    </w:p>
    <w:p w14:paraId="50A2FCB0" w14:textId="4CB40240" w:rsidR="00CD7F57" w:rsidRDefault="00CD7F57" w:rsidP="005B184F">
      <w:pPr>
        <w:rPr>
          <w:rFonts w:eastAsiaTheme="minorEastAsia"/>
          <w:color w:val="000000" w:themeColor="text1"/>
        </w:rPr>
      </w:pPr>
      <w:r>
        <w:rPr>
          <w:rFonts w:eastAsiaTheme="minorEastAsia"/>
          <w:color w:val="000000" w:themeColor="text1"/>
        </w:rPr>
        <w:t xml:space="preserve"> </w:t>
      </w:r>
    </w:p>
    <w:p w14:paraId="559863AF" w14:textId="77777777" w:rsidR="00BF16C7" w:rsidRDefault="00BF16C7" w:rsidP="005B184F">
      <w:pPr>
        <w:rPr>
          <w:rFonts w:eastAsiaTheme="minorEastAsia"/>
          <w:color w:val="000000" w:themeColor="text1"/>
        </w:rPr>
      </w:pPr>
    </w:p>
    <w:p w14:paraId="582DD28F" w14:textId="07EC4363" w:rsidR="00BF16C7" w:rsidRDefault="00BF16C7" w:rsidP="005B184F">
      <w:pPr>
        <w:rPr>
          <w:rFonts w:eastAsiaTheme="minorEastAsia"/>
          <w:color w:val="000000" w:themeColor="text1"/>
        </w:rPr>
      </w:pPr>
      <w:r w:rsidRPr="00BF16C7">
        <w:rPr>
          <w:rFonts w:eastAsiaTheme="minorEastAsia"/>
          <w:color w:val="000000" w:themeColor="text1"/>
        </w:rPr>
        <w:t>International Monetary Fund (2022). Consumer Price Index (CPI). [online] Imf.org. Available at: https://data.imf.org/?sk=4ffb52b2-3653-409a-b471-d47b46d904b5&amp;sid=1485878708037 [Accessed 10 Mar. 2025].</w:t>
      </w:r>
    </w:p>
    <w:p w14:paraId="19A6B0EC" w14:textId="77777777" w:rsidR="00E66BFF" w:rsidRDefault="00E66BFF" w:rsidP="005B184F">
      <w:pPr>
        <w:rPr>
          <w:rFonts w:eastAsiaTheme="minorEastAsia"/>
          <w:color w:val="000000" w:themeColor="text1"/>
        </w:rPr>
      </w:pPr>
    </w:p>
    <w:p w14:paraId="75631EAB" w14:textId="77777777" w:rsidR="00E66BFF" w:rsidRDefault="00E66BFF" w:rsidP="00E66BFF">
      <w:pPr>
        <w:rPr>
          <w:rFonts w:eastAsiaTheme="minorEastAsia"/>
          <w:color w:val="000000" w:themeColor="text1"/>
        </w:rPr>
      </w:pPr>
      <w:r w:rsidRPr="00E66BFF">
        <w:rPr>
          <w:rFonts w:eastAsiaTheme="minorEastAsia"/>
          <w:color w:val="000000" w:themeColor="text1"/>
        </w:rPr>
        <w:t xml:space="preserve">Kehoe, P. and </w:t>
      </w:r>
      <w:proofErr w:type="spellStart"/>
      <w:r w:rsidRPr="00E66BFF">
        <w:rPr>
          <w:rFonts w:eastAsiaTheme="minorEastAsia"/>
          <w:color w:val="000000" w:themeColor="text1"/>
        </w:rPr>
        <w:t>Midrigan</w:t>
      </w:r>
      <w:proofErr w:type="spellEnd"/>
      <w:r w:rsidRPr="00E66BFF">
        <w:rPr>
          <w:rFonts w:eastAsiaTheme="minorEastAsia"/>
          <w:color w:val="000000" w:themeColor="text1"/>
        </w:rPr>
        <w:t xml:space="preserve">, V. (2015). Prices are sticky after all. </w:t>
      </w:r>
      <w:r w:rsidRPr="00E66BFF">
        <w:rPr>
          <w:rFonts w:eastAsiaTheme="minorEastAsia"/>
          <w:i/>
          <w:iCs/>
          <w:color w:val="000000" w:themeColor="text1"/>
        </w:rPr>
        <w:t>Journal of Monetary Economics</w:t>
      </w:r>
      <w:r w:rsidRPr="00E66BFF">
        <w:rPr>
          <w:rFonts w:eastAsiaTheme="minorEastAsia"/>
          <w:color w:val="000000" w:themeColor="text1"/>
        </w:rPr>
        <w:t xml:space="preserve">, 75, pp.35–53. </w:t>
      </w:r>
      <w:proofErr w:type="spellStart"/>
      <w:r w:rsidRPr="00E66BFF">
        <w:rPr>
          <w:rFonts w:eastAsiaTheme="minorEastAsia"/>
          <w:color w:val="000000" w:themeColor="text1"/>
        </w:rPr>
        <w:t>doi:https</w:t>
      </w:r>
      <w:proofErr w:type="spellEnd"/>
      <w:r w:rsidRPr="00E66BFF">
        <w:rPr>
          <w:rFonts w:eastAsiaTheme="minorEastAsia"/>
          <w:color w:val="000000" w:themeColor="text1"/>
        </w:rPr>
        <w:t>://doi.org/10.1016/j.jmoneco.2014.12.004.</w:t>
      </w:r>
    </w:p>
    <w:p w14:paraId="2EFBC99A" w14:textId="77777777" w:rsidR="002E3263" w:rsidRDefault="002E3263" w:rsidP="00E66BFF">
      <w:pPr>
        <w:rPr>
          <w:rFonts w:eastAsiaTheme="minorEastAsia"/>
          <w:color w:val="000000" w:themeColor="text1"/>
        </w:rPr>
      </w:pPr>
    </w:p>
    <w:p w14:paraId="05C49103" w14:textId="3AA7A5E7" w:rsidR="002E3263" w:rsidRDefault="002E3263" w:rsidP="00E66BFF">
      <w:pPr>
        <w:rPr>
          <w:rFonts w:eastAsiaTheme="minorEastAsia"/>
          <w:color w:val="000000" w:themeColor="text1"/>
        </w:rPr>
      </w:pPr>
      <w:r w:rsidRPr="002E3263">
        <w:rPr>
          <w:rFonts w:eastAsiaTheme="minorEastAsia"/>
          <w:color w:val="000000" w:themeColor="text1"/>
        </w:rPr>
        <w:t xml:space="preserve">Kiselev, A. and </w:t>
      </w:r>
      <w:proofErr w:type="spellStart"/>
      <w:r w:rsidRPr="002E3263">
        <w:rPr>
          <w:rFonts w:eastAsiaTheme="minorEastAsia"/>
          <w:color w:val="000000" w:themeColor="text1"/>
        </w:rPr>
        <w:t>Zhivaykina</w:t>
      </w:r>
      <w:proofErr w:type="spellEnd"/>
      <w:r w:rsidRPr="002E3263">
        <w:rPr>
          <w:rFonts w:eastAsiaTheme="minorEastAsia"/>
          <w:color w:val="000000" w:themeColor="text1"/>
        </w:rPr>
        <w:t xml:space="preserve">, A. (2020) ‘The role of global relative price changes in international </w:t>
      </w:r>
      <w:proofErr w:type="spellStart"/>
      <w:r w:rsidRPr="002E3263">
        <w:rPr>
          <w:rFonts w:eastAsiaTheme="minorEastAsia"/>
          <w:color w:val="000000" w:themeColor="text1"/>
        </w:rPr>
        <w:t>comovement</w:t>
      </w:r>
      <w:proofErr w:type="spellEnd"/>
      <w:r w:rsidRPr="002E3263">
        <w:rPr>
          <w:rFonts w:eastAsiaTheme="minorEastAsia"/>
          <w:color w:val="000000" w:themeColor="text1"/>
        </w:rPr>
        <w:t xml:space="preserve"> of inflation’, The Journal of Economic Asymmetries, 22, p. e00175.</w:t>
      </w:r>
      <w:r>
        <w:rPr>
          <w:rFonts w:eastAsiaTheme="minorEastAsia"/>
          <w:color w:val="000000" w:themeColor="text1"/>
        </w:rPr>
        <w:t xml:space="preserve"> </w:t>
      </w:r>
    </w:p>
    <w:p w14:paraId="77A61011" w14:textId="77777777" w:rsidR="009F449B" w:rsidRDefault="009F449B" w:rsidP="00E66BFF">
      <w:pPr>
        <w:rPr>
          <w:rFonts w:eastAsiaTheme="minorEastAsia"/>
          <w:color w:val="000000" w:themeColor="text1"/>
        </w:rPr>
      </w:pPr>
    </w:p>
    <w:p w14:paraId="36380F64" w14:textId="37962A3C" w:rsidR="009F449B" w:rsidRDefault="007425CA" w:rsidP="00E66BFF">
      <w:pPr>
        <w:rPr>
          <w:rFonts w:eastAsiaTheme="minorEastAsia"/>
          <w:color w:val="000000" w:themeColor="text1"/>
        </w:rPr>
      </w:pPr>
      <w:r w:rsidRPr="007425CA">
        <w:rPr>
          <w:rFonts w:eastAsiaTheme="minorEastAsia"/>
          <w:color w:val="000000" w:themeColor="text1"/>
        </w:rPr>
        <w:t xml:space="preserve">Lau, Y.K. and Wong, H. (2016). Statutory minimum wage in Hong Kong: a family impact analysis. Journal of Family Studies, 24(3), pp.219–234. </w:t>
      </w:r>
      <w:proofErr w:type="spellStart"/>
      <w:r w:rsidRPr="007425CA">
        <w:rPr>
          <w:rFonts w:eastAsiaTheme="minorEastAsia"/>
          <w:color w:val="000000" w:themeColor="text1"/>
        </w:rPr>
        <w:t>doi:https</w:t>
      </w:r>
      <w:proofErr w:type="spellEnd"/>
      <w:r w:rsidRPr="007425CA">
        <w:rPr>
          <w:rFonts w:eastAsiaTheme="minorEastAsia"/>
          <w:color w:val="000000" w:themeColor="text1"/>
        </w:rPr>
        <w:t>://doi.org/10.1080/13229400.2016.1176590.</w:t>
      </w:r>
    </w:p>
    <w:p w14:paraId="5745595E" w14:textId="77777777" w:rsidR="00C17816" w:rsidRDefault="00C17816" w:rsidP="00E66BFF">
      <w:pPr>
        <w:rPr>
          <w:rFonts w:eastAsiaTheme="minorEastAsia"/>
          <w:color w:val="000000" w:themeColor="text1"/>
        </w:rPr>
      </w:pPr>
    </w:p>
    <w:p w14:paraId="1235F43E" w14:textId="18BB51B5" w:rsidR="00C17816" w:rsidRPr="00E66BFF" w:rsidRDefault="00C17816" w:rsidP="00E66BFF">
      <w:pPr>
        <w:rPr>
          <w:rFonts w:eastAsiaTheme="minorEastAsia"/>
          <w:color w:val="000000" w:themeColor="text1"/>
        </w:rPr>
      </w:pPr>
      <w:r w:rsidRPr="00C17816">
        <w:rPr>
          <w:rFonts w:eastAsiaTheme="minorEastAsia"/>
          <w:color w:val="000000" w:themeColor="text1"/>
        </w:rPr>
        <w:t xml:space="preserve">Lee, Z. (2024) ‘NAVIGATING ECONOMIC CHALLENGES: HONG KONG’S POST-PANDEMIC CONSUMER BEHAVIOR’. Available at: https://www.researchgate.net/profile/Zion-Lee-4/publication/383870046_Navigating_Economic_Challenges_Hong_Kong's_Post-pandemic_Consumer_Behavior/links/66deb25cb1606e24c21b280b/Navigating-Economic-Challenges-Hong-Kongs-Post-pandemic-Consumer-Behavior.pdf </w:t>
      </w:r>
      <w:r w:rsidR="00EE5ABE">
        <w:rPr>
          <w:rFonts w:eastAsiaTheme="minorEastAsia"/>
          <w:color w:val="000000" w:themeColor="text1"/>
        </w:rPr>
        <w:t xml:space="preserve"> </w:t>
      </w:r>
      <w:r w:rsidRPr="00C17816">
        <w:rPr>
          <w:rFonts w:eastAsiaTheme="minorEastAsia"/>
          <w:color w:val="000000" w:themeColor="text1"/>
        </w:rPr>
        <w:t>.</w:t>
      </w:r>
      <w:r>
        <w:rPr>
          <w:rFonts w:eastAsiaTheme="minorEastAsia"/>
          <w:color w:val="000000" w:themeColor="text1"/>
        </w:rPr>
        <w:t xml:space="preserve"> </w:t>
      </w:r>
    </w:p>
    <w:p w14:paraId="2103F040" w14:textId="75E40805" w:rsidR="00E66BFF" w:rsidRDefault="00E66BFF" w:rsidP="005B184F">
      <w:pPr>
        <w:rPr>
          <w:rFonts w:eastAsiaTheme="minorEastAsia"/>
          <w:color w:val="000000" w:themeColor="text1"/>
        </w:rPr>
      </w:pPr>
      <w:r>
        <w:rPr>
          <w:rFonts w:eastAsiaTheme="minorEastAsia"/>
          <w:color w:val="000000" w:themeColor="text1"/>
        </w:rPr>
        <w:t xml:space="preserve"> </w:t>
      </w:r>
    </w:p>
    <w:p w14:paraId="718584BD" w14:textId="77777777" w:rsidR="00CD7F57" w:rsidRPr="00E55B5C" w:rsidRDefault="00CD7F57" w:rsidP="005B184F">
      <w:pPr>
        <w:rPr>
          <w:rFonts w:eastAsiaTheme="minorEastAsia"/>
          <w:color w:val="000000" w:themeColor="text1"/>
        </w:rPr>
      </w:pPr>
    </w:p>
    <w:p w14:paraId="4FAA420E" w14:textId="594AEC02" w:rsidR="00205F94" w:rsidRPr="00E55B5C" w:rsidRDefault="00205F94" w:rsidP="005B184F">
      <w:pPr>
        <w:rPr>
          <w:rFonts w:eastAsiaTheme="minorEastAsia"/>
          <w:color w:val="000000" w:themeColor="text1"/>
        </w:rPr>
      </w:pPr>
      <w:r w:rsidRPr="00E55B5C">
        <w:rPr>
          <w:rFonts w:eastAsiaTheme="minorEastAsia"/>
          <w:color w:val="000000" w:themeColor="text1"/>
        </w:rPr>
        <w:t>Li, H., Sun, J. and Qiu, N. (2025) ‘Do inflation expectations affect consumption intentions? Evidence from a survey of Chinese households’, </w:t>
      </w:r>
      <w:r w:rsidRPr="00E55B5C">
        <w:rPr>
          <w:rFonts w:eastAsiaTheme="minorEastAsia"/>
          <w:i/>
          <w:iCs/>
          <w:color w:val="000000" w:themeColor="text1"/>
        </w:rPr>
        <w:t>Applied Economics Letters</w:t>
      </w:r>
      <w:r w:rsidRPr="00E55B5C">
        <w:rPr>
          <w:rFonts w:eastAsiaTheme="minorEastAsia"/>
          <w:color w:val="000000" w:themeColor="text1"/>
        </w:rPr>
        <w:t xml:space="preserve">, pp. 1–5. </w:t>
      </w:r>
      <w:proofErr w:type="spellStart"/>
      <w:r w:rsidRPr="00E55B5C">
        <w:rPr>
          <w:rFonts w:eastAsiaTheme="minorEastAsia"/>
          <w:color w:val="000000" w:themeColor="text1"/>
        </w:rPr>
        <w:t>doi</w:t>
      </w:r>
      <w:proofErr w:type="spellEnd"/>
      <w:r w:rsidRPr="00E55B5C">
        <w:rPr>
          <w:rFonts w:eastAsiaTheme="minorEastAsia"/>
          <w:color w:val="000000" w:themeColor="text1"/>
        </w:rPr>
        <w:t>: 10.1080/13504851.2025.2466761.</w:t>
      </w:r>
      <w:r w:rsidRPr="00E55B5C">
        <w:rPr>
          <w:rFonts w:eastAsiaTheme="minorEastAsia" w:hint="eastAsia"/>
          <w:color w:val="000000" w:themeColor="text1"/>
        </w:rPr>
        <w:t xml:space="preserve"> </w:t>
      </w:r>
    </w:p>
    <w:p w14:paraId="18C27B22" w14:textId="77777777" w:rsidR="00E55B5C" w:rsidRDefault="00E55B5C" w:rsidP="005B184F">
      <w:pPr>
        <w:rPr>
          <w:rFonts w:eastAsiaTheme="minorEastAsia"/>
          <w:color w:val="000000" w:themeColor="text1"/>
        </w:rPr>
      </w:pPr>
    </w:p>
    <w:p w14:paraId="1BFF2674" w14:textId="77777777" w:rsidR="00085F44" w:rsidRDefault="00085F44" w:rsidP="005B184F">
      <w:pPr>
        <w:rPr>
          <w:rFonts w:eastAsiaTheme="minorEastAsia"/>
          <w:color w:val="000000" w:themeColor="text1"/>
        </w:rPr>
      </w:pPr>
    </w:p>
    <w:p w14:paraId="250DE279" w14:textId="1F12592F" w:rsidR="00085F44" w:rsidRDefault="00085F44" w:rsidP="005B184F">
      <w:pPr>
        <w:rPr>
          <w:rFonts w:eastAsiaTheme="minorEastAsia"/>
          <w:color w:val="000000" w:themeColor="text1"/>
        </w:rPr>
      </w:pPr>
      <w:r w:rsidRPr="00085F44">
        <w:rPr>
          <w:rFonts w:eastAsiaTheme="minorEastAsia"/>
          <w:color w:val="000000" w:themeColor="text1"/>
        </w:rPr>
        <w:t xml:space="preserve">Lin, C. and Bowman, D. (2022). The impact of introducing a customer loyalty program on category sales and profitability. Journal of Retailing and Consumer Services, 64(102769), p.102769. </w:t>
      </w:r>
      <w:proofErr w:type="spellStart"/>
      <w:r w:rsidRPr="00085F44">
        <w:rPr>
          <w:rFonts w:eastAsiaTheme="minorEastAsia"/>
          <w:color w:val="000000" w:themeColor="text1"/>
        </w:rPr>
        <w:t>doi:https</w:t>
      </w:r>
      <w:proofErr w:type="spellEnd"/>
      <w:r w:rsidRPr="00085F44">
        <w:rPr>
          <w:rFonts w:eastAsiaTheme="minorEastAsia"/>
          <w:color w:val="000000" w:themeColor="text1"/>
        </w:rPr>
        <w:t>://doi.org/10.1016/j.jretconser.2021.102769.</w:t>
      </w:r>
    </w:p>
    <w:p w14:paraId="228AFC04" w14:textId="77777777" w:rsidR="00085F44" w:rsidRDefault="00085F44" w:rsidP="005B184F">
      <w:pPr>
        <w:rPr>
          <w:rFonts w:eastAsiaTheme="minorEastAsia"/>
          <w:color w:val="000000" w:themeColor="text1"/>
        </w:rPr>
      </w:pPr>
    </w:p>
    <w:p w14:paraId="2B784618" w14:textId="77777777" w:rsidR="00085F44" w:rsidRDefault="00085F44" w:rsidP="005B184F">
      <w:pPr>
        <w:rPr>
          <w:rFonts w:eastAsiaTheme="minorEastAsia"/>
          <w:color w:val="000000" w:themeColor="text1"/>
        </w:rPr>
      </w:pPr>
    </w:p>
    <w:p w14:paraId="79E0DDAB" w14:textId="473300A7" w:rsidR="0063443F" w:rsidRDefault="0063443F" w:rsidP="005B184F">
      <w:pPr>
        <w:rPr>
          <w:rFonts w:eastAsiaTheme="minorEastAsia"/>
          <w:color w:val="000000" w:themeColor="text1"/>
        </w:rPr>
      </w:pPr>
      <w:r w:rsidRPr="0063443F">
        <w:rPr>
          <w:rFonts w:eastAsiaTheme="minorEastAsia"/>
          <w:color w:val="000000" w:themeColor="text1"/>
        </w:rPr>
        <w:t xml:space="preserve">Maurya, P.K., Bansal, R. and Mishra, A.K. (2023). Russia–Ukraine conflict and its impact on global inflation: an event study-based approach. Journal of Economic Studies, 50(8). </w:t>
      </w:r>
      <w:proofErr w:type="spellStart"/>
      <w:r w:rsidRPr="0063443F">
        <w:rPr>
          <w:rFonts w:eastAsiaTheme="minorEastAsia"/>
          <w:color w:val="000000" w:themeColor="text1"/>
        </w:rPr>
        <w:t>doi:https</w:t>
      </w:r>
      <w:proofErr w:type="spellEnd"/>
      <w:r w:rsidRPr="0063443F">
        <w:rPr>
          <w:rFonts w:eastAsiaTheme="minorEastAsia"/>
          <w:color w:val="000000" w:themeColor="text1"/>
        </w:rPr>
        <w:t>://doi.org/10.1108/jes-01-2023-0003.</w:t>
      </w:r>
    </w:p>
    <w:p w14:paraId="4836ADC0" w14:textId="77777777" w:rsidR="0063443F" w:rsidRPr="00E55B5C" w:rsidRDefault="0063443F" w:rsidP="005B184F">
      <w:pPr>
        <w:rPr>
          <w:rFonts w:eastAsiaTheme="minorEastAsia"/>
          <w:color w:val="000000" w:themeColor="text1"/>
        </w:rPr>
      </w:pPr>
    </w:p>
    <w:p w14:paraId="61EA6A4B" w14:textId="1886DB0F" w:rsidR="00E55B5C" w:rsidRDefault="00E55B5C" w:rsidP="005B184F">
      <w:pPr>
        <w:rPr>
          <w:rFonts w:eastAsiaTheme="minorEastAsia"/>
          <w:color w:val="000000" w:themeColor="text1"/>
          <w:lang w:val="en-US"/>
        </w:rPr>
      </w:pPr>
      <w:r w:rsidRPr="00E55B5C">
        <w:rPr>
          <w:rFonts w:eastAsiaTheme="minorEastAsia"/>
          <w:color w:val="000000" w:themeColor="text1"/>
          <w:lang w:val="en-US"/>
        </w:rPr>
        <w:lastRenderedPageBreak/>
        <w:t xml:space="preserve">Oner, C. (2024). </w:t>
      </w:r>
      <w:r w:rsidRPr="00E55B5C">
        <w:rPr>
          <w:rFonts w:eastAsiaTheme="minorEastAsia"/>
          <w:i/>
          <w:iCs/>
          <w:color w:val="000000" w:themeColor="text1"/>
          <w:lang w:val="en-US"/>
        </w:rPr>
        <w:t>Inflation: Prices on the Rise</w:t>
      </w:r>
      <w:r w:rsidRPr="00E55B5C">
        <w:rPr>
          <w:rFonts w:eastAsiaTheme="minorEastAsia"/>
          <w:color w:val="000000" w:themeColor="text1"/>
          <w:lang w:val="en-US"/>
        </w:rPr>
        <w:t xml:space="preserve">. [online] International Monetary Fund. Available at: </w:t>
      </w:r>
      <w:hyperlink r:id="rId26" w:history="1">
        <w:r w:rsidR="00DE7CCF" w:rsidRPr="005E4700">
          <w:rPr>
            <w:rStyle w:val="Hyperlink"/>
            <w:rFonts w:eastAsiaTheme="minorEastAsia"/>
            <w:lang w:val="en-US"/>
          </w:rPr>
          <w:t>https://www.imf.org/en/Publications/fandd/issues/Series/Back-to-Basics/Inflation</w:t>
        </w:r>
      </w:hyperlink>
      <w:r w:rsidRPr="00E55B5C">
        <w:rPr>
          <w:rFonts w:eastAsiaTheme="minorEastAsia"/>
          <w:color w:val="000000" w:themeColor="text1"/>
          <w:lang w:val="en-US"/>
        </w:rPr>
        <w:t>.</w:t>
      </w:r>
    </w:p>
    <w:p w14:paraId="112378A8" w14:textId="77777777" w:rsidR="00DE7CCF" w:rsidRDefault="00DE7CCF" w:rsidP="005B184F">
      <w:pPr>
        <w:rPr>
          <w:rFonts w:eastAsiaTheme="minorEastAsia"/>
          <w:color w:val="000000" w:themeColor="text1"/>
          <w:lang w:val="en-US"/>
        </w:rPr>
      </w:pPr>
    </w:p>
    <w:p w14:paraId="5FE71E13" w14:textId="615B1047" w:rsidR="00DE7CCF" w:rsidRPr="00E55B5C" w:rsidRDefault="00DE7CCF" w:rsidP="005B184F">
      <w:pPr>
        <w:rPr>
          <w:rFonts w:eastAsiaTheme="minorEastAsia"/>
          <w:color w:val="000000" w:themeColor="text1"/>
          <w:lang w:val="en-US"/>
        </w:rPr>
      </w:pPr>
      <w:proofErr w:type="gramStart"/>
      <w:r w:rsidRPr="00DE7CCF">
        <w:rPr>
          <w:rFonts w:eastAsiaTheme="minorEastAsia"/>
          <w:color w:val="000000" w:themeColor="text1"/>
          <w:lang w:val="en-US"/>
        </w:rPr>
        <w:t>Scherrer ,</w:t>
      </w:r>
      <w:proofErr w:type="gramEnd"/>
      <w:r w:rsidRPr="00DE7CCF">
        <w:rPr>
          <w:rFonts w:eastAsiaTheme="minorEastAsia"/>
          <w:color w:val="000000" w:themeColor="text1"/>
          <w:lang w:val="en-US"/>
        </w:rPr>
        <w:t xml:space="preserve"> C. and Horn, N. (2020). The Political Economy of Asset versus Consumer Inflation. [online] IMK. Available at: https://www.imk-boeckler.de/data/downloads/IMK/FMM%20Konferenz%202023/v_2023_10_20_scherrer.pdf.</w:t>
      </w:r>
    </w:p>
    <w:p w14:paraId="2340054D" w14:textId="77777777" w:rsidR="00205F94" w:rsidRPr="00E55B5C" w:rsidRDefault="00205F94" w:rsidP="005B184F">
      <w:pPr>
        <w:rPr>
          <w:rFonts w:eastAsiaTheme="minorEastAsia"/>
          <w:color w:val="000000" w:themeColor="text1"/>
        </w:rPr>
      </w:pPr>
    </w:p>
    <w:p w14:paraId="374209A3" w14:textId="77777777" w:rsidR="00605487" w:rsidRPr="00605487" w:rsidRDefault="00605487" w:rsidP="00605487">
      <w:pPr>
        <w:rPr>
          <w:rFonts w:eastAsiaTheme="minorEastAsia"/>
          <w:color w:val="000000" w:themeColor="text1"/>
          <w:lang w:val="en-US"/>
        </w:rPr>
      </w:pPr>
      <w:proofErr w:type="spellStart"/>
      <w:r w:rsidRPr="00605487">
        <w:rPr>
          <w:rFonts w:eastAsiaTheme="minorEastAsia"/>
          <w:color w:val="000000" w:themeColor="text1"/>
          <w:lang w:val="en-US"/>
        </w:rPr>
        <w:t>Schito</w:t>
      </w:r>
      <w:proofErr w:type="spellEnd"/>
      <w:r w:rsidRPr="00605487">
        <w:rPr>
          <w:rFonts w:eastAsiaTheme="minorEastAsia"/>
          <w:color w:val="000000" w:themeColor="text1"/>
          <w:lang w:val="en-US"/>
        </w:rPr>
        <w:t xml:space="preserve">, M., </w:t>
      </w:r>
      <w:proofErr w:type="spellStart"/>
      <w:proofErr w:type="gramStart"/>
      <w:r w:rsidRPr="00605487">
        <w:rPr>
          <w:rFonts w:eastAsiaTheme="minorEastAsia"/>
          <w:color w:val="000000" w:themeColor="text1"/>
          <w:lang w:val="en-US"/>
        </w:rPr>
        <w:t>Klimavičiūtė</w:t>
      </w:r>
      <w:proofErr w:type="spellEnd"/>
      <w:r w:rsidRPr="00605487">
        <w:rPr>
          <w:rFonts w:eastAsiaTheme="minorEastAsia"/>
          <w:color w:val="000000" w:themeColor="text1"/>
          <w:lang w:val="en-US"/>
        </w:rPr>
        <w:t xml:space="preserve"> ,</w:t>
      </w:r>
      <w:proofErr w:type="gramEnd"/>
      <w:r w:rsidRPr="00605487">
        <w:rPr>
          <w:rFonts w:eastAsiaTheme="minorEastAsia"/>
          <w:color w:val="000000" w:themeColor="text1"/>
          <w:lang w:val="en-US"/>
        </w:rPr>
        <w:t xml:space="preserve"> L. and </w:t>
      </w:r>
      <w:proofErr w:type="spellStart"/>
      <w:r w:rsidRPr="00605487">
        <w:rPr>
          <w:rFonts w:eastAsiaTheme="minorEastAsia"/>
          <w:color w:val="000000" w:themeColor="text1"/>
          <w:lang w:val="en-US"/>
        </w:rPr>
        <w:t>Pál</w:t>
      </w:r>
      <w:proofErr w:type="spellEnd"/>
      <w:r w:rsidRPr="00605487">
        <w:rPr>
          <w:rFonts w:eastAsiaTheme="minorEastAsia"/>
          <w:color w:val="000000" w:themeColor="text1"/>
          <w:lang w:val="en-US"/>
        </w:rPr>
        <w:t xml:space="preserve">, R. (2024). </w:t>
      </w:r>
      <w:r w:rsidRPr="00605487">
        <w:rPr>
          <w:rFonts w:eastAsiaTheme="minorEastAsia"/>
          <w:i/>
          <w:iCs/>
          <w:color w:val="000000" w:themeColor="text1"/>
          <w:lang w:val="en-US"/>
        </w:rPr>
        <w:t>Investment Decisions in a high-inflation Environment</w:t>
      </w:r>
      <w:r w:rsidRPr="00605487">
        <w:rPr>
          <w:rFonts w:eastAsiaTheme="minorEastAsia"/>
          <w:color w:val="000000" w:themeColor="text1"/>
          <w:lang w:val="en-US"/>
        </w:rPr>
        <w:t>. [online] Available at: https://www.eib.org/attachments/lucalli/20240244_economics_working_paper_2024_03_en.pdf.</w:t>
      </w:r>
    </w:p>
    <w:p w14:paraId="5C468D2A" w14:textId="77777777" w:rsidR="00605487" w:rsidRPr="00E55B5C" w:rsidRDefault="00605487" w:rsidP="005B184F">
      <w:pPr>
        <w:rPr>
          <w:rFonts w:eastAsiaTheme="minorEastAsia"/>
          <w:color w:val="000000" w:themeColor="text1"/>
          <w:lang w:val="en-US"/>
        </w:rPr>
      </w:pPr>
    </w:p>
    <w:p w14:paraId="2D9A3BDF" w14:textId="53F5ED0A" w:rsidR="00880E8A" w:rsidRDefault="00E55B5C" w:rsidP="005B184F">
      <w:pPr>
        <w:rPr>
          <w:color w:val="000000" w:themeColor="text1"/>
          <w:lang w:val="en-US"/>
        </w:rPr>
      </w:pPr>
      <w:r w:rsidRPr="00E55B5C">
        <w:rPr>
          <w:color w:val="000000" w:themeColor="text1"/>
          <w:lang w:val="en-US"/>
        </w:rPr>
        <w:t>Shaban, O.S., Al-Attar, M., Al-</w:t>
      </w:r>
      <w:proofErr w:type="spellStart"/>
      <w:r w:rsidRPr="00E55B5C">
        <w:rPr>
          <w:color w:val="000000" w:themeColor="text1"/>
          <w:lang w:val="en-US"/>
        </w:rPr>
        <w:t>hawatmah</w:t>
      </w:r>
      <w:proofErr w:type="spellEnd"/>
      <w:r w:rsidRPr="00E55B5C">
        <w:rPr>
          <w:color w:val="000000" w:themeColor="text1"/>
          <w:lang w:val="en-US"/>
        </w:rPr>
        <w:t xml:space="preserve">, Z. and Ali, N.N. (2019). Consumer Price Index (CPI) as a Competitiveness Inflation measure: Evidence from Jordan. Journal of Governance and Regulation, 8(2), pp.17–22. </w:t>
      </w:r>
      <w:proofErr w:type="spellStart"/>
      <w:proofErr w:type="gramStart"/>
      <w:r w:rsidRPr="00E55B5C">
        <w:rPr>
          <w:color w:val="000000" w:themeColor="text1"/>
          <w:lang w:val="en-US"/>
        </w:rPr>
        <w:t>doi:https</w:t>
      </w:r>
      <w:proofErr w:type="spellEnd"/>
      <w:r w:rsidRPr="00E55B5C">
        <w:rPr>
          <w:color w:val="000000" w:themeColor="text1"/>
          <w:lang w:val="en-US"/>
        </w:rPr>
        <w:t>://doi.org/10.22495/jgr_v8_i2_p2</w:t>
      </w:r>
      <w:proofErr w:type="gramEnd"/>
      <w:r w:rsidRPr="00E55B5C">
        <w:rPr>
          <w:color w:val="000000" w:themeColor="text1"/>
          <w:lang w:val="en-US"/>
        </w:rPr>
        <w:t>.</w:t>
      </w:r>
    </w:p>
    <w:p w14:paraId="45FC3E7E" w14:textId="77777777" w:rsidR="004174E6" w:rsidRDefault="004174E6" w:rsidP="005B184F">
      <w:pPr>
        <w:rPr>
          <w:color w:val="000000" w:themeColor="text1"/>
          <w:lang w:val="en-US"/>
        </w:rPr>
      </w:pPr>
    </w:p>
    <w:p w14:paraId="1C735C5D" w14:textId="31E268F0" w:rsidR="004174E6" w:rsidRPr="004174E6" w:rsidRDefault="004174E6" w:rsidP="005B184F">
      <w:pPr>
        <w:rPr>
          <w:color w:val="000000" w:themeColor="text1"/>
        </w:rPr>
      </w:pPr>
      <w:proofErr w:type="spellStart"/>
      <w:r w:rsidRPr="004174E6">
        <w:rPr>
          <w:color w:val="000000" w:themeColor="text1"/>
        </w:rPr>
        <w:t>Soós</w:t>
      </w:r>
      <w:proofErr w:type="spellEnd"/>
      <w:r w:rsidRPr="004174E6">
        <w:rPr>
          <w:color w:val="000000" w:themeColor="text1"/>
        </w:rPr>
        <w:t xml:space="preserve">, G. and </w:t>
      </w:r>
      <w:proofErr w:type="spellStart"/>
      <w:r w:rsidRPr="004174E6">
        <w:rPr>
          <w:color w:val="000000" w:themeColor="text1"/>
        </w:rPr>
        <w:t>Kozák</w:t>
      </w:r>
      <w:proofErr w:type="spellEnd"/>
      <w:r w:rsidRPr="004174E6">
        <w:rPr>
          <w:color w:val="000000" w:themeColor="text1"/>
        </w:rPr>
        <w:t xml:space="preserve">, T.J. (2022) ‘The Role of the Retail Sector in the Taiwanese Macroeconomy’. Available at: https://www.researchgate.net/profile/Gabriella-Soos/publication/367200840_The_Role_of_the_Retail_Sector_in_the_Taiwanese_Macroeconomy/links/644d3a6097449a0e1a67ea01/The-Role-of-the-Retail-Sector-in-the-Taiwanese-Macroeconomy.pdf </w:t>
      </w:r>
      <w:r>
        <w:rPr>
          <w:color w:val="000000" w:themeColor="text1"/>
        </w:rPr>
        <w:t xml:space="preserve"> </w:t>
      </w:r>
    </w:p>
    <w:p w14:paraId="148864F9" w14:textId="77777777" w:rsidR="008F787C" w:rsidRDefault="008F787C" w:rsidP="005B184F">
      <w:pPr>
        <w:rPr>
          <w:color w:val="000000" w:themeColor="text1"/>
          <w:lang w:val="en-US"/>
        </w:rPr>
      </w:pPr>
    </w:p>
    <w:p w14:paraId="5B0794AB" w14:textId="77777777" w:rsidR="00683097" w:rsidRPr="00683097" w:rsidRDefault="00683097" w:rsidP="00683097">
      <w:pPr>
        <w:rPr>
          <w:color w:val="000000" w:themeColor="text1"/>
        </w:rPr>
      </w:pPr>
      <w:proofErr w:type="spellStart"/>
      <w:r w:rsidRPr="00683097">
        <w:rPr>
          <w:color w:val="000000" w:themeColor="text1"/>
        </w:rPr>
        <w:t>Sule</w:t>
      </w:r>
      <w:proofErr w:type="spellEnd"/>
      <w:r w:rsidRPr="00683097">
        <w:rPr>
          <w:color w:val="000000" w:themeColor="text1"/>
        </w:rPr>
        <w:t xml:space="preserve">, A.S. (2024). </w:t>
      </w:r>
      <w:r w:rsidRPr="00683097">
        <w:rPr>
          <w:i/>
          <w:iCs/>
          <w:color w:val="000000" w:themeColor="text1"/>
        </w:rPr>
        <w:t>The Impact of Inflation on the Business Cycle and Economic Growth: An Empirical Analysis</w:t>
      </w:r>
      <w:r w:rsidRPr="00683097">
        <w:rPr>
          <w:color w:val="000000" w:themeColor="text1"/>
        </w:rPr>
        <w:t>. [online] Research Parks Publishing. Available at: https://journals.researchparks.org/index.php/IJEFSD [Accessed Nov. 2024].</w:t>
      </w:r>
    </w:p>
    <w:p w14:paraId="33B89E4B" w14:textId="3A7FFC87" w:rsidR="008F787C" w:rsidRPr="00683097" w:rsidRDefault="008F787C" w:rsidP="00683097">
      <w:pPr>
        <w:rPr>
          <w:color w:val="000000" w:themeColor="text1"/>
        </w:rPr>
      </w:pPr>
    </w:p>
    <w:sectPr w:rsidR="008F787C" w:rsidRPr="00683097" w:rsidSect="005E409D">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8FC25F" w14:textId="77777777" w:rsidR="00207787" w:rsidRDefault="00207787" w:rsidP="003658A1">
      <w:r>
        <w:separator/>
      </w:r>
    </w:p>
  </w:endnote>
  <w:endnote w:type="continuationSeparator" w:id="0">
    <w:p w14:paraId="5249E3AF" w14:textId="77777777" w:rsidR="00207787" w:rsidRDefault="00207787" w:rsidP="003658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FKai-SB">
    <w:altName w:val="Microsoft YaHei"/>
    <w:panose1 w:val="020B0604020202020204"/>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C20B47" w14:textId="77777777" w:rsidR="00A60EF4" w:rsidRDefault="00A60EF4" w:rsidP="000C1A1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i</w:t>
    </w:r>
    <w:r>
      <w:rPr>
        <w:rStyle w:val="PageNumber"/>
      </w:rPr>
      <w:fldChar w:fldCharType="end"/>
    </w:r>
  </w:p>
  <w:p w14:paraId="673750F2" w14:textId="77777777" w:rsidR="00A60EF4" w:rsidRDefault="00A60EF4" w:rsidP="000C1A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58773095"/>
      <w:docPartObj>
        <w:docPartGallery w:val="Page Numbers (Bottom of Page)"/>
        <w:docPartUnique/>
      </w:docPartObj>
    </w:sdtPr>
    <w:sdtContent>
      <w:p w14:paraId="2BC5C6CD" w14:textId="10914540" w:rsidR="00A60EF4" w:rsidRDefault="00A60EF4" w:rsidP="007015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8283D05" w14:textId="6E3A9361" w:rsidR="00A60EF4" w:rsidRDefault="00A60EF4" w:rsidP="000C1A1D">
    <w:pPr>
      <w:pStyle w:val="Footer"/>
      <w:framePr w:wrap="none" w:vAnchor="text" w:hAnchor="margin" w:xAlign="right" w:y="1"/>
      <w:ind w:right="360"/>
      <w:rPr>
        <w:rStyle w:val="PageNumber"/>
      </w:rPr>
    </w:pPr>
  </w:p>
  <w:p w14:paraId="025C948E" w14:textId="77777777" w:rsidR="00A60EF4" w:rsidRDefault="00A60EF4">
    <w:pPr>
      <w:pStyle w:val="Footer"/>
      <w:framePr w:wrap="around" w:vAnchor="text" w:hAnchor="margin" w:xAlign="center" w:y="1"/>
      <w:rPr>
        <w:rStyle w:val="PageNumber"/>
      </w:rPr>
    </w:pPr>
  </w:p>
  <w:p w14:paraId="34BBC4D5" w14:textId="77777777" w:rsidR="00A60EF4" w:rsidRDefault="00A60EF4">
    <w:pPr>
      <w:pStyle w:val="Footer"/>
      <w:framePr w:wrap="around" w:vAnchor="text" w:hAnchor="margin" w:xAlign="center" w:y="1"/>
      <w:rPr>
        <w:rStyle w:val="PageNumber"/>
      </w:rPr>
    </w:pPr>
  </w:p>
  <w:p w14:paraId="227AF088" w14:textId="77777777" w:rsidR="00A60EF4" w:rsidRDefault="00A60EF4">
    <w:pPr>
      <w:pStyle w:val="Footer"/>
      <w:framePr w:wrap="around" w:vAnchor="text" w:hAnchor="margin" w:xAlign="center" w:y="1"/>
      <w:rPr>
        <w:rStyle w:val="PageNumber"/>
      </w:rPr>
    </w:pPr>
  </w:p>
  <w:p w14:paraId="616A5105" w14:textId="77777777" w:rsidR="00A60EF4" w:rsidRDefault="00A60EF4">
    <w:pPr>
      <w:pStyle w:val="Footer"/>
      <w:framePr w:wrap="around" w:vAnchor="text" w:hAnchor="margin" w:xAlign="center" w:y="1"/>
      <w:rPr>
        <w:rStyle w:val="PageNumber"/>
      </w:rPr>
    </w:pPr>
  </w:p>
  <w:p w14:paraId="5E4C7E9B" w14:textId="75CC2C3C" w:rsidR="00A60EF4" w:rsidRDefault="00A60EF4" w:rsidP="00BF7143">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86002513"/>
      <w:docPartObj>
        <w:docPartGallery w:val="Page Numbers (Bottom of Page)"/>
        <w:docPartUnique/>
      </w:docPartObj>
    </w:sdtPr>
    <w:sdtContent>
      <w:p w14:paraId="18C8E9D8" w14:textId="3C886070" w:rsidR="00A60EF4" w:rsidRDefault="00A60EF4" w:rsidP="007015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86772">
          <w:rPr>
            <w:rStyle w:val="PageNumber"/>
            <w:noProof/>
          </w:rPr>
          <w:t>2</w:t>
        </w:r>
        <w:r>
          <w:rPr>
            <w:rStyle w:val="PageNumber"/>
          </w:rPr>
          <w:fldChar w:fldCharType="end"/>
        </w:r>
      </w:p>
    </w:sdtContent>
  </w:sdt>
  <w:p w14:paraId="6EBFC3FB" w14:textId="77777777" w:rsidR="00A60EF4" w:rsidRDefault="00A60EF4" w:rsidP="000C1A1D">
    <w:pPr>
      <w:pStyle w:val="Footer"/>
      <w:framePr w:wrap="none" w:vAnchor="text" w:hAnchor="margin" w:xAlign="right" w:y="1"/>
      <w:ind w:right="360"/>
      <w:rPr>
        <w:rStyle w:val="PageNumber"/>
      </w:rPr>
    </w:pPr>
  </w:p>
  <w:p w14:paraId="4DCE5D15" w14:textId="77777777" w:rsidR="00A60EF4" w:rsidRDefault="00A60EF4">
    <w:pPr>
      <w:pStyle w:val="Footer"/>
      <w:framePr w:wrap="around" w:vAnchor="text" w:hAnchor="margin" w:xAlign="center" w:y="1"/>
      <w:rPr>
        <w:rStyle w:val="PageNumber"/>
      </w:rPr>
    </w:pPr>
  </w:p>
  <w:p w14:paraId="00D5D3DC" w14:textId="77777777" w:rsidR="00A60EF4" w:rsidRDefault="00A60EF4">
    <w:pPr>
      <w:pStyle w:val="Footer"/>
      <w:framePr w:wrap="around" w:vAnchor="text" w:hAnchor="margin" w:xAlign="center" w:y="1"/>
      <w:rPr>
        <w:rStyle w:val="PageNumber"/>
      </w:rPr>
    </w:pPr>
  </w:p>
  <w:p w14:paraId="262D619C" w14:textId="77777777" w:rsidR="00A60EF4" w:rsidRDefault="00A60EF4">
    <w:pPr>
      <w:pStyle w:val="Footer"/>
      <w:framePr w:wrap="around" w:vAnchor="text" w:hAnchor="margin" w:xAlign="center" w:y="1"/>
      <w:rPr>
        <w:rStyle w:val="PageNumber"/>
      </w:rPr>
    </w:pPr>
  </w:p>
  <w:p w14:paraId="36066A7A" w14:textId="77777777" w:rsidR="00A60EF4" w:rsidRDefault="00A60EF4">
    <w:pPr>
      <w:pStyle w:val="Footer"/>
      <w:framePr w:wrap="around" w:vAnchor="text" w:hAnchor="margin" w:xAlign="center" w:y="1"/>
      <w:rPr>
        <w:rStyle w:val="PageNumber"/>
      </w:rPr>
    </w:pPr>
  </w:p>
  <w:p w14:paraId="2F2F9044" w14:textId="77777777" w:rsidR="00A60EF4" w:rsidRDefault="00A60EF4" w:rsidP="00BF714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CCC9C3" w14:textId="77777777" w:rsidR="00207787" w:rsidRDefault="00207787" w:rsidP="003658A1">
      <w:r>
        <w:separator/>
      </w:r>
    </w:p>
  </w:footnote>
  <w:footnote w:type="continuationSeparator" w:id="0">
    <w:p w14:paraId="5189D40F" w14:textId="77777777" w:rsidR="00207787" w:rsidRDefault="00207787" w:rsidP="003658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A7E70"/>
    <w:multiLevelType w:val="hybridMultilevel"/>
    <w:tmpl w:val="74625512"/>
    <w:lvl w:ilvl="0" w:tplc="46E4F89E">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A3429"/>
    <w:multiLevelType w:val="multilevel"/>
    <w:tmpl w:val="2094597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color w:val="000000" w:themeColor="text1"/>
      </w:rPr>
    </w:lvl>
    <w:lvl w:ilvl="2">
      <w:start w:val="1"/>
      <w:numFmt w:val="decimal"/>
      <w:isLgl/>
      <w:lvlText w:val="%1.%2.%3"/>
      <w:lvlJc w:val="left"/>
      <w:pPr>
        <w:ind w:left="1080" w:hanging="720"/>
      </w:pPr>
      <w:rPr>
        <w:rFonts w:hint="default"/>
        <w:color w:val="000000" w:themeColor="text1"/>
      </w:rPr>
    </w:lvl>
    <w:lvl w:ilvl="3">
      <w:start w:val="1"/>
      <w:numFmt w:val="decimal"/>
      <w:isLgl/>
      <w:lvlText w:val="%1.%2.%3.%4"/>
      <w:lvlJc w:val="left"/>
      <w:pPr>
        <w:ind w:left="1080" w:hanging="720"/>
      </w:pPr>
      <w:rPr>
        <w:rFonts w:hint="default"/>
        <w:color w:val="000000" w:themeColor="text1"/>
      </w:rPr>
    </w:lvl>
    <w:lvl w:ilvl="4">
      <w:start w:val="1"/>
      <w:numFmt w:val="decimal"/>
      <w:isLgl/>
      <w:lvlText w:val="%1.%2.%3.%4.%5"/>
      <w:lvlJc w:val="left"/>
      <w:pPr>
        <w:ind w:left="1440" w:hanging="1080"/>
      </w:pPr>
      <w:rPr>
        <w:rFonts w:hint="default"/>
        <w:color w:val="000000" w:themeColor="text1"/>
      </w:rPr>
    </w:lvl>
    <w:lvl w:ilvl="5">
      <w:start w:val="1"/>
      <w:numFmt w:val="decimal"/>
      <w:isLgl/>
      <w:lvlText w:val="%1.%2.%3.%4.%5.%6"/>
      <w:lvlJc w:val="left"/>
      <w:pPr>
        <w:ind w:left="1440" w:hanging="1080"/>
      </w:pPr>
      <w:rPr>
        <w:rFonts w:hint="default"/>
        <w:color w:val="000000" w:themeColor="text1"/>
      </w:rPr>
    </w:lvl>
    <w:lvl w:ilvl="6">
      <w:start w:val="1"/>
      <w:numFmt w:val="decimal"/>
      <w:isLgl/>
      <w:lvlText w:val="%1.%2.%3.%4.%5.%6.%7"/>
      <w:lvlJc w:val="left"/>
      <w:pPr>
        <w:ind w:left="1800" w:hanging="1440"/>
      </w:pPr>
      <w:rPr>
        <w:rFonts w:hint="default"/>
        <w:color w:val="000000" w:themeColor="text1"/>
      </w:rPr>
    </w:lvl>
    <w:lvl w:ilvl="7">
      <w:start w:val="1"/>
      <w:numFmt w:val="decimal"/>
      <w:isLgl/>
      <w:lvlText w:val="%1.%2.%3.%4.%5.%6.%7.%8"/>
      <w:lvlJc w:val="left"/>
      <w:pPr>
        <w:ind w:left="1800" w:hanging="1440"/>
      </w:pPr>
      <w:rPr>
        <w:rFonts w:hint="default"/>
        <w:color w:val="000000" w:themeColor="text1"/>
      </w:rPr>
    </w:lvl>
    <w:lvl w:ilvl="8">
      <w:start w:val="1"/>
      <w:numFmt w:val="decimal"/>
      <w:isLgl/>
      <w:lvlText w:val="%1.%2.%3.%4.%5.%6.%7.%8.%9"/>
      <w:lvlJc w:val="left"/>
      <w:pPr>
        <w:ind w:left="2160" w:hanging="1800"/>
      </w:pPr>
      <w:rPr>
        <w:rFonts w:hint="default"/>
        <w:color w:val="000000" w:themeColor="text1"/>
      </w:rPr>
    </w:lvl>
  </w:abstractNum>
  <w:abstractNum w:abstractNumId="2" w15:restartNumberingAfterBreak="0">
    <w:nsid w:val="178F7064"/>
    <w:multiLevelType w:val="hybridMultilevel"/>
    <w:tmpl w:val="B89E2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454441"/>
    <w:multiLevelType w:val="hybridMultilevel"/>
    <w:tmpl w:val="FF1ED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3A58C2"/>
    <w:multiLevelType w:val="multilevel"/>
    <w:tmpl w:val="69706DD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C8238B"/>
    <w:multiLevelType w:val="multilevel"/>
    <w:tmpl w:val="7DEEAC2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29671B7"/>
    <w:multiLevelType w:val="hybridMultilevel"/>
    <w:tmpl w:val="0BD8D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8B5C1F"/>
    <w:multiLevelType w:val="hybridMultilevel"/>
    <w:tmpl w:val="6108CC2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181624"/>
    <w:multiLevelType w:val="hybridMultilevel"/>
    <w:tmpl w:val="9BD825BA"/>
    <w:lvl w:ilvl="0" w:tplc="02666EAE">
      <w:start w:val="1"/>
      <w:numFmt w:val="decimal"/>
      <w:lvlText w:val="%1."/>
      <w:lvlJc w:val="left"/>
      <w:pPr>
        <w:ind w:left="720" w:hanging="360"/>
      </w:pPr>
      <w:rPr>
        <w:rFonts w:asciiTheme="minorHAnsi" w:eastAsiaTheme="minorEastAsia"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BC65A2"/>
    <w:multiLevelType w:val="hybridMultilevel"/>
    <w:tmpl w:val="15BAD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EB1CAC"/>
    <w:multiLevelType w:val="multilevel"/>
    <w:tmpl w:val="4418D5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573413"/>
    <w:multiLevelType w:val="hybridMultilevel"/>
    <w:tmpl w:val="E44A8A82"/>
    <w:lvl w:ilvl="0" w:tplc="3AE0124A">
      <w:start w:val="2"/>
      <w:numFmt w:val="bullet"/>
      <w:lvlText w:val="-"/>
      <w:lvlJc w:val="left"/>
      <w:pPr>
        <w:ind w:left="720" w:hanging="360"/>
      </w:pPr>
      <w:rPr>
        <w:rFonts w:ascii="Calibri" w:eastAsia="PMingLiU"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500599"/>
    <w:multiLevelType w:val="multilevel"/>
    <w:tmpl w:val="DA22F0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56659317">
    <w:abstractNumId w:val="6"/>
  </w:num>
  <w:num w:numId="2" w16cid:durableId="1296519005">
    <w:abstractNumId w:val="9"/>
  </w:num>
  <w:num w:numId="3" w16cid:durableId="1992366219">
    <w:abstractNumId w:val="3"/>
  </w:num>
  <w:num w:numId="4" w16cid:durableId="1519465309">
    <w:abstractNumId w:val="8"/>
  </w:num>
  <w:num w:numId="5" w16cid:durableId="1790317388">
    <w:abstractNumId w:val="2"/>
  </w:num>
  <w:num w:numId="6" w16cid:durableId="477263508">
    <w:abstractNumId w:val="10"/>
  </w:num>
  <w:num w:numId="7" w16cid:durableId="739333562">
    <w:abstractNumId w:val="1"/>
  </w:num>
  <w:num w:numId="8" w16cid:durableId="1528521210">
    <w:abstractNumId w:val="11"/>
  </w:num>
  <w:num w:numId="9" w16cid:durableId="623732519">
    <w:abstractNumId w:val="12"/>
  </w:num>
  <w:num w:numId="10" w16cid:durableId="1913656444">
    <w:abstractNumId w:val="0"/>
  </w:num>
  <w:num w:numId="11" w16cid:durableId="875311292">
    <w:abstractNumId w:val="5"/>
  </w:num>
  <w:num w:numId="12" w16cid:durableId="912088884">
    <w:abstractNumId w:val="7"/>
  </w:num>
  <w:num w:numId="13" w16cid:durableId="15280625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6"/>
  <w:bordersDoNotSurroundHeader/>
  <w:bordersDoNotSurroundFooter/>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84F"/>
    <w:rsid w:val="000074A3"/>
    <w:rsid w:val="0000793D"/>
    <w:rsid w:val="0001003B"/>
    <w:rsid w:val="00012DD3"/>
    <w:rsid w:val="0001535A"/>
    <w:rsid w:val="0001665E"/>
    <w:rsid w:val="00017E01"/>
    <w:rsid w:val="00021D38"/>
    <w:rsid w:val="000224A9"/>
    <w:rsid w:val="00034830"/>
    <w:rsid w:val="00036409"/>
    <w:rsid w:val="000372F1"/>
    <w:rsid w:val="00051B46"/>
    <w:rsid w:val="00074CA6"/>
    <w:rsid w:val="00081C72"/>
    <w:rsid w:val="00085F44"/>
    <w:rsid w:val="00086775"/>
    <w:rsid w:val="000868D2"/>
    <w:rsid w:val="00086A64"/>
    <w:rsid w:val="00087218"/>
    <w:rsid w:val="000914BD"/>
    <w:rsid w:val="000933E5"/>
    <w:rsid w:val="000A7A43"/>
    <w:rsid w:val="000B197E"/>
    <w:rsid w:val="000B7FB1"/>
    <w:rsid w:val="000C1779"/>
    <w:rsid w:val="000C1A1D"/>
    <w:rsid w:val="000C2052"/>
    <w:rsid w:val="000C5337"/>
    <w:rsid w:val="000C7952"/>
    <w:rsid w:val="000D4CCF"/>
    <w:rsid w:val="000D55A9"/>
    <w:rsid w:val="000D7161"/>
    <w:rsid w:val="000D7164"/>
    <w:rsid w:val="000D7C9B"/>
    <w:rsid w:val="000E39FA"/>
    <w:rsid w:val="000E5071"/>
    <w:rsid w:val="000E6CC2"/>
    <w:rsid w:val="000F5931"/>
    <w:rsid w:val="000F5FAA"/>
    <w:rsid w:val="000F7C1C"/>
    <w:rsid w:val="001036F4"/>
    <w:rsid w:val="00105DF8"/>
    <w:rsid w:val="001072A6"/>
    <w:rsid w:val="001125FC"/>
    <w:rsid w:val="0011620A"/>
    <w:rsid w:val="00120183"/>
    <w:rsid w:val="001246EC"/>
    <w:rsid w:val="00125386"/>
    <w:rsid w:val="00133587"/>
    <w:rsid w:val="001343DE"/>
    <w:rsid w:val="0013501C"/>
    <w:rsid w:val="0013509E"/>
    <w:rsid w:val="00135F7A"/>
    <w:rsid w:val="001361E4"/>
    <w:rsid w:val="00143A3B"/>
    <w:rsid w:val="0015148D"/>
    <w:rsid w:val="001532B1"/>
    <w:rsid w:val="00155890"/>
    <w:rsid w:val="001566CF"/>
    <w:rsid w:val="001640E0"/>
    <w:rsid w:val="00166225"/>
    <w:rsid w:val="00172D9E"/>
    <w:rsid w:val="00173784"/>
    <w:rsid w:val="00174E94"/>
    <w:rsid w:val="0017686C"/>
    <w:rsid w:val="00180D68"/>
    <w:rsid w:val="00191730"/>
    <w:rsid w:val="00194F64"/>
    <w:rsid w:val="00195A2E"/>
    <w:rsid w:val="001A1507"/>
    <w:rsid w:val="001A4F15"/>
    <w:rsid w:val="001A562A"/>
    <w:rsid w:val="001B38A5"/>
    <w:rsid w:val="001C4228"/>
    <w:rsid w:val="001C4C1F"/>
    <w:rsid w:val="001C4E4D"/>
    <w:rsid w:val="001C6D6E"/>
    <w:rsid w:val="001D0EDA"/>
    <w:rsid w:val="001D1E98"/>
    <w:rsid w:val="001D3916"/>
    <w:rsid w:val="001E14C1"/>
    <w:rsid w:val="001E4DC5"/>
    <w:rsid w:val="001F2C38"/>
    <w:rsid w:val="001F5C28"/>
    <w:rsid w:val="00200009"/>
    <w:rsid w:val="00201342"/>
    <w:rsid w:val="00203647"/>
    <w:rsid w:val="00205B25"/>
    <w:rsid w:val="00205F94"/>
    <w:rsid w:val="00207603"/>
    <w:rsid w:val="00207787"/>
    <w:rsid w:val="00212C82"/>
    <w:rsid w:val="002144B1"/>
    <w:rsid w:val="0021687B"/>
    <w:rsid w:val="00217313"/>
    <w:rsid w:val="00217929"/>
    <w:rsid w:val="00223024"/>
    <w:rsid w:val="00223157"/>
    <w:rsid w:val="00223C0C"/>
    <w:rsid w:val="0022443B"/>
    <w:rsid w:val="00224E88"/>
    <w:rsid w:val="0023005C"/>
    <w:rsid w:val="00230100"/>
    <w:rsid w:val="0023064F"/>
    <w:rsid w:val="002315CE"/>
    <w:rsid w:val="002347D9"/>
    <w:rsid w:val="0024014A"/>
    <w:rsid w:val="00241BF8"/>
    <w:rsid w:val="0024665C"/>
    <w:rsid w:val="00246EE0"/>
    <w:rsid w:val="00252626"/>
    <w:rsid w:val="00267478"/>
    <w:rsid w:val="002723E9"/>
    <w:rsid w:val="00275C9C"/>
    <w:rsid w:val="00277653"/>
    <w:rsid w:val="00281DD2"/>
    <w:rsid w:val="00285695"/>
    <w:rsid w:val="00286A26"/>
    <w:rsid w:val="002912F3"/>
    <w:rsid w:val="00294CE6"/>
    <w:rsid w:val="002964FE"/>
    <w:rsid w:val="002A07A9"/>
    <w:rsid w:val="002A2A56"/>
    <w:rsid w:val="002A3078"/>
    <w:rsid w:val="002A4257"/>
    <w:rsid w:val="002B1D2F"/>
    <w:rsid w:val="002B40E7"/>
    <w:rsid w:val="002B4340"/>
    <w:rsid w:val="002C278D"/>
    <w:rsid w:val="002C2CDB"/>
    <w:rsid w:val="002C4440"/>
    <w:rsid w:val="002D02B3"/>
    <w:rsid w:val="002D3A5B"/>
    <w:rsid w:val="002D67FD"/>
    <w:rsid w:val="002D68C5"/>
    <w:rsid w:val="002D710C"/>
    <w:rsid w:val="002E3263"/>
    <w:rsid w:val="002E41C6"/>
    <w:rsid w:val="002E4A2F"/>
    <w:rsid w:val="002E4D12"/>
    <w:rsid w:val="002E5E96"/>
    <w:rsid w:val="002F3E8C"/>
    <w:rsid w:val="002F60CA"/>
    <w:rsid w:val="003038A3"/>
    <w:rsid w:val="00305675"/>
    <w:rsid w:val="00305AB7"/>
    <w:rsid w:val="00310B01"/>
    <w:rsid w:val="00311292"/>
    <w:rsid w:val="00312144"/>
    <w:rsid w:val="003151A1"/>
    <w:rsid w:val="00326168"/>
    <w:rsid w:val="00326DE0"/>
    <w:rsid w:val="0032793E"/>
    <w:rsid w:val="00335ECF"/>
    <w:rsid w:val="00344CE5"/>
    <w:rsid w:val="003508F3"/>
    <w:rsid w:val="00354830"/>
    <w:rsid w:val="00355E6D"/>
    <w:rsid w:val="00360DB3"/>
    <w:rsid w:val="00362A18"/>
    <w:rsid w:val="00362D9D"/>
    <w:rsid w:val="003658A1"/>
    <w:rsid w:val="00370672"/>
    <w:rsid w:val="003706B6"/>
    <w:rsid w:val="003748A7"/>
    <w:rsid w:val="00377AAD"/>
    <w:rsid w:val="0038105C"/>
    <w:rsid w:val="003813E4"/>
    <w:rsid w:val="00394055"/>
    <w:rsid w:val="00394DD8"/>
    <w:rsid w:val="00395F0A"/>
    <w:rsid w:val="003B30F9"/>
    <w:rsid w:val="003C06F0"/>
    <w:rsid w:val="003D16CE"/>
    <w:rsid w:val="003D69E2"/>
    <w:rsid w:val="003D76D1"/>
    <w:rsid w:val="003E0ABA"/>
    <w:rsid w:val="003E0E8D"/>
    <w:rsid w:val="003E4ACA"/>
    <w:rsid w:val="003E5DAB"/>
    <w:rsid w:val="003E7FE6"/>
    <w:rsid w:val="003F2F02"/>
    <w:rsid w:val="003F701A"/>
    <w:rsid w:val="00414530"/>
    <w:rsid w:val="004174E6"/>
    <w:rsid w:val="0042279B"/>
    <w:rsid w:val="004227FF"/>
    <w:rsid w:val="00426855"/>
    <w:rsid w:val="00426A85"/>
    <w:rsid w:val="004276DD"/>
    <w:rsid w:val="00427CD9"/>
    <w:rsid w:val="00430CC3"/>
    <w:rsid w:val="004313E5"/>
    <w:rsid w:val="00432CF5"/>
    <w:rsid w:val="0044035E"/>
    <w:rsid w:val="00445DF0"/>
    <w:rsid w:val="0045227D"/>
    <w:rsid w:val="00454E88"/>
    <w:rsid w:val="00455605"/>
    <w:rsid w:val="00456324"/>
    <w:rsid w:val="004637F0"/>
    <w:rsid w:val="00467025"/>
    <w:rsid w:val="00467659"/>
    <w:rsid w:val="0047385F"/>
    <w:rsid w:val="00474804"/>
    <w:rsid w:val="00476616"/>
    <w:rsid w:val="00480D71"/>
    <w:rsid w:val="0048183D"/>
    <w:rsid w:val="00486484"/>
    <w:rsid w:val="00492FF8"/>
    <w:rsid w:val="0049514D"/>
    <w:rsid w:val="00495C1E"/>
    <w:rsid w:val="004A016A"/>
    <w:rsid w:val="004A3BCA"/>
    <w:rsid w:val="004A5A39"/>
    <w:rsid w:val="004A7A5B"/>
    <w:rsid w:val="004B0C3B"/>
    <w:rsid w:val="004B1512"/>
    <w:rsid w:val="004B1D8E"/>
    <w:rsid w:val="004C14DD"/>
    <w:rsid w:val="004C3FB6"/>
    <w:rsid w:val="004D1B56"/>
    <w:rsid w:val="004D2815"/>
    <w:rsid w:val="004D7CBF"/>
    <w:rsid w:val="004E5541"/>
    <w:rsid w:val="004F01FB"/>
    <w:rsid w:val="004F2C24"/>
    <w:rsid w:val="004F34F1"/>
    <w:rsid w:val="004F68E7"/>
    <w:rsid w:val="005005EA"/>
    <w:rsid w:val="00501AA0"/>
    <w:rsid w:val="00504FA1"/>
    <w:rsid w:val="005075F3"/>
    <w:rsid w:val="00507947"/>
    <w:rsid w:val="00512285"/>
    <w:rsid w:val="0052071D"/>
    <w:rsid w:val="00530FA6"/>
    <w:rsid w:val="0053555A"/>
    <w:rsid w:val="005376E2"/>
    <w:rsid w:val="005406F1"/>
    <w:rsid w:val="00545E9E"/>
    <w:rsid w:val="00550B47"/>
    <w:rsid w:val="0055249D"/>
    <w:rsid w:val="005550E2"/>
    <w:rsid w:val="005553D6"/>
    <w:rsid w:val="00557A5A"/>
    <w:rsid w:val="005605D0"/>
    <w:rsid w:val="005618C6"/>
    <w:rsid w:val="005634D0"/>
    <w:rsid w:val="0056379F"/>
    <w:rsid w:val="00570E52"/>
    <w:rsid w:val="005747BC"/>
    <w:rsid w:val="00574ACC"/>
    <w:rsid w:val="0058040F"/>
    <w:rsid w:val="00581037"/>
    <w:rsid w:val="005821E0"/>
    <w:rsid w:val="00584688"/>
    <w:rsid w:val="005847E4"/>
    <w:rsid w:val="005907A5"/>
    <w:rsid w:val="00592483"/>
    <w:rsid w:val="005A1574"/>
    <w:rsid w:val="005A199D"/>
    <w:rsid w:val="005A1E8C"/>
    <w:rsid w:val="005A4D7D"/>
    <w:rsid w:val="005A6DB6"/>
    <w:rsid w:val="005B12EF"/>
    <w:rsid w:val="005B184F"/>
    <w:rsid w:val="005B308D"/>
    <w:rsid w:val="005B41F8"/>
    <w:rsid w:val="005B5D36"/>
    <w:rsid w:val="005B7E08"/>
    <w:rsid w:val="005C0B99"/>
    <w:rsid w:val="005C4DCD"/>
    <w:rsid w:val="005C502E"/>
    <w:rsid w:val="005C665D"/>
    <w:rsid w:val="005D73EB"/>
    <w:rsid w:val="005D7CC7"/>
    <w:rsid w:val="005E409D"/>
    <w:rsid w:val="005E6D76"/>
    <w:rsid w:val="005E76E5"/>
    <w:rsid w:val="005E7958"/>
    <w:rsid w:val="005E79CE"/>
    <w:rsid w:val="005E7C7F"/>
    <w:rsid w:val="005F0AF7"/>
    <w:rsid w:val="005F1A56"/>
    <w:rsid w:val="005F4F2D"/>
    <w:rsid w:val="005F7C00"/>
    <w:rsid w:val="006000D5"/>
    <w:rsid w:val="00603AC0"/>
    <w:rsid w:val="00605487"/>
    <w:rsid w:val="006077F0"/>
    <w:rsid w:val="00607C26"/>
    <w:rsid w:val="00615A7D"/>
    <w:rsid w:val="006179F3"/>
    <w:rsid w:val="0062481A"/>
    <w:rsid w:val="00626AD2"/>
    <w:rsid w:val="0063443F"/>
    <w:rsid w:val="0063561A"/>
    <w:rsid w:val="00636E54"/>
    <w:rsid w:val="00636EDF"/>
    <w:rsid w:val="0063713D"/>
    <w:rsid w:val="00642D0F"/>
    <w:rsid w:val="00644672"/>
    <w:rsid w:val="0065268E"/>
    <w:rsid w:val="00653172"/>
    <w:rsid w:val="00656F05"/>
    <w:rsid w:val="0065781D"/>
    <w:rsid w:val="00666FC7"/>
    <w:rsid w:val="00667EF9"/>
    <w:rsid w:val="00676EEE"/>
    <w:rsid w:val="006819B5"/>
    <w:rsid w:val="00683097"/>
    <w:rsid w:val="00683E4D"/>
    <w:rsid w:val="00685529"/>
    <w:rsid w:val="00690ECD"/>
    <w:rsid w:val="00691D61"/>
    <w:rsid w:val="00692396"/>
    <w:rsid w:val="006934A5"/>
    <w:rsid w:val="006A013F"/>
    <w:rsid w:val="006A2E74"/>
    <w:rsid w:val="006A550A"/>
    <w:rsid w:val="006A617F"/>
    <w:rsid w:val="006A6BB0"/>
    <w:rsid w:val="006B2AE3"/>
    <w:rsid w:val="006B4060"/>
    <w:rsid w:val="006B78D7"/>
    <w:rsid w:val="006C2CEC"/>
    <w:rsid w:val="006C60C5"/>
    <w:rsid w:val="006D4EC4"/>
    <w:rsid w:val="006D527A"/>
    <w:rsid w:val="006D6DB8"/>
    <w:rsid w:val="006E132B"/>
    <w:rsid w:val="006F1FBD"/>
    <w:rsid w:val="006F2DCE"/>
    <w:rsid w:val="006F3389"/>
    <w:rsid w:val="006F3925"/>
    <w:rsid w:val="006F4DEA"/>
    <w:rsid w:val="006F5025"/>
    <w:rsid w:val="006F6BF1"/>
    <w:rsid w:val="0070082A"/>
    <w:rsid w:val="0070159C"/>
    <w:rsid w:val="00703266"/>
    <w:rsid w:val="00705AFA"/>
    <w:rsid w:val="00707BCE"/>
    <w:rsid w:val="007106D4"/>
    <w:rsid w:val="007141FD"/>
    <w:rsid w:val="00714351"/>
    <w:rsid w:val="007171F4"/>
    <w:rsid w:val="00717C29"/>
    <w:rsid w:val="00723EEA"/>
    <w:rsid w:val="00731B5E"/>
    <w:rsid w:val="00734E02"/>
    <w:rsid w:val="00741D5A"/>
    <w:rsid w:val="007425CA"/>
    <w:rsid w:val="00742B2F"/>
    <w:rsid w:val="0074358E"/>
    <w:rsid w:val="00744595"/>
    <w:rsid w:val="00744C67"/>
    <w:rsid w:val="00745BE5"/>
    <w:rsid w:val="00745D44"/>
    <w:rsid w:val="00746362"/>
    <w:rsid w:val="00750092"/>
    <w:rsid w:val="00752447"/>
    <w:rsid w:val="00752945"/>
    <w:rsid w:val="00753013"/>
    <w:rsid w:val="0076355F"/>
    <w:rsid w:val="00764732"/>
    <w:rsid w:val="00764DE0"/>
    <w:rsid w:val="00773BAB"/>
    <w:rsid w:val="00775001"/>
    <w:rsid w:val="00786772"/>
    <w:rsid w:val="00787EA3"/>
    <w:rsid w:val="00787F24"/>
    <w:rsid w:val="0079160B"/>
    <w:rsid w:val="00791FBD"/>
    <w:rsid w:val="00792B46"/>
    <w:rsid w:val="00796354"/>
    <w:rsid w:val="007A5F62"/>
    <w:rsid w:val="007A66A8"/>
    <w:rsid w:val="007B0158"/>
    <w:rsid w:val="007B114E"/>
    <w:rsid w:val="007B175C"/>
    <w:rsid w:val="007B2057"/>
    <w:rsid w:val="007B2B6E"/>
    <w:rsid w:val="007B3DAC"/>
    <w:rsid w:val="007C0C49"/>
    <w:rsid w:val="007C3A89"/>
    <w:rsid w:val="007C4CA3"/>
    <w:rsid w:val="007C62C1"/>
    <w:rsid w:val="007C754B"/>
    <w:rsid w:val="007D283C"/>
    <w:rsid w:val="007D35BE"/>
    <w:rsid w:val="007D39A1"/>
    <w:rsid w:val="007D47BB"/>
    <w:rsid w:val="007E2111"/>
    <w:rsid w:val="007E3C0B"/>
    <w:rsid w:val="007F03A7"/>
    <w:rsid w:val="007F1BF6"/>
    <w:rsid w:val="007F4634"/>
    <w:rsid w:val="008024AE"/>
    <w:rsid w:val="008140AB"/>
    <w:rsid w:val="00814FB9"/>
    <w:rsid w:val="008150AC"/>
    <w:rsid w:val="00815C7F"/>
    <w:rsid w:val="00816827"/>
    <w:rsid w:val="00816B31"/>
    <w:rsid w:val="00844188"/>
    <w:rsid w:val="00845C65"/>
    <w:rsid w:val="00846171"/>
    <w:rsid w:val="00846372"/>
    <w:rsid w:val="00853690"/>
    <w:rsid w:val="008608A5"/>
    <w:rsid w:val="00864AAC"/>
    <w:rsid w:val="00866101"/>
    <w:rsid w:val="00866B55"/>
    <w:rsid w:val="00871E65"/>
    <w:rsid w:val="0087379E"/>
    <w:rsid w:val="00876A3F"/>
    <w:rsid w:val="00880E8A"/>
    <w:rsid w:val="00885D0C"/>
    <w:rsid w:val="00891F5C"/>
    <w:rsid w:val="008926B5"/>
    <w:rsid w:val="008954E3"/>
    <w:rsid w:val="008969CA"/>
    <w:rsid w:val="00897632"/>
    <w:rsid w:val="008A2031"/>
    <w:rsid w:val="008A41A3"/>
    <w:rsid w:val="008A6707"/>
    <w:rsid w:val="008A730D"/>
    <w:rsid w:val="008B0E2E"/>
    <w:rsid w:val="008B2C72"/>
    <w:rsid w:val="008B36DB"/>
    <w:rsid w:val="008B37F8"/>
    <w:rsid w:val="008B449F"/>
    <w:rsid w:val="008B6E93"/>
    <w:rsid w:val="008C1E8B"/>
    <w:rsid w:val="008C28B2"/>
    <w:rsid w:val="008C3C3A"/>
    <w:rsid w:val="008C66FB"/>
    <w:rsid w:val="008C6C16"/>
    <w:rsid w:val="008D5759"/>
    <w:rsid w:val="008E3700"/>
    <w:rsid w:val="008E38A5"/>
    <w:rsid w:val="008E76B7"/>
    <w:rsid w:val="008F232C"/>
    <w:rsid w:val="008F24C5"/>
    <w:rsid w:val="008F4AB4"/>
    <w:rsid w:val="008F4F0C"/>
    <w:rsid w:val="008F6E20"/>
    <w:rsid w:val="008F787C"/>
    <w:rsid w:val="00901C8E"/>
    <w:rsid w:val="00902EEC"/>
    <w:rsid w:val="00912959"/>
    <w:rsid w:val="00915E07"/>
    <w:rsid w:val="00922399"/>
    <w:rsid w:val="009236EE"/>
    <w:rsid w:val="00931C3E"/>
    <w:rsid w:val="009511BF"/>
    <w:rsid w:val="00956707"/>
    <w:rsid w:val="00956A08"/>
    <w:rsid w:val="00957AA8"/>
    <w:rsid w:val="00965BC6"/>
    <w:rsid w:val="0096764C"/>
    <w:rsid w:val="00971085"/>
    <w:rsid w:val="00975322"/>
    <w:rsid w:val="00980377"/>
    <w:rsid w:val="00982562"/>
    <w:rsid w:val="00985C47"/>
    <w:rsid w:val="00992429"/>
    <w:rsid w:val="009955F3"/>
    <w:rsid w:val="00996FB3"/>
    <w:rsid w:val="009A6C24"/>
    <w:rsid w:val="009A6C37"/>
    <w:rsid w:val="009A6D0D"/>
    <w:rsid w:val="009A7200"/>
    <w:rsid w:val="009B10AB"/>
    <w:rsid w:val="009B28E9"/>
    <w:rsid w:val="009C2CA1"/>
    <w:rsid w:val="009C6F88"/>
    <w:rsid w:val="009D5972"/>
    <w:rsid w:val="009D5BA5"/>
    <w:rsid w:val="009D739D"/>
    <w:rsid w:val="009E451A"/>
    <w:rsid w:val="009E6BE8"/>
    <w:rsid w:val="009E70B8"/>
    <w:rsid w:val="009F449B"/>
    <w:rsid w:val="009F4D10"/>
    <w:rsid w:val="009F6177"/>
    <w:rsid w:val="00A037CA"/>
    <w:rsid w:val="00A0585F"/>
    <w:rsid w:val="00A05DBC"/>
    <w:rsid w:val="00A0736E"/>
    <w:rsid w:val="00A3229D"/>
    <w:rsid w:val="00A35A33"/>
    <w:rsid w:val="00A35F6C"/>
    <w:rsid w:val="00A44AEB"/>
    <w:rsid w:val="00A5017F"/>
    <w:rsid w:val="00A55A34"/>
    <w:rsid w:val="00A60EF4"/>
    <w:rsid w:val="00A638F5"/>
    <w:rsid w:val="00A74C74"/>
    <w:rsid w:val="00A74DD4"/>
    <w:rsid w:val="00A76BC1"/>
    <w:rsid w:val="00A83D90"/>
    <w:rsid w:val="00A925A2"/>
    <w:rsid w:val="00A93915"/>
    <w:rsid w:val="00A94152"/>
    <w:rsid w:val="00A955B8"/>
    <w:rsid w:val="00A96508"/>
    <w:rsid w:val="00AA1988"/>
    <w:rsid w:val="00AA5754"/>
    <w:rsid w:val="00AA6720"/>
    <w:rsid w:val="00AB0ACF"/>
    <w:rsid w:val="00AB43C9"/>
    <w:rsid w:val="00AC3225"/>
    <w:rsid w:val="00AC66A6"/>
    <w:rsid w:val="00AD1EAE"/>
    <w:rsid w:val="00AD43C9"/>
    <w:rsid w:val="00AD43F3"/>
    <w:rsid w:val="00AD5CD4"/>
    <w:rsid w:val="00AE1959"/>
    <w:rsid w:val="00AE375F"/>
    <w:rsid w:val="00AE405F"/>
    <w:rsid w:val="00AE4E04"/>
    <w:rsid w:val="00AF123B"/>
    <w:rsid w:val="00AF39B2"/>
    <w:rsid w:val="00AF577D"/>
    <w:rsid w:val="00B032C3"/>
    <w:rsid w:val="00B049D5"/>
    <w:rsid w:val="00B074F1"/>
    <w:rsid w:val="00B16071"/>
    <w:rsid w:val="00B16C91"/>
    <w:rsid w:val="00B2180C"/>
    <w:rsid w:val="00B33114"/>
    <w:rsid w:val="00B34655"/>
    <w:rsid w:val="00B37481"/>
    <w:rsid w:val="00B37577"/>
    <w:rsid w:val="00B3785D"/>
    <w:rsid w:val="00B37C97"/>
    <w:rsid w:val="00B405B6"/>
    <w:rsid w:val="00B54E86"/>
    <w:rsid w:val="00B57709"/>
    <w:rsid w:val="00B62735"/>
    <w:rsid w:val="00B6684D"/>
    <w:rsid w:val="00B736DB"/>
    <w:rsid w:val="00B74959"/>
    <w:rsid w:val="00B91384"/>
    <w:rsid w:val="00B91F49"/>
    <w:rsid w:val="00B931CD"/>
    <w:rsid w:val="00BA3FDE"/>
    <w:rsid w:val="00BB00C8"/>
    <w:rsid w:val="00BB1222"/>
    <w:rsid w:val="00BB2639"/>
    <w:rsid w:val="00BB3049"/>
    <w:rsid w:val="00BB70FB"/>
    <w:rsid w:val="00BC0E9B"/>
    <w:rsid w:val="00BC1639"/>
    <w:rsid w:val="00BC2739"/>
    <w:rsid w:val="00BD08D1"/>
    <w:rsid w:val="00BD0D4E"/>
    <w:rsid w:val="00BD16EF"/>
    <w:rsid w:val="00BE11B8"/>
    <w:rsid w:val="00BE36F7"/>
    <w:rsid w:val="00BE4BD1"/>
    <w:rsid w:val="00BF12CC"/>
    <w:rsid w:val="00BF145B"/>
    <w:rsid w:val="00BF16C7"/>
    <w:rsid w:val="00BF425A"/>
    <w:rsid w:val="00BF4291"/>
    <w:rsid w:val="00BF7143"/>
    <w:rsid w:val="00C01938"/>
    <w:rsid w:val="00C044CE"/>
    <w:rsid w:val="00C0564F"/>
    <w:rsid w:val="00C11D0D"/>
    <w:rsid w:val="00C131BB"/>
    <w:rsid w:val="00C167FA"/>
    <w:rsid w:val="00C17816"/>
    <w:rsid w:val="00C17883"/>
    <w:rsid w:val="00C373EC"/>
    <w:rsid w:val="00C464D5"/>
    <w:rsid w:val="00C46590"/>
    <w:rsid w:val="00C53AD1"/>
    <w:rsid w:val="00C5520E"/>
    <w:rsid w:val="00C56A56"/>
    <w:rsid w:val="00C65435"/>
    <w:rsid w:val="00C8151C"/>
    <w:rsid w:val="00C83730"/>
    <w:rsid w:val="00C90031"/>
    <w:rsid w:val="00C92A64"/>
    <w:rsid w:val="00C95DB7"/>
    <w:rsid w:val="00C9793C"/>
    <w:rsid w:val="00CA3632"/>
    <w:rsid w:val="00CA551E"/>
    <w:rsid w:val="00CA67C3"/>
    <w:rsid w:val="00CA6CD3"/>
    <w:rsid w:val="00CA6DCF"/>
    <w:rsid w:val="00CB275D"/>
    <w:rsid w:val="00CB2B83"/>
    <w:rsid w:val="00CB40F1"/>
    <w:rsid w:val="00CB7E5D"/>
    <w:rsid w:val="00CC1733"/>
    <w:rsid w:val="00CC211E"/>
    <w:rsid w:val="00CD4B59"/>
    <w:rsid w:val="00CD5174"/>
    <w:rsid w:val="00CD682D"/>
    <w:rsid w:val="00CD7F57"/>
    <w:rsid w:val="00CE0AC9"/>
    <w:rsid w:val="00CE30C8"/>
    <w:rsid w:val="00CE4FBD"/>
    <w:rsid w:val="00CE61C5"/>
    <w:rsid w:val="00CE62A5"/>
    <w:rsid w:val="00CE72CD"/>
    <w:rsid w:val="00D02E0F"/>
    <w:rsid w:val="00D07C64"/>
    <w:rsid w:val="00D14F23"/>
    <w:rsid w:val="00D15B23"/>
    <w:rsid w:val="00D15C63"/>
    <w:rsid w:val="00D1609D"/>
    <w:rsid w:val="00D23CB2"/>
    <w:rsid w:val="00D33837"/>
    <w:rsid w:val="00D34C86"/>
    <w:rsid w:val="00D40265"/>
    <w:rsid w:val="00D43926"/>
    <w:rsid w:val="00D44704"/>
    <w:rsid w:val="00D448EA"/>
    <w:rsid w:val="00D45183"/>
    <w:rsid w:val="00D456F6"/>
    <w:rsid w:val="00D45703"/>
    <w:rsid w:val="00D46757"/>
    <w:rsid w:val="00D46C72"/>
    <w:rsid w:val="00D472DA"/>
    <w:rsid w:val="00D4766A"/>
    <w:rsid w:val="00D51F2F"/>
    <w:rsid w:val="00D53D66"/>
    <w:rsid w:val="00D5492D"/>
    <w:rsid w:val="00D56697"/>
    <w:rsid w:val="00D60361"/>
    <w:rsid w:val="00D61E8E"/>
    <w:rsid w:val="00D638CE"/>
    <w:rsid w:val="00D64EF1"/>
    <w:rsid w:val="00D65B15"/>
    <w:rsid w:val="00D717B6"/>
    <w:rsid w:val="00D71DC7"/>
    <w:rsid w:val="00D77919"/>
    <w:rsid w:val="00DA0FC9"/>
    <w:rsid w:val="00DA35D7"/>
    <w:rsid w:val="00DA4238"/>
    <w:rsid w:val="00DA5AE5"/>
    <w:rsid w:val="00DB3915"/>
    <w:rsid w:val="00DB3F69"/>
    <w:rsid w:val="00DB4DBE"/>
    <w:rsid w:val="00DB5C81"/>
    <w:rsid w:val="00DB5E62"/>
    <w:rsid w:val="00DC1ABD"/>
    <w:rsid w:val="00DC25FB"/>
    <w:rsid w:val="00DD14A1"/>
    <w:rsid w:val="00DD15D9"/>
    <w:rsid w:val="00DD34E6"/>
    <w:rsid w:val="00DD71B7"/>
    <w:rsid w:val="00DE1E42"/>
    <w:rsid w:val="00DE3650"/>
    <w:rsid w:val="00DE7CCF"/>
    <w:rsid w:val="00DF1D55"/>
    <w:rsid w:val="00DF2204"/>
    <w:rsid w:val="00DF2535"/>
    <w:rsid w:val="00DF2579"/>
    <w:rsid w:val="00DF4477"/>
    <w:rsid w:val="00E02B17"/>
    <w:rsid w:val="00E02F27"/>
    <w:rsid w:val="00E10387"/>
    <w:rsid w:val="00E10F69"/>
    <w:rsid w:val="00E11CAB"/>
    <w:rsid w:val="00E13AB8"/>
    <w:rsid w:val="00E16A85"/>
    <w:rsid w:val="00E228C2"/>
    <w:rsid w:val="00E241F4"/>
    <w:rsid w:val="00E27FBC"/>
    <w:rsid w:val="00E31A4E"/>
    <w:rsid w:val="00E325A8"/>
    <w:rsid w:val="00E3274C"/>
    <w:rsid w:val="00E33674"/>
    <w:rsid w:val="00E3443E"/>
    <w:rsid w:val="00E40FB8"/>
    <w:rsid w:val="00E41133"/>
    <w:rsid w:val="00E45F64"/>
    <w:rsid w:val="00E465DB"/>
    <w:rsid w:val="00E53056"/>
    <w:rsid w:val="00E53650"/>
    <w:rsid w:val="00E54E35"/>
    <w:rsid w:val="00E54F47"/>
    <w:rsid w:val="00E55B5C"/>
    <w:rsid w:val="00E56E85"/>
    <w:rsid w:val="00E6208B"/>
    <w:rsid w:val="00E63642"/>
    <w:rsid w:val="00E66BFF"/>
    <w:rsid w:val="00E711A6"/>
    <w:rsid w:val="00E7164E"/>
    <w:rsid w:val="00E72B8D"/>
    <w:rsid w:val="00E72E89"/>
    <w:rsid w:val="00E74642"/>
    <w:rsid w:val="00E76009"/>
    <w:rsid w:val="00E76390"/>
    <w:rsid w:val="00E81440"/>
    <w:rsid w:val="00E81CBD"/>
    <w:rsid w:val="00E81D92"/>
    <w:rsid w:val="00E827CD"/>
    <w:rsid w:val="00E8350D"/>
    <w:rsid w:val="00E90431"/>
    <w:rsid w:val="00E90645"/>
    <w:rsid w:val="00E9304F"/>
    <w:rsid w:val="00EA19D9"/>
    <w:rsid w:val="00EB2EBE"/>
    <w:rsid w:val="00EC13E5"/>
    <w:rsid w:val="00EC42A1"/>
    <w:rsid w:val="00EC4CB6"/>
    <w:rsid w:val="00EC6537"/>
    <w:rsid w:val="00ED0E43"/>
    <w:rsid w:val="00ED2FA4"/>
    <w:rsid w:val="00ED7209"/>
    <w:rsid w:val="00EE0564"/>
    <w:rsid w:val="00EE1EE0"/>
    <w:rsid w:val="00EE5ABE"/>
    <w:rsid w:val="00EE76A3"/>
    <w:rsid w:val="00EF132A"/>
    <w:rsid w:val="00EF3C8B"/>
    <w:rsid w:val="00EF5C89"/>
    <w:rsid w:val="00EF5D9A"/>
    <w:rsid w:val="00EF70D2"/>
    <w:rsid w:val="00EF740B"/>
    <w:rsid w:val="00F052A5"/>
    <w:rsid w:val="00F060DA"/>
    <w:rsid w:val="00F07F55"/>
    <w:rsid w:val="00F212A2"/>
    <w:rsid w:val="00F25732"/>
    <w:rsid w:val="00F318AC"/>
    <w:rsid w:val="00F331AF"/>
    <w:rsid w:val="00F33BDC"/>
    <w:rsid w:val="00F33F24"/>
    <w:rsid w:val="00F54357"/>
    <w:rsid w:val="00F57E2F"/>
    <w:rsid w:val="00F63E31"/>
    <w:rsid w:val="00F66B9B"/>
    <w:rsid w:val="00F670F1"/>
    <w:rsid w:val="00F67543"/>
    <w:rsid w:val="00F71F5B"/>
    <w:rsid w:val="00F7470F"/>
    <w:rsid w:val="00F74A47"/>
    <w:rsid w:val="00F74D8B"/>
    <w:rsid w:val="00F753DA"/>
    <w:rsid w:val="00F75476"/>
    <w:rsid w:val="00F75F09"/>
    <w:rsid w:val="00F77825"/>
    <w:rsid w:val="00F80618"/>
    <w:rsid w:val="00F830BE"/>
    <w:rsid w:val="00F85097"/>
    <w:rsid w:val="00F92E86"/>
    <w:rsid w:val="00F940A5"/>
    <w:rsid w:val="00F9636A"/>
    <w:rsid w:val="00FA3488"/>
    <w:rsid w:val="00FA3E97"/>
    <w:rsid w:val="00FA418C"/>
    <w:rsid w:val="00FA426C"/>
    <w:rsid w:val="00FA6288"/>
    <w:rsid w:val="00FA695E"/>
    <w:rsid w:val="00FB4ED2"/>
    <w:rsid w:val="00FB5AA4"/>
    <w:rsid w:val="00FB77DD"/>
    <w:rsid w:val="00FC2397"/>
    <w:rsid w:val="00FD0370"/>
    <w:rsid w:val="00FD46D3"/>
    <w:rsid w:val="00FD495F"/>
    <w:rsid w:val="00FD4BB6"/>
    <w:rsid w:val="00FD72D4"/>
    <w:rsid w:val="00FD7C36"/>
    <w:rsid w:val="00FE03FD"/>
    <w:rsid w:val="00FE0ACD"/>
    <w:rsid w:val="00FE33F7"/>
    <w:rsid w:val="00FE3C42"/>
    <w:rsid w:val="00FE5975"/>
    <w:rsid w:val="00FF41B6"/>
    <w:rsid w:val="00FF5602"/>
    <w:rsid w:val="00FF6F94"/>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2F445"/>
  <w15:chartTrackingRefBased/>
  <w15:docId w15:val="{321025C0-3E16-824D-88AF-A93928E9E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8AC"/>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5B184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5B184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5B184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5B184F"/>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5B184F"/>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5B184F"/>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5B184F"/>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5B184F"/>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5B184F"/>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8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18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18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8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8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8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8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8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84F"/>
    <w:rPr>
      <w:rFonts w:eastAsiaTheme="majorEastAsia" w:cstheme="majorBidi"/>
      <w:color w:val="272727" w:themeColor="text1" w:themeTint="D8"/>
    </w:rPr>
  </w:style>
  <w:style w:type="paragraph" w:styleId="Title">
    <w:name w:val="Title"/>
    <w:basedOn w:val="Normal"/>
    <w:next w:val="Normal"/>
    <w:link w:val="TitleChar"/>
    <w:uiPriority w:val="10"/>
    <w:qFormat/>
    <w:rsid w:val="005B184F"/>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5B18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84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5B18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84F"/>
    <w:pPr>
      <w:spacing w:before="160" w:after="160" w:line="278" w:lineRule="auto"/>
      <w:jc w:val="center"/>
    </w:pPr>
    <w:rPr>
      <w:rFonts w:asciiTheme="minorHAnsi" w:eastAsiaTheme="minorEastAsia"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5B184F"/>
    <w:rPr>
      <w:i/>
      <w:iCs/>
      <w:color w:val="404040" w:themeColor="text1" w:themeTint="BF"/>
    </w:rPr>
  </w:style>
  <w:style w:type="paragraph" w:styleId="ListParagraph">
    <w:name w:val="List Paragraph"/>
    <w:basedOn w:val="Normal"/>
    <w:uiPriority w:val="34"/>
    <w:qFormat/>
    <w:rsid w:val="005B184F"/>
    <w:pPr>
      <w:spacing w:after="160" w:line="278" w:lineRule="auto"/>
      <w:ind w:left="720"/>
      <w:contextualSpacing/>
    </w:pPr>
    <w:rPr>
      <w:rFonts w:asciiTheme="minorHAnsi" w:eastAsiaTheme="minorEastAsia" w:hAnsiTheme="minorHAnsi" w:cstheme="minorBidi"/>
      <w:kern w:val="2"/>
      <w14:ligatures w14:val="standardContextual"/>
    </w:rPr>
  </w:style>
  <w:style w:type="character" w:styleId="IntenseEmphasis">
    <w:name w:val="Intense Emphasis"/>
    <w:basedOn w:val="DefaultParagraphFont"/>
    <w:uiPriority w:val="21"/>
    <w:qFormat/>
    <w:rsid w:val="005B184F"/>
    <w:rPr>
      <w:i/>
      <w:iCs/>
      <w:color w:val="0F4761" w:themeColor="accent1" w:themeShade="BF"/>
    </w:rPr>
  </w:style>
  <w:style w:type="paragraph" w:styleId="IntenseQuote">
    <w:name w:val="Intense Quote"/>
    <w:basedOn w:val="Normal"/>
    <w:next w:val="Normal"/>
    <w:link w:val="IntenseQuoteChar"/>
    <w:uiPriority w:val="30"/>
    <w:qFormat/>
    <w:rsid w:val="005B184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5B184F"/>
    <w:rPr>
      <w:i/>
      <w:iCs/>
      <w:color w:val="0F4761" w:themeColor="accent1" w:themeShade="BF"/>
    </w:rPr>
  </w:style>
  <w:style w:type="character" w:styleId="IntenseReference">
    <w:name w:val="Intense Reference"/>
    <w:basedOn w:val="DefaultParagraphFont"/>
    <w:uiPriority w:val="32"/>
    <w:qFormat/>
    <w:rsid w:val="005B184F"/>
    <w:rPr>
      <w:b/>
      <w:bCs/>
      <w:smallCaps/>
      <w:color w:val="0F4761" w:themeColor="accent1" w:themeShade="BF"/>
      <w:spacing w:val="5"/>
    </w:rPr>
  </w:style>
  <w:style w:type="paragraph" w:styleId="Footer">
    <w:name w:val="footer"/>
    <w:basedOn w:val="Normal"/>
    <w:link w:val="FooterChar"/>
    <w:unhideWhenUsed/>
    <w:rsid w:val="005B184F"/>
    <w:pPr>
      <w:widowControl w:val="0"/>
      <w:tabs>
        <w:tab w:val="center" w:pos="4153"/>
        <w:tab w:val="right" w:pos="8306"/>
      </w:tabs>
      <w:snapToGrid w:val="0"/>
    </w:pPr>
    <w:rPr>
      <w:rFonts w:ascii="Calibri" w:eastAsia="PMingLiU" w:hAnsi="Calibri"/>
      <w:kern w:val="2"/>
      <w:sz w:val="20"/>
      <w:szCs w:val="20"/>
      <w:lang w:val="en-US"/>
    </w:rPr>
  </w:style>
  <w:style w:type="character" w:customStyle="1" w:styleId="FooterChar">
    <w:name w:val="Footer Char"/>
    <w:basedOn w:val="DefaultParagraphFont"/>
    <w:link w:val="Footer"/>
    <w:rsid w:val="005B184F"/>
    <w:rPr>
      <w:rFonts w:ascii="Calibri" w:eastAsia="PMingLiU" w:hAnsi="Calibri" w:cs="Times New Roman"/>
      <w:sz w:val="20"/>
      <w:szCs w:val="20"/>
      <w:lang w:val="en-US"/>
      <w14:ligatures w14:val="none"/>
    </w:rPr>
  </w:style>
  <w:style w:type="character" w:styleId="PageNumber">
    <w:name w:val="page number"/>
    <w:basedOn w:val="DefaultParagraphFont"/>
    <w:semiHidden/>
    <w:rsid w:val="005B184F"/>
  </w:style>
  <w:style w:type="paragraph" w:styleId="TOCHeading">
    <w:name w:val="TOC Heading"/>
    <w:basedOn w:val="Heading1"/>
    <w:next w:val="Normal"/>
    <w:uiPriority w:val="39"/>
    <w:unhideWhenUsed/>
    <w:qFormat/>
    <w:rsid w:val="003658A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658A1"/>
    <w:pPr>
      <w:widowControl w:val="0"/>
      <w:spacing w:before="120"/>
    </w:pPr>
    <w:rPr>
      <w:rFonts w:asciiTheme="minorHAnsi" w:eastAsia="PMingLiU" w:hAnsiTheme="minorHAnsi"/>
      <w:b/>
      <w:bCs/>
      <w:i/>
      <w:iCs/>
      <w:kern w:val="2"/>
      <w:lang w:val="en-US"/>
    </w:rPr>
  </w:style>
  <w:style w:type="paragraph" w:styleId="TOC2">
    <w:name w:val="toc 2"/>
    <w:basedOn w:val="Normal"/>
    <w:next w:val="Normal"/>
    <w:autoRedefine/>
    <w:uiPriority w:val="39"/>
    <w:unhideWhenUsed/>
    <w:rsid w:val="003658A1"/>
    <w:pPr>
      <w:widowControl w:val="0"/>
      <w:spacing w:before="120"/>
      <w:ind w:left="240"/>
    </w:pPr>
    <w:rPr>
      <w:rFonts w:asciiTheme="minorHAnsi" w:eastAsia="PMingLiU" w:hAnsiTheme="minorHAnsi"/>
      <w:b/>
      <w:bCs/>
      <w:kern w:val="2"/>
      <w:sz w:val="22"/>
      <w:szCs w:val="22"/>
      <w:lang w:val="en-US"/>
    </w:rPr>
  </w:style>
  <w:style w:type="paragraph" w:styleId="TOC3">
    <w:name w:val="toc 3"/>
    <w:basedOn w:val="Normal"/>
    <w:next w:val="Normal"/>
    <w:autoRedefine/>
    <w:uiPriority w:val="39"/>
    <w:unhideWhenUsed/>
    <w:rsid w:val="003658A1"/>
    <w:pPr>
      <w:widowControl w:val="0"/>
      <w:ind w:left="480"/>
    </w:pPr>
    <w:rPr>
      <w:rFonts w:asciiTheme="minorHAnsi" w:eastAsia="PMingLiU" w:hAnsiTheme="minorHAnsi"/>
      <w:kern w:val="2"/>
      <w:sz w:val="20"/>
      <w:szCs w:val="20"/>
      <w:lang w:val="en-US"/>
    </w:rPr>
  </w:style>
  <w:style w:type="paragraph" w:styleId="TOC4">
    <w:name w:val="toc 4"/>
    <w:basedOn w:val="Normal"/>
    <w:next w:val="Normal"/>
    <w:autoRedefine/>
    <w:uiPriority w:val="39"/>
    <w:semiHidden/>
    <w:unhideWhenUsed/>
    <w:rsid w:val="003658A1"/>
    <w:pPr>
      <w:widowControl w:val="0"/>
      <w:ind w:left="720"/>
    </w:pPr>
    <w:rPr>
      <w:rFonts w:asciiTheme="minorHAnsi" w:eastAsia="PMingLiU" w:hAnsiTheme="minorHAnsi"/>
      <w:kern w:val="2"/>
      <w:sz w:val="20"/>
      <w:szCs w:val="20"/>
      <w:lang w:val="en-US"/>
    </w:rPr>
  </w:style>
  <w:style w:type="paragraph" w:styleId="TOC5">
    <w:name w:val="toc 5"/>
    <w:basedOn w:val="Normal"/>
    <w:next w:val="Normal"/>
    <w:autoRedefine/>
    <w:uiPriority w:val="39"/>
    <w:semiHidden/>
    <w:unhideWhenUsed/>
    <w:rsid w:val="003658A1"/>
    <w:pPr>
      <w:widowControl w:val="0"/>
      <w:ind w:left="960"/>
    </w:pPr>
    <w:rPr>
      <w:rFonts w:asciiTheme="minorHAnsi" w:eastAsia="PMingLiU" w:hAnsiTheme="minorHAnsi"/>
      <w:kern w:val="2"/>
      <w:sz w:val="20"/>
      <w:szCs w:val="20"/>
      <w:lang w:val="en-US"/>
    </w:rPr>
  </w:style>
  <w:style w:type="paragraph" w:styleId="TOC6">
    <w:name w:val="toc 6"/>
    <w:basedOn w:val="Normal"/>
    <w:next w:val="Normal"/>
    <w:autoRedefine/>
    <w:uiPriority w:val="39"/>
    <w:semiHidden/>
    <w:unhideWhenUsed/>
    <w:rsid w:val="003658A1"/>
    <w:pPr>
      <w:widowControl w:val="0"/>
      <w:ind w:left="1200"/>
    </w:pPr>
    <w:rPr>
      <w:rFonts w:asciiTheme="minorHAnsi" w:eastAsia="PMingLiU" w:hAnsiTheme="minorHAnsi"/>
      <w:kern w:val="2"/>
      <w:sz w:val="20"/>
      <w:szCs w:val="20"/>
      <w:lang w:val="en-US"/>
    </w:rPr>
  </w:style>
  <w:style w:type="paragraph" w:styleId="TOC7">
    <w:name w:val="toc 7"/>
    <w:basedOn w:val="Normal"/>
    <w:next w:val="Normal"/>
    <w:autoRedefine/>
    <w:uiPriority w:val="39"/>
    <w:semiHidden/>
    <w:unhideWhenUsed/>
    <w:rsid w:val="003658A1"/>
    <w:pPr>
      <w:widowControl w:val="0"/>
      <w:ind w:left="1440"/>
    </w:pPr>
    <w:rPr>
      <w:rFonts w:asciiTheme="minorHAnsi" w:eastAsia="PMingLiU" w:hAnsiTheme="minorHAnsi"/>
      <w:kern w:val="2"/>
      <w:sz w:val="20"/>
      <w:szCs w:val="20"/>
      <w:lang w:val="en-US"/>
    </w:rPr>
  </w:style>
  <w:style w:type="paragraph" w:styleId="TOC8">
    <w:name w:val="toc 8"/>
    <w:basedOn w:val="Normal"/>
    <w:next w:val="Normal"/>
    <w:autoRedefine/>
    <w:uiPriority w:val="39"/>
    <w:semiHidden/>
    <w:unhideWhenUsed/>
    <w:rsid w:val="003658A1"/>
    <w:pPr>
      <w:widowControl w:val="0"/>
      <w:ind w:left="1680"/>
    </w:pPr>
    <w:rPr>
      <w:rFonts w:asciiTheme="minorHAnsi" w:eastAsia="PMingLiU" w:hAnsiTheme="minorHAnsi"/>
      <w:kern w:val="2"/>
      <w:sz w:val="20"/>
      <w:szCs w:val="20"/>
      <w:lang w:val="en-US"/>
    </w:rPr>
  </w:style>
  <w:style w:type="paragraph" w:styleId="TOC9">
    <w:name w:val="toc 9"/>
    <w:basedOn w:val="Normal"/>
    <w:next w:val="Normal"/>
    <w:autoRedefine/>
    <w:uiPriority w:val="39"/>
    <w:semiHidden/>
    <w:unhideWhenUsed/>
    <w:rsid w:val="003658A1"/>
    <w:pPr>
      <w:widowControl w:val="0"/>
      <w:ind w:left="1920"/>
    </w:pPr>
    <w:rPr>
      <w:rFonts w:asciiTheme="minorHAnsi" w:eastAsia="PMingLiU" w:hAnsiTheme="minorHAnsi"/>
      <w:kern w:val="2"/>
      <w:sz w:val="20"/>
      <w:szCs w:val="20"/>
      <w:lang w:val="en-US"/>
    </w:rPr>
  </w:style>
  <w:style w:type="paragraph" w:styleId="Header">
    <w:name w:val="header"/>
    <w:basedOn w:val="Normal"/>
    <w:link w:val="HeaderChar"/>
    <w:uiPriority w:val="99"/>
    <w:unhideWhenUsed/>
    <w:rsid w:val="003658A1"/>
    <w:pPr>
      <w:widowControl w:val="0"/>
      <w:tabs>
        <w:tab w:val="center" w:pos="4513"/>
        <w:tab w:val="right" w:pos="9026"/>
      </w:tabs>
    </w:pPr>
    <w:rPr>
      <w:rFonts w:ascii="Calibri" w:eastAsia="PMingLiU" w:hAnsi="Calibri"/>
      <w:kern w:val="2"/>
      <w:szCs w:val="22"/>
      <w:lang w:val="en-US"/>
    </w:rPr>
  </w:style>
  <w:style w:type="character" w:customStyle="1" w:styleId="HeaderChar">
    <w:name w:val="Header Char"/>
    <w:basedOn w:val="DefaultParagraphFont"/>
    <w:link w:val="Header"/>
    <w:uiPriority w:val="99"/>
    <w:rsid w:val="003658A1"/>
    <w:rPr>
      <w:rFonts w:ascii="Calibri" w:eastAsia="PMingLiU" w:hAnsi="Calibri" w:cs="Times New Roman"/>
      <w:szCs w:val="22"/>
      <w:lang w:val="en-US"/>
      <w14:ligatures w14:val="none"/>
    </w:rPr>
  </w:style>
  <w:style w:type="paragraph" w:styleId="Date">
    <w:name w:val="Date"/>
    <w:basedOn w:val="Normal"/>
    <w:next w:val="Normal"/>
    <w:link w:val="DateChar"/>
    <w:uiPriority w:val="99"/>
    <w:semiHidden/>
    <w:unhideWhenUsed/>
    <w:rsid w:val="00CD5174"/>
    <w:pPr>
      <w:widowControl w:val="0"/>
    </w:pPr>
    <w:rPr>
      <w:rFonts w:ascii="Calibri" w:eastAsia="PMingLiU" w:hAnsi="Calibri"/>
      <w:kern w:val="2"/>
      <w:szCs w:val="22"/>
      <w:lang w:val="en-US"/>
    </w:rPr>
  </w:style>
  <w:style w:type="character" w:customStyle="1" w:styleId="DateChar">
    <w:name w:val="Date Char"/>
    <w:basedOn w:val="DefaultParagraphFont"/>
    <w:link w:val="Date"/>
    <w:uiPriority w:val="99"/>
    <w:semiHidden/>
    <w:rsid w:val="00CD5174"/>
    <w:rPr>
      <w:rFonts w:ascii="Calibri" w:eastAsia="PMingLiU" w:hAnsi="Calibri" w:cs="Times New Roman"/>
      <w:szCs w:val="22"/>
      <w:lang w:val="en-US"/>
      <w14:ligatures w14:val="none"/>
    </w:rPr>
  </w:style>
  <w:style w:type="character" w:styleId="Hyperlink">
    <w:name w:val="Hyperlink"/>
    <w:basedOn w:val="DefaultParagraphFont"/>
    <w:uiPriority w:val="99"/>
    <w:unhideWhenUsed/>
    <w:rsid w:val="006000D5"/>
    <w:rPr>
      <w:color w:val="467886" w:themeColor="hyperlink"/>
      <w:u w:val="single"/>
    </w:rPr>
  </w:style>
  <w:style w:type="character" w:customStyle="1" w:styleId="UnresolvedMention1">
    <w:name w:val="Unresolved Mention1"/>
    <w:basedOn w:val="DefaultParagraphFont"/>
    <w:uiPriority w:val="99"/>
    <w:semiHidden/>
    <w:unhideWhenUsed/>
    <w:rsid w:val="006000D5"/>
    <w:rPr>
      <w:color w:val="605E5C"/>
      <w:shd w:val="clear" w:color="auto" w:fill="E1DFDD"/>
    </w:rPr>
  </w:style>
  <w:style w:type="paragraph" w:styleId="Bibliography">
    <w:name w:val="Bibliography"/>
    <w:basedOn w:val="Normal"/>
    <w:next w:val="Normal"/>
    <w:uiPriority w:val="37"/>
    <w:semiHidden/>
    <w:unhideWhenUsed/>
    <w:rsid w:val="00C17816"/>
  </w:style>
  <w:style w:type="table" w:styleId="TableGrid">
    <w:name w:val="Table Grid"/>
    <w:basedOn w:val="TableNormal"/>
    <w:uiPriority w:val="39"/>
    <w:rsid w:val="00467659"/>
    <w:pPr>
      <w:spacing w:after="0" w:line="240" w:lineRule="auto"/>
    </w:pPr>
    <w:rPr>
      <w:rFonts w:eastAsiaTheme="minorHAnsi"/>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7659"/>
    <w:pPr>
      <w:spacing w:after="0" w:line="240" w:lineRule="auto"/>
    </w:pPr>
    <w:rPr>
      <w:rFonts w:eastAsiaTheme="minorHAnsi"/>
      <w:kern w:val="0"/>
      <w:sz w:val="22"/>
      <w:szCs w:val="22"/>
      <w:lang w:val="en-US" w:eastAsia="en-US"/>
      <w14:ligatures w14:val="none"/>
    </w:rPr>
  </w:style>
  <w:style w:type="paragraph" w:styleId="Caption">
    <w:name w:val="caption"/>
    <w:basedOn w:val="Normal"/>
    <w:next w:val="Normal"/>
    <w:uiPriority w:val="35"/>
    <w:unhideWhenUsed/>
    <w:qFormat/>
    <w:rsid w:val="00467659"/>
    <w:pPr>
      <w:spacing w:after="200"/>
    </w:pPr>
    <w:rPr>
      <w:rFonts w:asciiTheme="minorHAnsi" w:eastAsiaTheme="minorHAnsi" w:hAnsiTheme="minorHAnsi" w:cstheme="minorBidi"/>
      <w:i/>
      <w:iCs/>
      <w:color w:val="0E2841" w:themeColor="text2"/>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52272">
      <w:bodyDiv w:val="1"/>
      <w:marLeft w:val="0"/>
      <w:marRight w:val="0"/>
      <w:marTop w:val="0"/>
      <w:marBottom w:val="0"/>
      <w:divBdr>
        <w:top w:val="none" w:sz="0" w:space="0" w:color="auto"/>
        <w:left w:val="none" w:sz="0" w:space="0" w:color="auto"/>
        <w:bottom w:val="none" w:sz="0" w:space="0" w:color="auto"/>
        <w:right w:val="none" w:sz="0" w:space="0" w:color="auto"/>
      </w:divBdr>
      <w:divsChild>
        <w:div w:id="1416173009">
          <w:marLeft w:val="0"/>
          <w:marRight w:val="0"/>
          <w:marTop w:val="0"/>
          <w:marBottom w:val="0"/>
          <w:divBdr>
            <w:top w:val="none" w:sz="0" w:space="0" w:color="auto"/>
            <w:left w:val="none" w:sz="0" w:space="0" w:color="auto"/>
            <w:bottom w:val="none" w:sz="0" w:space="0" w:color="auto"/>
            <w:right w:val="none" w:sz="0" w:space="0" w:color="auto"/>
          </w:divBdr>
        </w:div>
      </w:divsChild>
    </w:div>
    <w:div w:id="19821841">
      <w:bodyDiv w:val="1"/>
      <w:marLeft w:val="0"/>
      <w:marRight w:val="0"/>
      <w:marTop w:val="0"/>
      <w:marBottom w:val="0"/>
      <w:divBdr>
        <w:top w:val="none" w:sz="0" w:space="0" w:color="auto"/>
        <w:left w:val="none" w:sz="0" w:space="0" w:color="auto"/>
        <w:bottom w:val="none" w:sz="0" w:space="0" w:color="auto"/>
        <w:right w:val="none" w:sz="0" w:space="0" w:color="auto"/>
      </w:divBdr>
      <w:divsChild>
        <w:div w:id="12868">
          <w:marLeft w:val="0"/>
          <w:marRight w:val="0"/>
          <w:marTop w:val="0"/>
          <w:marBottom w:val="0"/>
          <w:divBdr>
            <w:top w:val="none" w:sz="0" w:space="0" w:color="auto"/>
            <w:left w:val="none" w:sz="0" w:space="0" w:color="auto"/>
            <w:bottom w:val="none" w:sz="0" w:space="0" w:color="auto"/>
            <w:right w:val="none" w:sz="0" w:space="0" w:color="auto"/>
          </w:divBdr>
        </w:div>
      </w:divsChild>
    </w:div>
    <w:div w:id="56978159">
      <w:bodyDiv w:val="1"/>
      <w:marLeft w:val="0"/>
      <w:marRight w:val="0"/>
      <w:marTop w:val="0"/>
      <w:marBottom w:val="0"/>
      <w:divBdr>
        <w:top w:val="none" w:sz="0" w:space="0" w:color="auto"/>
        <w:left w:val="none" w:sz="0" w:space="0" w:color="auto"/>
        <w:bottom w:val="none" w:sz="0" w:space="0" w:color="auto"/>
        <w:right w:val="none" w:sz="0" w:space="0" w:color="auto"/>
      </w:divBdr>
      <w:divsChild>
        <w:div w:id="2122190452">
          <w:marLeft w:val="0"/>
          <w:marRight w:val="0"/>
          <w:marTop w:val="0"/>
          <w:marBottom w:val="0"/>
          <w:divBdr>
            <w:top w:val="none" w:sz="0" w:space="0" w:color="auto"/>
            <w:left w:val="none" w:sz="0" w:space="0" w:color="auto"/>
            <w:bottom w:val="none" w:sz="0" w:space="0" w:color="auto"/>
            <w:right w:val="none" w:sz="0" w:space="0" w:color="auto"/>
          </w:divBdr>
        </w:div>
      </w:divsChild>
    </w:div>
    <w:div w:id="115418003">
      <w:bodyDiv w:val="1"/>
      <w:marLeft w:val="0"/>
      <w:marRight w:val="0"/>
      <w:marTop w:val="0"/>
      <w:marBottom w:val="0"/>
      <w:divBdr>
        <w:top w:val="none" w:sz="0" w:space="0" w:color="auto"/>
        <w:left w:val="none" w:sz="0" w:space="0" w:color="auto"/>
        <w:bottom w:val="none" w:sz="0" w:space="0" w:color="auto"/>
        <w:right w:val="none" w:sz="0" w:space="0" w:color="auto"/>
      </w:divBdr>
      <w:divsChild>
        <w:div w:id="1935900140">
          <w:marLeft w:val="0"/>
          <w:marRight w:val="0"/>
          <w:marTop w:val="0"/>
          <w:marBottom w:val="0"/>
          <w:divBdr>
            <w:top w:val="none" w:sz="0" w:space="0" w:color="auto"/>
            <w:left w:val="none" w:sz="0" w:space="0" w:color="auto"/>
            <w:bottom w:val="none" w:sz="0" w:space="0" w:color="auto"/>
            <w:right w:val="none" w:sz="0" w:space="0" w:color="auto"/>
          </w:divBdr>
        </w:div>
      </w:divsChild>
    </w:div>
    <w:div w:id="153843149">
      <w:bodyDiv w:val="1"/>
      <w:marLeft w:val="0"/>
      <w:marRight w:val="0"/>
      <w:marTop w:val="0"/>
      <w:marBottom w:val="0"/>
      <w:divBdr>
        <w:top w:val="none" w:sz="0" w:space="0" w:color="auto"/>
        <w:left w:val="none" w:sz="0" w:space="0" w:color="auto"/>
        <w:bottom w:val="none" w:sz="0" w:space="0" w:color="auto"/>
        <w:right w:val="none" w:sz="0" w:space="0" w:color="auto"/>
      </w:divBdr>
      <w:divsChild>
        <w:div w:id="800003487">
          <w:marLeft w:val="0"/>
          <w:marRight w:val="0"/>
          <w:marTop w:val="0"/>
          <w:marBottom w:val="0"/>
          <w:divBdr>
            <w:top w:val="none" w:sz="0" w:space="0" w:color="auto"/>
            <w:left w:val="none" w:sz="0" w:space="0" w:color="auto"/>
            <w:bottom w:val="none" w:sz="0" w:space="0" w:color="auto"/>
            <w:right w:val="none" w:sz="0" w:space="0" w:color="auto"/>
          </w:divBdr>
        </w:div>
      </w:divsChild>
    </w:div>
    <w:div w:id="158424691">
      <w:bodyDiv w:val="1"/>
      <w:marLeft w:val="0"/>
      <w:marRight w:val="0"/>
      <w:marTop w:val="0"/>
      <w:marBottom w:val="0"/>
      <w:divBdr>
        <w:top w:val="none" w:sz="0" w:space="0" w:color="auto"/>
        <w:left w:val="none" w:sz="0" w:space="0" w:color="auto"/>
        <w:bottom w:val="none" w:sz="0" w:space="0" w:color="auto"/>
        <w:right w:val="none" w:sz="0" w:space="0" w:color="auto"/>
      </w:divBdr>
      <w:divsChild>
        <w:div w:id="1873806243">
          <w:marLeft w:val="0"/>
          <w:marRight w:val="0"/>
          <w:marTop w:val="0"/>
          <w:marBottom w:val="0"/>
          <w:divBdr>
            <w:top w:val="none" w:sz="0" w:space="0" w:color="auto"/>
            <w:left w:val="none" w:sz="0" w:space="0" w:color="auto"/>
            <w:bottom w:val="none" w:sz="0" w:space="0" w:color="auto"/>
            <w:right w:val="none" w:sz="0" w:space="0" w:color="auto"/>
          </w:divBdr>
        </w:div>
      </w:divsChild>
    </w:div>
    <w:div w:id="168913838">
      <w:bodyDiv w:val="1"/>
      <w:marLeft w:val="0"/>
      <w:marRight w:val="0"/>
      <w:marTop w:val="0"/>
      <w:marBottom w:val="0"/>
      <w:divBdr>
        <w:top w:val="none" w:sz="0" w:space="0" w:color="auto"/>
        <w:left w:val="none" w:sz="0" w:space="0" w:color="auto"/>
        <w:bottom w:val="none" w:sz="0" w:space="0" w:color="auto"/>
        <w:right w:val="none" w:sz="0" w:space="0" w:color="auto"/>
      </w:divBdr>
      <w:divsChild>
        <w:div w:id="154424072">
          <w:marLeft w:val="0"/>
          <w:marRight w:val="0"/>
          <w:marTop w:val="0"/>
          <w:marBottom w:val="0"/>
          <w:divBdr>
            <w:top w:val="none" w:sz="0" w:space="0" w:color="auto"/>
            <w:left w:val="none" w:sz="0" w:space="0" w:color="auto"/>
            <w:bottom w:val="none" w:sz="0" w:space="0" w:color="auto"/>
            <w:right w:val="none" w:sz="0" w:space="0" w:color="auto"/>
          </w:divBdr>
        </w:div>
      </w:divsChild>
    </w:div>
    <w:div w:id="174155451">
      <w:bodyDiv w:val="1"/>
      <w:marLeft w:val="0"/>
      <w:marRight w:val="0"/>
      <w:marTop w:val="0"/>
      <w:marBottom w:val="0"/>
      <w:divBdr>
        <w:top w:val="none" w:sz="0" w:space="0" w:color="auto"/>
        <w:left w:val="none" w:sz="0" w:space="0" w:color="auto"/>
        <w:bottom w:val="none" w:sz="0" w:space="0" w:color="auto"/>
        <w:right w:val="none" w:sz="0" w:space="0" w:color="auto"/>
      </w:divBdr>
      <w:divsChild>
        <w:div w:id="127091393">
          <w:marLeft w:val="0"/>
          <w:marRight w:val="0"/>
          <w:marTop w:val="0"/>
          <w:marBottom w:val="0"/>
          <w:divBdr>
            <w:top w:val="none" w:sz="0" w:space="0" w:color="auto"/>
            <w:left w:val="none" w:sz="0" w:space="0" w:color="auto"/>
            <w:bottom w:val="none" w:sz="0" w:space="0" w:color="auto"/>
            <w:right w:val="none" w:sz="0" w:space="0" w:color="auto"/>
          </w:divBdr>
        </w:div>
      </w:divsChild>
    </w:div>
    <w:div w:id="210579403">
      <w:bodyDiv w:val="1"/>
      <w:marLeft w:val="0"/>
      <w:marRight w:val="0"/>
      <w:marTop w:val="0"/>
      <w:marBottom w:val="0"/>
      <w:divBdr>
        <w:top w:val="none" w:sz="0" w:space="0" w:color="auto"/>
        <w:left w:val="none" w:sz="0" w:space="0" w:color="auto"/>
        <w:bottom w:val="none" w:sz="0" w:space="0" w:color="auto"/>
        <w:right w:val="none" w:sz="0" w:space="0" w:color="auto"/>
      </w:divBdr>
      <w:divsChild>
        <w:div w:id="1575121718">
          <w:marLeft w:val="0"/>
          <w:marRight w:val="0"/>
          <w:marTop w:val="0"/>
          <w:marBottom w:val="0"/>
          <w:divBdr>
            <w:top w:val="none" w:sz="0" w:space="0" w:color="auto"/>
            <w:left w:val="none" w:sz="0" w:space="0" w:color="auto"/>
            <w:bottom w:val="none" w:sz="0" w:space="0" w:color="auto"/>
            <w:right w:val="none" w:sz="0" w:space="0" w:color="auto"/>
          </w:divBdr>
        </w:div>
      </w:divsChild>
    </w:div>
    <w:div w:id="243730886">
      <w:bodyDiv w:val="1"/>
      <w:marLeft w:val="0"/>
      <w:marRight w:val="0"/>
      <w:marTop w:val="0"/>
      <w:marBottom w:val="0"/>
      <w:divBdr>
        <w:top w:val="none" w:sz="0" w:space="0" w:color="auto"/>
        <w:left w:val="none" w:sz="0" w:space="0" w:color="auto"/>
        <w:bottom w:val="none" w:sz="0" w:space="0" w:color="auto"/>
        <w:right w:val="none" w:sz="0" w:space="0" w:color="auto"/>
      </w:divBdr>
      <w:divsChild>
        <w:div w:id="1330135442">
          <w:marLeft w:val="0"/>
          <w:marRight w:val="0"/>
          <w:marTop w:val="0"/>
          <w:marBottom w:val="0"/>
          <w:divBdr>
            <w:top w:val="none" w:sz="0" w:space="0" w:color="auto"/>
            <w:left w:val="none" w:sz="0" w:space="0" w:color="auto"/>
            <w:bottom w:val="none" w:sz="0" w:space="0" w:color="auto"/>
            <w:right w:val="none" w:sz="0" w:space="0" w:color="auto"/>
          </w:divBdr>
        </w:div>
      </w:divsChild>
    </w:div>
    <w:div w:id="438187395">
      <w:bodyDiv w:val="1"/>
      <w:marLeft w:val="0"/>
      <w:marRight w:val="0"/>
      <w:marTop w:val="0"/>
      <w:marBottom w:val="0"/>
      <w:divBdr>
        <w:top w:val="none" w:sz="0" w:space="0" w:color="auto"/>
        <w:left w:val="none" w:sz="0" w:space="0" w:color="auto"/>
        <w:bottom w:val="none" w:sz="0" w:space="0" w:color="auto"/>
        <w:right w:val="none" w:sz="0" w:space="0" w:color="auto"/>
      </w:divBdr>
      <w:divsChild>
        <w:div w:id="1158109925">
          <w:marLeft w:val="0"/>
          <w:marRight w:val="0"/>
          <w:marTop w:val="0"/>
          <w:marBottom w:val="0"/>
          <w:divBdr>
            <w:top w:val="none" w:sz="0" w:space="0" w:color="auto"/>
            <w:left w:val="none" w:sz="0" w:space="0" w:color="auto"/>
            <w:bottom w:val="none" w:sz="0" w:space="0" w:color="auto"/>
            <w:right w:val="none" w:sz="0" w:space="0" w:color="auto"/>
          </w:divBdr>
        </w:div>
      </w:divsChild>
    </w:div>
    <w:div w:id="442918008">
      <w:bodyDiv w:val="1"/>
      <w:marLeft w:val="0"/>
      <w:marRight w:val="0"/>
      <w:marTop w:val="0"/>
      <w:marBottom w:val="0"/>
      <w:divBdr>
        <w:top w:val="none" w:sz="0" w:space="0" w:color="auto"/>
        <w:left w:val="none" w:sz="0" w:space="0" w:color="auto"/>
        <w:bottom w:val="none" w:sz="0" w:space="0" w:color="auto"/>
        <w:right w:val="none" w:sz="0" w:space="0" w:color="auto"/>
      </w:divBdr>
      <w:divsChild>
        <w:div w:id="924192022">
          <w:marLeft w:val="0"/>
          <w:marRight w:val="0"/>
          <w:marTop w:val="0"/>
          <w:marBottom w:val="0"/>
          <w:divBdr>
            <w:top w:val="none" w:sz="0" w:space="0" w:color="auto"/>
            <w:left w:val="none" w:sz="0" w:space="0" w:color="auto"/>
            <w:bottom w:val="none" w:sz="0" w:space="0" w:color="auto"/>
            <w:right w:val="none" w:sz="0" w:space="0" w:color="auto"/>
          </w:divBdr>
        </w:div>
      </w:divsChild>
    </w:div>
    <w:div w:id="583883575">
      <w:bodyDiv w:val="1"/>
      <w:marLeft w:val="0"/>
      <w:marRight w:val="0"/>
      <w:marTop w:val="0"/>
      <w:marBottom w:val="0"/>
      <w:divBdr>
        <w:top w:val="none" w:sz="0" w:space="0" w:color="auto"/>
        <w:left w:val="none" w:sz="0" w:space="0" w:color="auto"/>
        <w:bottom w:val="none" w:sz="0" w:space="0" w:color="auto"/>
        <w:right w:val="none" w:sz="0" w:space="0" w:color="auto"/>
      </w:divBdr>
      <w:divsChild>
        <w:div w:id="1084839256">
          <w:marLeft w:val="0"/>
          <w:marRight w:val="0"/>
          <w:marTop w:val="0"/>
          <w:marBottom w:val="0"/>
          <w:divBdr>
            <w:top w:val="none" w:sz="0" w:space="0" w:color="auto"/>
            <w:left w:val="none" w:sz="0" w:space="0" w:color="auto"/>
            <w:bottom w:val="none" w:sz="0" w:space="0" w:color="auto"/>
            <w:right w:val="none" w:sz="0" w:space="0" w:color="auto"/>
          </w:divBdr>
        </w:div>
      </w:divsChild>
    </w:div>
    <w:div w:id="644285648">
      <w:bodyDiv w:val="1"/>
      <w:marLeft w:val="0"/>
      <w:marRight w:val="0"/>
      <w:marTop w:val="0"/>
      <w:marBottom w:val="0"/>
      <w:divBdr>
        <w:top w:val="none" w:sz="0" w:space="0" w:color="auto"/>
        <w:left w:val="none" w:sz="0" w:space="0" w:color="auto"/>
        <w:bottom w:val="none" w:sz="0" w:space="0" w:color="auto"/>
        <w:right w:val="none" w:sz="0" w:space="0" w:color="auto"/>
      </w:divBdr>
      <w:divsChild>
        <w:div w:id="637732068">
          <w:marLeft w:val="0"/>
          <w:marRight w:val="0"/>
          <w:marTop w:val="0"/>
          <w:marBottom w:val="0"/>
          <w:divBdr>
            <w:top w:val="none" w:sz="0" w:space="0" w:color="auto"/>
            <w:left w:val="none" w:sz="0" w:space="0" w:color="auto"/>
            <w:bottom w:val="none" w:sz="0" w:space="0" w:color="auto"/>
            <w:right w:val="none" w:sz="0" w:space="0" w:color="auto"/>
          </w:divBdr>
        </w:div>
      </w:divsChild>
    </w:div>
    <w:div w:id="702941998">
      <w:bodyDiv w:val="1"/>
      <w:marLeft w:val="0"/>
      <w:marRight w:val="0"/>
      <w:marTop w:val="0"/>
      <w:marBottom w:val="0"/>
      <w:divBdr>
        <w:top w:val="none" w:sz="0" w:space="0" w:color="auto"/>
        <w:left w:val="none" w:sz="0" w:space="0" w:color="auto"/>
        <w:bottom w:val="none" w:sz="0" w:space="0" w:color="auto"/>
        <w:right w:val="none" w:sz="0" w:space="0" w:color="auto"/>
      </w:divBdr>
      <w:divsChild>
        <w:div w:id="61418423">
          <w:marLeft w:val="0"/>
          <w:marRight w:val="0"/>
          <w:marTop w:val="0"/>
          <w:marBottom w:val="0"/>
          <w:divBdr>
            <w:top w:val="none" w:sz="0" w:space="0" w:color="auto"/>
            <w:left w:val="none" w:sz="0" w:space="0" w:color="auto"/>
            <w:bottom w:val="none" w:sz="0" w:space="0" w:color="auto"/>
            <w:right w:val="none" w:sz="0" w:space="0" w:color="auto"/>
          </w:divBdr>
        </w:div>
      </w:divsChild>
    </w:div>
    <w:div w:id="778918526">
      <w:bodyDiv w:val="1"/>
      <w:marLeft w:val="0"/>
      <w:marRight w:val="0"/>
      <w:marTop w:val="0"/>
      <w:marBottom w:val="0"/>
      <w:divBdr>
        <w:top w:val="none" w:sz="0" w:space="0" w:color="auto"/>
        <w:left w:val="none" w:sz="0" w:space="0" w:color="auto"/>
        <w:bottom w:val="none" w:sz="0" w:space="0" w:color="auto"/>
        <w:right w:val="none" w:sz="0" w:space="0" w:color="auto"/>
      </w:divBdr>
      <w:divsChild>
        <w:div w:id="1342002743">
          <w:marLeft w:val="0"/>
          <w:marRight w:val="0"/>
          <w:marTop w:val="0"/>
          <w:marBottom w:val="0"/>
          <w:divBdr>
            <w:top w:val="none" w:sz="0" w:space="0" w:color="auto"/>
            <w:left w:val="none" w:sz="0" w:space="0" w:color="auto"/>
            <w:bottom w:val="none" w:sz="0" w:space="0" w:color="auto"/>
            <w:right w:val="none" w:sz="0" w:space="0" w:color="auto"/>
          </w:divBdr>
        </w:div>
      </w:divsChild>
    </w:div>
    <w:div w:id="834691113">
      <w:bodyDiv w:val="1"/>
      <w:marLeft w:val="0"/>
      <w:marRight w:val="0"/>
      <w:marTop w:val="0"/>
      <w:marBottom w:val="0"/>
      <w:divBdr>
        <w:top w:val="none" w:sz="0" w:space="0" w:color="auto"/>
        <w:left w:val="none" w:sz="0" w:space="0" w:color="auto"/>
        <w:bottom w:val="none" w:sz="0" w:space="0" w:color="auto"/>
        <w:right w:val="none" w:sz="0" w:space="0" w:color="auto"/>
      </w:divBdr>
      <w:divsChild>
        <w:div w:id="849224724">
          <w:marLeft w:val="0"/>
          <w:marRight w:val="0"/>
          <w:marTop w:val="0"/>
          <w:marBottom w:val="0"/>
          <w:divBdr>
            <w:top w:val="none" w:sz="0" w:space="0" w:color="auto"/>
            <w:left w:val="none" w:sz="0" w:space="0" w:color="auto"/>
            <w:bottom w:val="none" w:sz="0" w:space="0" w:color="auto"/>
            <w:right w:val="none" w:sz="0" w:space="0" w:color="auto"/>
          </w:divBdr>
        </w:div>
      </w:divsChild>
    </w:div>
    <w:div w:id="860900004">
      <w:bodyDiv w:val="1"/>
      <w:marLeft w:val="0"/>
      <w:marRight w:val="0"/>
      <w:marTop w:val="0"/>
      <w:marBottom w:val="0"/>
      <w:divBdr>
        <w:top w:val="none" w:sz="0" w:space="0" w:color="auto"/>
        <w:left w:val="none" w:sz="0" w:space="0" w:color="auto"/>
        <w:bottom w:val="none" w:sz="0" w:space="0" w:color="auto"/>
        <w:right w:val="none" w:sz="0" w:space="0" w:color="auto"/>
      </w:divBdr>
    </w:div>
    <w:div w:id="888299656">
      <w:bodyDiv w:val="1"/>
      <w:marLeft w:val="0"/>
      <w:marRight w:val="0"/>
      <w:marTop w:val="0"/>
      <w:marBottom w:val="0"/>
      <w:divBdr>
        <w:top w:val="none" w:sz="0" w:space="0" w:color="auto"/>
        <w:left w:val="none" w:sz="0" w:space="0" w:color="auto"/>
        <w:bottom w:val="none" w:sz="0" w:space="0" w:color="auto"/>
        <w:right w:val="none" w:sz="0" w:space="0" w:color="auto"/>
      </w:divBdr>
      <w:divsChild>
        <w:div w:id="654770681">
          <w:marLeft w:val="0"/>
          <w:marRight w:val="0"/>
          <w:marTop w:val="0"/>
          <w:marBottom w:val="0"/>
          <w:divBdr>
            <w:top w:val="none" w:sz="0" w:space="0" w:color="auto"/>
            <w:left w:val="none" w:sz="0" w:space="0" w:color="auto"/>
            <w:bottom w:val="none" w:sz="0" w:space="0" w:color="auto"/>
            <w:right w:val="none" w:sz="0" w:space="0" w:color="auto"/>
          </w:divBdr>
        </w:div>
      </w:divsChild>
    </w:div>
    <w:div w:id="917985233">
      <w:bodyDiv w:val="1"/>
      <w:marLeft w:val="0"/>
      <w:marRight w:val="0"/>
      <w:marTop w:val="0"/>
      <w:marBottom w:val="0"/>
      <w:divBdr>
        <w:top w:val="none" w:sz="0" w:space="0" w:color="auto"/>
        <w:left w:val="none" w:sz="0" w:space="0" w:color="auto"/>
        <w:bottom w:val="none" w:sz="0" w:space="0" w:color="auto"/>
        <w:right w:val="none" w:sz="0" w:space="0" w:color="auto"/>
      </w:divBdr>
      <w:divsChild>
        <w:div w:id="1848864524">
          <w:marLeft w:val="0"/>
          <w:marRight w:val="0"/>
          <w:marTop w:val="0"/>
          <w:marBottom w:val="0"/>
          <w:divBdr>
            <w:top w:val="none" w:sz="0" w:space="0" w:color="auto"/>
            <w:left w:val="none" w:sz="0" w:space="0" w:color="auto"/>
            <w:bottom w:val="none" w:sz="0" w:space="0" w:color="auto"/>
            <w:right w:val="none" w:sz="0" w:space="0" w:color="auto"/>
          </w:divBdr>
        </w:div>
      </w:divsChild>
    </w:div>
    <w:div w:id="968585867">
      <w:bodyDiv w:val="1"/>
      <w:marLeft w:val="0"/>
      <w:marRight w:val="0"/>
      <w:marTop w:val="0"/>
      <w:marBottom w:val="0"/>
      <w:divBdr>
        <w:top w:val="none" w:sz="0" w:space="0" w:color="auto"/>
        <w:left w:val="none" w:sz="0" w:space="0" w:color="auto"/>
        <w:bottom w:val="none" w:sz="0" w:space="0" w:color="auto"/>
        <w:right w:val="none" w:sz="0" w:space="0" w:color="auto"/>
      </w:divBdr>
      <w:divsChild>
        <w:div w:id="1773938282">
          <w:marLeft w:val="0"/>
          <w:marRight w:val="0"/>
          <w:marTop w:val="0"/>
          <w:marBottom w:val="0"/>
          <w:divBdr>
            <w:top w:val="none" w:sz="0" w:space="0" w:color="auto"/>
            <w:left w:val="none" w:sz="0" w:space="0" w:color="auto"/>
            <w:bottom w:val="none" w:sz="0" w:space="0" w:color="auto"/>
            <w:right w:val="none" w:sz="0" w:space="0" w:color="auto"/>
          </w:divBdr>
        </w:div>
      </w:divsChild>
    </w:div>
    <w:div w:id="997655462">
      <w:bodyDiv w:val="1"/>
      <w:marLeft w:val="0"/>
      <w:marRight w:val="0"/>
      <w:marTop w:val="0"/>
      <w:marBottom w:val="0"/>
      <w:divBdr>
        <w:top w:val="none" w:sz="0" w:space="0" w:color="auto"/>
        <w:left w:val="none" w:sz="0" w:space="0" w:color="auto"/>
        <w:bottom w:val="none" w:sz="0" w:space="0" w:color="auto"/>
        <w:right w:val="none" w:sz="0" w:space="0" w:color="auto"/>
      </w:divBdr>
      <w:divsChild>
        <w:div w:id="1506556620">
          <w:marLeft w:val="0"/>
          <w:marRight w:val="0"/>
          <w:marTop w:val="0"/>
          <w:marBottom w:val="0"/>
          <w:divBdr>
            <w:top w:val="none" w:sz="0" w:space="0" w:color="auto"/>
            <w:left w:val="none" w:sz="0" w:space="0" w:color="auto"/>
            <w:bottom w:val="none" w:sz="0" w:space="0" w:color="auto"/>
            <w:right w:val="none" w:sz="0" w:space="0" w:color="auto"/>
          </w:divBdr>
        </w:div>
      </w:divsChild>
    </w:div>
    <w:div w:id="1006597538">
      <w:bodyDiv w:val="1"/>
      <w:marLeft w:val="0"/>
      <w:marRight w:val="0"/>
      <w:marTop w:val="0"/>
      <w:marBottom w:val="0"/>
      <w:divBdr>
        <w:top w:val="none" w:sz="0" w:space="0" w:color="auto"/>
        <w:left w:val="none" w:sz="0" w:space="0" w:color="auto"/>
        <w:bottom w:val="none" w:sz="0" w:space="0" w:color="auto"/>
        <w:right w:val="none" w:sz="0" w:space="0" w:color="auto"/>
      </w:divBdr>
      <w:divsChild>
        <w:div w:id="1154224057">
          <w:marLeft w:val="0"/>
          <w:marRight w:val="0"/>
          <w:marTop w:val="0"/>
          <w:marBottom w:val="0"/>
          <w:divBdr>
            <w:top w:val="none" w:sz="0" w:space="0" w:color="auto"/>
            <w:left w:val="none" w:sz="0" w:space="0" w:color="auto"/>
            <w:bottom w:val="none" w:sz="0" w:space="0" w:color="auto"/>
            <w:right w:val="none" w:sz="0" w:space="0" w:color="auto"/>
          </w:divBdr>
        </w:div>
      </w:divsChild>
    </w:div>
    <w:div w:id="1019820230">
      <w:bodyDiv w:val="1"/>
      <w:marLeft w:val="0"/>
      <w:marRight w:val="0"/>
      <w:marTop w:val="0"/>
      <w:marBottom w:val="0"/>
      <w:divBdr>
        <w:top w:val="none" w:sz="0" w:space="0" w:color="auto"/>
        <w:left w:val="none" w:sz="0" w:space="0" w:color="auto"/>
        <w:bottom w:val="none" w:sz="0" w:space="0" w:color="auto"/>
        <w:right w:val="none" w:sz="0" w:space="0" w:color="auto"/>
      </w:divBdr>
      <w:divsChild>
        <w:div w:id="1181045560">
          <w:marLeft w:val="0"/>
          <w:marRight w:val="0"/>
          <w:marTop w:val="0"/>
          <w:marBottom w:val="0"/>
          <w:divBdr>
            <w:top w:val="none" w:sz="0" w:space="0" w:color="auto"/>
            <w:left w:val="none" w:sz="0" w:space="0" w:color="auto"/>
            <w:bottom w:val="none" w:sz="0" w:space="0" w:color="auto"/>
            <w:right w:val="none" w:sz="0" w:space="0" w:color="auto"/>
          </w:divBdr>
        </w:div>
      </w:divsChild>
    </w:div>
    <w:div w:id="1034574604">
      <w:bodyDiv w:val="1"/>
      <w:marLeft w:val="0"/>
      <w:marRight w:val="0"/>
      <w:marTop w:val="0"/>
      <w:marBottom w:val="0"/>
      <w:divBdr>
        <w:top w:val="none" w:sz="0" w:space="0" w:color="auto"/>
        <w:left w:val="none" w:sz="0" w:space="0" w:color="auto"/>
        <w:bottom w:val="none" w:sz="0" w:space="0" w:color="auto"/>
        <w:right w:val="none" w:sz="0" w:space="0" w:color="auto"/>
      </w:divBdr>
      <w:divsChild>
        <w:div w:id="576744013">
          <w:marLeft w:val="0"/>
          <w:marRight w:val="0"/>
          <w:marTop w:val="0"/>
          <w:marBottom w:val="0"/>
          <w:divBdr>
            <w:top w:val="none" w:sz="0" w:space="0" w:color="auto"/>
            <w:left w:val="none" w:sz="0" w:space="0" w:color="auto"/>
            <w:bottom w:val="none" w:sz="0" w:space="0" w:color="auto"/>
            <w:right w:val="none" w:sz="0" w:space="0" w:color="auto"/>
          </w:divBdr>
        </w:div>
      </w:divsChild>
    </w:div>
    <w:div w:id="1048603606">
      <w:bodyDiv w:val="1"/>
      <w:marLeft w:val="0"/>
      <w:marRight w:val="0"/>
      <w:marTop w:val="0"/>
      <w:marBottom w:val="0"/>
      <w:divBdr>
        <w:top w:val="none" w:sz="0" w:space="0" w:color="auto"/>
        <w:left w:val="none" w:sz="0" w:space="0" w:color="auto"/>
        <w:bottom w:val="none" w:sz="0" w:space="0" w:color="auto"/>
        <w:right w:val="none" w:sz="0" w:space="0" w:color="auto"/>
      </w:divBdr>
      <w:divsChild>
        <w:div w:id="865678481">
          <w:marLeft w:val="0"/>
          <w:marRight w:val="0"/>
          <w:marTop w:val="0"/>
          <w:marBottom w:val="0"/>
          <w:divBdr>
            <w:top w:val="none" w:sz="0" w:space="0" w:color="auto"/>
            <w:left w:val="none" w:sz="0" w:space="0" w:color="auto"/>
            <w:bottom w:val="none" w:sz="0" w:space="0" w:color="auto"/>
            <w:right w:val="none" w:sz="0" w:space="0" w:color="auto"/>
          </w:divBdr>
        </w:div>
      </w:divsChild>
    </w:div>
    <w:div w:id="1065883620">
      <w:bodyDiv w:val="1"/>
      <w:marLeft w:val="0"/>
      <w:marRight w:val="0"/>
      <w:marTop w:val="0"/>
      <w:marBottom w:val="0"/>
      <w:divBdr>
        <w:top w:val="none" w:sz="0" w:space="0" w:color="auto"/>
        <w:left w:val="none" w:sz="0" w:space="0" w:color="auto"/>
        <w:bottom w:val="none" w:sz="0" w:space="0" w:color="auto"/>
        <w:right w:val="none" w:sz="0" w:space="0" w:color="auto"/>
      </w:divBdr>
      <w:divsChild>
        <w:div w:id="1533883234">
          <w:marLeft w:val="0"/>
          <w:marRight w:val="0"/>
          <w:marTop w:val="0"/>
          <w:marBottom w:val="0"/>
          <w:divBdr>
            <w:top w:val="none" w:sz="0" w:space="0" w:color="auto"/>
            <w:left w:val="none" w:sz="0" w:space="0" w:color="auto"/>
            <w:bottom w:val="none" w:sz="0" w:space="0" w:color="auto"/>
            <w:right w:val="none" w:sz="0" w:space="0" w:color="auto"/>
          </w:divBdr>
        </w:div>
      </w:divsChild>
    </w:div>
    <w:div w:id="1073430222">
      <w:bodyDiv w:val="1"/>
      <w:marLeft w:val="0"/>
      <w:marRight w:val="0"/>
      <w:marTop w:val="0"/>
      <w:marBottom w:val="0"/>
      <w:divBdr>
        <w:top w:val="none" w:sz="0" w:space="0" w:color="auto"/>
        <w:left w:val="none" w:sz="0" w:space="0" w:color="auto"/>
        <w:bottom w:val="none" w:sz="0" w:space="0" w:color="auto"/>
        <w:right w:val="none" w:sz="0" w:space="0" w:color="auto"/>
      </w:divBdr>
      <w:divsChild>
        <w:div w:id="1274365942">
          <w:marLeft w:val="0"/>
          <w:marRight w:val="0"/>
          <w:marTop w:val="0"/>
          <w:marBottom w:val="0"/>
          <w:divBdr>
            <w:top w:val="none" w:sz="0" w:space="0" w:color="auto"/>
            <w:left w:val="none" w:sz="0" w:space="0" w:color="auto"/>
            <w:bottom w:val="none" w:sz="0" w:space="0" w:color="auto"/>
            <w:right w:val="none" w:sz="0" w:space="0" w:color="auto"/>
          </w:divBdr>
        </w:div>
      </w:divsChild>
    </w:div>
    <w:div w:id="1123615187">
      <w:bodyDiv w:val="1"/>
      <w:marLeft w:val="0"/>
      <w:marRight w:val="0"/>
      <w:marTop w:val="0"/>
      <w:marBottom w:val="0"/>
      <w:divBdr>
        <w:top w:val="none" w:sz="0" w:space="0" w:color="auto"/>
        <w:left w:val="none" w:sz="0" w:space="0" w:color="auto"/>
        <w:bottom w:val="none" w:sz="0" w:space="0" w:color="auto"/>
        <w:right w:val="none" w:sz="0" w:space="0" w:color="auto"/>
      </w:divBdr>
      <w:divsChild>
        <w:div w:id="654841946">
          <w:marLeft w:val="0"/>
          <w:marRight w:val="0"/>
          <w:marTop w:val="0"/>
          <w:marBottom w:val="0"/>
          <w:divBdr>
            <w:top w:val="none" w:sz="0" w:space="0" w:color="auto"/>
            <w:left w:val="none" w:sz="0" w:space="0" w:color="auto"/>
            <w:bottom w:val="none" w:sz="0" w:space="0" w:color="auto"/>
            <w:right w:val="none" w:sz="0" w:space="0" w:color="auto"/>
          </w:divBdr>
        </w:div>
      </w:divsChild>
    </w:div>
    <w:div w:id="1147670537">
      <w:bodyDiv w:val="1"/>
      <w:marLeft w:val="0"/>
      <w:marRight w:val="0"/>
      <w:marTop w:val="0"/>
      <w:marBottom w:val="0"/>
      <w:divBdr>
        <w:top w:val="none" w:sz="0" w:space="0" w:color="auto"/>
        <w:left w:val="none" w:sz="0" w:space="0" w:color="auto"/>
        <w:bottom w:val="none" w:sz="0" w:space="0" w:color="auto"/>
        <w:right w:val="none" w:sz="0" w:space="0" w:color="auto"/>
      </w:divBdr>
      <w:divsChild>
        <w:div w:id="623148966">
          <w:marLeft w:val="0"/>
          <w:marRight w:val="0"/>
          <w:marTop w:val="0"/>
          <w:marBottom w:val="0"/>
          <w:divBdr>
            <w:top w:val="none" w:sz="0" w:space="0" w:color="auto"/>
            <w:left w:val="none" w:sz="0" w:space="0" w:color="auto"/>
            <w:bottom w:val="none" w:sz="0" w:space="0" w:color="auto"/>
            <w:right w:val="none" w:sz="0" w:space="0" w:color="auto"/>
          </w:divBdr>
        </w:div>
      </w:divsChild>
    </w:div>
    <w:div w:id="1165322313">
      <w:bodyDiv w:val="1"/>
      <w:marLeft w:val="0"/>
      <w:marRight w:val="0"/>
      <w:marTop w:val="0"/>
      <w:marBottom w:val="0"/>
      <w:divBdr>
        <w:top w:val="none" w:sz="0" w:space="0" w:color="auto"/>
        <w:left w:val="none" w:sz="0" w:space="0" w:color="auto"/>
        <w:bottom w:val="none" w:sz="0" w:space="0" w:color="auto"/>
        <w:right w:val="none" w:sz="0" w:space="0" w:color="auto"/>
      </w:divBdr>
      <w:divsChild>
        <w:div w:id="438572102">
          <w:marLeft w:val="0"/>
          <w:marRight w:val="0"/>
          <w:marTop w:val="0"/>
          <w:marBottom w:val="0"/>
          <w:divBdr>
            <w:top w:val="none" w:sz="0" w:space="0" w:color="auto"/>
            <w:left w:val="none" w:sz="0" w:space="0" w:color="auto"/>
            <w:bottom w:val="none" w:sz="0" w:space="0" w:color="auto"/>
            <w:right w:val="none" w:sz="0" w:space="0" w:color="auto"/>
          </w:divBdr>
        </w:div>
      </w:divsChild>
    </w:div>
    <w:div w:id="1169053834">
      <w:bodyDiv w:val="1"/>
      <w:marLeft w:val="0"/>
      <w:marRight w:val="0"/>
      <w:marTop w:val="0"/>
      <w:marBottom w:val="0"/>
      <w:divBdr>
        <w:top w:val="none" w:sz="0" w:space="0" w:color="auto"/>
        <w:left w:val="none" w:sz="0" w:space="0" w:color="auto"/>
        <w:bottom w:val="none" w:sz="0" w:space="0" w:color="auto"/>
        <w:right w:val="none" w:sz="0" w:space="0" w:color="auto"/>
      </w:divBdr>
      <w:divsChild>
        <w:div w:id="50734558">
          <w:marLeft w:val="0"/>
          <w:marRight w:val="0"/>
          <w:marTop w:val="0"/>
          <w:marBottom w:val="0"/>
          <w:divBdr>
            <w:top w:val="none" w:sz="0" w:space="0" w:color="auto"/>
            <w:left w:val="none" w:sz="0" w:space="0" w:color="auto"/>
            <w:bottom w:val="none" w:sz="0" w:space="0" w:color="auto"/>
            <w:right w:val="none" w:sz="0" w:space="0" w:color="auto"/>
          </w:divBdr>
        </w:div>
      </w:divsChild>
    </w:div>
    <w:div w:id="1208450067">
      <w:bodyDiv w:val="1"/>
      <w:marLeft w:val="0"/>
      <w:marRight w:val="0"/>
      <w:marTop w:val="0"/>
      <w:marBottom w:val="0"/>
      <w:divBdr>
        <w:top w:val="none" w:sz="0" w:space="0" w:color="auto"/>
        <w:left w:val="none" w:sz="0" w:space="0" w:color="auto"/>
        <w:bottom w:val="none" w:sz="0" w:space="0" w:color="auto"/>
        <w:right w:val="none" w:sz="0" w:space="0" w:color="auto"/>
      </w:divBdr>
      <w:divsChild>
        <w:div w:id="10837407">
          <w:marLeft w:val="0"/>
          <w:marRight w:val="0"/>
          <w:marTop w:val="0"/>
          <w:marBottom w:val="0"/>
          <w:divBdr>
            <w:top w:val="none" w:sz="0" w:space="0" w:color="auto"/>
            <w:left w:val="none" w:sz="0" w:space="0" w:color="auto"/>
            <w:bottom w:val="none" w:sz="0" w:space="0" w:color="auto"/>
            <w:right w:val="none" w:sz="0" w:space="0" w:color="auto"/>
          </w:divBdr>
        </w:div>
      </w:divsChild>
    </w:div>
    <w:div w:id="1337998981">
      <w:bodyDiv w:val="1"/>
      <w:marLeft w:val="0"/>
      <w:marRight w:val="0"/>
      <w:marTop w:val="0"/>
      <w:marBottom w:val="0"/>
      <w:divBdr>
        <w:top w:val="none" w:sz="0" w:space="0" w:color="auto"/>
        <w:left w:val="none" w:sz="0" w:space="0" w:color="auto"/>
        <w:bottom w:val="none" w:sz="0" w:space="0" w:color="auto"/>
        <w:right w:val="none" w:sz="0" w:space="0" w:color="auto"/>
      </w:divBdr>
      <w:divsChild>
        <w:div w:id="1653218401">
          <w:marLeft w:val="0"/>
          <w:marRight w:val="0"/>
          <w:marTop w:val="0"/>
          <w:marBottom w:val="0"/>
          <w:divBdr>
            <w:top w:val="none" w:sz="0" w:space="0" w:color="auto"/>
            <w:left w:val="none" w:sz="0" w:space="0" w:color="auto"/>
            <w:bottom w:val="none" w:sz="0" w:space="0" w:color="auto"/>
            <w:right w:val="none" w:sz="0" w:space="0" w:color="auto"/>
          </w:divBdr>
        </w:div>
      </w:divsChild>
    </w:div>
    <w:div w:id="1577058521">
      <w:bodyDiv w:val="1"/>
      <w:marLeft w:val="0"/>
      <w:marRight w:val="0"/>
      <w:marTop w:val="0"/>
      <w:marBottom w:val="0"/>
      <w:divBdr>
        <w:top w:val="none" w:sz="0" w:space="0" w:color="auto"/>
        <w:left w:val="none" w:sz="0" w:space="0" w:color="auto"/>
        <w:bottom w:val="none" w:sz="0" w:space="0" w:color="auto"/>
        <w:right w:val="none" w:sz="0" w:space="0" w:color="auto"/>
      </w:divBdr>
      <w:divsChild>
        <w:div w:id="1929607636">
          <w:marLeft w:val="0"/>
          <w:marRight w:val="0"/>
          <w:marTop w:val="0"/>
          <w:marBottom w:val="0"/>
          <w:divBdr>
            <w:top w:val="none" w:sz="0" w:space="0" w:color="auto"/>
            <w:left w:val="none" w:sz="0" w:space="0" w:color="auto"/>
            <w:bottom w:val="none" w:sz="0" w:space="0" w:color="auto"/>
            <w:right w:val="none" w:sz="0" w:space="0" w:color="auto"/>
          </w:divBdr>
        </w:div>
      </w:divsChild>
    </w:div>
    <w:div w:id="1585726975">
      <w:bodyDiv w:val="1"/>
      <w:marLeft w:val="0"/>
      <w:marRight w:val="0"/>
      <w:marTop w:val="0"/>
      <w:marBottom w:val="0"/>
      <w:divBdr>
        <w:top w:val="none" w:sz="0" w:space="0" w:color="auto"/>
        <w:left w:val="none" w:sz="0" w:space="0" w:color="auto"/>
        <w:bottom w:val="none" w:sz="0" w:space="0" w:color="auto"/>
        <w:right w:val="none" w:sz="0" w:space="0" w:color="auto"/>
      </w:divBdr>
      <w:divsChild>
        <w:div w:id="2052000434">
          <w:marLeft w:val="0"/>
          <w:marRight w:val="0"/>
          <w:marTop w:val="0"/>
          <w:marBottom w:val="0"/>
          <w:divBdr>
            <w:top w:val="none" w:sz="0" w:space="0" w:color="auto"/>
            <w:left w:val="none" w:sz="0" w:space="0" w:color="auto"/>
            <w:bottom w:val="none" w:sz="0" w:space="0" w:color="auto"/>
            <w:right w:val="none" w:sz="0" w:space="0" w:color="auto"/>
          </w:divBdr>
        </w:div>
      </w:divsChild>
    </w:div>
    <w:div w:id="1615597007">
      <w:bodyDiv w:val="1"/>
      <w:marLeft w:val="0"/>
      <w:marRight w:val="0"/>
      <w:marTop w:val="0"/>
      <w:marBottom w:val="0"/>
      <w:divBdr>
        <w:top w:val="none" w:sz="0" w:space="0" w:color="auto"/>
        <w:left w:val="none" w:sz="0" w:space="0" w:color="auto"/>
        <w:bottom w:val="none" w:sz="0" w:space="0" w:color="auto"/>
        <w:right w:val="none" w:sz="0" w:space="0" w:color="auto"/>
      </w:divBdr>
      <w:divsChild>
        <w:div w:id="1164859320">
          <w:marLeft w:val="0"/>
          <w:marRight w:val="0"/>
          <w:marTop w:val="0"/>
          <w:marBottom w:val="0"/>
          <w:divBdr>
            <w:top w:val="none" w:sz="0" w:space="0" w:color="auto"/>
            <w:left w:val="none" w:sz="0" w:space="0" w:color="auto"/>
            <w:bottom w:val="none" w:sz="0" w:space="0" w:color="auto"/>
            <w:right w:val="none" w:sz="0" w:space="0" w:color="auto"/>
          </w:divBdr>
        </w:div>
      </w:divsChild>
    </w:div>
    <w:div w:id="1642884140">
      <w:bodyDiv w:val="1"/>
      <w:marLeft w:val="0"/>
      <w:marRight w:val="0"/>
      <w:marTop w:val="0"/>
      <w:marBottom w:val="0"/>
      <w:divBdr>
        <w:top w:val="none" w:sz="0" w:space="0" w:color="auto"/>
        <w:left w:val="none" w:sz="0" w:space="0" w:color="auto"/>
        <w:bottom w:val="none" w:sz="0" w:space="0" w:color="auto"/>
        <w:right w:val="none" w:sz="0" w:space="0" w:color="auto"/>
      </w:divBdr>
      <w:divsChild>
        <w:div w:id="376510408">
          <w:marLeft w:val="0"/>
          <w:marRight w:val="0"/>
          <w:marTop w:val="0"/>
          <w:marBottom w:val="0"/>
          <w:divBdr>
            <w:top w:val="none" w:sz="0" w:space="0" w:color="auto"/>
            <w:left w:val="none" w:sz="0" w:space="0" w:color="auto"/>
            <w:bottom w:val="none" w:sz="0" w:space="0" w:color="auto"/>
            <w:right w:val="none" w:sz="0" w:space="0" w:color="auto"/>
          </w:divBdr>
        </w:div>
      </w:divsChild>
    </w:div>
    <w:div w:id="1658145128">
      <w:bodyDiv w:val="1"/>
      <w:marLeft w:val="0"/>
      <w:marRight w:val="0"/>
      <w:marTop w:val="0"/>
      <w:marBottom w:val="0"/>
      <w:divBdr>
        <w:top w:val="none" w:sz="0" w:space="0" w:color="auto"/>
        <w:left w:val="none" w:sz="0" w:space="0" w:color="auto"/>
        <w:bottom w:val="none" w:sz="0" w:space="0" w:color="auto"/>
        <w:right w:val="none" w:sz="0" w:space="0" w:color="auto"/>
      </w:divBdr>
      <w:divsChild>
        <w:div w:id="587075828">
          <w:marLeft w:val="0"/>
          <w:marRight w:val="0"/>
          <w:marTop w:val="0"/>
          <w:marBottom w:val="0"/>
          <w:divBdr>
            <w:top w:val="none" w:sz="0" w:space="0" w:color="auto"/>
            <w:left w:val="none" w:sz="0" w:space="0" w:color="auto"/>
            <w:bottom w:val="none" w:sz="0" w:space="0" w:color="auto"/>
            <w:right w:val="none" w:sz="0" w:space="0" w:color="auto"/>
          </w:divBdr>
        </w:div>
      </w:divsChild>
    </w:div>
    <w:div w:id="1660303198">
      <w:bodyDiv w:val="1"/>
      <w:marLeft w:val="0"/>
      <w:marRight w:val="0"/>
      <w:marTop w:val="0"/>
      <w:marBottom w:val="0"/>
      <w:divBdr>
        <w:top w:val="none" w:sz="0" w:space="0" w:color="auto"/>
        <w:left w:val="none" w:sz="0" w:space="0" w:color="auto"/>
        <w:bottom w:val="none" w:sz="0" w:space="0" w:color="auto"/>
        <w:right w:val="none" w:sz="0" w:space="0" w:color="auto"/>
      </w:divBdr>
      <w:divsChild>
        <w:div w:id="432553250">
          <w:marLeft w:val="0"/>
          <w:marRight w:val="0"/>
          <w:marTop w:val="0"/>
          <w:marBottom w:val="0"/>
          <w:divBdr>
            <w:top w:val="none" w:sz="0" w:space="0" w:color="auto"/>
            <w:left w:val="none" w:sz="0" w:space="0" w:color="auto"/>
            <w:bottom w:val="none" w:sz="0" w:space="0" w:color="auto"/>
            <w:right w:val="none" w:sz="0" w:space="0" w:color="auto"/>
          </w:divBdr>
        </w:div>
      </w:divsChild>
    </w:div>
    <w:div w:id="1729643124">
      <w:bodyDiv w:val="1"/>
      <w:marLeft w:val="0"/>
      <w:marRight w:val="0"/>
      <w:marTop w:val="0"/>
      <w:marBottom w:val="0"/>
      <w:divBdr>
        <w:top w:val="none" w:sz="0" w:space="0" w:color="auto"/>
        <w:left w:val="none" w:sz="0" w:space="0" w:color="auto"/>
        <w:bottom w:val="none" w:sz="0" w:space="0" w:color="auto"/>
        <w:right w:val="none" w:sz="0" w:space="0" w:color="auto"/>
      </w:divBdr>
    </w:div>
    <w:div w:id="1755973202">
      <w:bodyDiv w:val="1"/>
      <w:marLeft w:val="0"/>
      <w:marRight w:val="0"/>
      <w:marTop w:val="0"/>
      <w:marBottom w:val="0"/>
      <w:divBdr>
        <w:top w:val="none" w:sz="0" w:space="0" w:color="auto"/>
        <w:left w:val="none" w:sz="0" w:space="0" w:color="auto"/>
        <w:bottom w:val="none" w:sz="0" w:space="0" w:color="auto"/>
        <w:right w:val="none" w:sz="0" w:space="0" w:color="auto"/>
      </w:divBdr>
      <w:divsChild>
        <w:div w:id="1358386531">
          <w:marLeft w:val="0"/>
          <w:marRight w:val="0"/>
          <w:marTop w:val="0"/>
          <w:marBottom w:val="0"/>
          <w:divBdr>
            <w:top w:val="none" w:sz="0" w:space="0" w:color="auto"/>
            <w:left w:val="none" w:sz="0" w:space="0" w:color="auto"/>
            <w:bottom w:val="none" w:sz="0" w:space="0" w:color="auto"/>
            <w:right w:val="none" w:sz="0" w:space="0" w:color="auto"/>
          </w:divBdr>
        </w:div>
      </w:divsChild>
    </w:div>
    <w:div w:id="1815026036">
      <w:bodyDiv w:val="1"/>
      <w:marLeft w:val="0"/>
      <w:marRight w:val="0"/>
      <w:marTop w:val="0"/>
      <w:marBottom w:val="0"/>
      <w:divBdr>
        <w:top w:val="none" w:sz="0" w:space="0" w:color="auto"/>
        <w:left w:val="none" w:sz="0" w:space="0" w:color="auto"/>
        <w:bottom w:val="none" w:sz="0" w:space="0" w:color="auto"/>
        <w:right w:val="none" w:sz="0" w:space="0" w:color="auto"/>
      </w:divBdr>
      <w:divsChild>
        <w:div w:id="644286667">
          <w:marLeft w:val="0"/>
          <w:marRight w:val="0"/>
          <w:marTop w:val="0"/>
          <w:marBottom w:val="0"/>
          <w:divBdr>
            <w:top w:val="none" w:sz="0" w:space="0" w:color="auto"/>
            <w:left w:val="none" w:sz="0" w:space="0" w:color="auto"/>
            <w:bottom w:val="none" w:sz="0" w:space="0" w:color="auto"/>
            <w:right w:val="none" w:sz="0" w:space="0" w:color="auto"/>
          </w:divBdr>
        </w:div>
      </w:divsChild>
    </w:div>
    <w:div w:id="1894923440">
      <w:bodyDiv w:val="1"/>
      <w:marLeft w:val="0"/>
      <w:marRight w:val="0"/>
      <w:marTop w:val="0"/>
      <w:marBottom w:val="0"/>
      <w:divBdr>
        <w:top w:val="none" w:sz="0" w:space="0" w:color="auto"/>
        <w:left w:val="none" w:sz="0" w:space="0" w:color="auto"/>
        <w:bottom w:val="none" w:sz="0" w:space="0" w:color="auto"/>
        <w:right w:val="none" w:sz="0" w:space="0" w:color="auto"/>
      </w:divBdr>
      <w:divsChild>
        <w:div w:id="1630471895">
          <w:marLeft w:val="0"/>
          <w:marRight w:val="0"/>
          <w:marTop w:val="0"/>
          <w:marBottom w:val="0"/>
          <w:divBdr>
            <w:top w:val="none" w:sz="0" w:space="0" w:color="auto"/>
            <w:left w:val="none" w:sz="0" w:space="0" w:color="auto"/>
            <w:bottom w:val="none" w:sz="0" w:space="0" w:color="auto"/>
            <w:right w:val="none" w:sz="0" w:space="0" w:color="auto"/>
          </w:divBdr>
        </w:div>
      </w:divsChild>
    </w:div>
    <w:div w:id="2027317767">
      <w:bodyDiv w:val="1"/>
      <w:marLeft w:val="0"/>
      <w:marRight w:val="0"/>
      <w:marTop w:val="0"/>
      <w:marBottom w:val="0"/>
      <w:divBdr>
        <w:top w:val="none" w:sz="0" w:space="0" w:color="auto"/>
        <w:left w:val="none" w:sz="0" w:space="0" w:color="auto"/>
        <w:bottom w:val="none" w:sz="0" w:space="0" w:color="auto"/>
        <w:right w:val="none" w:sz="0" w:space="0" w:color="auto"/>
      </w:divBdr>
      <w:divsChild>
        <w:div w:id="1101416783">
          <w:marLeft w:val="0"/>
          <w:marRight w:val="0"/>
          <w:marTop w:val="0"/>
          <w:marBottom w:val="0"/>
          <w:divBdr>
            <w:top w:val="none" w:sz="0" w:space="0" w:color="auto"/>
            <w:left w:val="none" w:sz="0" w:space="0" w:color="auto"/>
            <w:bottom w:val="none" w:sz="0" w:space="0" w:color="auto"/>
            <w:right w:val="none" w:sz="0" w:space="0" w:color="auto"/>
          </w:divBdr>
        </w:div>
      </w:divsChild>
    </w:div>
    <w:div w:id="2031031370">
      <w:bodyDiv w:val="1"/>
      <w:marLeft w:val="0"/>
      <w:marRight w:val="0"/>
      <w:marTop w:val="0"/>
      <w:marBottom w:val="0"/>
      <w:divBdr>
        <w:top w:val="none" w:sz="0" w:space="0" w:color="auto"/>
        <w:left w:val="none" w:sz="0" w:space="0" w:color="auto"/>
        <w:bottom w:val="none" w:sz="0" w:space="0" w:color="auto"/>
        <w:right w:val="none" w:sz="0" w:space="0" w:color="auto"/>
      </w:divBdr>
    </w:div>
    <w:div w:id="2056275297">
      <w:bodyDiv w:val="1"/>
      <w:marLeft w:val="0"/>
      <w:marRight w:val="0"/>
      <w:marTop w:val="0"/>
      <w:marBottom w:val="0"/>
      <w:divBdr>
        <w:top w:val="none" w:sz="0" w:space="0" w:color="auto"/>
        <w:left w:val="none" w:sz="0" w:space="0" w:color="auto"/>
        <w:bottom w:val="none" w:sz="0" w:space="0" w:color="auto"/>
        <w:right w:val="none" w:sz="0" w:space="0" w:color="auto"/>
      </w:divBdr>
      <w:divsChild>
        <w:div w:id="856847194">
          <w:marLeft w:val="0"/>
          <w:marRight w:val="0"/>
          <w:marTop w:val="0"/>
          <w:marBottom w:val="0"/>
          <w:divBdr>
            <w:top w:val="none" w:sz="0" w:space="0" w:color="auto"/>
            <w:left w:val="none" w:sz="0" w:space="0" w:color="auto"/>
            <w:bottom w:val="none" w:sz="0" w:space="0" w:color="auto"/>
            <w:right w:val="none" w:sz="0" w:space="0" w:color="auto"/>
          </w:divBdr>
        </w:div>
      </w:divsChild>
    </w:div>
    <w:div w:id="2068723952">
      <w:bodyDiv w:val="1"/>
      <w:marLeft w:val="0"/>
      <w:marRight w:val="0"/>
      <w:marTop w:val="0"/>
      <w:marBottom w:val="0"/>
      <w:divBdr>
        <w:top w:val="none" w:sz="0" w:space="0" w:color="auto"/>
        <w:left w:val="none" w:sz="0" w:space="0" w:color="auto"/>
        <w:bottom w:val="none" w:sz="0" w:space="0" w:color="auto"/>
        <w:right w:val="none" w:sz="0" w:space="0" w:color="auto"/>
      </w:divBdr>
      <w:divsChild>
        <w:div w:id="1493762351">
          <w:marLeft w:val="0"/>
          <w:marRight w:val="0"/>
          <w:marTop w:val="0"/>
          <w:marBottom w:val="0"/>
          <w:divBdr>
            <w:top w:val="none" w:sz="0" w:space="0" w:color="auto"/>
            <w:left w:val="none" w:sz="0" w:space="0" w:color="auto"/>
            <w:bottom w:val="none" w:sz="0" w:space="0" w:color="auto"/>
            <w:right w:val="none" w:sz="0" w:space="0" w:color="auto"/>
          </w:divBdr>
        </w:div>
      </w:divsChild>
    </w:div>
    <w:div w:id="2111778726">
      <w:bodyDiv w:val="1"/>
      <w:marLeft w:val="0"/>
      <w:marRight w:val="0"/>
      <w:marTop w:val="0"/>
      <w:marBottom w:val="0"/>
      <w:divBdr>
        <w:top w:val="none" w:sz="0" w:space="0" w:color="auto"/>
        <w:left w:val="none" w:sz="0" w:space="0" w:color="auto"/>
        <w:bottom w:val="none" w:sz="0" w:space="0" w:color="auto"/>
        <w:right w:val="none" w:sz="0" w:space="0" w:color="auto"/>
      </w:divBdr>
      <w:divsChild>
        <w:div w:id="4478978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0.png"/><Relationship Id="rId18" Type="http://schemas.openxmlformats.org/officeDocument/2006/relationships/image" Target="media/image40.png"/><Relationship Id="rId26" Type="http://schemas.openxmlformats.org/officeDocument/2006/relationships/hyperlink" Target="https://www.imf.org/en/Publications/fandd/issues/Series/Back-to-Basics/Inflation" TargetMode="Externa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30.png"/><Relationship Id="rId25" Type="http://schemas.openxmlformats.org/officeDocument/2006/relationships/hyperlink" Target="https://www.imf.org/external/pubs/ft/wp/2012/wp12207.pdf"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5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aeonstores.com.hk/announcement/download?id=226&amp;q%5bid_eq%5d=226&amp;f=file_chk"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ecb.europa.eu/press/conferences/shared/pdf/20230831_inflation/Nicolo_paper.en.pdf"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enstatd.gov.hk/en/web_table.html?id=620-67012" TargetMode="External"/><Relationship Id="rId22" Type="http://schemas.openxmlformats.org/officeDocument/2006/relationships/chart" Target="charts/chart2.xml"/><Relationship Id="rId27"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017946e206e2eaa/Global%20Business%20Challenges/Table%20510-60001_t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017946e206e2eaa/Global%20Business%20Challenges/Table%20510-60001_tc.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tx>
            <c:strRef>
              <c:f>'[Data (HK and SG).xlsx]HK &amp; SG VRS CPI (2)'!$B$23</c:f>
              <c:strCache>
                <c:ptCount val="1"/>
                <c:pt idx="0">
                  <c:v>HKVRS (Million in HKD)</c:v>
                </c:pt>
              </c:strCache>
            </c:strRef>
          </c:tx>
          <c:spPr>
            <a:solidFill>
              <a:srgbClr val="0070C0"/>
            </a:solidFill>
            <a:ln>
              <a:noFill/>
            </a:ln>
            <a:effectLst/>
          </c:spPr>
          <c:invertIfNegative val="0"/>
          <c:cat>
            <c:numRef>
              <c:f>'[Data (HK and SG).xlsx]HK &amp; SG VRS CPI (2)'!$A$24:$A$38</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cat>
          <c:val>
            <c:numRef>
              <c:f>'[Data (HK and SG).xlsx]HK &amp; SG VRS CPI (2)'!$B$24:$B$38</c:f>
              <c:numCache>
                <c:formatCode>General</c:formatCode>
                <c:ptCount val="15"/>
                <c:pt idx="0">
                  <c:v>28197</c:v>
                </c:pt>
                <c:pt idx="1">
                  <c:v>32835</c:v>
                </c:pt>
                <c:pt idx="2">
                  <c:v>39938</c:v>
                </c:pt>
                <c:pt idx="3">
                  <c:v>43811</c:v>
                </c:pt>
                <c:pt idx="4">
                  <c:v>51586</c:v>
                </c:pt>
                <c:pt idx="5">
                  <c:v>52273</c:v>
                </c:pt>
                <c:pt idx="6">
                  <c:v>50123</c:v>
                </c:pt>
                <c:pt idx="7">
                  <c:v>47011</c:v>
                </c:pt>
                <c:pt idx="8">
                  <c:v>48617</c:v>
                </c:pt>
                <c:pt idx="9">
                  <c:v>53257</c:v>
                </c:pt>
                <c:pt idx="10">
                  <c:v>46353</c:v>
                </c:pt>
                <c:pt idx="11">
                  <c:v>35939</c:v>
                </c:pt>
                <c:pt idx="12">
                  <c:v>34752</c:v>
                </c:pt>
                <c:pt idx="13">
                  <c:v>31294</c:v>
                </c:pt>
                <c:pt idx="14">
                  <c:v>35176</c:v>
                </c:pt>
              </c:numCache>
            </c:numRef>
          </c:val>
          <c:extLst>
            <c:ext xmlns:c16="http://schemas.microsoft.com/office/drawing/2014/chart" uri="{C3380CC4-5D6E-409C-BE32-E72D297353CC}">
              <c16:uniqueId val="{00000000-5442-934C-9ACE-DAD7E7AD149E}"/>
            </c:ext>
          </c:extLst>
        </c:ser>
        <c:dLbls>
          <c:showLegendKey val="0"/>
          <c:showVal val="0"/>
          <c:showCatName val="0"/>
          <c:showSerName val="0"/>
          <c:showPercent val="0"/>
          <c:showBubbleSize val="0"/>
        </c:dLbls>
        <c:gapWidth val="150"/>
        <c:axId val="471019408"/>
        <c:axId val="435115536"/>
      </c:barChart>
      <c:lineChart>
        <c:grouping val="standard"/>
        <c:varyColors val="0"/>
        <c:ser>
          <c:idx val="2"/>
          <c:order val="1"/>
          <c:tx>
            <c:strRef>
              <c:f>'[Data (HK and SG).xlsx]HK &amp; SG VRS CPI (2)'!$C$23</c:f>
              <c:strCache>
                <c:ptCount val="1"/>
                <c:pt idx="0">
                  <c:v>APCHKCPI</c:v>
                </c:pt>
              </c:strCache>
            </c:strRef>
          </c:tx>
          <c:spPr>
            <a:ln w="28575" cap="rnd">
              <a:solidFill>
                <a:srgbClr val="7030A0"/>
              </a:solidFill>
              <a:round/>
            </a:ln>
            <a:effectLst/>
          </c:spPr>
          <c:marker>
            <c:symbol val="none"/>
          </c:marker>
          <c:cat>
            <c:numRef>
              <c:f>'[Data (HK and SG).xlsx]HK &amp; SG VRS CPI (2)'!$A$24:$A$38</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cat>
          <c:val>
            <c:numRef>
              <c:f>'[Data (HK and SG).xlsx]HK &amp; SG VRS CPI (2)'!$C$24:$C$38</c:f>
              <c:numCache>
                <c:formatCode>General</c:formatCode>
                <c:ptCount val="15"/>
                <c:pt idx="0">
                  <c:v>1.5</c:v>
                </c:pt>
                <c:pt idx="1">
                  <c:v>3</c:v>
                </c:pt>
                <c:pt idx="2">
                  <c:v>5.7</c:v>
                </c:pt>
                <c:pt idx="3">
                  <c:v>3.6</c:v>
                </c:pt>
                <c:pt idx="4">
                  <c:v>4.3</c:v>
                </c:pt>
                <c:pt idx="5">
                  <c:v>4.9000000000000004</c:v>
                </c:pt>
                <c:pt idx="6">
                  <c:v>2.2999999999999998</c:v>
                </c:pt>
                <c:pt idx="7">
                  <c:v>1.2</c:v>
                </c:pt>
                <c:pt idx="8">
                  <c:v>1.7</c:v>
                </c:pt>
                <c:pt idx="9">
                  <c:v>2.5</c:v>
                </c:pt>
                <c:pt idx="10">
                  <c:v>2.9</c:v>
                </c:pt>
                <c:pt idx="11">
                  <c:v>-0.9</c:v>
                </c:pt>
                <c:pt idx="12">
                  <c:v>2.4</c:v>
                </c:pt>
                <c:pt idx="13">
                  <c:v>2</c:v>
                </c:pt>
                <c:pt idx="14">
                  <c:v>2.2999999999999998</c:v>
                </c:pt>
              </c:numCache>
            </c:numRef>
          </c:val>
          <c:smooth val="0"/>
          <c:extLst>
            <c:ext xmlns:c16="http://schemas.microsoft.com/office/drawing/2014/chart" uri="{C3380CC4-5D6E-409C-BE32-E72D297353CC}">
              <c16:uniqueId val="{00000001-5442-934C-9ACE-DAD7E7AD149E}"/>
            </c:ext>
          </c:extLst>
        </c:ser>
        <c:ser>
          <c:idx val="3"/>
          <c:order val="2"/>
          <c:tx>
            <c:strRef>
              <c:f>'[Data (HK and SG).xlsx]HK &amp; SG VRS CPI (2)'!$D$23</c:f>
              <c:strCache>
                <c:ptCount val="1"/>
                <c:pt idx="0">
                  <c:v>APCHKVRS</c:v>
                </c:pt>
              </c:strCache>
            </c:strRef>
          </c:tx>
          <c:spPr>
            <a:ln w="28575" cap="rnd">
              <a:solidFill>
                <a:schemeClr val="accent6">
                  <a:lumMod val="75000"/>
                </a:schemeClr>
              </a:solidFill>
              <a:round/>
            </a:ln>
            <a:effectLst/>
          </c:spPr>
          <c:marker>
            <c:symbol val="none"/>
          </c:marker>
          <c:cat>
            <c:numRef>
              <c:f>'[Data (HK and SG).xlsx]HK &amp; SG VRS CPI (2)'!$A$24:$A$38</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cat>
          <c:val>
            <c:numRef>
              <c:f>'[Data (HK and SG).xlsx]HK &amp; SG VRS CPI (2)'!$D$24:$D$38</c:f>
              <c:numCache>
                <c:formatCode>0.0</c:formatCode>
                <c:ptCount val="15"/>
                <c:pt idx="0">
                  <c:v>1.2241527857553132</c:v>
                </c:pt>
                <c:pt idx="1">
                  <c:v>16.448558357272049</c:v>
                </c:pt>
                <c:pt idx="2">
                  <c:v>21.632404446474798</c:v>
                </c:pt>
                <c:pt idx="3">
                  <c:v>9.6975311733186444</c:v>
                </c:pt>
                <c:pt idx="4">
                  <c:v>17.74668462258337</c:v>
                </c:pt>
                <c:pt idx="5">
                  <c:v>1.3317566781684953</c:v>
                </c:pt>
                <c:pt idx="6">
                  <c:v>-4.1130220190155535</c:v>
                </c:pt>
                <c:pt idx="7">
                  <c:v>-6.2087265327294849</c:v>
                </c:pt>
                <c:pt idx="8">
                  <c:v>3.4162217353385378</c:v>
                </c:pt>
                <c:pt idx="9">
                  <c:v>9.5439866713289589</c:v>
                </c:pt>
                <c:pt idx="10">
                  <c:v>-12.963554086786713</c:v>
                </c:pt>
                <c:pt idx="11">
                  <c:v>-22.466722757966043</c:v>
                </c:pt>
                <c:pt idx="12">
                  <c:v>-3.3028186649600713</c:v>
                </c:pt>
                <c:pt idx="13">
                  <c:v>-9.9505064456721914</c:v>
                </c:pt>
                <c:pt idx="14">
                  <c:v>12.404933853134786</c:v>
                </c:pt>
              </c:numCache>
            </c:numRef>
          </c:val>
          <c:smooth val="0"/>
          <c:extLst>
            <c:ext xmlns:c16="http://schemas.microsoft.com/office/drawing/2014/chart" uri="{C3380CC4-5D6E-409C-BE32-E72D297353CC}">
              <c16:uniqueId val="{00000002-5442-934C-9ACE-DAD7E7AD149E}"/>
            </c:ext>
          </c:extLst>
        </c:ser>
        <c:dLbls>
          <c:showLegendKey val="0"/>
          <c:showVal val="0"/>
          <c:showCatName val="0"/>
          <c:showSerName val="0"/>
          <c:showPercent val="0"/>
          <c:showBubbleSize val="0"/>
        </c:dLbls>
        <c:marker val="1"/>
        <c:smooth val="0"/>
        <c:axId val="1236172704"/>
        <c:axId val="1418128736"/>
      </c:lineChart>
      <c:catAx>
        <c:axId val="471019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115536"/>
        <c:crosses val="autoZero"/>
        <c:auto val="1"/>
        <c:lblAlgn val="ctr"/>
        <c:lblOffset val="100"/>
        <c:noMultiLvlLbl val="0"/>
      </c:catAx>
      <c:valAx>
        <c:axId val="435115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019408"/>
        <c:crosses val="autoZero"/>
        <c:crossBetween val="between"/>
      </c:valAx>
      <c:valAx>
        <c:axId val="1418128736"/>
        <c:scaling>
          <c:orientation val="minMax"/>
        </c:scaling>
        <c:delete val="0"/>
        <c:axPos val="r"/>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6172704"/>
        <c:crosses val="max"/>
        <c:crossBetween val="between"/>
      </c:valAx>
      <c:catAx>
        <c:axId val="1236172704"/>
        <c:scaling>
          <c:orientation val="minMax"/>
        </c:scaling>
        <c:delete val="1"/>
        <c:axPos val="b"/>
        <c:numFmt formatCode="General" sourceLinked="1"/>
        <c:majorTickMark val="none"/>
        <c:minorTickMark val="none"/>
        <c:tickLblPos val="nextTo"/>
        <c:crossAx val="141812873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'[Data (HK and SG).xlsx]HK &amp; SG VRS CPI (2)'!$B$42</c:f>
              <c:strCache>
                <c:ptCount val="1"/>
                <c:pt idx="0">
                  <c:v>APCHKVRS</c:v>
                </c:pt>
              </c:strCache>
            </c:strRef>
          </c:tx>
          <c:spPr>
            <a:ln w="19050" cap="rnd">
              <a:solidFill>
                <a:srgbClr val="0070C0"/>
              </a:solidFill>
              <a:round/>
            </a:ln>
            <a:effectLst/>
          </c:spPr>
          <c:marker>
            <c:symbol val="none"/>
          </c:marker>
          <c:xVal>
            <c:numRef>
              <c:f>'[Data (HK and SG).xlsx]HK &amp; SG VRS CPI (2)'!$A$43:$A$57</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xVal>
          <c:yVal>
            <c:numRef>
              <c:f>'[Data (HK and SG).xlsx]HK &amp; SG VRS CPI (2)'!$B$43:$B$57</c:f>
              <c:numCache>
                <c:formatCode>0.0</c:formatCode>
                <c:ptCount val="15"/>
                <c:pt idx="0">
                  <c:v>1.2241527857553132</c:v>
                </c:pt>
                <c:pt idx="1">
                  <c:v>16.448558357272049</c:v>
                </c:pt>
                <c:pt idx="2">
                  <c:v>21.632404446474798</c:v>
                </c:pt>
                <c:pt idx="3">
                  <c:v>9.6975311733186444</c:v>
                </c:pt>
                <c:pt idx="4">
                  <c:v>17.74668462258337</c:v>
                </c:pt>
                <c:pt idx="5">
                  <c:v>1.3317566781684953</c:v>
                </c:pt>
                <c:pt idx="6">
                  <c:v>-4.1130220190155535</c:v>
                </c:pt>
                <c:pt idx="7">
                  <c:v>-6.2087265327294849</c:v>
                </c:pt>
                <c:pt idx="8">
                  <c:v>3.4162217353385378</c:v>
                </c:pt>
                <c:pt idx="9">
                  <c:v>9.5439866713289589</c:v>
                </c:pt>
                <c:pt idx="10">
                  <c:v>-12.963554086786713</c:v>
                </c:pt>
                <c:pt idx="11">
                  <c:v>-22.466722757966043</c:v>
                </c:pt>
                <c:pt idx="12">
                  <c:v>-3.3028186649600713</c:v>
                </c:pt>
                <c:pt idx="13">
                  <c:v>-9.9505064456721914</c:v>
                </c:pt>
                <c:pt idx="14">
                  <c:v>12.404933853134786</c:v>
                </c:pt>
              </c:numCache>
            </c:numRef>
          </c:yVal>
          <c:smooth val="0"/>
          <c:extLst>
            <c:ext xmlns:c16="http://schemas.microsoft.com/office/drawing/2014/chart" uri="{C3380CC4-5D6E-409C-BE32-E72D297353CC}">
              <c16:uniqueId val="{00000000-A0F5-AA43-8212-7AEBC1BF40A8}"/>
            </c:ext>
          </c:extLst>
        </c:ser>
        <c:ser>
          <c:idx val="1"/>
          <c:order val="1"/>
          <c:tx>
            <c:strRef>
              <c:f>'[Data (HK and SG).xlsx]HK &amp; SG VRS CPI (2)'!$C$42</c:f>
              <c:strCache>
                <c:ptCount val="1"/>
                <c:pt idx="0">
                  <c:v>APCHKCPI</c:v>
                </c:pt>
              </c:strCache>
            </c:strRef>
          </c:tx>
          <c:spPr>
            <a:ln w="19050" cap="rnd">
              <a:solidFill>
                <a:srgbClr val="7030A0"/>
              </a:solidFill>
              <a:round/>
            </a:ln>
            <a:effectLst/>
          </c:spPr>
          <c:marker>
            <c:symbol val="none"/>
          </c:marker>
          <c:xVal>
            <c:numRef>
              <c:f>'[Data (HK and SG).xlsx]HK &amp; SG VRS CPI (2)'!$A$43:$A$57</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xVal>
          <c:yVal>
            <c:numRef>
              <c:f>'[Data (HK and SG).xlsx]HK &amp; SG VRS CPI (2)'!$C$43:$C$57</c:f>
              <c:numCache>
                <c:formatCode>General</c:formatCode>
                <c:ptCount val="15"/>
                <c:pt idx="0">
                  <c:v>1.5</c:v>
                </c:pt>
                <c:pt idx="1">
                  <c:v>3</c:v>
                </c:pt>
                <c:pt idx="2">
                  <c:v>5.7</c:v>
                </c:pt>
                <c:pt idx="3">
                  <c:v>3.6</c:v>
                </c:pt>
                <c:pt idx="4">
                  <c:v>4.3</c:v>
                </c:pt>
                <c:pt idx="5">
                  <c:v>4.9000000000000004</c:v>
                </c:pt>
                <c:pt idx="6">
                  <c:v>2.2999999999999998</c:v>
                </c:pt>
                <c:pt idx="7">
                  <c:v>1.2</c:v>
                </c:pt>
                <c:pt idx="8">
                  <c:v>1.7</c:v>
                </c:pt>
                <c:pt idx="9">
                  <c:v>2.5</c:v>
                </c:pt>
                <c:pt idx="10">
                  <c:v>2.9</c:v>
                </c:pt>
                <c:pt idx="11">
                  <c:v>-0.9</c:v>
                </c:pt>
                <c:pt idx="12">
                  <c:v>2.4</c:v>
                </c:pt>
                <c:pt idx="13">
                  <c:v>2</c:v>
                </c:pt>
                <c:pt idx="14">
                  <c:v>2.2999999999999998</c:v>
                </c:pt>
              </c:numCache>
            </c:numRef>
          </c:yVal>
          <c:smooth val="0"/>
          <c:extLst>
            <c:ext xmlns:c16="http://schemas.microsoft.com/office/drawing/2014/chart" uri="{C3380CC4-5D6E-409C-BE32-E72D297353CC}">
              <c16:uniqueId val="{00000001-A0F5-AA43-8212-7AEBC1BF40A8}"/>
            </c:ext>
          </c:extLst>
        </c:ser>
        <c:ser>
          <c:idx val="2"/>
          <c:order val="2"/>
          <c:tx>
            <c:strRef>
              <c:f>'[Data (HK and SG).xlsx]HK &amp; SG VRS CPI (2)'!$D$42</c:f>
              <c:strCache>
                <c:ptCount val="1"/>
                <c:pt idx="0">
                  <c:v>APCSGCPI</c:v>
                </c:pt>
              </c:strCache>
            </c:strRef>
          </c:tx>
          <c:spPr>
            <a:ln w="19050" cap="rnd">
              <a:solidFill>
                <a:schemeClr val="accent6">
                  <a:lumMod val="50000"/>
                </a:schemeClr>
              </a:solidFill>
              <a:round/>
            </a:ln>
            <a:effectLst/>
          </c:spPr>
          <c:marker>
            <c:symbol val="none"/>
          </c:marker>
          <c:xVal>
            <c:numRef>
              <c:f>'[Data (HK and SG).xlsx]HK &amp; SG VRS CPI (2)'!$A$43:$A$57</c:f>
              <c:numCache>
                <c:formatCode>General</c:formatCode>
                <c:ptCount val="15"/>
                <c:pt idx="0">
                  <c:v>2009</c:v>
                </c:pt>
                <c:pt idx="1">
                  <c:v>2010</c:v>
                </c:pt>
                <c:pt idx="2">
                  <c:v>2011</c:v>
                </c:pt>
                <c:pt idx="3">
                  <c:v>2012</c:v>
                </c:pt>
                <c:pt idx="4">
                  <c:v>2013</c:v>
                </c:pt>
                <c:pt idx="5">
                  <c:v>2014</c:v>
                </c:pt>
                <c:pt idx="6">
                  <c:v>2015</c:v>
                </c:pt>
                <c:pt idx="7">
                  <c:v>2016</c:v>
                </c:pt>
                <c:pt idx="8">
                  <c:v>2017</c:v>
                </c:pt>
                <c:pt idx="9">
                  <c:v>2018</c:v>
                </c:pt>
                <c:pt idx="10">
                  <c:v>2019</c:v>
                </c:pt>
                <c:pt idx="11">
                  <c:v>2020</c:v>
                </c:pt>
                <c:pt idx="12">
                  <c:v>2021</c:v>
                </c:pt>
                <c:pt idx="13">
                  <c:v>2022</c:v>
                </c:pt>
                <c:pt idx="14">
                  <c:v>2023</c:v>
                </c:pt>
              </c:numCache>
            </c:numRef>
          </c:xVal>
          <c:yVal>
            <c:numRef>
              <c:f>'[Data (HK and SG).xlsx]HK &amp; SG VRS CPI (2)'!$D$43:$D$57</c:f>
              <c:numCache>
                <c:formatCode>General</c:formatCode>
                <c:ptCount val="15"/>
                <c:pt idx="0">
                  <c:v>-0.5</c:v>
                </c:pt>
                <c:pt idx="1">
                  <c:v>4.5999999999999996</c:v>
                </c:pt>
                <c:pt idx="2">
                  <c:v>5.5</c:v>
                </c:pt>
                <c:pt idx="3">
                  <c:v>4.3</c:v>
                </c:pt>
                <c:pt idx="4">
                  <c:v>1.5</c:v>
                </c:pt>
                <c:pt idx="5">
                  <c:v>-0.1</c:v>
                </c:pt>
                <c:pt idx="6">
                  <c:v>-0.6</c:v>
                </c:pt>
                <c:pt idx="7">
                  <c:v>0.2</c:v>
                </c:pt>
                <c:pt idx="8">
                  <c:v>0.4</c:v>
                </c:pt>
                <c:pt idx="9">
                  <c:v>0.5</c:v>
                </c:pt>
                <c:pt idx="10">
                  <c:v>0.8</c:v>
                </c:pt>
                <c:pt idx="11">
                  <c:v>0</c:v>
                </c:pt>
                <c:pt idx="12">
                  <c:v>4</c:v>
                </c:pt>
                <c:pt idx="13">
                  <c:v>6.5</c:v>
                </c:pt>
                <c:pt idx="14">
                  <c:v>3.7</c:v>
                </c:pt>
              </c:numCache>
            </c:numRef>
          </c:yVal>
          <c:smooth val="0"/>
          <c:extLst>
            <c:ext xmlns:c16="http://schemas.microsoft.com/office/drawing/2014/chart" uri="{C3380CC4-5D6E-409C-BE32-E72D297353CC}">
              <c16:uniqueId val="{00000002-A0F5-AA43-8212-7AEBC1BF40A8}"/>
            </c:ext>
          </c:extLst>
        </c:ser>
        <c:dLbls>
          <c:showLegendKey val="0"/>
          <c:showVal val="0"/>
          <c:showCatName val="0"/>
          <c:showSerName val="0"/>
          <c:showPercent val="0"/>
          <c:showBubbleSize val="0"/>
        </c:dLbls>
        <c:axId val="1283252720"/>
        <c:axId val="668714368"/>
      </c:scatterChart>
      <c:valAx>
        <c:axId val="1283252720"/>
        <c:scaling>
          <c:orientation val="minMax"/>
          <c:max val="2023"/>
          <c:min val="2009"/>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8714368"/>
        <c:crossesAt val="-25"/>
        <c:crossBetween val="midCat"/>
      </c:valAx>
      <c:valAx>
        <c:axId val="66871436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3252720"/>
        <c:crossesAt val="2004"/>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9A256-B080-4D9B-9E16-054C33B4A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28</Pages>
  <Words>6838</Words>
  <Characters>38982</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chansw.wendy@outlook.com</dc:creator>
  <cp:keywords/>
  <dc:description/>
  <cp:lastModifiedBy>chansw.wendy@outlook.com</cp:lastModifiedBy>
  <cp:revision>13</cp:revision>
  <dcterms:created xsi:type="dcterms:W3CDTF">2025-03-10T12:37:00Z</dcterms:created>
  <dcterms:modified xsi:type="dcterms:W3CDTF">2025-03-10T14:27:00Z</dcterms:modified>
</cp:coreProperties>
</file>