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Portfolio of study skills</w:t>
      </w:r>
    </w:p>
    <w:p w:rsidR="00000000" w:rsidDel="00000000" w:rsidP="00000000" w:rsidRDefault="00000000" w:rsidRPr="00000000" w14:paraId="00000002">
      <w:pPr>
        <w:rPr/>
      </w:pPr>
      <w:r w:rsidDel="00000000" w:rsidR="00000000" w:rsidRPr="00000000">
        <w:rPr>
          <w:b w:val="1"/>
          <w:rtl w:val="0"/>
        </w:rPr>
        <w:t xml:space="preserve">Task 1 - </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There are several countries in the world, such as Iceland, that believe outdoor play in and out of education should be encouraged. There have been numerous written accounts portraying that outdoor involvement for youth can be highly beneficial. “The sensory stimuli the outdoor environment offers are often seen as important for children’s learning.” (Norodahl and Johannesson, 2014). Personally I agree with this statement because children going outside can greatly improve their life skills and gain an understanding of the world around them at an early age.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For many years, Iceland has increased the amount of outdoor learning in education. “In Reykjavik, the capital of Iceland, 70% of compulsory schools report that they practice outdoor education on a regular basis </w:t>
      </w:r>
      <w:r w:rsidDel="00000000" w:rsidR="00000000" w:rsidRPr="00000000">
        <w:rPr>
          <w:rtl w:val="0"/>
        </w:rPr>
        <w:t xml:space="preserve">(Oladottir, 2008)</w:t>
      </w:r>
      <w:r w:rsidDel="00000000" w:rsidR="00000000" w:rsidRPr="00000000">
        <w:rPr>
          <w:rtl w:val="0"/>
        </w:rPr>
        <w:t xml:space="preserve">. However, the outdoor learning that they deliver can vary depending on what type of teacher and school you have.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b w:val="1"/>
          <w:rtl w:val="0"/>
        </w:rPr>
        <w:t xml:space="preserve">Task 2a -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This essay is presenting the case of forest schools and the benefits that can come from learning outdoors. The definition of Forest School according to the ‘Forest School Network’ is, “an inspirational process that offers children, young people and adults regular opportunities to achieve, and develop confidence and self-esteem through hands-on learning experiences in a woodland environment.” - (Murray and O’Brien, 2006). Parents and guardians are becoming more cautious of outdoor learning due to the possible negative experiences that could occur. Therefore, some children are missing out on experiences and adapting to the outdoors.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rtl w:val="0"/>
        </w:rPr>
        <w:t xml:space="preserve">Schools across the world are starting to increase the amount of time spent outdoors in education to help children build an understanding of the world around them. Many young children are able to spend more time outdoors in schools and it is very beneficial as not only is it helping them become more educated but children also enjoy it, therefore making it more valued.</w:t>
      </w:r>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Task 2b - </w:t>
      </w:r>
    </w:p>
    <w:p w:rsidR="00000000" w:rsidDel="00000000" w:rsidP="00000000" w:rsidRDefault="00000000" w:rsidRPr="00000000" w14:paraId="0000000F">
      <w:pPr>
        <w:rPr/>
      </w:pPr>
      <w:r w:rsidDel="00000000" w:rsidR="00000000" w:rsidRPr="00000000">
        <w:rPr>
          <w:rtl w:val="0"/>
        </w:rPr>
        <w:t xml:space="preserve">If you fail to acknowledge the source of your information in academic writing, you could be accused of plagiarism. Plagiarism is presenting another's opinion in a way that discredits the original source. It is essential for students to avoid this because by providing a piece of writing that is not your own with no credit to the source you used, that is implying that it is your own piece of writing. However, if that is not the case and you have retrieved it from somewhere else, the lack of credit can be used against you when submitting the piece of writing and ultimately end up in a fail. </w:t>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You should always reference when using an idea from someone else’s writing. It does not matter if you are directly quoting, summarising, paraphrasing etc. As soon as you include a piece of writing from someone else’s work, you should reference it. You do this because otherwise it is implying that they are your own opinions and thoughts. On the other hand, when submitting a piece of work into ‘Turnitin’ for example, it will be able to find where a piece of text has been used from, and provide online resources for that piece of text.</w:t>
      </w:r>
    </w:p>
    <w:p w:rsidR="00000000" w:rsidDel="00000000" w:rsidP="00000000" w:rsidRDefault="00000000" w:rsidRPr="00000000" w14:paraId="00000012">
      <w:pPr>
        <w:rPr/>
      </w:pPr>
      <w:r w:rsidDel="00000000" w:rsidR="00000000" w:rsidRPr="00000000">
        <w:rPr>
          <w:rtl w:val="0"/>
        </w:rPr>
        <w:t xml:space="preserve">Personally, I believe that Wikipedia is a bad place to retrieve information from. I believe this because with a site such as Wikipedia,it can be amended by anyone with access to the internet. This therefore means that the information on the site is unreliable, and not peer reviewed like most academic articles.  </w:t>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pPr>
      <w:r w:rsidDel="00000000" w:rsidR="00000000" w:rsidRPr="00000000">
        <w:rPr>
          <w:b w:val="1"/>
          <w:rtl w:val="0"/>
        </w:rPr>
        <w:t xml:space="preserve"> </w:t>
      </w:r>
      <w:r w:rsidDel="00000000" w:rsidR="00000000" w:rsidRPr="00000000">
        <w:rPr>
          <w:rtl w:val="0"/>
        </w:rPr>
        <w:t xml:space="preserve">This is a basic referencing guide explaining how to present a long quotation; </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Ensure the text you are quoting is roughly 40 or more words (approximately 4 lines).</w:t>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Begin on a separate line, after the last full stop.</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Indent it from each margin and away from the rest of your writing.</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As it is indented from the rest of your work, do not use quotations.</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Cite the piece of text with the article name, year and author’s surname.</w:t>
      </w:r>
    </w:p>
    <w:p w:rsidR="00000000" w:rsidDel="00000000" w:rsidP="00000000" w:rsidRDefault="00000000" w:rsidRPr="00000000" w14:paraId="0000001A">
      <w:pPr>
        <w:ind w:left="0" w:firstLine="0"/>
        <w:rPr/>
      </w:pPr>
      <w:r w:rsidDel="00000000" w:rsidR="00000000" w:rsidRPr="00000000">
        <w:rPr>
          <w:rtl w:val="0"/>
        </w:rPr>
        <w:t xml:space="preserve">By following all of these steps, you should be able to reference a long piece of text correctly and ensure it is clear and easy to understand that it is someone else's piece of writing.</w:t>
      </w:r>
    </w:p>
    <w:p w:rsidR="00000000" w:rsidDel="00000000" w:rsidP="00000000" w:rsidRDefault="00000000" w:rsidRPr="00000000" w14:paraId="0000001B">
      <w:pPr>
        <w:rPr>
          <w:b w:val="1"/>
        </w:rPr>
      </w:pPr>
      <w:r w:rsidDel="00000000" w:rsidR="00000000" w:rsidRPr="00000000">
        <w:rPr>
          <w:b w:val="1"/>
          <w:rtl w:val="0"/>
        </w:rPr>
        <w:t xml:space="preserve"> </w:t>
      </w:r>
    </w:p>
    <w:p w:rsidR="00000000" w:rsidDel="00000000" w:rsidP="00000000" w:rsidRDefault="00000000" w:rsidRPr="00000000" w14:paraId="0000001C">
      <w:pPr>
        <w:rPr/>
      </w:pPr>
      <w:r w:rsidDel="00000000" w:rsidR="00000000" w:rsidRPr="00000000">
        <w:rPr>
          <w:b w:val="1"/>
          <w:rtl w:val="0"/>
        </w:rPr>
        <w:t xml:space="preserve"> </w:t>
      </w:r>
      <w:r w:rsidDel="00000000" w:rsidR="00000000" w:rsidRPr="00000000">
        <w:rPr>
          <w:rtl w:val="0"/>
        </w:rPr>
        <w:t xml:space="preserve">When working on an academic assignment, there are many things you can do when beginning it to ensure it is going to be at a good level. Firstly, you must prepare. When preparing, make sure you have all the equipment you need and ensure you are away from any distractions. I personally like to turn my phone off when writing an academic assignment. Next, you can review your findings. Valuate everything you have researched and make sure it is appropriate to the subject, it is reliable, etc. Planning the structure can help as when you know what to present prior to the assignment, in the middle of the assignment and at the end, it allows you to be more comfortable in your writing. Writing a rough draft can help tremendously when conducting an academic assignment because you are able to gain a rough understanding of what the assignment is going to be structured like and what it is going to entail. After writing a rough draft, reviewing it and editing it to complete the assignment is mandatory as that will allow you to eliminate any errors found in the draft and correct them.</w:t>
      </w:r>
    </w:p>
    <w:p w:rsidR="00000000" w:rsidDel="00000000" w:rsidP="00000000" w:rsidRDefault="00000000" w:rsidRPr="00000000" w14:paraId="0000001D">
      <w:pPr>
        <w:rPr/>
      </w:pPr>
      <w:r w:rsidDel="00000000" w:rsidR="00000000" w:rsidRPr="00000000">
        <w:rPr>
          <w:rtl w:val="0"/>
        </w:rPr>
        <w:t xml:space="preserve">There are several sources appropriate for academic study, one of them being ‘Newsbank’’. Newsbank is a website excellent for gathering primary sources for your academic assignment. ‘Phrasebank.manchester.ac.uk’ is a good source for academic writing as it allows you to gain access to referencing help, academic words for writing, etc. Another good source for referencing which can benefit your academic writing skills is a website called ‘Harvey the referencing cat’ This website allows you to play fun games where you must  use the correct references otherwise Harvey the cat loses its life. You have 9 lives before the end of the game, therefore, giving you 9 chances to make a mistake. This allows you to improve your referencing skills drastically. In the sense of actual sources, there are 3 different sources you can talk about; primary, secondary and tertiary. A primary source is an original source and generally something that is first hand. A secondary source is something that discusses the outcome of the primary source and other people’s opinions on a source. A tertiary source is usually an opinionated piece of writing from a primary or secondary source and is generally not reliable in academic writing.</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b w:val="1"/>
          <w:rtl w:val="0"/>
        </w:rPr>
        <w:t xml:space="preserve">Task 3 -</w:t>
      </w:r>
      <w:r w:rsidDel="00000000" w:rsidR="00000000" w:rsidRPr="00000000">
        <w:rPr>
          <w:rtl w:val="0"/>
        </w:rPr>
        <w:t xml:space="preserve">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This is my critical response to the article, ‘But I don't want to be a teacher: Work-based learning in education studies.’ composed by Catherine Simon from Bath Spa University, 2017. In my response, I will be analysing how the author structures the article, how they convey certain opinions, identify the primary arguments towards the topic and retrieve an understanding of the author’s intentions throughout. Overall, I believe the aim of the text is to provide the reader with information on what career choices are available to students in the education studies course that may not finish with a teaching status.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 personally believe the main argument the author is attempting to portray is that when becoming a student on the education studies course, that is not a case where you are only able to become a teacher, it is quite the opposite. The author explains how the Education Studies course allows you to take into consideration numerous pathways in participation with education and not just becoming an ‘in classroom teacher’. I believe the author's intentions throughout this article were to implement the idea that education studies can be a guideline for several different career choices, however, a school teacher still maintains its pedigree as the most popular career.</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I share the opinion that the structure of this article is very good. The use of paragraphs is excellent and the writer provides us with good reference knowledge as they have not only referenced citations, however, they have correctly referenced sentences that are very long by indenting them away from the rest of the text, making it clear that it is someone else's piece of work. The author has implemented the use of statistics and facts throughout and was able to use tremendous vocabulary.</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Due to the great use of vocabulary, you can clearly see that the writer has intended for the audience to be academic. This is also portrayed due to the formal style of writing and it being quite a hard article to read for an uneducated person.</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 primary conclusion being made in this article is that students understand the boundaries between university and the workplace. Therefore, allowing them to be able to present themselves appropriately in the workplace. On the other hand, the found out the boundaries are flexible and can shift over time.</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Students must be able to portray a professional identity via informal and formal contact. This is a key factor in this article as it talks about how students that plan a future in education must be able to do this and not have to switch between personas.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hd w:fill="ffffff" w:val="clear"/>
        <w:spacing w:after="200" w:before="200" w:lineRule="auto"/>
        <w:rPr>
          <w:color w:val="222222"/>
        </w:rPr>
      </w:pPr>
      <w:r w:rsidDel="00000000" w:rsidR="00000000" w:rsidRPr="00000000">
        <w:rPr>
          <w:color w:val="222222"/>
          <w:rtl w:val="0"/>
        </w:rPr>
        <w:t xml:space="preserve">The article early on identifies that the evolution of education studies has been complex, and due to this complexity problems arise when trying to categorise it as a subject or discipline or both(page 2). To make this argument the writer references ‘The Quality Assurance Agency for Higher Education (QAA)’. This resource is reliable because the QAA are The UK’s quality body for higher education and   are certified by the British Assessment  Bureau (</w:t>
      </w:r>
      <w:hyperlink r:id="rId6">
        <w:r w:rsidDel="00000000" w:rsidR="00000000" w:rsidRPr="00000000">
          <w:rPr>
            <w:color w:val="1155cc"/>
            <w:u w:val="single"/>
            <w:rtl w:val="0"/>
          </w:rPr>
          <w:t xml:space="preserve">QAA.ac.uk</w:t>
        </w:r>
      </w:hyperlink>
      <w:r w:rsidDel="00000000" w:rsidR="00000000" w:rsidRPr="00000000">
        <w:rPr>
          <w:color w:val="222222"/>
          <w:rtl w:val="0"/>
        </w:rPr>
        <w:t xml:space="preserve">,2019).                                                                   </w:t>
      </w:r>
    </w:p>
    <w:p w:rsidR="00000000" w:rsidDel="00000000" w:rsidP="00000000" w:rsidRDefault="00000000" w:rsidRPr="00000000" w14:paraId="0000002E">
      <w:pPr>
        <w:shd w:fill="ffffff" w:val="clear"/>
        <w:spacing w:after="200" w:before="200" w:lineRule="auto"/>
        <w:rPr/>
      </w:pPr>
      <w:r w:rsidDel="00000000" w:rsidR="00000000" w:rsidRPr="00000000">
        <w:rPr>
          <w:color w:val="222222"/>
          <w:rtl w:val="0"/>
        </w:rPr>
        <w:t xml:space="preserve">For many points throughout the article, the writer has used several papers to back up a single point they have made. An example of this can be seen on page 6 where the writer uses 4 papers to back up their point that school-based learning is essential to teacher education. Being able to back up a point with several pieces of evidence suggests that the point is valid and widely considered relevant.</w:t>
      </w: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Overall, my personal conclusion is that being a student on a course such as ‘Education Studies’ does not imply that you can only be a teacher. This course allows you to undertake many pathways in and outside of school. However, maintaining a correct professional identity is essential no matter the job. It is essential in my eyes that we allow placements to be held in places outside of a classroom environment.</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rtl w:val="0"/>
        </w:rPr>
        <w:t xml:space="preserve">References - </w:t>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sz w:val="20"/>
          <w:szCs w:val="20"/>
          <w:highlight w:val="white"/>
        </w:rPr>
      </w:pPr>
      <w:r w:rsidDel="00000000" w:rsidR="00000000" w:rsidRPr="00000000">
        <w:rPr>
          <w:b w:val="1"/>
          <w:sz w:val="20"/>
          <w:szCs w:val="20"/>
          <w:highlight w:val="white"/>
          <w:rtl w:val="0"/>
        </w:rPr>
        <w:t xml:space="preserve">E. O'Brien and R. Murray, (2006) A marvellous opportunity for children to learn: A participatory evaluation of Forest School in England and Wales, Farnham: Forest Research.</w:t>
      </w:r>
    </w:p>
    <w:p w:rsidR="00000000" w:rsidDel="00000000" w:rsidP="00000000" w:rsidRDefault="00000000" w:rsidRPr="00000000" w14:paraId="00000038">
      <w:pPr>
        <w:rPr>
          <w:b w:val="1"/>
          <w:sz w:val="20"/>
          <w:szCs w:val="20"/>
          <w:highlight w:val="white"/>
        </w:rPr>
      </w:pPr>
      <w:r w:rsidDel="00000000" w:rsidR="00000000" w:rsidRPr="00000000">
        <w:rPr>
          <w:rtl w:val="0"/>
        </w:rPr>
      </w:r>
    </w:p>
    <w:p w:rsidR="00000000" w:rsidDel="00000000" w:rsidP="00000000" w:rsidRDefault="00000000" w:rsidRPr="00000000" w14:paraId="00000039">
      <w:pPr>
        <w:rPr>
          <w:b w:val="1"/>
          <w:sz w:val="20"/>
          <w:szCs w:val="20"/>
          <w:highlight w:val="white"/>
        </w:rPr>
      </w:pPr>
      <w:r w:rsidDel="00000000" w:rsidR="00000000" w:rsidRPr="00000000">
        <w:rPr>
          <w:b w:val="1"/>
          <w:sz w:val="20"/>
          <w:szCs w:val="20"/>
          <w:highlight w:val="white"/>
          <w:rtl w:val="0"/>
        </w:rPr>
        <w:t xml:space="preserve">Norðdahl, K. and Jóhannesson, I. (2014). ‘Let's go outside’: Icelandic teachers' views of using the outdoors. </w:t>
      </w:r>
      <w:r w:rsidDel="00000000" w:rsidR="00000000" w:rsidRPr="00000000">
        <w:rPr>
          <w:b w:val="1"/>
          <w:i w:val="1"/>
          <w:sz w:val="20"/>
          <w:szCs w:val="20"/>
          <w:highlight w:val="white"/>
          <w:rtl w:val="0"/>
        </w:rPr>
        <w:t xml:space="preserve">Education 3-13</w:t>
      </w:r>
      <w:r w:rsidDel="00000000" w:rsidR="00000000" w:rsidRPr="00000000">
        <w:rPr>
          <w:b w:val="1"/>
          <w:sz w:val="20"/>
          <w:szCs w:val="20"/>
          <w:highlight w:val="white"/>
          <w:rtl w:val="0"/>
        </w:rPr>
        <w:t xml:space="preserve">, 44(4), pp.391-406.</w:t>
      </w:r>
    </w:p>
    <w:p w:rsidR="00000000" w:rsidDel="00000000" w:rsidP="00000000" w:rsidRDefault="00000000" w:rsidRPr="00000000" w14:paraId="0000003A">
      <w:pPr>
        <w:rPr>
          <w:b w:val="1"/>
          <w:sz w:val="20"/>
          <w:szCs w:val="20"/>
          <w:highlight w:val="white"/>
        </w:rPr>
      </w:pPr>
      <w:r w:rsidDel="00000000" w:rsidR="00000000" w:rsidRPr="00000000">
        <w:rPr>
          <w:rtl w:val="0"/>
        </w:rPr>
      </w:r>
    </w:p>
    <w:p w:rsidR="00000000" w:rsidDel="00000000" w:rsidP="00000000" w:rsidRDefault="00000000" w:rsidRPr="00000000" w14:paraId="0000003B">
      <w:pPr>
        <w:rPr>
          <w:b w:val="1"/>
          <w:sz w:val="20"/>
          <w:szCs w:val="20"/>
          <w:highlight w:val="white"/>
        </w:rPr>
      </w:pPr>
      <w:r w:rsidDel="00000000" w:rsidR="00000000" w:rsidRPr="00000000">
        <w:rPr>
          <w:b w:val="1"/>
          <w:sz w:val="20"/>
          <w:szCs w:val="20"/>
          <w:highlight w:val="white"/>
          <w:rtl w:val="0"/>
        </w:rPr>
        <w:t xml:space="preserve">Óladóttir, H. (2008). Ársskýrsla 2008 [Annual Report 2008]. Reykjavík: Náttúruskóli Reykjavíkur.</w:t>
      </w:r>
    </w:p>
    <w:p w:rsidR="00000000" w:rsidDel="00000000" w:rsidP="00000000" w:rsidRDefault="00000000" w:rsidRPr="00000000" w14:paraId="0000003C">
      <w:pPr>
        <w:rPr>
          <w:b w:val="1"/>
          <w:sz w:val="20"/>
          <w:szCs w:val="20"/>
          <w:highlight w:val="white"/>
        </w:rPr>
      </w:pPr>
      <w:r w:rsidDel="00000000" w:rsidR="00000000" w:rsidRPr="00000000">
        <w:rPr>
          <w:rtl w:val="0"/>
        </w:rPr>
      </w:r>
    </w:p>
    <w:p w:rsidR="00000000" w:rsidDel="00000000" w:rsidP="00000000" w:rsidRDefault="00000000" w:rsidRPr="00000000" w14:paraId="0000003D">
      <w:pPr>
        <w:rPr>
          <w:b w:val="1"/>
          <w:sz w:val="20"/>
          <w:szCs w:val="20"/>
          <w:highlight w:val="white"/>
        </w:rPr>
      </w:pPr>
      <w:r w:rsidDel="00000000" w:rsidR="00000000" w:rsidRPr="00000000">
        <w:rPr>
          <w:b w:val="1"/>
          <w:sz w:val="20"/>
          <w:szCs w:val="20"/>
          <w:highlight w:val="white"/>
          <w:rtl w:val="0"/>
        </w:rPr>
        <w:t xml:space="preserve">Simon, C. (2017). But I don't want to be a teacher: Work based learning in Education Studies. </w:t>
      </w:r>
      <w:r w:rsidDel="00000000" w:rsidR="00000000" w:rsidRPr="00000000">
        <w:rPr>
          <w:b w:val="1"/>
          <w:i w:val="1"/>
          <w:sz w:val="20"/>
          <w:szCs w:val="20"/>
          <w:highlight w:val="white"/>
          <w:rtl w:val="0"/>
        </w:rPr>
        <w:t xml:space="preserve">Eductionalfutures</w:t>
      </w:r>
      <w:r w:rsidDel="00000000" w:rsidR="00000000" w:rsidRPr="00000000">
        <w:rPr>
          <w:b w:val="1"/>
          <w:sz w:val="20"/>
          <w:szCs w:val="20"/>
          <w:highlight w:val="white"/>
          <w:rtl w:val="0"/>
        </w:rPr>
        <w:t xml:space="preserve">, 8(2).</w:t>
      </w:r>
    </w:p>
    <w:p w:rsidR="00000000" w:rsidDel="00000000" w:rsidP="00000000" w:rsidRDefault="00000000" w:rsidRPr="00000000" w14:paraId="0000003E">
      <w:pPr>
        <w:rPr>
          <w:b w:val="1"/>
          <w:sz w:val="20"/>
          <w:szCs w:val="20"/>
          <w:highlight w:val="white"/>
        </w:rPr>
      </w:pPr>
      <w:r w:rsidDel="00000000" w:rsidR="00000000" w:rsidRPr="00000000">
        <w:rPr>
          <w:rtl w:val="0"/>
        </w:rPr>
      </w:r>
    </w:p>
    <w:p w:rsidR="00000000" w:rsidDel="00000000" w:rsidP="00000000" w:rsidRDefault="00000000" w:rsidRPr="00000000" w14:paraId="0000003F">
      <w:pPr>
        <w:rPr>
          <w:b w:val="1"/>
          <w:sz w:val="20"/>
          <w:szCs w:val="20"/>
          <w:highlight w:val="white"/>
        </w:rPr>
      </w:pPr>
      <w:r w:rsidDel="00000000" w:rsidR="00000000" w:rsidRPr="00000000">
        <w:rPr>
          <w:b w:val="1"/>
          <w:sz w:val="20"/>
          <w:szCs w:val="20"/>
          <w:highlight w:val="white"/>
          <w:rtl w:val="0"/>
        </w:rPr>
        <w:t xml:space="preserve">Qaa.ac.uk. (2019). </w:t>
      </w:r>
      <w:r w:rsidDel="00000000" w:rsidR="00000000" w:rsidRPr="00000000">
        <w:rPr>
          <w:b w:val="1"/>
          <w:i w:val="1"/>
          <w:sz w:val="20"/>
          <w:szCs w:val="20"/>
          <w:highlight w:val="white"/>
          <w:rtl w:val="0"/>
        </w:rPr>
        <w:t xml:space="preserve">The Quality Assurance Agency for Higher Education</w:t>
      </w:r>
      <w:r w:rsidDel="00000000" w:rsidR="00000000" w:rsidRPr="00000000">
        <w:rPr>
          <w:b w:val="1"/>
          <w:sz w:val="20"/>
          <w:szCs w:val="20"/>
          <w:highlight w:val="white"/>
          <w:rtl w:val="0"/>
        </w:rPr>
        <w:t xml:space="preserve">. [online] Available at: https://www.qaa.ac.uk/en/home [Accessed 1 Nov. 2019].</w:t>
      </w:r>
    </w:p>
    <w:p w:rsidR="00000000" w:rsidDel="00000000" w:rsidP="00000000" w:rsidRDefault="00000000" w:rsidRPr="00000000" w14:paraId="00000040">
      <w:pPr>
        <w:rPr>
          <w:b w:val="1"/>
          <w:sz w:val="20"/>
          <w:szCs w:val="20"/>
          <w:highlight w:val="white"/>
        </w:rPr>
      </w:pPr>
      <w:r w:rsidDel="00000000" w:rsidR="00000000" w:rsidRPr="00000000">
        <w:rPr>
          <w:rtl w:val="0"/>
        </w:rPr>
      </w:r>
    </w:p>
    <w:p w:rsidR="00000000" w:rsidDel="00000000" w:rsidP="00000000" w:rsidRDefault="00000000" w:rsidRPr="00000000" w14:paraId="00000041">
      <w:pPr>
        <w:rPr>
          <w:b w:val="1"/>
          <w:sz w:val="20"/>
          <w:szCs w:val="20"/>
          <w:highlight w:val="white"/>
        </w:rPr>
      </w:pPr>
      <w:r w:rsidDel="00000000" w:rsidR="00000000" w:rsidRPr="00000000">
        <w:rPr>
          <w:rtl w:val="0"/>
        </w:rPr>
      </w:r>
    </w:p>
    <w:p w:rsidR="00000000" w:rsidDel="00000000" w:rsidP="00000000" w:rsidRDefault="00000000" w:rsidRPr="00000000" w14:paraId="00000042">
      <w:pPr>
        <w:rPr>
          <w:b w:val="1"/>
          <w:sz w:val="20"/>
          <w:szCs w:val="20"/>
          <w:highlight w:val="white"/>
        </w:rPr>
      </w:pPr>
      <w:r w:rsidDel="00000000" w:rsidR="00000000" w:rsidRPr="00000000">
        <w:rPr>
          <w:rtl w:val="0"/>
        </w:rPr>
      </w:r>
    </w:p>
    <w:p w:rsidR="00000000" w:rsidDel="00000000" w:rsidP="00000000" w:rsidRDefault="00000000" w:rsidRPr="00000000" w14:paraId="00000043">
      <w:pPr>
        <w:rPr>
          <w:b w:val="1"/>
          <w:sz w:val="20"/>
          <w:szCs w:val="20"/>
          <w:highlight w:val="white"/>
        </w:rPr>
      </w:pPr>
      <w:r w:rsidDel="00000000" w:rsidR="00000000" w:rsidRPr="00000000">
        <w:rPr>
          <w:rtl w:val="0"/>
        </w:rPr>
      </w:r>
    </w:p>
    <w:p w:rsidR="00000000" w:rsidDel="00000000" w:rsidP="00000000" w:rsidRDefault="00000000" w:rsidRPr="00000000" w14:paraId="00000044">
      <w:pPr>
        <w:rPr>
          <w:b w:val="1"/>
          <w:sz w:val="20"/>
          <w:szCs w:val="20"/>
          <w:highlight w:val="white"/>
        </w:rPr>
      </w:pPr>
      <w:r w:rsidDel="00000000" w:rsidR="00000000" w:rsidRPr="00000000">
        <w:rPr>
          <w:rtl w:val="0"/>
        </w:rPr>
      </w:r>
    </w:p>
    <w:p w:rsidR="00000000" w:rsidDel="00000000" w:rsidP="00000000" w:rsidRDefault="00000000" w:rsidRPr="00000000" w14:paraId="00000045">
      <w:pPr>
        <w:rPr>
          <w:b w:val="1"/>
          <w:sz w:val="20"/>
          <w:szCs w:val="20"/>
          <w:highlight w:val="white"/>
        </w:rPr>
      </w:pPr>
      <w:r w:rsidDel="00000000" w:rsidR="00000000" w:rsidRPr="00000000">
        <w:rPr>
          <w:rtl w:val="0"/>
        </w:rPr>
      </w:r>
    </w:p>
    <w:p w:rsidR="00000000" w:rsidDel="00000000" w:rsidP="00000000" w:rsidRDefault="00000000" w:rsidRPr="00000000" w14:paraId="00000046">
      <w:pPr>
        <w:rPr>
          <w:b w:val="1"/>
          <w:sz w:val="20"/>
          <w:szCs w:val="20"/>
          <w:highlight w:val="white"/>
        </w:rPr>
      </w:pPr>
      <w:r w:rsidDel="00000000" w:rsidR="00000000" w:rsidRPr="00000000">
        <w:rPr>
          <w:rtl w:val="0"/>
        </w:rPr>
      </w:r>
    </w:p>
    <w:p w:rsidR="00000000" w:rsidDel="00000000" w:rsidP="00000000" w:rsidRDefault="00000000" w:rsidRPr="00000000" w14:paraId="00000047">
      <w:pPr>
        <w:rPr>
          <w:b w:val="1"/>
          <w:sz w:val="20"/>
          <w:szCs w:val="20"/>
          <w:highlight w:val="white"/>
        </w:rPr>
      </w:pPr>
      <w:r w:rsidDel="00000000" w:rsidR="00000000" w:rsidRPr="00000000">
        <w:rPr>
          <w:rtl w:val="0"/>
        </w:rPr>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sectPr>
      <w:headerReference r:id="rId7" w:type="default"/>
      <w:footerReference r:id="rId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rPr/>
    </w:pPr>
    <w:r w:rsidDel="00000000" w:rsidR="00000000" w:rsidRPr="00000000">
      <w:rPr>
        <w:rtl w:val="0"/>
      </w:rPr>
      <w:t xml:space="preserve">Christian Judd-Bendle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qaa.ac.uk/" TargetMode="Externa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