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7851A0">
        <w:t>Joshua Ludlow</w:t>
      </w:r>
    </w:p>
    <w:p w:rsidR="007E4409" w:rsidRDefault="00451AB2">
      <w:r w:rsidRPr="00451AB2">
        <w:rPr>
          <w:b/>
        </w:rPr>
        <w:t>Force Number:</w:t>
      </w:r>
      <w:r>
        <w:rPr>
          <w:b/>
        </w:rPr>
        <w:t>-</w:t>
      </w:r>
      <w:r>
        <w:tab/>
      </w:r>
      <w:r>
        <w:tab/>
      </w:r>
      <w:r w:rsidR="007851A0">
        <w:t>PC 6757</w:t>
      </w:r>
      <w:r w:rsidR="007E4409">
        <w:t xml:space="preserve"> South Wales Police</w:t>
      </w:r>
    </w:p>
    <w:p w:rsidR="00637B5B" w:rsidRPr="00451AB2" w:rsidRDefault="007E4409">
      <w:pPr>
        <w:rPr>
          <w:b/>
        </w:rPr>
      </w:pPr>
      <w:r w:rsidRPr="00451AB2">
        <w:rPr>
          <w:b/>
        </w:rPr>
        <w:t>Student Number:</w:t>
      </w:r>
      <w:r w:rsidR="00012C37">
        <w:rPr>
          <w:b/>
        </w:rPr>
        <w:t>-</w:t>
      </w:r>
      <w:r w:rsidR="00012C37">
        <w:rPr>
          <w:b/>
        </w:rPr>
        <w:tab/>
        <w:t>2016394</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451AB2" w:rsidRPr="00451AB2">
        <w:t>11/12/2020</w:t>
      </w:r>
    </w:p>
    <w:p w:rsidR="00682F3B" w:rsidRDefault="00682F3B"/>
    <w:p w:rsidR="007851A0" w:rsidRDefault="00682F3B">
      <w:r w:rsidRPr="00451AB2">
        <w:rPr>
          <w:b/>
        </w:rPr>
        <w:t>Question 1</w:t>
      </w:r>
      <w:r w:rsidR="00451AB2">
        <w:rPr>
          <w:b/>
        </w:rPr>
        <w:br/>
      </w:r>
      <w:r w:rsidR="001B087B">
        <w:t>Section 9(1)(a) of the Theft Act (1968) states: “A person is guilty of burglary if he enters a building or part of a building as a trespasser with intent to steal anything therein, inflict grievous bodily harm on any person therein, or damage or destroy any property therein.”</w:t>
      </w:r>
    </w:p>
    <w:p w:rsidR="00682F3B" w:rsidRDefault="00682F3B"/>
    <w:p w:rsidR="00682F3B" w:rsidRPr="00451AB2" w:rsidRDefault="00682F3B">
      <w:pPr>
        <w:rPr>
          <w:b/>
        </w:rPr>
      </w:pPr>
      <w:r w:rsidRPr="00451AB2">
        <w:rPr>
          <w:b/>
        </w:rPr>
        <w:t>Question 2</w:t>
      </w:r>
    </w:p>
    <w:p w:rsidR="00682F3B" w:rsidRDefault="00386CC5">
      <w:r>
        <w:t xml:space="preserve">When arriving at a scene, officers should first assess the situation. This will involve a dynamic risk assessment as well an assessment of any threats to the officer’s and the public’s safety. The officer will use the National Decision Model and his discretion to assess and understand the situation to ensure that his actions are the best possible actions. </w:t>
      </w:r>
      <w:r w:rsidR="005F6DA0">
        <w:t>The officer will also assess the presence of any vulnerabilities at the scene, as well as identify witnesses, victims and suspects.</w:t>
      </w:r>
    </w:p>
    <w:p w:rsidR="005F6DA0" w:rsidRDefault="005F6DA0">
      <w:r>
        <w:t>Then, the officer will protect both people and objects. First, his primary duty is for the protection of himself and the public. Therefore, he will recognise any threats to safety present at the scene such as a hostile or aggressive suspect, victim or witness, as well as the physical environment of the incident. He will protect life and limb, and from there he will protect any serious damage to property. The officer will protect any evidence or crime scene present at the location.</w:t>
      </w:r>
    </w:p>
    <w:p w:rsidR="005F6DA0" w:rsidRDefault="005F6DA0"/>
    <w:p w:rsidR="005F6DA0" w:rsidRDefault="005F6DA0">
      <w:r>
        <w:t>Furthermore, the officer will communicate to those present at the scene in order to understand what has taken place. He will communicate with any necessary victims, witnesses and suspects, as well as communicate to other officers who may be attending the scene. The officer may communicate to the control room via his personal issue radio, or to specialist officers or departments such as CSI for the collection of forensic evidence, or CID to investigate further. The officer may communicate with partner agencies who may be required to assist, as well as any neighbours of potential eyewitnesses to the incident, in order to build up a picture of what has happened. It is important to communicate effectively with all people present at the scene, especially any vulnerable people or those who might be scared or shocked.</w:t>
      </w:r>
    </w:p>
    <w:p w:rsidR="00682F3B" w:rsidRDefault="00682F3B"/>
    <w:p w:rsidR="00682F3B" w:rsidRPr="00451AB2" w:rsidRDefault="00682F3B" w:rsidP="00682F3B">
      <w:pPr>
        <w:rPr>
          <w:b/>
        </w:rPr>
      </w:pPr>
      <w:r w:rsidRPr="00451AB2">
        <w:rPr>
          <w:b/>
        </w:rPr>
        <w:t>Question 3</w:t>
      </w:r>
    </w:p>
    <w:p w:rsidR="00682F3B" w:rsidRDefault="00662176">
      <w:r>
        <w:t xml:space="preserve">The ‘Golden Hour’ refers to the time immediately after a crime or incident has taken place, where evidence is both most plentiful as well as of the highest quality. Evidence will firstly be most plentiful, such as any forensic evidence present at the scene (before it is interfered with or damaged by external circumstances such as weather), as well as any physical evidence present at the scene which may be moved by a suspect, making it harder to detect any offences or suspects. Furthermore, evidence will be of the highest quality, such as people’s eyewitness testimonies (because the event is still fresh in their memory). If the suspect has left the scene, rapid </w:t>
      </w:r>
      <w:r>
        <w:lastRenderedPageBreak/>
        <w:t>investigations must be taken to ensure that the suspect is detained in order to protect the public as well as prevent their escape. The golden Hour principle is also important for the perception of the public, because they are able to see that the police are responding rapidly and effectively to incidents, in turn increasing their confidence in the police.</w:t>
      </w:r>
    </w:p>
    <w:p w:rsidR="00662176" w:rsidRDefault="00662176">
      <w:r>
        <w:t>Therefore, the Golden Hour is important to investigations in order to obtain best possible evidence, most evidence, and for the protection of victims, witnesses and members of the public.</w:t>
      </w:r>
    </w:p>
    <w:p w:rsidR="00682F3B" w:rsidRDefault="00682F3B"/>
    <w:p w:rsidR="00682F3B" w:rsidRPr="00451AB2" w:rsidRDefault="00682F3B" w:rsidP="00682F3B">
      <w:pPr>
        <w:rPr>
          <w:b/>
        </w:rPr>
      </w:pPr>
      <w:r w:rsidRPr="00451AB2">
        <w:rPr>
          <w:b/>
        </w:rPr>
        <w:t>Question 4</w:t>
      </w:r>
    </w:p>
    <w:p w:rsidR="00682F3B" w:rsidRDefault="00ED3513">
      <w:r>
        <w:t>Section 8 (1) of the Theft Act (1968) states: “A person is guilty of robbery if he steals, and immediately before doing so, or at the time of doing so, and in order to do so, he uses force on any person, or puts or seeks to put any person in fear of being then and there subjected to force.”</w:t>
      </w:r>
    </w:p>
    <w:p w:rsidR="00682F3B" w:rsidRDefault="00682F3B"/>
    <w:p w:rsidR="00682F3B" w:rsidRPr="00451AB2" w:rsidRDefault="00682F3B" w:rsidP="00682F3B">
      <w:pPr>
        <w:rPr>
          <w:b/>
        </w:rPr>
      </w:pPr>
      <w:r w:rsidRPr="00451AB2">
        <w:rPr>
          <w:b/>
        </w:rPr>
        <w:t>Question 5</w:t>
      </w:r>
    </w:p>
    <w:p w:rsidR="00682F3B" w:rsidRDefault="003C3567">
      <w:r>
        <w:t>Discretion is the use of professional judgment, using the authority to decide and taking the best course of action, having evaluated all the alternatives. Discrimination, however, is unfair, unjust, prejudiced treatment of another, often based on a protected characteristic. In order to avoid professional discretion being perceived as discrimination, officers should continually review their actions and decisions in order to determine if a third party would agree with them, as well as consider using models of decision making such as the National Decision Model which places the code of ethics at the centre of all decision-making.</w:t>
      </w:r>
    </w:p>
    <w:p w:rsidR="00682F3B" w:rsidRDefault="00682F3B"/>
    <w:p w:rsidR="00682F3B" w:rsidRPr="00451AB2" w:rsidRDefault="00682F3B" w:rsidP="00682F3B">
      <w:r w:rsidRPr="00451AB2">
        <w:rPr>
          <w:b/>
        </w:rPr>
        <w:t>Question 6</w:t>
      </w:r>
      <w:r w:rsidR="00451AB2">
        <w:rPr>
          <w:b/>
        </w:rPr>
        <w:br/>
      </w:r>
      <w:r w:rsidR="00ED3513">
        <w:t>When a statutory offence has been committed, a constable can use the power provided by Section 24(3) of the Police and Criminal Evidence Act (1984) which states: “When an offence has been committed, a constable may arrest without a warrant, anyone who is guilty of the offence, or anyone whom they have reasonable grounds to suspect is guilty of it.”</w:t>
      </w:r>
    </w:p>
    <w:p w:rsidR="00682F3B" w:rsidRDefault="00682F3B"/>
    <w:p w:rsidR="00682F3B" w:rsidRDefault="00682F3B">
      <w:r w:rsidRPr="00451AB2">
        <w:rPr>
          <w:b/>
        </w:rPr>
        <w:t>Question 7</w:t>
      </w:r>
      <w:r w:rsidR="00451AB2">
        <w:rPr>
          <w:b/>
        </w:rPr>
        <w:br/>
      </w:r>
      <w:r w:rsidR="00ED3513">
        <w:t>Code G of the Police and Criminal Evidence Act (1984) sets out officers’ necessities to arrest and the statutory power. The criteria are:</w:t>
      </w:r>
    </w:p>
    <w:p w:rsidR="00ED3513" w:rsidRDefault="00ED3513">
      <w:r>
        <w:t>A constable may arrest a person if it is necessary to protect a child or other vulnerable person.</w:t>
      </w:r>
    </w:p>
    <w:p w:rsidR="00ED3513" w:rsidRDefault="00ED3513">
      <w:r>
        <w:t>A constable may arrest a person in order to prevent the obstruction of a highway.</w:t>
      </w:r>
    </w:p>
    <w:p w:rsidR="00ED3513" w:rsidRDefault="00ED3513">
      <w:r>
        <w:t>A constable may arrest a person in order to prevent physical injury to himself, the suspect or members of the public.</w:t>
      </w:r>
    </w:p>
    <w:p w:rsidR="00ED3513" w:rsidRDefault="00ED3513">
      <w:r>
        <w:t>A constable may arrest a person in order to prevent an outrage of public decency (prevent public indecency).</w:t>
      </w:r>
    </w:p>
    <w:p w:rsidR="00ED3513" w:rsidRDefault="00ED3513">
      <w:r>
        <w:t>A constable may arrest a person in order to prevent loss, damage or destruction to property.</w:t>
      </w:r>
    </w:p>
    <w:p w:rsidR="00ED3513" w:rsidRDefault="00ED3513">
      <w:r>
        <w:t>A constable may arrest a person in order to ascertain their address.</w:t>
      </w:r>
    </w:p>
    <w:p w:rsidR="00ED3513" w:rsidRDefault="00ED3513">
      <w:r>
        <w:lastRenderedPageBreak/>
        <w:t>A constable may arrest a person in order to ascertain their name.</w:t>
      </w:r>
    </w:p>
    <w:p w:rsidR="00ED3513" w:rsidRDefault="00ED3513">
      <w:r>
        <w:t>A constable may arrest a person for a prompt and effective investigation of an offence.</w:t>
      </w:r>
    </w:p>
    <w:p w:rsidR="00ED3513" w:rsidRDefault="00ED3513">
      <w:r>
        <w:t>And finally, a constable may arrest a person in order to prevent their disappearance (for example, if they had reasonable grounds to believe that the suspect will not present themselves in court).</w:t>
      </w:r>
    </w:p>
    <w:p w:rsidR="00ED3513" w:rsidRDefault="00ED3513">
      <w:r>
        <w:t>These are known as ‘necessity tests’</w:t>
      </w:r>
      <w:r w:rsidR="001D2C25">
        <w:t xml:space="preserve"> under Code G</w:t>
      </w:r>
      <w:r>
        <w:t>.</w:t>
      </w:r>
    </w:p>
    <w:p w:rsidR="00ED3513" w:rsidRPr="00451AB2" w:rsidRDefault="00ED3513"/>
    <w:p w:rsidR="00682F3B" w:rsidRDefault="00682F3B"/>
    <w:p w:rsidR="00682F3B" w:rsidRPr="00451AB2" w:rsidRDefault="00682F3B" w:rsidP="00682F3B">
      <w:r w:rsidRPr="00451AB2">
        <w:rPr>
          <w:b/>
        </w:rPr>
        <w:t>Question 8</w:t>
      </w:r>
      <w:r w:rsidR="00451AB2">
        <w:rPr>
          <w:b/>
        </w:rPr>
        <w:br/>
      </w:r>
      <w:r w:rsidR="00B85267">
        <w:t>When managing conflict, officers can use Section 117 of the Police and Criminal Evidence Act (1984) which allows them to use force to exercise any other power provided by the Act. Furthermore, an officer can use Section 3 of the Criminal Law Act (1967) which allows them to use force in order to apprehend and detain someone unlawfully at large. Also, an officer can use common law as well as the European Convention of Human Rights</w:t>
      </w:r>
      <w:r w:rsidR="001D2C25">
        <w:t xml:space="preserve"> (also included in the Human Rights Act 1998)</w:t>
      </w:r>
      <w:r w:rsidR="00B85267">
        <w:t xml:space="preserve"> for the purposes of</w:t>
      </w:r>
      <w:r w:rsidR="001D2C25">
        <w:t xml:space="preserve"> reasonable</w:t>
      </w:r>
      <w:r w:rsidR="00B85267">
        <w:t xml:space="preserve"> self defence.</w:t>
      </w:r>
    </w:p>
    <w:p w:rsidR="00682F3B" w:rsidRDefault="00682F3B"/>
    <w:p w:rsidR="00682F3B" w:rsidRPr="00451AB2" w:rsidRDefault="00682F3B" w:rsidP="00682F3B">
      <w:r w:rsidRPr="00451AB2">
        <w:rPr>
          <w:b/>
        </w:rPr>
        <w:t>Question 9</w:t>
      </w:r>
      <w:r w:rsidR="00451AB2">
        <w:rPr>
          <w:b/>
        </w:rPr>
        <w:br/>
      </w:r>
      <w:r w:rsidR="001D2C25">
        <w:t>When arresting a person, an officer must tell the person they are under arrest (even if it appears obvious), give the reasonable grounds for their arrest, give the necessity for their arrest (under code G) and tell them the ‘when questioned’ caution.</w:t>
      </w:r>
    </w:p>
    <w:p w:rsidR="00682F3B" w:rsidRDefault="00682F3B"/>
    <w:p w:rsidR="00682F3B" w:rsidRDefault="00682F3B"/>
    <w:p w:rsidR="00682F3B" w:rsidRDefault="00682F3B" w:rsidP="00682F3B">
      <w:r w:rsidRPr="00451AB2">
        <w:rPr>
          <w:b/>
        </w:rPr>
        <w:t>Question 10</w:t>
      </w:r>
      <w:r w:rsidR="00C20821">
        <w:br/>
        <w:t>The Code of Ethics is at the centre of the National Decision Model (henceforth NDM), to ensure that discretion is used appropriately and that human rights and fairness are placed at the centre of each decision.</w:t>
      </w:r>
    </w:p>
    <w:p w:rsidR="00C20821" w:rsidRDefault="00C20821" w:rsidP="00682F3B">
      <w:r>
        <w:t>Firstly, an officer will gather information and intelligence about a situation, asking what, where, when, why, who, and how questions. The officer will obtain as much information possible from sight, hearing, actions, conversation, knowledge and smells. The officer will obtain as much information possible in order to have the best awareness of the situation to make an appropriate response.</w:t>
      </w:r>
    </w:p>
    <w:p w:rsidR="00C20821" w:rsidRDefault="00C20821" w:rsidP="00682F3B">
      <w:r>
        <w:t>Secondly, the officer will assess the threat and develop a working strategy, conducting a dynamic risk assessment. This is important to ensure the officer’s safety when entering or dealing with a situation, as well as the safety of the public and those involved.</w:t>
      </w:r>
    </w:p>
    <w:p w:rsidR="00C20821" w:rsidRDefault="00C20821" w:rsidP="00682F3B">
      <w:r>
        <w:t>Thirdly, the officer will consider his powers and policies – thinking through the different powers that are at his disposal in order to determine which outcome is best. His powers come from laws such as the Police and Criminal Evidence  Act which allows him to make arrests or to investigate and search or make further enquiries.</w:t>
      </w:r>
    </w:p>
    <w:p w:rsidR="00C20821" w:rsidRDefault="00C20821" w:rsidP="00682F3B">
      <w:r>
        <w:t>Fourthly, the officer will consider his reasonable tactical options – recognising how to respond according to the situation. This will allow him to take the best course of action which is most appropriate.</w:t>
      </w:r>
    </w:p>
    <w:p w:rsidR="00C20821" w:rsidRDefault="00C20821" w:rsidP="00682F3B">
      <w:r>
        <w:lastRenderedPageBreak/>
        <w:t>Finally, the officer will take action, and then review his work. Constant reviewing is important to ensure that no use of force is excessive and that any decisions are regularly challenged and checked.</w:t>
      </w:r>
    </w:p>
    <w:p w:rsidR="00682F3B" w:rsidRDefault="00682F3B"/>
    <w:p w:rsidR="00682F3B" w:rsidRDefault="00682F3B">
      <w:r w:rsidRPr="00451AB2">
        <w:rPr>
          <w:b/>
        </w:rPr>
        <w:t>Question 11</w:t>
      </w:r>
      <w:r w:rsidR="00451AB2">
        <w:rPr>
          <w:b/>
        </w:rPr>
        <w:br/>
      </w:r>
      <w:r w:rsidR="00E35C19">
        <w:t>A constable may enter any premises, including a private dwelling, in order to execute a warrant, arrest a person for an indictable offence, save life and limb, prevent or protect property against serious damage or destruction, in the immediate pursuit of someone unlawfully at large, and in order to exercise a specific power found in other legislation. The officer must have reasonable grounds to believe that the person is indeed in the premises, unless to save life or protect property (then reasonable suspicion will suffice). The constable must be in uniform, unless to save life and limb, or protect against serious damage to property.</w:t>
      </w:r>
      <w:r w:rsidR="00451AB2">
        <w:br/>
      </w:r>
    </w:p>
    <w:p w:rsidR="00682F3B" w:rsidRDefault="00682F3B" w:rsidP="00682F3B">
      <w:r w:rsidRPr="00451AB2">
        <w:rPr>
          <w:b/>
        </w:rPr>
        <w:t>Question 12</w:t>
      </w:r>
      <w:r w:rsidR="00451AB2">
        <w:rPr>
          <w:b/>
        </w:rPr>
        <w:br/>
      </w:r>
      <w:r w:rsidR="00EC2958">
        <w:t>Traditionally, the test of R v. Ghosh (1982) would be used, whereby a) A person’s actions must be dishonest in the eyes of ordinary, reasonable people (objective element), and b) the defendant must appreciate that their actions were dishonest (subjective element).</w:t>
      </w:r>
    </w:p>
    <w:p w:rsidR="00EC2958" w:rsidRPr="00451AB2" w:rsidRDefault="00EC2958" w:rsidP="00682F3B">
      <w:pPr>
        <w:rPr>
          <w:b/>
        </w:rPr>
      </w:pPr>
      <w:r>
        <w:t xml:space="preserve">However, the Ivey v. Genting </w:t>
      </w:r>
      <w:r w:rsidR="00637B5B">
        <w:t>Casinos</w:t>
      </w:r>
      <w:r>
        <w:t xml:space="preserve"> (2017) case, solidified by the R v. Barton and Booth (2020) case, removes the subjective element, so now dishonesty can be proved by a) The defendant’s actions were dishonest in the eyes of ordinary, reasonable people (objective element), and b) The defendant must appreciate that their actions were dishonest in the eyes of those ordinary, reasonable people (further objective element). Therefore, a person’s dishonesty is proved by society’s standards of dishonesty, not the defendant’s awareness of those standards.</w:t>
      </w:r>
    </w:p>
    <w:p w:rsidR="00682F3B" w:rsidRDefault="00682F3B"/>
    <w:p w:rsidR="00682F3B" w:rsidRDefault="00682F3B" w:rsidP="00682F3B">
      <w:r w:rsidRPr="00451AB2">
        <w:rPr>
          <w:b/>
        </w:rPr>
        <w:t>Question 13</w:t>
      </w:r>
      <w:r w:rsidR="00451AB2">
        <w:rPr>
          <w:b/>
        </w:rPr>
        <w:br/>
      </w:r>
      <w:r w:rsidR="00970365">
        <w:t>The model used is THRIVE:</w:t>
      </w:r>
    </w:p>
    <w:p w:rsidR="00970365" w:rsidRDefault="00970365" w:rsidP="00682F3B">
      <w:r>
        <w:t>Firstly, the call handlers and officers will consider the threats that might be present. They will ask who is threatening or being threatened, what is being threatened, why there is a threat, the extent of the threat to all those involved, as well as the threat to members of the public and the officers attending the incident.</w:t>
      </w:r>
    </w:p>
    <w:p w:rsidR="00970365" w:rsidRDefault="00970365" w:rsidP="00682F3B">
      <w:r>
        <w:t>Secondly, call handlers will consider any hazards present at the incident. They will consider any physical hazards in the environment, any weapons being used, as well as any hazards to public safety. Anything which has the potential to cause harm or injury will be considered.</w:t>
      </w:r>
    </w:p>
    <w:p w:rsidR="00970365" w:rsidRDefault="00970365" w:rsidP="00682F3B">
      <w:r>
        <w:t>Thirdly, call handlers will consider the risk of the hazards and threat to the public and the officers attending. They will consider who is at risk, the extent of the risk, if the risk is immediate or more long-term, any physical risks as well as risks to a person’s emotional or psychological state, and why there is a risk.</w:t>
      </w:r>
    </w:p>
    <w:p w:rsidR="00970365" w:rsidRDefault="00970365" w:rsidP="00682F3B">
      <w:r>
        <w:t>Fourthly, call handlers will consider the investigatory elements of the incident. They will consider what avenues might need to be investigated, how long this process will take, whether an investigation is needed imminently or if the call can wait while more urgent calls are dealt with.</w:t>
      </w:r>
    </w:p>
    <w:p w:rsidR="00970365" w:rsidRDefault="00970365" w:rsidP="00682F3B">
      <w:r>
        <w:t>Fifthly, the call handlers will consider any vulnerabilities. They will consider who is vulnerable, the type of vulnerabilities, why a person might be vulnerable, and assess any risks to them.</w:t>
      </w:r>
    </w:p>
    <w:p w:rsidR="00970365" w:rsidRPr="00451AB2" w:rsidRDefault="00970365" w:rsidP="00682F3B">
      <w:r>
        <w:lastRenderedPageBreak/>
        <w:t>Finally, call handlers will consider engagement options – how officers should best engage with the incident, whether physically or over the telephone, for example. They will consider if partner agencies will need to be engaged, and who, what, why, and when engagement will be necessary.</w:t>
      </w:r>
    </w:p>
    <w:p w:rsidR="00682F3B" w:rsidRDefault="00682F3B"/>
    <w:p w:rsidR="00682F3B" w:rsidRPr="00451AB2" w:rsidRDefault="00682F3B" w:rsidP="00682F3B">
      <w:r w:rsidRPr="00451AB2">
        <w:rPr>
          <w:b/>
        </w:rPr>
        <w:t>Question 14</w:t>
      </w:r>
      <w:r w:rsidR="00451AB2">
        <w:rPr>
          <w:b/>
        </w:rPr>
        <w:br/>
      </w:r>
      <w:r w:rsidR="00637B5B">
        <w:t>A person is vulnerable if, as a result of their situation or circumstances, they are unable to take care of or protect themselves from harm or exploitation.</w:t>
      </w:r>
    </w:p>
    <w:p w:rsidR="00682F3B" w:rsidRPr="00451AB2" w:rsidRDefault="00451AB2" w:rsidP="00682F3B">
      <w:pPr>
        <w:rPr>
          <w:b/>
        </w:rPr>
      </w:pPr>
      <w:r>
        <w:br/>
      </w:r>
      <w:r w:rsidR="00682F3B" w:rsidRPr="00451AB2">
        <w:rPr>
          <w:b/>
        </w:rPr>
        <w:t>Question 15</w:t>
      </w:r>
    </w:p>
    <w:p w:rsidR="00682F3B" w:rsidRDefault="007E5DBA">
      <w:r>
        <w:t>The Anti-social, Crime and Policing Act (2014) defines antisocial behaviour as any behaviour which causes harassment, alarm or distress, nuisance or annoyance – either housing related or not housing-related. There are four types: environmental damage, misuse of public spaces, poor treatment of a community and antisocial behaviour directed towards individuals.</w:t>
      </w:r>
    </w:p>
    <w:p w:rsidR="00682F3B" w:rsidRDefault="00682F3B"/>
    <w:p w:rsidR="00682F3B" w:rsidRPr="00451AB2" w:rsidRDefault="00682F3B">
      <w:pPr>
        <w:rPr>
          <w:b/>
        </w:rPr>
      </w:pPr>
      <w:r w:rsidRPr="00451AB2">
        <w:rPr>
          <w:b/>
        </w:rPr>
        <w:t>Question 16</w:t>
      </w:r>
      <w:r w:rsidR="00451AB2">
        <w:rPr>
          <w:b/>
        </w:rPr>
        <w:br/>
      </w:r>
      <w:r w:rsidR="007E5DBA">
        <w:t>The Section 35 power can be authorised by an Inspector or above and authorises a constable in uniform to disperse any person from a specific geographical area if they are acting in an antisocial way (where harassment, alarm or distress is used or is likely). The officer can disperse individuals from a geographical area for a maximum of 48 hours. The power also allows any items relating to the antisocial behaviour to be seized and retained.</w:t>
      </w:r>
    </w:p>
    <w:p w:rsidR="00682F3B" w:rsidRDefault="00682F3B"/>
    <w:p w:rsidR="00682F3B" w:rsidRDefault="00682F3B" w:rsidP="00682F3B">
      <w:r w:rsidRPr="00451AB2">
        <w:rPr>
          <w:b/>
        </w:rPr>
        <w:t>Question 17</w:t>
      </w:r>
      <w:r w:rsidR="00451AB2">
        <w:rPr>
          <w:b/>
        </w:rPr>
        <w:br/>
      </w:r>
      <w:r w:rsidR="0006287D" w:rsidRPr="0006287D">
        <w:t>Routine Activity Theory (henceforth RAT)</w:t>
      </w:r>
      <w:r w:rsidR="0006287D">
        <w:t xml:space="preserve"> relates to the analysis stage of problem solving processes in a number of ways:</w:t>
      </w:r>
    </w:p>
    <w:p w:rsidR="00F314A6" w:rsidRDefault="00F314A6" w:rsidP="00682F3B">
      <w:r>
        <w:t>Firstly, it provides researchers and analysts with means to better understand the causes of crime to be a culmination between a motivated offender with a suitable target and a lack o</w:t>
      </w:r>
      <w:r w:rsidR="00833F90">
        <w:t>f adequate protection. It helps us see that offending takes place because of people’s daily and routine activities. This helps us understand that we may not necessarily be looking for hardened criminals, but everyday people who see opportunities for crime. This can help expand the breadth of studies and profiles of any criminals.</w:t>
      </w:r>
    </w:p>
    <w:p w:rsidR="00833F90" w:rsidRPr="00451AB2" w:rsidRDefault="00833F90" w:rsidP="00682F3B">
      <w:pPr>
        <w:rPr>
          <w:b/>
        </w:rPr>
      </w:pPr>
      <w:r>
        <w:t>Secondly, by understanding its causes, RAT allows researchers and analysists to find ways to reduce crime. Recognising that offenders can be motivated to commit crime, and that motivations can change over time, allows us to analyse ways in which potential offenders can be directed and deflected to other interests. For example, Cohen and Felson (1979) analysed themselves that people who would usually attend sports clubs and be motivated to commit assaults can be deflected to other interests</w:t>
      </w:r>
      <w:r w:rsidR="00FA039D">
        <w:t>, for example,</w:t>
      </w:r>
      <w:r>
        <w:t xml:space="preserve"> martial arts</w:t>
      </w:r>
      <w:r w:rsidR="00FA039D">
        <w:t xml:space="preserve"> clubs,</w:t>
      </w:r>
      <w:r>
        <w:t xml:space="preserve"> which place a greater emphasis on discipline and correct personal behaviour. Therefore, by understanding the motivations of offenders, we can analyse patterns of crime according to locations and institutions, and find ways to mitigate problems surrounding these places, </w:t>
      </w:r>
      <w:r w:rsidR="00FA039D">
        <w:t xml:space="preserve">the routines and desires of </w:t>
      </w:r>
      <w:r>
        <w:t xml:space="preserve">offenders and </w:t>
      </w:r>
      <w:r w:rsidR="00FA039D">
        <w:t xml:space="preserve">any </w:t>
      </w:r>
      <w:bookmarkStart w:id="0" w:name="_GoBack"/>
      <w:bookmarkEnd w:id="0"/>
      <w:r w:rsidR="00FA039D">
        <w:t xml:space="preserve">potential </w:t>
      </w:r>
      <w:r>
        <w:t>victims.</w:t>
      </w:r>
    </w:p>
    <w:p w:rsidR="00682F3B" w:rsidRDefault="00682F3B"/>
    <w:p w:rsidR="00682F3B" w:rsidRDefault="00682F3B" w:rsidP="00682F3B">
      <w:r w:rsidRPr="00451AB2">
        <w:rPr>
          <w:b/>
        </w:rPr>
        <w:lastRenderedPageBreak/>
        <w:t>Question 18</w:t>
      </w:r>
      <w:r w:rsidR="00451AB2">
        <w:rPr>
          <w:b/>
        </w:rPr>
        <w:br/>
      </w:r>
      <w:r w:rsidR="004960AA">
        <w:t>Evidence-based policing is when police officers and staff create, use and review the best possible evidence to inform and challenge police policies, practices and procedures. The EBP problem solving approach can be understood through the acronym ATLAS:</w:t>
      </w:r>
    </w:p>
    <w:p w:rsidR="004960AA" w:rsidRDefault="004960AA" w:rsidP="00682F3B">
      <w:r>
        <w:t>Firstly, officers and staff will ask what they want to solve. They will define the question and exactly what problem in the community they want to solve, and they will in turn study and gather information about the problem.</w:t>
      </w:r>
    </w:p>
    <w:p w:rsidR="004960AA" w:rsidRDefault="004960AA" w:rsidP="00682F3B">
      <w:r>
        <w:t>Then they will test a method of response to the problem and record the results.</w:t>
      </w:r>
    </w:p>
    <w:p w:rsidR="004960AA" w:rsidRDefault="004960AA" w:rsidP="00682F3B">
      <w:r>
        <w:t>Then officers and staff will learn from the action and determine what went well, what did not go so well, and what could be improved.</w:t>
      </w:r>
    </w:p>
    <w:p w:rsidR="004960AA" w:rsidRDefault="004960AA" w:rsidP="00682F3B">
      <w:r>
        <w:t>The next step is to assess the best method of dealing with an incident, having tested different approaches. They will assess the strengths and weaknesses of each approach.</w:t>
      </w:r>
    </w:p>
    <w:p w:rsidR="004960AA" w:rsidRPr="00451AB2" w:rsidRDefault="004960AA" w:rsidP="00682F3B">
      <w:pPr>
        <w:rPr>
          <w:b/>
        </w:rPr>
      </w:pPr>
      <w:r>
        <w:t>Finally, all results will be shared with other individuals, departments and partner agencies so as to improve group learning within the police.</w:t>
      </w:r>
    </w:p>
    <w:p w:rsidR="00682F3B" w:rsidRDefault="00682F3B"/>
    <w:p w:rsidR="00682F3B" w:rsidRDefault="00682F3B" w:rsidP="00682F3B">
      <w:r w:rsidRPr="00451AB2">
        <w:rPr>
          <w:b/>
        </w:rPr>
        <w:t>Question 19</w:t>
      </w:r>
      <w:r w:rsidR="00451AB2">
        <w:rPr>
          <w:b/>
        </w:rPr>
        <w:br/>
      </w:r>
      <w:r w:rsidR="005573AB">
        <w:t>Different problem-solving models can be used by the police to solve crimes and problems within communities.</w:t>
      </w:r>
    </w:p>
    <w:p w:rsidR="005573AB" w:rsidRDefault="005573AB" w:rsidP="00682F3B">
      <w:r>
        <w:t>Firstly, the OSARA model can be used. This is when a problem is solved through identifying the objective of the activity (to solve a specific problem), then scanning for evidence pertaining to that problem and gather information about it to better understand the issue and its causes), then analyse the problem to better understand it, before responding. A response option will be considered in order to solve the problem, and this will then be assessed to understand its effectiveness.</w:t>
      </w:r>
    </w:p>
    <w:p w:rsidR="005573AB" w:rsidRDefault="005573AB" w:rsidP="00682F3B">
      <w:r>
        <w:t>Another model which can be used is the Problem Analysis Triangle (henceforth PAT). This sees the cause of crime to come from three merging factors – location, offender and a victim. This model suggests that the right offender comes together in the right location and meets a suitable victim. Therefore, in order to reduce crime, the model suggests that each element of the PAT requires a protective factor: a Guardian for the victim to keep them safe from crime, a Handler for the offender to deflect them to other interests and keep them from offending, and a Manager for a location  (to ensure that the location is properly monitored and protected.</w:t>
      </w:r>
      <w:r w:rsidR="00104BEB">
        <w:t xml:space="preserve"> It can be argued that the OSARA model is more useful in analysing and tackling crime because it provides a structure which any officer or department can carry out and implement first-hand, and collect the results. This in turn boosts professionalism and officers’ awareness of their communities.</w:t>
      </w:r>
    </w:p>
    <w:p w:rsidR="00E40FE0" w:rsidRDefault="005573AB" w:rsidP="00682F3B">
      <w:r>
        <w:t>Another useful model is</w:t>
      </w:r>
      <w:r w:rsidR="00BA285C">
        <w:t xml:space="preserve"> the Ra</w:t>
      </w:r>
      <w:r w:rsidR="00E40FE0">
        <w:t>tional Choice Theory (henceforth RCT), developed by Cornish and Clarke (1987) which suggests that people commit crime because they make a rational calculation of the risk compared to reward. Therefore, crime can be reduced by increasing the risk of committing crimes (through the presence of surveillance etc), and reduce the payoff (replacing expensive items etc). This model suggests that CRAVED items are more likely to be stolen – because they are Concealable, Removable, Available, Valuable, Enjoyable and Disposable (e.g. smartphones). Therefore, in order to reduce crime, this model argues that ‘CRAVED’ items should be better protected by making each element less desirable (e.g. not available because the phone is kept secure in a safe at night etc).</w:t>
      </w:r>
    </w:p>
    <w:p w:rsidR="0007441F" w:rsidRDefault="0007441F" w:rsidP="00682F3B">
      <w:r>
        <w:lastRenderedPageBreak/>
        <w:t>The Rational Choice Theory (henceforth RAT) put forward by Cohen and Felson (1979) suggests that people’s daily routines make crime hard and high risk or easy and low risk, and that crimes can be committed with the presence of a motivated offender, a suitable target and a lack of adequate protection. Therefore, this model suggests that crime can be reduced through removing motivation to commit crime (such as through social pressure or ‘nudging’), protecting suitable targets to make them ‘unsuitable’ and safe, and to increase protection of them (e.g. police, surveillance etc).</w:t>
      </w:r>
    </w:p>
    <w:p w:rsidR="00104BEB" w:rsidRPr="0007441F" w:rsidRDefault="00104BEB" w:rsidP="00682F3B">
      <w:r>
        <w:t>It can be argued that RCT is a more useful model for analysing and reducing crime than RAT because it is simply and easy to understand, as well as tell others such as victims. Victims can be told ways to increase the cost and risk or any offending against them, and to reduce the payoff of any crime so as to deter them from victimisation. This in turn helps the most vulnerable in society as well as provide a simple and effective way for all people – police and the public – to consider ways in which crime can practically be reduced on a small scale as well as large.</w:t>
      </w:r>
    </w:p>
    <w:p w:rsidR="00682F3B" w:rsidRDefault="00682F3B"/>
    <w:p w:rsidR="00682F3B" w:rsidRDefault="00682F3B">
      <w:r w:rsidRPr="00451AB2">
        <w:rPr>
          <w:b/>
        </w:rPr>
        <w:t>Question 20</w:t>
      </w:r>
      <w:r w:rsidR="00451AB2">
        <w:rPr>
          <w:b/>
        </w:rPr>
        <w:br/>
      </w:r>
      <w:r w:rsidR="00A07EB7">
        <w:t>A critical incident is any incident to which the effectiveness of the police’s response is likely to have a significant impact on the confidence in the police held by the victim, their family and/or community. An example of this is the Fiona Pilkington case (2007), where a woman killed herself and her disabled daughter as a result of continued antisocial behaviour. This resulted in a large public outcry against the police’s actions.</w:t>
      </w:r>
    </w:p>
    <w:p w:rsidR="00A07EB7" w:rsidRPr="00451AB2" w:rsidRDefault="00A07EB7">
      <w:pPr>
        <w:rPr>
          <w:b/>
        </w:rPr>
      </w:pPr>
      <w:r>
        <w:t>Only a trained officer can declare an incident to be a critical incident, such as a Force Incident Manager (FIM), or Bronze Inspector. Typically an Inspector or above an declare a critical incident, however any officer can ask such a trained specialist about their decision.</w:t>
      </w:r>
    </w:p>
    <w:p w:rsidR="00682F3B" w:rsidRDefault="00682F3B"/>
    <w:p w:rsidR="00682F3B" w:rsidRPr="00451AB2" w:rsidRDefault="00682F3B" w:rsidP="00682F3B">
      <w:pPr>
        <w:rPr>
          <w:b/>
        </w:rPr>
      </w:pPr>
      <w:r w:rsidRPr="00451AB2">
        <w:rPr>
          <w:b/>
        </w:rPr>
        <w:t>Question 21</w:t>
      </w:r>
      <w:r w:rsidR="00451AB2">
        <w:rPr>
          <w:b/>
        </w:rPr>
        <w:br/>
      </w:r>
      <w:r w:rsidR="00A07EB7">
        <w:t>A constable may detain and search any person or vehicle in any place to which the public have access if he has reasonable grounds to suspect that stolen or prohibited items, prohibited fireworks, or bladed or sharply pointed articles will be found. Any such items found during a search may be seized.</w:t>
      </w:r>
    </w:p>
    <w:p w:rsidR="00682F3B" w:rsidRDefault="00682F3B"/>
    <w:p w:rsidR="00682F3B" w:rsidRDefault="00682F3B"/>
    <w:p w:rsidR="00682F3B" w:rsidRDefault="00682F3B" w:rsidP="00682F3B">
      <w:r w:rsidRPr="00451AB2">
        <w:rPr>
          <w:b/>
        </w:rPr>
        <w:t>Question 22</w:t>
      </w:r>
      <w:r w:rsidR="00451AB2">
        <w:rPr>
          <w:b/>
        </w:rPr>
        <w:br/>
      </w:r>
      <w:r w:rsidR="008973C2">
        <w:t>Prior to a search, the following information should be given to the person being searched:</w:t>
      </w:r>
    </w:p>
    <w:p w:rsidR="008973C2" w:rsidRDefault="008973C2" w:rsidP="00682F3B">
      <w:r>
        <w:t>The grounds for the search (the reason why they are being searched),</w:t>
      </w:r>
    </w:p>
    <w:p w:rsidR="008973C2" w:rsidRDefault="008973C2" w:rsidP="00682F3B">
      <w:r>
        <w:t>The objective of the search (what the officer is looking for),</w:t>
      </w:r>
    </w:p>
    <w:p w:rsidR="008973C2" w:rsidRDefault="008973C2" w:rsidP="00682F3B">
      <w:r>
        <w:t>Present the warrant card (unless in uniform),</w:t>
      </w:r>
    </w:p>
    <w:p w:rsidR="008973C2" w:rsidRDefault="008973C2" w:rsidP="00682F3B">
      <w:r>
        <w:t>Identify yourself,</w:t>
      </w:r>
    </w:p>
    <w:p w:rsidR="008973C2" w:rsidRDefault="008973C2" w:rsidP="00682F3B">
      <w:r>
        <w:t>Tell the person being searched what police station you are attached to,</w:t>
      </w:r>
    </w:p>
    <w:p w:rsidR="008973C2" w:rsidRDefault="008973C2" w:rsidP="00682F3B">
      <w:r>
        <w:t>Tell the person being searched that they are entitled to a copy of the search record,</w:t>
      </w:r>
    </w:p>
    <w:p w:rsidR="008973C2" w:rsidRDefault="008973C2" w:rsidP="00682F3B">
      <w:r>
        <w:lastRenderedPageBreak/>
        <w:t>Tell the person being searched the lawful power being used (for example, Section 1 of the Police and Criminal Evidence Act 1984),</w:t>
      </w:r>
    </w:p>
    <w:p w:rsidR="008973C2" w:rsidRPr="00451AB2" w:rsidRDefault="008973C2" w:rsidP="00682F3B">
      <w:r>
        <w:t>And finally, state “You are detained for the purposes of a search” or otherwise tell the individual that they are detained for the purposes of a search.</w:t>
      </w:r>
    </w:p>
    <w:p w:rsidR="00682F3B" w:rsidRDefault="00682F3B"/>
    <w:p w:rsidR="00682F3B" w:rsidRDefault="00682F3B" w:rsidP="00682F3B">
      <w:r w:rsidRPr="00451AB2">
        <w:rPr>
          <w:b/>
        </w:rPr>
        <w:t>Question 23</w:t>
      </w:r>
      <w:r w:rsidR="00451AB2">
        <w:rPr>
          <w:b/>
        </w:rPr>
        <w:br/>
      </w:r>
      <w:r w:rsidR="00D56323">
        <w:t>The Best Use of Stop and Search Scheme was introduced in 2014 by the Home Secretary in order to improve intelligence-led stop and searches,</w:t>
      </w:r>
      <w:r w:rsidR="001962A3">
        <w:t xml:space="preserve"> reduce and eradicate unnecessary stop and searches,</w:t>
      </w:r>
      <w:r w:rsidR="00D56323">
        <w:t xml:space="preserve"> improve the positive-to-negative outcome ratio, and ensure that the police is being open to the public about stop and search and its uses.</w:t>
      </w:r>
    </w:p>
    <w:p w:rsidR="001962A3" w:rsidRDefault="001962A3" w:rsidP="00682F3B">
      <w:r>
        <w:t>It aims for:</w:t>
      </w:r>
    </w:p>
    <w:p w:rsidR="001962A3" w:rsidRDefault="001962A3" w:rsidP="00682F3B">
      <w:r>
        <w:t>Data collection – of ethnicities and successes of stop and searches.</w:t>
      </w:r>
    </w:p>
    <w:p w:rsidR="001962A3" w:rsidRDefault="001962A3" w:rsidP="00682F3B">
      <w:r>
        <w:t>Improved Section 60 uses – moving the rank to Assistant Chief Constable, limiting the time to 15 hours, limiting the necessity from serious violence ‘will’ take place rather than ‘may’, and making it more clear to the public when a Section 60 authority is in place.</w:t>
      </w:r>
    </w:p>
    <w:p w:rsidR="001962A3" w:rsidRDefault="001962A3" w:rsidP="00682F3B">
      <w:r>
        <w:t>Lay observation policies – such as ‘ride along’ schemes for people to watch stop and search being conducted, and to better understand it.</w:t>
      </w:r>
    </w:p>
    <w:p w:rsidR="001962A3" w:rsidRDefault="001962A3" w:rsidP="00682F3B">
      <w:r>
        <w:t>Community Trigger – allowing the public to know ways in which they can complain about the misuse of stop and search.</w:t>
      </w:r>
    </w:p>
    <w:p w:rsidR="001962A3" w:rsidRPr="00451AB2" w:rsidRDefault="001962A3" w:rsidP="00682F3B">
      <w:r>
        <w:t>Better communication with the public about stop and search and the uses of it.</w:t>
      </w:r>
    </w:p>
    <w:p w:rsidR="00682F3B" w:rsidRDefault="00682F3B"/>
    <w:p w:rsidR="00682F3B" w:rsidRDefault="00682F3B" w:rsidP="00682F3B">
      <w:r w:rsidRPr="00451AB2">
        <w:rPr>
          <w:b/>
        </w:rPr>
        <w:t>Question 24</w:t>
      </w:r>
      <w:r w:rsidR="00451AB2">
        <w:rPr>
          <w:b/>
        </w:rPr>
        <w:br/>
      </w:r>
      <w:r w:rsidR="00AF33E7">
        <w:t>The National Intelligence Model (henceforth NIM) is a three-tiered structure to categorising and sharing intelligence according to its scale.</w:t>
      </w:r>
    </w:p>
    <w:p w:rsidR="00AF33E7" w:rsidRDefault="00AF33E7" w:rsidP="00682F3B">
      <w:r>
        <w:t>The first tier consists of local intelligence which is gathered from the streets, analysed, evaluated and processed and disseminated at a local level. This local level can include different departments, areas/sectors, BCUs and even across the whole Force. This will typically be managed by a Local Intelligence Officer (LIO) and Field Intelligence Officer (FIO).</w:t>
      </w:r>
    </w:p>
    <w:p w:rsidR="00E80AF6" w:rsidRDefault="00AF33E7" w:rsidP="00682F3B">
      <w:r>
        <w:t>The second tier consists of intelligence sharing at a force-wide and inter-Force level. An example of this is when two neighbouring forces share intelligence regularly regarding an organised crime group (OCG)</w:t>
      </w:r>
      <w:r w:rsidR="00E80AF6">
        <w:t xml:space="preserve"> which travels between the Force areas. This will typically be managed by the Force Intelligence Bureau (FIB).</w:t>
      </w:r>
    </w:p>
    <w:p w:rsidR="00AF33E7" w:rsidRDefault="00E80AF6" w:rsidP="00682F3B">
      <w:r>
        <w:t>The largest tier (tier 3) in the NIM is the national or international level, typically managed by the National Crime Agency (NCA) and convers intelligence sharing regarding terrorism or large-scale criminal operations in the UK and any overseas criminality which affects the UK.</w:t>
      </w:r>
    </w:p>
    <w:p w:rsidR="00E80AF6" w:rsidRPr="00451AB2" w:rsidRDefault="00E80AF6" w:rsidP="00682F3B">
      <w:r>
        <w:t>The reason each tier exists and is important is because information and intelligence which is received at one level may originate from, or have implications for, other levels. Therefore, set policies and procedures are included at each stage to ensure that intelligence is processed correctly and disseminated to the appropriate departments who require it.</w:t>
      </w:r>
    </w:p>
    <w:p w:rsidR="00682F3B" w:rsidRDefault="00682F3B"/>
    <w:p w:rsidR="00682F3B" w:rsidRDefault="00682F3B" w:rsidP="00682F3B">
      <w:r w:rsidRPr="00451AB2">
        <w:rPr>
          <w:b/>
        </w:rPr>
        <w:t>Question 25</w:t>
      </w:r>
      <w:r w:rsidR="00451AB2">
        <w:rPr>
          <w:b/>
        </w:rPr>
        <w:br/>
      </w:r>
      <w:r w:rsidR="00436D1C">
        <w:t>The Data Protection Act (2018) governs law enforcement agencies’ handling of personal data and information. The guidelines are as follows:</w:t>
      </w:r>
    </w:p>
    <w:p w:rsidR="00436D1C" w:rsidRDefault="00436D1C" w:rsidP="00682F3B">
      <w:r>
        <w:t>Information should be processed fairly and lawfully,</w:t>
      </w:r>
    </w:p>
    <w:p w:rsidR="00436D1C" w:rsidRDefault="00436D1C" w:rsidP="00682F3B">
      <w:r>
        <w:t>Information should be collected and processed only for a legitimate policing purpose,</w:t>
      </w:r>
    </w:p>
    <w:p w:rsidR="00436D1C" w:rsidRDefault="00436D1C" w:rsidP="00682F3B">
      <w:r>
        <w:t>Information must be adequate, relevant and not excessive.</w:t>
      </w:r>
    </w:p>
    <w:p w:rsidR="00436D1C" w:rsidRDefault="00436D1C" w:rsidP="00682F3B">
      <w:r>
        <w:t>Information must be accurate and kept up-to-date,</w:t>
      </w:r>
    </w:p>
    <w:p w:rsidR="00436D1C" w:rsidRDefault="00436D1C" w:rsidP="00682F3B">
      <w:r>
        <w:t>Information must be kept secure,</w:t>
      </w:r>
    </w:p>
    <w:p w:rsidR="00436D1C" w:rsidRDefault="00436D1C" w:rsidP="00682F3B">
      <w:r>
        <w:t>Information must be kept for no longer than necessary,</w:t>
      </w:r>
    </w:p>
    <w:p w:rsidR="00436D1C" w:rsidRDefault="00436D1C" w:rsidP="00682F3B">
      <w:r>
        <w:t>Information must be processed in accordance with the rights of data subjects, and</w:t>
      </w:r>
    </w:p>
    <w:p w:rsidR="00436D1C" w:rsidRDefault="00436D1C" w:rsidP="00682F3B">
      <w:r>
        <w:t>Information must only be transferred outside the European Economic Area with appropriate protection.</w:t>
      </w:r>
    </w:p>
    <w:p w:rsidR="00D83B92" w:rsidRDefault="00D83B92" w:rsidP="00682F3B"/>
    <w:p w:rsidR="00D83B92" w:rsidRDefault="00D83B92" w:rsidP="00682F3B">
      <w:r>
        <w:t>The Freedom of Information Act (2000) governs the disclosure and dissemination of information, upholding the public’s general right of access: to request information, and to receive that information within 20 days of request, or through a Subject Access Request form.</w:t>
      </w:r>
    </w:p>
    <w:sectPr w:rsidR="00D83B92" w:rsidSect="00012C3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4A6" w:rsidRDefault="00F314A6" w:rsidP="00012C37">
      <w:pPr>
        <w:spacing w:after="0" w:line="240" w:lineRule="auto"/>
      </w:pPr>
      <w:r>
        <w:separator/>
      </w:r>
    </w:p>
  </w:endnote>
  <w:endnote w:type="continuationSeparator" w:id="0">
    <w:p w:rsidR="00F314A6" w:rsidRDefault="00F314A6" w:rsidP="00012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4A6" w:rsidRDefault="0005184D" w:rsidP="0005184D">
    <w:pPr>
      <w:pStyle w:val="Footer"/>
      <w:rPr>
        <w:color w:val="000000"/>
        <w:sz w:val="17"/>
      </w:rPr>
    </w:pPr>
    <w:bookmarkStart w:id="3" w:name="TITUS1FooterEvenPages"/>
    <w:r>
      <w:rPr>
        <w:color w:val="000000"/>
        <w:sz w:val="17"/>
      </w:rPr>
      <w:t> </w:t>
    </w:r>
  </w:p>
  <w:bookmarkEnd w:id="3"/>
  <w:p w:rsidR="00F314A6" w:rsidRDefault="00F314A6" w:rsidP="005A3F52">
    <w:pPr>
      <w:pStyle w:val="Footer"/>
    </w:pPr>
  </w:p>
  <w:p w:rsidR="00F314A6" w:rsidRDefault="00F314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4A6" w:rsidRDefault="0005184D" w:rsidP="0005184D">
    <w:pPr>
      <w:pStyle w:val="Footer"/>
      <w:rPr>
        <w:color w:val="000000"/>
        <w:sz w:val="17"/>
      </w:rPr>
    </w:pPr>
    <w:bookmarkStart w:id="4" w:name="TITUS1FooterPrimary"/>
    <w:r>
      <w:rPr>
        <w:color w:val="000000"/>
        <w:sz w:val="17"/>
      </w:rPr>
      <w:t> </w:t>
    </w:r>
  </w:p>
  <w:bookmarkEnd w:id="4"/>
  <w:p w:rsidR="00F314A6" w:rsidRDefault="00F31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4A6" w:rsidRDefault="0005184D" w:rsidP="0005184D">
    <w:pPr>
      <w:pStyle w:val="Footer"/>
      <w:rPr>
        <w:color w:val="000000"/>
        <w:sz w:val="17"/>
      </w:rPr>
    </w:pPr>
    <w:bookmarkStart w:id="6" w:name="TITUS1FooterFirstPage"/>
    <w:r>
      <w:rPr>
        <w:color w:val="000000"/>
        <w:sz w:val="17"/>
      </w:rPr>
      <w:t> </w:t>
    </w:r>
  </w:p>
  <w:bookmarkEnd w:id="6"/>
  <w:p w:rsidR="00F314A6" w:rsidRDefault="00F31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4A6" w:rsidRDefault="00F314A6" w:rsidP="00012C37">
      <w:pPr>
        <w:spacing w:after="0" w:line="240" w:lineRule="auto"/>
      </w:pPr>
      <w:r>
        <w:separator/>
      </w:r>
    </w:p>
  </w:footnote>
  <w:footnote w:type="continuationSeparator" w:id="0">
    <w:p w:rsidR="00F314A6" w:rsidRDefault="00F314A6" w:rsidP="00012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4A6" w:rsidRDefault="0005184D" w:rsidP="0005184D">
    <w:pPr>
      <w:pStyle w:val="Header"/>
      <w:rPr>
        <w:color w:val="000000"/>
        <w:sz w:val="17"/>
      </w:rPr>
    </w:pPr>
    <w:bookmarkStart w:id="1" w:name="TITUS1HeaderEvenPages"/>
    <w:r>
      <w:rPr>
        <w:color w:val="000000"/>
        <w:sz w:val="17"/>
      </w:rPr>
      <w:t> </w:t>
    </w:r>
  </w:p>
  <w:bookmarkEnd w:id="1"/>
  <w:p w:rsidR="00F314A6" w:rsidRDefault="00F314A6" w:rsidP="005A3F52">
    <w:pPr>
      <w:pStyle w:val="Header"/>
    </w:pPr>
  </w:p>
  <w:p w:rsidR="00F314A6" w:rsidRDefault="00F314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4A6" w:rsidRDefault="0005184D" w:rsidP="0005184D">
    <w:pPr>
      <w:pStyle w:val="Header"/>
      <w:rPr>
        <w:color w:val="000000"/>
        <w:sz w:val="17"/>
      </w:rPr>
    </w:pPr>
    <w:bookmarkStart w:id="2" w:name="TITUS1HeaderPrimary"/>
    <w:r>
      <w:rPr>
        <w:color w:val="000000"/>
        <w:sz w:val="17"/>
      </w:rPr>
      <w:t> </w:t>
    </w:r>
  </w:p>
  <w:bookmarkEnd w:id="2"/>
  <w:p w:rsidR="00F314A6" w:rsidRDefault="00F314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4A6" w:rsidRDefault="0005184D" w:rsidP="0005184D">
    <w:pPr>
      <w:pStyle w:val="Header"/>
      <w:rPr>
        <w:color w:val="000000"/>
        <w:sz w:val="17"/>
      </w:rPr>
    </w:pPr>
    <w:bookmarkStart w:id="5" w:name="TITUS1HeaderFirstPage"/>
    <w:r>
      <w:rPr>
        <w:color w:val="000000"/>
        <w:sz w:val="17"/>
      </w:rPr>
      <w:t> </w:t>
    </w:r>
  </w:p>
  <w:bookmarkEnd w:id="5"/>
  <w:p w:rsidR="00F314A6" w:rsidRDefault="00F314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2C37"/>
    <w:rsid w:val="0005184D"/>
    <w:rsid w:val="0006287D"/>
    <w:rsid w:val="0007441F"/>
    <w:rsid w:val="00104BEB"/>
    <w:rsid w:val="00121DF7"/>
    <w:rsid w:val="001962A3"/>
    <w:rsid w:val="001B087B"/>
    <w:rsid w:val="001D2C25"/>
    <w:rsid w:val="00386CC5"/>
    <w:rsid w:val="003C3567"/>
    <w:rsid w:val="00436D1C"/>
    <w:rsid w:val="00451AB2"/>
    <w:rsid w:val="004960AA"/>
    <w:rsid w:val="005573AB"/>
    <w:rsid w:val="00575AC9"/>
    <w:rsid w:val="005A3F52"/>
    <w:rsid w:val="005F6DA0"/>
    <w:rsid w:val="006162B8"/>
    <w:rsid w:val="00637B5B"/>
    <w:rsid w:val="00662176"/>
    <w:rsid w:val="00682F3B"/>
    <w:rsid w:val="007851A0"/>
    <w:rsid w:val="007E4409"/>
    <w:rsid w:val="007E5DBA"/>
    <w:rsid w:val="00833F90"/>
    <w:rsid w:val="00877432"/>
    <w:rsid w:val="008973C2"/>
    <w:rsid w:val="00970365"/>
    <w:rsid w:val="00A07EB7"/>
    <w:rsid w:val="00AC33D8"/>
    <w:rsid w:val="00AF33E7"/>
    <w:rsid w:val="00B85267"/>
    <w:rsid w:val="00BA285C"/>
    <w:rsid w:val="00BD6F11"/>
    <w:rsid w:val="00C20821"/>
    <w:rsid w:val="00D56323"/>
    <w:rsid w:val="00D83B92"/>
    <w:rsid w:val="00E35C19"/>
    <w:rsid w:val="00E40FE0"/>
    <w:rsid w:val="00E80AF6"/>
    <w:rsid w:val="00EC2958"/>
    <w:rsid w:val="00ED3513"/>
    <w:rsid w:val="00F314A6"/>
    <w:rsid w:val="00F46A8C"/>
    <w:rsid w:val="00FA0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4CBB3C"/>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2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C37"/>
  </w:style>
  <w:style w:type="paragraph" w:styleId="Footer">
    <w:name w:val="footer"/>
    <w:basedOn w:val="Normal"/>
    <w:link w:val="FooterChar"/>
    <w:uiPriority w:val="99"/>
    <w:unhideWhenUsed/>
    <w:rsid w:val="00012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9</Pages>
  <Words>3548</Words>
  <Characters>20228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Ludlow,Josh swp6757</cp:lastModifiedBy>
  <cp:revision>33</cp:revision>
  <dcterms:created xsi:type="dcterms:W3CDTF">2020-12-07T11:52:00Z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