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rial" w:cs="Arial" w:eastAsia="Arial" w:hAnsi="Arial"/>
          <w:b w:val="1"/>
          <w:bCs w:val="1"/>
          <w:color w:val="222222"/>
          <w:sz w:val="40"/>
          <w:szCs w:val="40"/>
        </w:rPr>
      </w:pPr>
      <w:r w:rsidDel="00000000" w:rsidR="00000000" w:rsidRPr="00000000">
        <w:rPr>
          <w:rFonts w:ascii="Arial" w:cs="Arial" w:eastAsia="Arial" w:hAnsi="Arial"/>
          <w:b w:val="1"/>
          <w:bCs w:val="1"/>
          <w:color w:val="222222"/>
          <w:sz w:val="40"/>
          <w:szCs w:val="40"/>
          <w:rtl w:val="0"/>
        </w:rPr>
        <w:t xml:space="preserve"> Module: Introduction to Public Health</w:t>
      </w:r>
    </w:p>
    <w:p w:rsidR="00000000" w:rsidDel="00000000" w:rsidP="00000000" w:rsidRDefault="00000000" w:rsidRPr="00000000" w14:paraId="00000002">
      <w:pPr>
        <w:jc w:val="center"/>
        <w:rPr>
          <w:rFonts w:ascii="Arial" w:cs="Arial" w:eastAsia="Arial" w:hAnsi="Arial"/>
          <w:b w:val="1"/>
          <w:bCs w:val="1"/>
          <w:color w:val="222222"/>
          <w:sz w:val="40"/>
          <w:szCs w:val="40"/>
        </w:rPr>
      </w:pPr>
      <w:r w:rsidDel="00000000" w:rsidR="00000000" w:rsidRPr="00000000">
        <w:rPr>
          <w:rtl w:val="0"/>
        </w:rPr>
      </w:r>
    </w:p>
    <w:p w:rsidR="00000000" w:rsidDel="00000000" w:rsidP="00000000" w:rsidRDefault="00000000" w:rsidRPr="00000000" w14:paraId="00000003">
      <w:pPr>
        <w:shd w:fill="ffffff" w:val="clear"/>
        <w:spacing w:after="195" w:before="195" w:lineRule="auto"/>
        <w:jc w:val="center"/>
        <w:rPr>
          <w:rFonts w:ascii="Arial" w:cs="Arial" w:eastAsia="Arial" w:hAnsi="Arial"/>
          <w:b w:val="1"/>
          <w:bCs w:val="1"/>
          <w:color w:val="222222"/>
          <w:sz w:val="40"/>
          <w:szCs w:val="40"/>
        </w:rPr>
      </w:pPr>
      <w:r w:rsidDel="00000000" w:rsidR="00000000" w:rsidRPr="00000000">
        <w:rPr>
          <w:rFonts w:ascii="Arial" w:cs="Arial" w:eastAsia="Arial" w:hAnsi="Arial"/>
          <w:b w:val="1"/>
          <w:bCs w:val="1"/>
          <w:color w:val="222222"/>
          <w:sz w:val="40"/>
          <w:szCs w:val="40"/>
          <w:rtl w:val="0"/>
        </w:rPr>
        <w:t xml:space="preserve">Module code:  LCHS400</w:t>
      </w:r>
    </w:p>
    <w:p w:rsidR="00000000" w:rsidDel="00000000" w:rsidP="00000000" w:rsidRDefault="00000000" w:rsidRPr="00000000" w14:paraId="00000004">
      <w:pPr>
        <w:shd w:fill="ffffff" w:val="clear"/>
        <w:spacing w:after="195" w:before="195" w:lineRule="auto"/>
        <w:jc w:val="center"/>
        <w:rPr>
          <w:rFonts w:ascii="Arial" w:cs="Arial" w:eastAsia="Arial" w:hAnsi="Arial"/>
          <w:b w:val="1"/>
          <w:bCs w:val="1"/>
          <w:color w:val="222222"/>
          <w:sz w:val="40"/>
          <w:szCs w:val="40"/>
        </w:rPr>
      </w:pPr>
      <w:r w:rsidDel="00000000" w:rsidR="00000000" w:rsidRPr="00000000">
        <w:rPr>
          <w:rtl w:val="0"/>
        </w:rPr>
      </w:r>
    </w:p>
    <w:p w:rsidR="00000000" w:rsidDel="00000000" w:rsidP="00000000" w:rsidRDefault="00000000" w:rsidRPr="00000000" w14:paraId="00000005">
      <w:pPr>
        <w:shd w:fill="ffffff" w:val="clear"/>
        <w:spacing w:after="195" w:before="195" w:lineRule="auto"/>
        <w:jc w:val="center"/>
        <w:rPr>
          <w:rFonts w:ascii="Arial" w:cs="Arial" w:eastAsia="Arial" w:hAnsi="Arial"/>
          <w:b w:val="1"/>
          <w:bCs w:val="1"/>
          <w:color w:val="222222"/>
          <w:sz w:val="40"/>
          <w:szCs w:val="40"/>
        </w:rPr>
      </w:pPr>
      <w:r w:rsidDel="00000000" w:rsidR="00000000" w:rsidRPr="00000000">
        <w:rPr>
          <w:rFonts w:ascii="Arial" w:cs="Arial" w:eastAsia="Arial" w:hAnsi="Arial"/>
          <w:b w:val="1"/>
          <w:bCs w:val="1"/>
          <w:color w:val="222222"/>
          <w:sz w:val="40"/>
          <w:szCs w:val="40"/>
          <w:rtl w:val="0"/>
        </w:rPr>
        <w:t xml:space="preserve">Assignment Report: Type_2 Diabetes</w:t>
      </w:r>
    </w:p>
    <w:p w:rsidR="00000000" w:rsidDel="00000000" w:rsidP="00000000" w:rsidRDefault="00000000" w:rsidRPr="00000000" w14:paraId="00000006">
      <w:pPr>
        <w:shd w:fill="ffffff" w:val="clear"/>
        <w:spacing w:after="195" w:before="195" w:lineRule="auto"/>
        <w:jc w:val="center"/>
        <w:rPr>
          <w:rFonts w:ascii="Arial" w:cs="Arial" w:eastAsia="Arial" w:hAnsi="Arial"/>
          <w:b w:val="1"/>
          <w:bCs w:val="1"/>
          <w:color w:val="222222"/>
          <w:sz w:val="40"/>
          <w:szCs w:val="40"/>
        </w:rPr>
      </w:pPr>
      <w:r w:rsidDel="00000000" w:rsidR="00000000" w:rsidRPr="00000000">
        <w:rPr>
          <w:rtl w:val="0"/>
        </w:rPr>
      </w:r>
    </w:p>
    <w:p w:rsidR="00000000" w:rsidDel="00000000" w:rsidP="00000000" w:rsidRDefault="00000000" w:rsidRPr="00000000" w14:paraId="00000007">
      <w:pPr>
        <w:shd w:fill="ffffff" w:val="clear"/>
        <w:spacing w:after="195" w:before="195" w:lineRule="auto"/>
        <w:jc w:val="center"/>
        <w:rPr>
          <w:rFonts w:ascii="Arial" w:cs="Arial" w:eastAsia="Arial" w:hAnsi="Arial"/>
          <w:b w:val="1"/>
          <w:bCs w:val="1"/>
          <w:color w:val="222222"/>
          <w:sz w:val="40"/>
          <w:szCs w:val="40"/>
        </w:rPr>
      </w:pPr>
      <w:r w:rsidDel="00000000" w:rsidR="00000000" w:rsidRPr="00000000">
        <w:rPr>
          <w:rFonts w:ascii="Arial" w:cs="Arial" w:eastAsia="Arial" w:hAnsi="Arial"/>
          <w:b w:val="1"/>
          <w:bCs w:val="1"/>
          <w:color w:val="222222"/>
          <w:sz w:val="40"/>
          <w:szCs w:val="40"/>
          <w:rtl w:val="0"/>
        </w:rPr>
        <w:t xml:space="preserve">Student Name: -- Elizabeth Sarr</w:t>
      </w:r>
    </w:p>
    <w:p w:rsidR="00000000" w:rsidDel="00000000" w:rsidP="00000000" w:rsidRDefault="00000000" w:rsidRPr="00000000" w14:paraId="00000008">
      <w:pPr>
        <w:shd w:fill="ffffff" w:val="clear"/>
        <w:spacing w:after="195" w:before="195" w:lineRule="auto"/>
        <w:jc w:val="center"/>
        <w:rPr>
          <w:rFonts w:ascii="Arial" w:cs="Arial" w:eastAsia="Arial" w:hAnsi="Arial"/>
          <w:b w:val="1"/>
          <w:bCs w:val="1"/>
          <w:color w:val="222222"/>
          <w:sz w:val="40"/>
          <w:szCs w:val="40"/>
        </w:rPr>
      </w:pPr>
      <w:r w:rsidDel="00000000" w:rsidR="00000000" w:rsidRPr="00000000">
        <w:rPr>
          <w:rtl w:val="0"/>
        </w:rPr>
      </w:r>
    </w:p>
    <w:p w:rsidR="00000000" w:rsidDel="00000000" w:rsidP="00000000" w:rsidRDefault="00000000" w:rsidRPr="00000000" w14:paraId="00000009">
      <w:pPr>
        <w:shd w:fill="ffffff" w:val="clear"/>
        <w:spacing w:after="195" w:before="195" w:lineRule="auto"/>
        <w:jc w:val="center"/>
        <w:rPr>
          <w:rFonts w:ascii="Arial" w:cs="Arial" w:eastAsia="Arial" w:hAnsi="Arial"/>
          <w:b w:val="1"/>
          <w:bCs w:val="1"/>
          <w:color w:val="222222"/>
          <w:sz w:val="40"/>
          <w:szCs w:val="40"/>
        </w:rPr>
      </w:pPr>
      <w:r w:rsidDel="00000000" w:rsidR="00000000" w:rsidRPr="00000000">
        <w:rPr>
          <w:rFonts w:ascii="Arial" w:cs="Arial" w:eastAsia="Arial" w:hAnsi="Arial"/>
          <w:b w:val="1"/>
          <w:bCs w:val="1"/>
          <w:color w:val="222222"/>
          <w:sz w:val="40"/>
          <w:szCs w:val="40"/>
          <w:rtl w:val="0"/>
        </w:rPr>
        <w:t xml:space="preserve">Student Number: -- 2435171</w:t>
      </w:r>
    </w:p>
    <w:p w:rsidR="00000000" w:rsidDel="00000000" w:rsidP="00000000" w:rsidRDefault="00000000" w:rsidRPr="00000000" w14:paraId="0000000A">
      <w:pPr>
        <w:shd w:fill="ffffff" w:val="clear"/>
        <w:spacing w:after="195" w:before="195" w:lineRule="auto"/>
        <w:jc w:val="center"/>
        <w:rPr>
          <w:rFonts w:ascii="Arial" w:cs="Arial" w:eastAsia="Arial" w:hAnsi="Arial"/>
          <w:b w:val="1"/>
          <w:bCs w:val="1"/>
          <w:color w:val="222222"/>
          <w:sz w:val="40"/>
          <w:szCs w:val="40"/>
        </w:rPr>
      </w:pPr>
      <w:r w:rsidDel="00000000" w:rsidR="00000000" w:rsidRPr="00000000">
        <w:rPr>
          <w:rtl w:val="0"/>
        </w:rPr>
      </w:r>
    </w:p>
    <w:p w:rsidR="00000000" w:rsidDel="00000000" w:rsidP="00000000" w:rsidRDefault="00000000" w:rsidRPr="00000000" w14:paraId="0000000B">
      <w:pPr>
        <w:shd w:fill="ffffff" w:val="clear"/>
        <w:spacing w:after="195" w:before="195" w:lineRule="auto"/>
        <w:jc w:val="center"/>
        <w:rPr>
          <w:rFonts w:ascii="Arial" w:cs="Arial" w:eastAsia="Arial" w:hAnsi="Arial"/>
          <w:b w:val="1"/>
          <w:bCs w:val="1"/>
          <w:color w:val="222222"/>
          <w:sz w:val="40"/>
          <w:szCs w:val="40"/>
        </w:rPr>
      </w:pPr>
      <w:r w:rsidDel="00000000" w:rsidR="00000000" w:rsidRPr="00000000">
        <w:rPr>
          <w:rFonts w:ascii="Arial" w:cs="Arial" w:eastAsia="Arial" w:hAnsi="Arial"/>
          <w:b w:val="1"/>
          <w:bCs w:val="1"/>
          <w:color w:val="222222"/>
          <w:sz w:val="40"/>
          <w:szCs w:val="40"/>
          <w:rtl w:val="0"/>
        </w:rPr>
        <w:t xml:space="preserve">Tutor Name:  Hajra Mustasim </w:t>
      </w:r>
    </w:p>
    <w:p w:rsidR="00000000" w:rsidDel="00000000" w:rsidP="00000000" w:rsidRDefault="00000000" w:rsidRPr="00000000" w14:paraId="0000000C">
      <w:pPr>
        <w:shd w:fill="ffffff" w:val="clear"/>
        <w:spacing w:after="195" w:before="195" w:lineRule="auto"/>
        <w:jc w:val="center"/>
        <w:rPr>
          <w:rFonts w:ascii="Arial" w:cs="Arial" w:eastAsia="Arial" w:hAnsi="Arial"/>
          <w:b w:val="1"/>
          <w:bCs w:val="1"/>
          <w:color w:val="222222"/>
          <w:sz w:val="40"/>
          <w:szCs w:val="40"/>
        </w:rPr>
      </w:pPr>
      <w:r w:rsidDel="00000000" w:rsidR="00000000" w:rsidRPr="00000000">
        <w:rPr>
          <w:rFonts w:ascii="Arial" w:cs="Arial" w:eastAsia="Arial" w:hAnsi="Arial"/>
          <w:b w:val="1"/>
          <w:bCs w:val="1"/>
          <w:color w:val="222222"/>
          <w:sz w:val="40"/>
          <w:szCs w:val="40"/>
          <w:rtl w:val="0"/>
        </w:rPr>
        <w:t xml:space="preserve"> </w:t>
      </w:r>
    </w:p>
    <w:p w:rsidR="00000000" w:rsidDel="00000000" w:rsidP="00000000" w:rsidRDefault="00000000" w:rsidRPr="00000000" w14:paraId="0000000D">
      <w:pPr>
        <w:shd w:fill="ffffff" w:val="clear"/>
        <w:spacing w:after="195" w:before="195" w:lineRule="auto"/>
        <w:jc w:val="center"/>
        <w:rPr>
          <w:rFonts w:ascii="Arial" w:cs="Arial" w:eastAsia="Arial" w:hAnsi="Arial"/>
          <w:b w:val="1"/>
          <w:bCs w:val="1"/>
          <w:color w:val="222222"/>
          <w:sz w:val="40"/>
          <w:szCs w:val="40"/>
        </w:rPr>
      </w:pPr>
      <w:r w:rsidDel="00000000" w:rsidR="00000000" w:rsidRPr="00000000">
        <w:rPr>
          <w:rFonts w:ascii="Arial" w:cs="Arial" w:eastAsia="Arial" w:hAnsi="Arial"/>
          <w:b w:val="1"/>
          <w:bCs w:val="1"/>
          <w:color w:val="222222"/>
          <w:sz w:val="40"/>
          <w:szCs w:val="40"/>
          <w:rtl w:val="0"/>
        </w:rPr>
        <w:t xml:space="preserve"> Assignment Title: Component 2</w:t>
      </w:r>
    </w:p>
    <w:p w:rsidR="00000000" w:rsidDel="00000000" w:rsidP="00000000" w:rsidRDefault="00000000" w:rsidRPr="00000000" w14:paraId="0000000E">
      <w:pPr>
        <w:shd w:fill="ffffff" w:val="clear"/>
        <w:spacing w:after="195" w:before="195" w:lineRule="auto"/>
        <w:jc w:val="center"/>
        <w:rPr>
          <w:rFonts w:ascii="Arial" w:cs="Arial" w:eastAsia="Arial" w:hAnsi="Arial"/>
          <w:b w:val="1"/>
          <w:bCs w:val="1"/>
          <w:color w:val="222222"/>
          <w:sz w:val="40"/>
          <w:szCs w:val="40"/>
        </w:rPr>
      </w:pPr>
      <w:r w:rsidDel="00000000" w:rsidR="00000000" w:rsidRPr="00000000">
        <w:rPr>
          <w:rtl w:val="0"/>
        </w:rPr>
      </w:r>
    </w:p>
    <w:p w:rsidR="00000000" w:rsidDel="00000000" w:rsidP="00000000" w:rsidRDefault="00000000" w:rsidRPr="00000000" w14:paraId="0000000F">
      <w:pPr>
        <w:shd w:fill="ffffff" w:val="clear"/>
        <w:spacing w:after="195" w:before="195" w:lineRule="auto"/>
        <w:jc w:val="center"/>
        <w:rPr>
          <w:rFonts w:ascii="Arial" w:cs="Arial" w:eastAsia="Arial" w:hAnsi="Arial"/>
          <w:b w:val="1"/>
          <w:bCs w:val="1"/>
          <w:color w:val="222222"/>
        </w:rPr>
      </w:pPr>
      <w:r w:rsidDel="00000000" w:rsidR="00000000" w:rsidRPr="00000000">
        <w:rPr>
          <w:rFonts w:ascii="Arial" w:cs="Arial" w:eastAsia="Arial" w:hAnsi="Arial"/>
          <w:b w:val="1"/>
          <w:bCs w:val="1"/>
          <w:color w:val="222222"/>
          <w:sz w:val="40"/>
          <w:szCs w:val="40"/>
          <w:rtl w:val="0"/>
        </w:rPr>
        <w:t xml:space="preserve">18</w:t>
      </w:r>
      <w:r w:rsidDel="00000000" w:rsidR="00000000" w:rsidRPr="00000000">
        <w:rPr>
          <w:rFonts w:ascii="Arial" w:cs="Arial" w:eastAsia="Arial" w:hAnsi="Arial"/>
          <w:b w:val="1"/>
          <w:bCs w:val="1"/>
          <w:color w:val="222222"/>
          <w:sz w:val="40"/>
          <w:szCs w:val="40"/>
          <w:vertAlign w:val="superscript"/>
          <w:rtl w:val="0"/>
        </w:rPr>
        <w:t xml:space="preserve">th</w:t>
      </w:r>
      <w:r w:rsidDel="00000000" w:rsidR="00000000" w:rsidRPr="00000000">
        <w:rPr>
          <w:rFonts w:ascii="Arial" w:cs="Arial" w:eastAsia="Arial" w:hAnsi="Arial"/>
          <w:b w:val="1"/>
          <w:bCs w:val="1"/>
          <w:color w:val="222222"/>
          <w:sz w:val="40"/>
          <w:szCs w:val="40"/>
          <w:rtl w:val="0"/>
        </w:rPr>
        <w:t xml:space="preserve"> November 2025</w:t>
      </w:r>
      <w:r w:rsidDel="00000000" w:rsidR="00000000" w:rsidRPr="00000000">
        <w:rPr>
          <w:rtl w:val="0"/>
        </w:rPr>
      </w:r>
    </w:p>
    <w:p w:rsidR="00000000" w:rsidDel="00000000" w:rsidP="00000000" w:rsidRDefault="00000000" w:rsidRPr="00000000" w14:paraId="00000010">
      <w:pPr>
        <w:shd w:fill="ffffff" w:val="clear"/>
        <w:spacing w:after="195" w:before="195" w:lineRule="auto"/>
        <w:rPr>
          <w:rFonts w:ascii="Arial" w:cs="Arial" w:eastAsia="Arial" w:hAnsi="Arial"/>
          <w:b w:val="1"/>
          <w:bCs w:val="1"/>
          <w:color w:val="222222"/>
        </w:rPr>
      </w:pPr>
      <w:r w:rsidDel="00000000" w:rsidR="00000000" w:rsidRPr="00000000">
        <w:rPr>
          <w:rtl w:val="0"/>
        </w:rPr>
      </w:r>
    </w:p>
    <w:p w:rsidR="00000000" w:rsidDel="00000000" w:rsidP="00000000" w:rsidRDefault="00000000" w:rsidRPr="00000000" w14:paraId="00000011">
      <w:pPr>
        <w:shd w:fill="ffffff" w:val="clear"/>
        <w:spacing w:after="195" w:before="195" w:lineRule="auto"/>
        <w:rPr>
          <w:rFonts w:ascii="Arial" w:cs="Arial" w:eastAsia="Arial" w:hAnsi="Arial"/>
          <w:b w:val="1"/>
          <w:bCs w:val="1"/>
          <w:color w:val="222222"/>
        </w:rPr>
      </w:pPr>
      <w:r w:rsidDel="00000000" w:rsidR="00000000" w:rsidRPr="00000000">
        <w:rPr>
          <w:rtl w:val="0"/>
        </w:rPr>
      </w:r>
    </w:p>
    <w:p w:rsidR="00000000" w:rsidDel="00000000" w:rsidP="00000000" w:rsidRDefault="00000000" w:rsidRPr="00000000" w14:paraId="00000012">
      <w:pPr>
        <w:shd w:fill="ffffff" w:val="clear"/>
        <w:spacing w:after="195" w:before="195" w:lineRule="auto"/>
        <w:rPr>
          <w:rFonts w:ascii="Arial" w:cs="Arial" w:eastAsia="Arial" w:hAnsi="Arial"/>
          <w:b w:val="1"/>
          <w:bCs w:val="1"/>
          <w:color w:val="222222"/>
        </w:rPr>
      </w:pPr>
      <w:r w:rsidDel="00000000" w:rsidR="00000000" w:rsidRPr="00000000">
        <w:rPr>
          <w:rtl w:val="0"/>
        </w:rPr>
      </w:r>
    </w:p>
    <w:p w:rsidR="00000000" w:rsidDel="00000000" w:rsidP="00000000" w:rsidRDefault="00000000" w:rsidRPr="00000000" w14:paraId="00000013">
      <w:pPr>
        <w:shd w:fill="ffffff" w:val="clear"/>
        <w:spacing w:after="195" w:before="195" w:lineRule="auto"/>
        <w:rPr>
          <w:rFonts w:ascii="Arial" w:cs="Arial" w:eastAsia="Arial" w:hAnsi="Arial"/>
          <w:b w:val="1"/>
          <w:bCs w:val="1"/>
          <w:color w:val="222222"/>
        </w:rPr>
      </w:pPr>
      <w:r w:rsidDel="00000000" w:rsidR="00000000" w:rsidRPr="00000000">
        <w:rPr>
          <w:rtl w:val="0"/>
        </w:rPr>
      </w:r>
    </w:p>
    <w:p w:rsidR="00000000" w:rsidDel="00000000" w:rsidP="00000000" w:rsidRDefault="00000000" w:rsidRPr="00000000" w14:paraId="00000014">
      <w:pPr>
        <w:shd w:fill="ffffff" w:val="clear"/>
        <w:spacing w:after="195" w:before="195" w:lineRule="auto"/>
        <w:rPr>
          <w:rFonts w:ascii="Arial" w:cs="Arial" w:eastAsia="Arial" w:hAnsi="Arial"/>
          <w:b w:val="1"/>
          <w:bCs w:val="1"/>
          <w:color w:val="222222"/>
        </w:rPr>
      </w:pPr>
      <w:r w:rsidDel="00000000" w:rsidR="00000000" w:rsidRPr="00000000">
        <w:rPr>
          <w:rtl w:val="0"/>
        </w:rPr>
      </w:r>
    </w:p>
    <w:p w:rsidR="00000000" w:rsidDel="00000000" w:rsidP="00000000" w:rsidRDefault="00000000" w:rsidRPr="00000000" w14:paraId="00000015">
      <w:pPr>
        <w:shd w:fill="ffffff" w:val="clear"/>
        <w:spacing w:after="195" w:before="195" w:lineRule="auto"/>
        <w:rPr>
          <w:rFonts w:ascii="Arial" w:cs="Arial" w:eastAsia="Arial" w:hAnsi="Arial"/>
          <w:b w:val="1"/>
          <w:bCs w:val="1"/>
          <w:color w:val="222222"/>
        </w:rPr>
      </w:pPr>
      <w:r w:rsidDel="00000000" w:rsidR="00000000" w:rsidRPr="00000000">
        <w:rPr>
          <w:rtl w:val="0"/>
        </w:rPr>
      </w:r>
    </w:p>
    <w:p w:rsidR="00000000" w:rsidDel="00000000" w:rsidP="00000000" w:rsidRDefault="00000000" w:rsidRPr="00000000" w14:paraId="00000016">
      <w:pPr>
        <w:shd w:fill="ffffff" w:val="clear"/>
        <w:spacing w:after="195" w:before="195" w:line="360" w:lineRule="auto"/>
        <w:ind w:firstLine="0"/>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Introduction </w:t>
      </w:r>
    </w:p>
    <w:p w:rsidR="00000000" w:rsidDel="00000000" w:rsidP="00000000" w:rsidRDefault="00000000" w:rsidRPr="00000000" w14:paraId="00000017">
      <w:pPr>
        <w:spacing w:after="0" w:line="360" w:lineRule="auto"/>
        <w:ind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Type 2 diabetes is a long-term metabolic disorder characterised by either insufficient insulin production or ineffective insulin utilisation, which raises blood glucose levels. Fatigue, increased urination (particularly at night), excessive thirst, inadvertent weight loss, hazy eyesight, slow-healing wounds, and recurrent skin or genital infections are common symptoms. In 1980, 108 million individuals worldwide had diabetes; by 2014, that number had risen to 422 million, representing an increase in prevalence from 4.7% to 8.5%. Type 2 diabetes, which makes up around 90% of all diabetes occurrences in the UK, is the primary cause of this sharp increase. The World Health Organisation (2015) reported that diabetes was the sixth most common cause of death worldwide, accounting for an estimated 1.6 million fatalities, including those caused by complications from elevated blood glucose (Public Health England, 2018). Sedentary lifestyles, rising obesity rates, and broader socioeconomic variables, including impoverishment and limited access to healthcare, are all closely linked to the growth in prevalence.</w:t>
      </w:r>
    </w:p>
    <w:p w:rsidR="00000000" w:rsidDel="00000000" w:rsidP="00000000" w:rsidRDefault="00000000" w:rsidRPr="00000000" w14:paraId="00000018">
      <w:pPr>
        <w:spacing w:after="0" w:line="360" w:lineRule="auto"/>
        <w:ind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9">
      <w:pPr>
        <w:spacing w:after="0" w:before="0" w:line="360" w:lineRule="auto"/>
        <w:ind w:firstLine="0"/>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 </w:t>
      </w:r>
      <w:r w:rsidDel="00000000" w:rsidR="00000000" w:rsidRPr="00000000">
        <w:rPr>
          <w:rFonts w:ascii="Arial" w:cs="Arial" w:eastAsia="Arial" w:hAnsi="Arial"/>
          <w:b w:val="1"/>
          <w:bCs w:val="1"/>
          <w:sz w:val="22"/>
          <w:szCs w:val="22"/>
          <w:rtl w:val="0"/>
        </w:rPr>
        <w:t xml:space="preserve">Mental health and social consequences</w:t>
      </w:r>
      <w:r w:rsidDel="00000000" w:rsidR="00000000" w:rsidRPr="00000000">
        <w:rPr>
          <w:rtl w:val="0"/>
        </w:rPr>
      </w:r>
    </w:p>
    <w:p w:rsidR="00000000" w:rsidDel="00000000" w:rsidP="00000000" w:rsidRDefault="00000000" w:rsidRPr="00000000" w14:paraId="0000001A">
      <w:pPr>
        <w:spacing w:after="0" w:line="360" w:lineRule="auto"/>
        <w:ind w:firstLine="0"/>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 Type 2 diabetes diagnosis may also harm quality of life and social engagement, which might be harmful to mental health. Depression is more common in people with Type 2 diabetes than in people without the disease. This, along with many other consequences of Type 2 diabetes, increases their risk of dying early [2018].</w:t>
      </w:r>
      <w:r w:rsidDel="00000000" w:rsidR="00000000" w:rsidRPr="00000000">
        <w:rPr>
          <w:rtl w:val="0"/>
        </w:rPr>
      </w:r>
    </w:p>
    <w:p w:rsidR="00000000" w:rsidDel="00000000" w:rsidP="00000000" w:rsidRDefault="00000000" w:rsidRPr="00000000" w14:paraId="0000001B">
      <w:pPr>
        <w:shd w:fill="ffffff" w:val="clear"/>
        <w:spacing w:after="300" w:line="360" w:lineRule="auto"/>
        <w:ind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According to a Diabetes UK survey:</w:t>
      </w:r>
    </w:p>
    <w:p w:rsidR="00000000" w:rsidDel="00000000" w:rsidP="00000000" w:rsidRDefault="00000000" w:rsidRPr="00000000" w14:paraId="0000001C">
      <w:pPr>
        <w:numPr>
          <w:ilvl w:val="0"/>
          <w:numId w:val="2"/>
        </w:numPr>
        <w:shd w:fill="ffffff" w:val="clear"/>
        <w:spacing w:after="0" w:afterAutospacing="0" w:line="360" w:lineRule="auto"/>
        <w:ind w:left="720" w:hanging="720"/>
        <w:rPr>
          <w:rFonts w:ascii="Arial" w:cs="Arial" w:eastAsia="Arial" w:hAnsi="Arial"/>
          <w:sz w:val="22"/>
          <w:szCs w:val="22"/>
        </w:rPr>
      </w:pPr>
      <w:r w:rsidDel="00000000" w:rsidR="00000000" w:rsidRPr="00000000">
        <w:rPr>
          <w:rFonts w:ascii="Arial" w:cs="Arial" w:eastAsia="Arial" w:hAnsi="Arial"/>
          <w:sz w:val="22"/>
          <w:szCs w:val="22"/>
          <w:rtl w:val="0"/>
        </w:rPr>
        <w:t xml:space="preserve"> 64% of persons with diabetes report having emotional or mental health issues as a result of their illness.</w:t>
      </w:r>
    </w:p>
    <w:p w:rsidR="00000000" w:rsidDel="00000000" w:rsidP="00000000" w:rsidRDefault="00000000" w:rsidRPr="00000000" w14:paraId="0000001D">
      <w:pPr>
        <w:numPr>
          <w:ilvl w:val="0"/>
          <w:numId w:val="2"/>
        </w:numPr>
        <w:shd w:fill="ffffff" w:val="clear"/>
        <w:spacing w:after="0" w:afterAutospacing="0" w:line="360" w:lineRule="auto"/>
        <w:ind w:left="720" w:hanging="720"/>
        <w:rPr>
          <w:rFonts w:ascii="Arial" w:cs="Arial" w:eastAsia="Arial" w:hAnsi="Arial"/>
          <w:sz w:val="22"/>
          <w:szCs w:val="22"/>
        </w:rPr>
      </w:pPr>
      <w:r w:rsidDel="00000000" w:rsidR="00000000" w:rsidRPr="00000000">
        <w:rPr>
          <w:rFonts w:ascii="Arial" w:cs="Arial" w:eastAsia="Arial" w:hAnsi="Arial"/>
          <w:sz w:val="22"/>
          <w:szCs w:val="22"/>
          <w:rtl w:val="0"/>
        </w:rPr>
        <w:t xml:space="preserve">Only three out of ten diabetics reported feeling in control of their illness.</w:t>
      </w:r>
    </w:p>
    <w:p w:rsidR="00000000" w:rsidDel="00000000" w:rsidP="00000000" w:rsidRDefault="00000000" w:rsidRPr="00000000" w14:paraId="0000001E">
      <w:pPr>
        <w:numPr>
          <w:ilvl w:val="0"/>
          <w:numId w:val="2"/>
        </w:numPr>
        <w:shd w:fill="ffffff" w:val="clear"/>
        <w:spacing w:after="0" w:afterAutospacing="0" w:line="360" w:lineRule="auto"/>
        <w:ind w:left="720" w:hanging="720"/>
        <w:rPr>
          <w:rFonts w:ascii="Arial" w:cs="Arial" w:eastAsia="Arial" w:hAnsi="Arial"/>
          <w:sz w:val="22"/>
          <w:szCs w:val="22"/>
        </w:rPr>
      </w:pPr>
      <w:r w:rsidDel="00000000" w:rsidR="00000000" w:rsidRPr="00000000">
        <w:rPr>
          <w:rFonts w:ascii="Arial" w:cs="Arial" w:eastAsia="Arial" w:hAnsi="Arial"/>
          <w:sz w:val="22"/>
          <w:szCs w:val="22"/>
          <w:rtl w:val="0"/>
        </w:rPr>
        <w:t xml:space="preserve">One in five persons with diabetes has utilised assistance or counselling from a qualified professional to help them manage their condition, and nearly one-third of those with diabetes have at some stage relied on self-help resources.</w:t>
      </w:r>
    </w:p>
    <w:p w:rsidR="00000000" w:rsidDel="00000000" w:rsidP="00000000" w:rsidRDefault="00000000" w:rsidRPr="00000000" w14:paraId="0000001F">
      <w:pPr>
        <w:numPr>
          <w:ilvl w:val="0"/>
          <w:numId w:val="2"/>
        </w:numPr>
        <w:shd w:fill="ffffff" w:val="clear"/>
        <w:spacing w:after="300" w:line="360" w:lineRule="auto"/>
        <w:ind w:left="720" w:hanging="720"/>
        <w:rPr>
          <w:rFonts w:ascii="Arial" w:cs="Arial" w:eastAsia="Arial" w:hAnsi="Arial"/>
          <w:sz w:val="22"/>
          <w:szCs w:val="22"/>
        </w:rPr>
      </w:pPr>
      <w:r w:rsidDel="00000000" w:rsidR="00000000" w:rsidRPr="00000000">
        <w:rPr>
          <w:rFonts w:ascii="Arial" w:cs="Arial" w:eastAsia="Arial" w:hAnsi="Arial"/>
          <w:sz w:val="22"/>
          <w:szCs w:val="22"/>
          <w:rtl w:val="0"/>
        </w:rPr>
        <w:t xml:space="preserve">Additionally, there is proof that mild psychological disorders reduce treatment adherence for Type 2 diabetes, which may have repercussions for patients' health.</w:t>
      </w:r>
      <w:r w:rsidDel="00000000" w:rsidR="00000000" w:rsidRPr="00000000">
        <w:rPr>
          <w:rtl w:val="0"/>
        </w:rPr>
      </w:r>
    </w:p>
    <w:p w:rsidR="00000000" w:rsidDel="00000000" w:rsidP="00000000" w:rsidRDefault="00000000" w:rsidRPr="00000000" w14:paraId="00000020">
      <w:pPr>
        <w:shd w:fill="ffffff" w:val="clear"/>
        <w:spacing w:after="300" w:line="360" w:lineRule="auto"/>
        <w:ind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Type 2 diabetes has significant societal repercussions that affect people's family life, education, and work, in addition to their mental health and quality of life. Although these elements are sometimes overlooked in health research, they have broader implications that are as significant to health outcomes from the standpoint of public health. Due to their extensive effects, patients with Type 2 diabetes also frequently emphasise their significance [2018].</w:t>
      </w:r>
    </w:p>
    <w:p w:rsidR="00000000" w:rsidDel="00000000" w:rsidP="00000000" w:rsidRDefault="00000000" w:rsidRPr="00000000" w14:paraId="00000021">
      <w:pPr>
        <w:pStyle w:val="Heading4"/>
        <w:shd w:fill="ffffff" w:val="clear"/>
        <w:spacing w:after="0" w:before="0" w:line="360" w:lineRule="auto"/>
        <w:ind w:firstLine="0"/>
        <w:rPr>
          <w:rFonts w:ascii="Arial" w:cs="Arial" w:eastAsia="Arial" w:hAnsi="Arial"/>
          <w:color w:val="000000"/>
          <w:sz w:val="22"/>
          <w:szCs w:val="22"/>
        </w:rPr>
      </w:pPr>
      <w:r w:rsidDel="00000000" w:rsidR="00000000" w:rsidRPr="00000000">
        <w:rPr>
          <w:rFonts w:ascii="Arial" w:cs="Arial" w:eastAsia="Arial" w:hAnsi="Arial"/>
          <w:b w:val="1"/>
          <w:bCs w:val="1"/>
          <w:i w:val="0"/>
          <w:iCs w:val="0"/>
          <w:color w:val="000000"/>
          <w:sz w:val="22"/>
          <w:szCs w:val="22"/>
          <w:rtl w:val="0"/>
        </w:rPr>
        <w:t xml:space="preserve">Diabetic foot disease</w:t>
      </w:r>
      <w:r w:rsidDel="00000000" w:rsidR="00000000" w:rsidRPr="00000000">
        <w:rPr>
          <w:rtl w:val="0"/>
        </w:rPr>
      </w:r>
    </w:p>
    <w:p w:rsidR="00000000" w:rsidDel="00000000" w:rsidP="00000000" w:rsidRDefault="00000000" w:rsidRPr="00000000" w14:paraId="00000022">
      <w:pPr>
        <w:shd w:fill="ffffff" w:val="clear"/>
        <w:spacing w:after="300" w:line="360" w:lineRule="auto"/>
        <w:ind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Peripheral neuropathy's microvascular complications and peripheral vascular disease's macrovascular complications may result in diabetic foot disease. According to the most recent data, 132,114 hospital stays for diabetic foot illness occurred during 2014–2015 and 2016–2017. Hospital stays for diabetic foot illness totalled 1,730,072 days, with a median duration of 8 days [Public Health, 2018].</w:t>
      </w:r>
    </w:p>
    <w:p w:rsidR="00000000" w:rsidDel="00000000" w:rsidP="00000000" w:rsidRDefault="00000000" w:rsidRPr="00000000" w14:paraId="00000023">
      <w:pPr>
        <w:spacing w:after="0" w:line="360" w:lineRule="auto"/>
        <w:ind w:firstLine="0"/>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Health Promotion Approaches</w:t>
      </w:r>
    </w:p>
    <w:p w:rsidR="00000000" w:rsidDel="00000000" w:rsidP="00000000" w:rsidRDefault="00000000" w:rsidRPr="00000000" w14:paraId="00000024">
      <w:pPr>
        <w:shd w:fill="ffffff" w:val="clear"/>
        <w:spacing w:after="0" w:line="360" w:lineRule="auto"/>
        <w:ind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A structural approach concentrates on government initiatives aimed at preventing obesity and promoting healthy eating in communities, workplaces, and educational institutions. Taxes on high-sugar beverages, for instance, are intended to lower the country's sugar consumption and encourage food producers to reformulate their goods. These regulations seek to change the surroundings in order to make healthy options more readily available.</w:t>
      </w:r>
    </w:p>
    <w:p w:rsidR="00000000" w:rsidDel="00000000" w:rsidP="00000000" w:rsidRDefault="00000000" w:rsidRPr="00000000" w14:paraId="00000025">
      <w:pPr>
        <w:shd w:fill="ffffff" w:val="clear"/>
        <w:spacing w:after="0" w:line="360" w:lineRule="auto"/>
        <w:ind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The settings method seeks to provide encouraging surroundings that promote better habits. Increasing the availability of healthy food alternatives in businesses and schools, putting community revitalisation initiatives into action, and offering accessible recreational areas are a few examples. These programs demonstrate how social and physical environments influence health-related behaviour (Baric, 1993).</w:t>
      </w:r>
    </w:p>
    <w:p w:rsidR="00000000" w:rsidDel="00000000" w:rsidP="00000000" w:rsidRDefault="00000000" w:rsidRPr="00000000" w14:paraId="00000026">
      <w:pPr>
        <w:shd w:fill="ffffff" w:val="clear"/>
        <w:spacing w:after="0" w:line="360" w:lineRule="auto"/>
        <w:ind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The behavioural approach places a strong focus on changing one's lifestyle, which includes quitting smoking, managing weight, and increasing physical exercise. This approach is based on psychological ideas, such as Nudge Theory, which uses small contextual adjustments to persuade people to make better choices. For instance, putting calorie information on menus or putting healthier items at eye level in supermarkets encourages people to make educated decisions without limiting their freedom (World Health Organisation, 2008). When combined, these health promotion strategies show how crucial it is to combine personal accountability with more extensive systemic changes in order to lessen the burden of Type 2 diabetes.</w:t>
      </w:r>
    </w:p>
    <w:p w:rsidR="00000000" w:rsidDel="00000000" w:rsidP="00000000" w:rsidRDefault="00000000" w:rsidRPr="00000000" w14:paraId="00000027">
      <w:pPr>
        <w:shd w:fill="ffffff" w:val="clear"/>
        <w:spacing w:after="195" w:before="195" w:line="360" w:lineRule="auto"/>
        <w:ind w:firstLine="0"/>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Policies and Guidelines</w:t>
      </w:r>
    </w:p>
    <w:p w:rsidR="00000000" w:rsidDel="00000000" w:rsidP="00000000" w:rsidRDefault="00000000" w:rsidRPr="00000000" w14:paraId="00000028">
      <w:pPr>
        <w:spacing w:after="0" w:line="360" w:lineRule="auto"/>
        <w:ind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The Soft Drinks Industry Levy, calorie and sugar reduction initiatives, and public health campaigns promoting physical activity and a healthy diet are examples of national policy initiatives (Public Health England, 2018). These regulations are intended to lower obesity rates, which are a major contributor to Type 2 diabetes. For instance, the sugar reduction program pushes producers to lower the amount of sugar in common goods like cookies, yoghurt, and cereals. The government has also implemented measures to promote physical activity, such as community sports programs, school-based physical activity programs, and the "Everybody Active Every Day" framework, which seeks to promote active travel. The significance of health education and behaviour modification therapies is also emphasised in NICE guidelines. These include organised educational initiatives that enable people to manage their long-term health, comprehend their illness, and make educated lifestyle decisions (NICE, 2018; Doris &amp; Doherty, 2008).</w:t>
      </w:r>
    </w:p>
    <w:p w:rsidR="00000000" w:rsidDel="00000000" w:rsidP="00000000" w:rsidRDefault="00000000" w:rsidRPr="00000000" w14:paraId="00000029">
      <w:pPr>
        <w:spacing w:after="0" w:line="360" w:lineRule="auto"/>
        <w:ind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A">
      <w:pPr>
        <w:shd w:fill="ffffff" w:val="clear"/>
        <w:spacing w:after="0" w:line="360" w:lineRule="auto"/>
        <w:ind w:firstLine="0"/>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Medical Manage</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2B">
      <w:pPr>
        <w:spacing w:after="0" w:line="360" w:lineRule="auto"/>
        <w:ind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Some people with Type 2 diabetes need to take drugs such as SGLT-2 inhibitors, metformin, or sulfonylureas. These drugs lower the chance of long-term problems and aid in blood glucose management. Since cardiovascular disease is a significant consequence of diabetes, many patients also require drugs to control blood pressure and cholesterol. Treatments for kidney disease, nerve discomfort, vision difficulties, or foot issues may be necessary. To avoid major health problems like blindness, amputation, or renal failure, early detection and routine screening are crucial. Effective long-term treatment requires multidisciplinary care, which frequently involves diabetes nurses, general practitioners, nutritionists, podiatrists, and ophthalmologists.</w:t>
      </w:r>
    </w:p>
    <w:p w:rsidR="00000000" w:rsidDel="00000000" w:rsidP="00000000" w:rsidRDefault="00000000" w:rsidRPr="00000000" w14:paraId="0000002C">
      <w:pPr>
        <w:shd w:fill="ffffff" w:val="clear"/>
        <w:spacing w:after="0" w:line="360" w:lineRule="auto"/>
        <w:ind w:firstLine="0"/>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WHO Response</w:t>
      </w:r>
      <w:r w:rsidDel="00000000" w:rsidR="00000000" w:rsidRPr="00000000">
        <w:rPr>
          <w:rtl w:val="0"/>
        </w:rPr>
      </w:r>
    </w:p>
    <w:p w:rsidR="00000000" w:rsidDel="00000000" w:rsidP="00000000" w:rsidRDefault="00000000" w:rsidRPr="00000000" w14:paraId="0000002D">
      <w:pPr>
        <w:spacing w:after="0" w:line="360" w:lineRule="auto"/>
        <w:ind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Certain individuals with Type 2 diabetes need to take drugs such as SGLT-2 inhibitors, metformin, or sulfonylureas. These drugs lower the chance of long-term problems and aid in blood glucose management. Since cardiovascular disease is a significant consequence of diabetes, many patients also require drugs to control blood pressure and cholesterol [2024].</w:t>
      </w:r>
    </w:p>
    <w:p w:rsidR="00000000" w:rsidDel="00000000" w:rsidP="00000000" w:rsidRDefault="00000000" w:rsidRPr="00000000" w14:paraId="0000002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360" w:lineRule="auto"/>
        <w:ind w:left="720" w:right="0" w:hanging="720"/>
        <w:jc w:val="left"/>
        <w:rPr>
          <w:rFonts w:ascii="Arial" w:cs="Arial" w:eastAsia="Arial" w:hAnsi="Arial"/>
          <w:i w:val="0"/>
          <w:iCs w:val="0"/>
          <w:smallCaps w:val="0"/>
          <w:strike w:val="0"/>
          <w:sz w:val="22"/>
          <w:szCs w:val="22"/>
          <w:shd w:fill="auto" w:val="clear"/>
          <w:vertAlign w:val="baseline"/>
        </w:rPr>
      </w:pPr>
      <w:r w:rsidDel="00000000" w:rsidR="00000000" w:rsidRPr="00000000">
        <w:rPr>
          <w:rFonts w:ascii="Arial" w:cs="Arial" w:eastAsia="Arial" w:hAnsi="Arial"/>
          <w:sz w:val="22"/>
          <w:szCs w:val="22"/>
          <w:rtl w:val="0"/>
        </w:rPr>
        <w:t xml:space="preserve">WHO seeks to promote and assist the implementation of practical strategies for the monitoring, prevention, and management of diabetes and its complications, especially in low- and middle-income nations. </w:t>
      </w:r>
    </w:p>
    <w:p w:rsidR="00000000" w:rsidDel="00000000" w:rsidP="00000000" w:rsidRDefault="00000000" w:rsidRPr="00000000" w14:paraId="0000002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360" w:lineRule="auto"/>
        <w:ind w:left="720" w:right="0" w:hanging="720"/>
        <w:jc w:val="left"/>
        <w:rPr>
          <w:rFonts w:ascii="Arial" w:cs="Arial" w:eastAsia="Arial" w:hAnsi="Arial"/>
          <w:i w:val="0"/>
          <w:iCs w:val="0"/>
          <w:smallCaps w:val="0"/>
          <w:strike w:val="0"/>
          <w:sz w:val="22"/>
          <w:szCs w:val="22"/>
          <w:shd w:fill="auto" w:val="clear"/>
          <w:vertAlign w:val="baseline"/>
        </w:rPr>
      </w:pPr>
      <w:r w:rsidDel="00000000" w:rsidR="00000000" w:rsidRPr="00000000">
        <w:rPr>
          <w:rFonts w:ascii="Arial" w:cs="Arial" w:eastAsia="Arial" w:hAnsi="Arial"/>
          <w:sz w:val="22"/>
          <w:szCs w:val="22"/>
          <w:rtl w:val="0"/>
        </w:rPr>
        <w:t xml:space="preserve">To achieve this, the World Health Organisation (WHO) offers scientific recommendations for the prevention of major noncommunicable diseases, such as diabetes; creates standards and norms for the diagnosis and treatment of diabetes; raises awareness of the global diabetes epidemic by commemorating World Diabetes Day on November 14; and monitors diabetes and its risk factors.</w:t>
      </w:r>
      <w:r w:rsidDel="00000000" w:rsidR="00000000" w:rsidRPr="00000000">
        <w:rPr>
          <w:rtl w:val="0"/>
        </w:rPr>
      </w:r>
    </w:p>
    <w:p w:rsidR="00000000" w:rsidDel="00000000" w:rsidP="00000000" w:rsidRDefault="00000000" w:rsidRPr="00000000" w14:paraId="00000030">
      <w:pPr>
        <w:shd w:fill="ffffff" w:val="clear"/>
        <w:spacing w:after="240" w:before="240" w:line="360" w:lineRule="auto"/>
        <w:ind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The World Health Organisation (WHO) established the Global Diabetes Compact in April 2021, intending to promote long-term advancements in diabetes care and prevention, with a focus on assisting low- and middle-income nations [World Health Organisation 2024].</w:t>
      </w:r>
    </w:p>
    <w:p w:rsidR="00000000" w:rsidDel="00000000" w:rsidP="00000000" w:rsidRDefault="00000000" w:rsidRPr="00000000" w14:paraId="00000031">
      <w:pPr>
        <w:spacing w:after="0" w:line="360" w:lineRule="auto"/>
        <w:ind w:firstLine="0"/>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Prevention:</w:t>
      </w:r>
    </w:p>
    <w:p w:rsidR="00000000" w:rsidDel="00000000" w:rsidP="00000000" w:rsidRDefault="00000000" w:rsidRPr="00000000" w14:paraId="00000032">
      <w:pPr>
        <w:spacing w:after="0" w:line="360" w:lineRule="auto"/>
        <w:ind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Most cases of type 2 diabetes may be avoided. There are almost two million high-risk individuals in England, and the illness greatly raises the chance of catastrophic COVID-19 results, renal disease, heart attack, stroke, and blindness. Changes in lifestyle, better nutrition, and more exercise are the main goals of prevention initiatives. Since treatment for Type 2 diabetes pays for around 10% of the yearly healthcare expenditure, preventing the disease also lessens the burden on the NHS.</w:t>
      </w:r>
    </w:p>
    <w:p w:rsidR="00000000" w:rsidDel="00000000" w:rsidP="00000000" w:rsidRDefault="00000000" w:rsidRPr="00000000" w14:paraId="00000033">
      <w:pPr>
        <w:spacing w:after="0" w:line="360" w:lineRule="auto"/>
        <w:ind w:firstLine="0"/>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Healthier You: NHS Diabetes Prevention Programme</w:t>
      </w:r>
    </w:p>
    <w:p w:rsidR="00000000" w:rsidDel="00000000" w:rsidP="00000000" w:rsidRDefault="00000000" w:rsidRPr="00000000" w14:paraId="00000034">
      <w:pPr>
        <w:spacing w:after="0" w:line="360" w:lineRule="auto"/>
        <w:ind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This program identifies high-risk individuals and provides a nine-month in-person or online lifestyle modification intervention. Support centres on weight control, better nutrition, and more exercise—all of which have been shown to lower the risk of diabetes. Early assessments reveal favourable results, such as participants' lower HbA1c readings and better health practices.</w:t>
      </w:r>
    </w:p>
    <w:p w:rsidR="00000000" w:rsidDel="00000000" w:rsidP="00000000" w:rsidRDefault="00000000" w:rsidRPr="00000000" w14:paraId="00000035">
      <w:pPr>
        <w:spacing w:after="0" w:line="360" w:lineRule="auto"/>
        <w:ind w:firstLine="0"/>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Conclusion</w:t>
      </w:r>
    </w:p>
    <w:p w:rsidR="00000000" w:rsidDel="00000000" w:rsidP="00000000" w:rsidRDefault="00000000" w:rsidRPr="00000000" w14:paraId="00000036">
      <w:pPr>
        <w:shd w:fill="ffffff" w:val="clear"/>
        <w:spacing w:after="0" w:line="360" w:lineRule="auto"/>
        <w:ind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In the UK, type 2 diabetes continues to be one of the biggest public health issues because of its increasing prevalence, complicated long-term effects, and high financial expenses. The data show that therapy alone is insufficient for successful prevention and management. In order to address the underlying causes of the disease, broader strategies such as education, community assistance, and national policy are essential. Sustainable change necessitates both human activity and supporting circumstances, as demonstrated by health promotion techniques like the structural, behavioural, and settings models. Significant disparities still exist despite the advancements. Individuals from ethnic minority groups and underprivileged neighbourhoods continue to experience worse outcomes and more hazards. Policymakers, medical professionals, and public health agencies should continue to prioritise addressing these inequities. This entails establishing culturally relevant education and support programs, encouraging active settings, and expanding access to nutritious food.</w:t>
      </w:r>
      <w:r w:rsidDel="00000000" w:rsidR="00000000" w:rsidRPr="00000000">
        <w:rPr>
          <w:rtl w:val="0"/>
        </w:rPr>
      </w:r>
    </w:p>
    <w:p w:rsidR="00000000" w:rsidDel="00000000" w:rsidP="00000000" w:rsidRDefault="00000000" w:rsidRPr="00000000" w14:paraId="00000037">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8">
      <w:pPr>
        <w:spacing w:line="36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9">
      <w:pPr>
        <w:spacing w:line="36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A">
      <w:pPr>
        <w:spacing w:line="36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B">
      <w:pPr>
        <w:spacing w:line="36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C">
      <w:pPr>
        <w:spacing w:line="36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D">
      <w:pPr>
        <w:spacing w:line="360" w:lineRule="auto"/>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E">
      <w:pPr>
        <w:spacing w:line="360" w:lineRule="auto"/>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F">
      <w:pPr>
        <w:spacing w:line="360" w:lineRule="auto"/>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0">
      <w:pPr>
        <w:spacing w:line="360" w:lineRule="auto"/>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1">
      <w:pPr>
        <w:spacing w:line="360" w:lineRule="auto"/>
        <w:jc w:val="center"/>
        <w:rPr>
          <w:rFonts w:ascii="Arial" w:cs="Arial" w:eastAsia="Arial" w:hAnsi="Arial"/>
          <w:b w:val="1"/>
          <w:bCs w:val="1"/>
          <w:color w:val="222222"/>
          <w:sz w:val="22"/>
          <w:szCs w:val="22"/>
        </w:rPr>
      </w:pPr>
      <w:r w:rsidDel="00000000" w:rsidR="00000000" w:rsidRPr="00000000">
        <w:rPr>
          <w:rFonts w:ascii="Arial" w:cs="Arial" w:eastAsia="Arial" w:hAnsi="Arial"/>
          <w:b w:val="1"/>
          <w:bCs w:val="1"/>
          <w:sz w:val="22"/>
          <w:szCs w:val="22"/>
          <w:rtl w:val="0"/>
        </w:rPr>
        <w:t xml:space="preserve">Reference</w:t>
      </w:r>
      <w:r w:rsidDel="00000000" w:rsidR="00000000" w:rsidRPr="00000000">
        <w:rPr>
          <w:rFonts w:ascii="Arial" w:cs="Arial" w:eastAsia="Arial" w:hAnsi="Arial"/>
          <w:b w:val="1"/>
          <w:bCs w:val="1"/>
          <w:color w:val="222222"/>
          <w:sz w:val="22"/>
          <w:szCs w:val="22"/>
          <w:rtl w:val="0"/>
        </w:rPr>
        <w:t xml:space="preserve"> </w:t>
      </w:r>
    </w:p>
    <w:p w:rsidR="00000000" w:rsidDel="00000000" w:rsidP="00000000" w:rsidRDefault="00000000" w:rsidRPr="00000000" w14:paraId="00000042">
      <w:pPr>
        <w:spacing w:after="0" w:line="36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Baric, L. (1993) ‘The Settings Approach—Implications for Policy and Strategy’, </w:t>
      </w:r>
      <w:r w:rsidDel="00000000" w:rsidR="00000000" w:rsidRPr="00000000">
        <w:rPr>
          <w:rFonts w:ascii="Arial" w:cs="Arial" w:eastAsia="Arial" w:hAnsi="Arial"/>
          <w:i w:val="1"/>
          <w:iCs w:val="1"/>
          <w:color w:val="000000"/>
          <w:sz w:val="22"/>
          <w:szCs w:val="22"/>
          <w:rtl w:val="0"/>
        </w:rPr>
        <w:t xml:space="preserve">Journal of the Institute of Health Education</w:t>
      </w:r>
      <w:r w:rsidDel="00000000" w:rsidR="00000000" w:rsidRPr="00000000">
        <w:rPr>
          <w:rFonts w:ascii="Arial" w:cs="Arial" w:eastAsia="Arial" w:hAnsi="Arial"/>
          <w:color w:val="000000"/>
          <w:sz w:val="22"/>
          <w:szCs w:val="22"/>
          <w:rtl w:val="0"/>
        </w:rPr>
        <w:t xml:space="preserve">, 31(1), pp. 17–24. Available at: </w:t>
      </w:r>
      <w:hyperlink r:id="rId7">
        <w:r w:rsidDel="00000000" w:rsidR="00000000" w:rsidRPr="00000000">
          <w:rPr>
            <w:rFonts w:ascii="Arial" w:cs="Arial" w:eastAsia="Arial" w:hAnsi="Arial"/>
            <w:color w:val="467886"/>
            <w:sz w:val="22"/>
            <w:szCs w:val="22"/>
            <w:u w:val="single"/>
            <w:rtl w:val="0"/>
          </w:rPr>
          <w:t xml:space="preserve">https://doi.org/10.1080/03073289.1993.10805782.[Accessed</w:t>
        </w:r>
      </w:hyperlink>
      <w:r w:rsidDel="00000000" w:rsidR="00000000" w:rsidRPr="00000000">
        <w:rPr>
          <w:rFonts w:ascii="Arial" w:cs="Arial" w:eastAsia="Arial" w:hAnsi="Arial"/>
          <w:color w:val="000000"/>
          <w:sz w:val="22"/>
          <w:szCs w:val="22"/>
          <w:rtl w:val="0"/>
        </w:rPr>
        <w:t xml:space="preserve"> 11,2025]</w:t>
      </w:r>
    </w:p>
    <w:p w:rsidR="00000000" w:rsidDel="00000000" w:rsidP="00000000" w:rsidRDefault="00000000" w:rsidRPr="00000000" w14:paraId="00000043">
      <w:pPr>
        <w:spacing w:after="240" w:before="240" w:line="36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Diabetes UK (2023) </w:t>
      </w:r>
      <w:r w:rsidDel="00000000" w:rsidR="00000000" w:rsidRPr="00000000">
        <w:rPr>
          <w:rFonts w:ascii="Arial" w:cs="Arial" w:eastAsia="Arial" w:hAnsi="Arial"/>
          <w:i w:val="1"/>
          <w:iCs w:val="1"/>
          <w:color w:val="000000"/>
          <w:sz w:val="22"/>
          <w:szCs w:val="22"/>
          <w:rtl w:val="0"/>
        </w:rPr>
        <w:t xml:space="preserve">Diabetes UK - Know diabetes. Fight diabetes. | Diabetes UK</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i w:val="1"/>
          <w:iCs w:val="1"/>
          <w:color w:val="000000"/>
          <w:sz w:val="22"/>
          <w:szCs w:val="22"/>
          <w:rtl w:val="0"/>
        </w:rPr>
        <w:t xml:space="preserve">Diabetes.org.uk</w:t>
      </w:r>
      <w:r w:rsidDel="00000000" w:rsidR="00000000" w:rsidRPr="00000000">
        <w:rPr>
          <w:rFonts w:ascii="Arial" w:cs="Arial" w:eastAsia="Arial" w:hAnsi="Arial"/>
          <w:color w:val="000000"/>
          <w:sz w:val="22"/>
          <w:szCs w:val="22"/>
          <w:rtl w:val="0"/>
        </w:rPr>
        <w:t xml:space="preserve">. Available at: </w:t>
      </w:r>
      <w:hyperlink r:id="rId8">
        <w:r w:rsidDel="00000000" w:rsidR="00000000" w:rsidRPr="00000000">
          <w:rPr>
            <w:rFonts w:ascii="Arial" w:cs="Arial" w:eastAsia="Arial" w:hAnsi="Arial"/>
            <w:color w:val="467886"/>
            <w:sz w:val="22"/>
            <w:szCs w:val="22"/>
            <w:u w:val="single"/>
            <w:rtl w:val="0"/>
          </w:rPr>
          <w:t xml:space="preserve">https://www.diabetes.org.uk</w:t>
        </w:r>
      </w:hyperlink>
      <w:r w:rsidDel="00000000" w:rsidR="00000000" w:rsidRPr="00000000">
        <w:rPr>
          <w:rFonts w:ascii="Arial" w:cs="Arial" w:eastAsia="Arial" w:hAnsi="Arial"/>
          <w:color w:val="000000"/>
          <w:sz w:val="22"/>
          <w:szCs w:val="22"/>
          <w:rtl w:val="0"/>
        </w:rPr>
        <w:t xml:space="preserve">.</w:t>
      </w:r>
    </w:p>
    <w:p w:rsidR="00000000" w:rsidDel="00000000" w:rsidP="00000000" w:rsidRDefault="00000000" w:rsidRPr="00000000" w14:paraId="00000044">
      <w:pPr>
        <w:spacing w:after="240" w:before="240" w:line="36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‌Public Health England (2018) </w:t>
      </w:r>
      <w:r w:rsidDel="00000000" w:rsidR="00000000" w:rsidRPr="00000000">
        <w:rPr>
          <w:rFonts w:ascii="Arial" w:cs="Arial" w:eastAsia="Arial" w:hAnsi="Arial"/>
          <w:i w:val="1"/>
          <w:iCs w:val="1"/>
          <w:color w:val="000000"/>
          <w:sz w:val="22"/>
          <w:szCs w:val="22"/>
          <w:rtl w:val="0"/>
        </w:rPr>
        <w:t xml:space="preserve">Health matters: Preventing Type 2 Diabetes</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i w:val="1"/>
          <w:iCs w:val="1"/>
          <w:color w:val="000000"/>
          <w:sz w:val="22"/>
          <w:szCs w:val="22"/>
          <w:rtl w:val="0"/>
        </w:rPr>
        <w:t xml:space="preserve">GOV.UK</w:t>
      </w:r>
      <w:r w:rsidDel="00000000" w:rsidR="00000000" w:rsidRPr="00000000">
        <w:rPr>
          <w:rFonts w:ascii="Arial" w:cs="Arial" w:eastAsia="Arial" w:hAnsi="Arial"/>
          <w:color w:val="000000"/>
          <w:sz w:val="22"/>
          <w:szCs w:val="22"/>
          <w:rtl w:val="0"/>
        </w:rPr>
        <w:t xml:space="preserve">. Public Health England. Available at: </w:t>
      </w:r>
      <w:hyperlink r:id="rId9">
        <w:r w:rsidDel="00000000" w:rsidR="00000000" w:rsidRPr="00000000">
          <w:rPr>
            <w:rFonts w:ascii="Arial" w:cs="Arial" w:eastAsia="Arial" w:hAnsi="Arial"/>
            <w:color w:val="467886"/>
            <w:sz w:val="22"/>
            <w:szCs w:val="22"/>
            <w:u w:val="single"/>
            <w:rtl w:val="0"/>
          </w:rPr>
          <w:t xml:space="preserve">https://www.gov.uk/government/publications/health-matters-preventing-type-2-diabetes/health-matters-preventing-type-2-diabetes</w:t>
        </w:r>
      </w:hyperlink>
      <w:r w:rsidDel="00000000" w:rsidR="00000000" w:rsidRPr="00000000">
        <w:rPr>
          <w:rFonts w:ascii="Arial" w:cs="Arial" w:eastAsia="Arial" w:hAnsi="Arial"/>
          <w:color w:val="000000"/>
          <w:sz w:val="22"/>
          <w:szCs w:val="22"/>
          <w:rtl w:val="0"/>
        </w:rPr>
        <w:t xml:space="preserve"> [ Accessed 11,2025]</w:t>
      </w:r>
    </w:p>
    <w:p w:rsidR="00000000" w:rsidDel="00000000" w:rsidP="00000000" w:rsidRDefault="00000000" w:rsidRPr="00000000" w14:paraId="00000045">
      <w:pPr>
        <w:spacing w:after="0" w:before="240" w:line="360" w:lineRule="auto"/>
        <w:rPr>
          <w:rFonts w:ascii="Arial" w:cs="Arial" w:eastAsia="Arial" w:hAnsi="Arial"/>
          <w:color w:val="222222"/>
          <w:sz w:val="22"/>
          <w:szCs w:val="22"/>
        </w:rPr>
      </w:pPr>
      <w:r w:rsidDel="00000000" w:rsidR="00000000" w:rsidRPr="00000000">
        <w:rPr>
          <w:rFonts w:ascii="Arial" w:cs="Arial" w:eastAsia="Arial" w:hAnsi="Arial"/>
          <w:color w:val="000000"/>
          <w:sz w:val="22"/>
          <w:szCs w:val="22"/>
          <w:rtl w:val="0"/>
        </w:rPr>
        <w:t xml:space="preserve">NHS England (2023) </w:t>
      </w:r>
      <w:r w:rsidDel="00000000" w:rsidR="00000000" w:rsidRPr="00000000">
        <w:rPr>
          <w:rFonts w:ascii="Arial" w:cs="Arial" w:eastAsia="Arial" w:hAnsi="Arial"/>
          <w:i w:val="1"/>
          <w:iCs w:val="1"/>
          <w:color w:val="000000"/>
          <w:sz w:val="22"/>
          <w:szCs w:val="22"/>
          <w:rtl w:val="0"/>
        </w:rPr>
        <w:t xml:space="preserve">NHS Diabetes Prevention Programme (NHS DPP)</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i w:val="1"/>
          <w:iCs w:val="1"/>
          <w:color w:val="000000"/>
          <w:sz w:val="22"/>
          <w:szCs w:val="22"/>
          <w:rtl w:val="0"/>
        </w:rPr>
        <w:t xml:space="preserve">NHS England</w:t>
      </w:r>
      <w:r w:rsidDel="00000000" w:rsidR="00000000" w:rsidRPr="00000000">
        <w:rPr>
          <w:rFonts w:ascii="Arial" w:cs="Arial" w:eastAsia="Arial" w:hAnsi="Arial"/>
          <w:color w:val="000000"/>
          <w:sz w:val="22"/>
          <w:szCs w:val="22"/>
          <w:rtl w:val="0"/>
        </w:rPr>
        <w:t xml:space="preserve">. NHS England. Available at: </w:t>
      </w:r>
      <w:hyperlink r:id="rId10">
        <w:r w:rsidDel="00000000" w:rsidR="00000000" w:rsidRPr="00000000">
          <w:rPr>
            <w:rFonts w:ascii="Arial" w:cs="Arial" w:eastAsia="Arial" w:hAnsi="Arial"/>
            <w:color w:val="467886"/>
            <w:sz w:val="22"/>
            <w:szCs w:val="22"/>
            <w:u w:val="single"/>
            <w:rtl w:val="0"/>
          </w:rPr>
          <w:t xml:space="preserve">https://www.england.nhs.uk/diabetes/diabetes-prevention/</w:t>
        </w:r>
      </w:hyperlink>
      <w:r w:rsidDel="00000000" w:rsidR="00000000" w:rsidRPr="00000000">
        <w:rPr>
          <w:rFonts w:ascii="Arial" w:cs="Arial" w:eastAsia="Arial" w:hAnsi="Arial"/>
          <w:color w:val="000000"/>
          <w:sz w:val="22"/>
          <w:szCs w:val="22"/>
          <w:rtl w:val="0"/>
        </w:rPr>
        <w:t xml:space="preserve">. Accessed 12,2025]</w:t>
      </w:r>
      <w:r w:rsidDel="00000000" w:rsidR="00000000" w:rsidRPr="00000000">
        <w:rPr>
          <w:rtl w:val="0"/>
        </w:rPr>
      </w:r>
    </w:p>
    <w:p w:rsidR="00000000" w:rsidDel="00000000" w:rsidP="00000000" w:rsidRDefault="00000000" w:rsidRPr="00000000" w14:paraId="00000046">
      <w:pPr>
        <w:spacing w:after="0" w:before="240" w:line="360" w:lineRule="auto"/>
        <w:rPr>
          <w:rFonts w:ascii="Arial" w:cs="Arial" w:eastAsia="Arial" w:hAnsi="Arial"/>
          <w:color w:val="222222"/>
          <w:sz w:val="22"/>
          <w:szCs w:val="22"/>
        </w:rPr>
      </w:pPr>
      <w:r w:rsidDel="00000000" w:rsidR="00000000" w:rsidRPr="00000000">
        <w:rPr>
          <w:rFonts w:ascii="Arial" w:cs="Arial" w:eastAsia="Arial" w:hAnsi="Arial"/>
          <w:color w:val="000000"/>
          <w:sz w:val="22"/>
          <w:szCs w:val="22"/>
          <w:rtl w:val="0"/>
        </w:rPr>
        <w:t xml:space="preserve">World Health Organization (2024) </w:t>
      </w:r>
      <w:r w:rsidDel="00000000" w:rsidR="00000000" w:rsidRPr="00000000">
        <w:rPr>
          <w:rFonts w:ascii="Arial" w:cs="Arial" w:eastAsia="Arial" w:hAnsi="Arial"/>
          <w:i w:val="1"/>
          <w:iCs w:val="1"/>
          <w:color w:val="000000"/>
          <w:sz w:val="22"/>
          <w:szCs w:val="22"/>
          <w:rtl w:val="0"/>
        </w:rPr>
        <w:t xml:space="preserve">Diabetes</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i w:val="1"/>
          <w:iCs w:val="1"/>
          <w:color w:val="000000"/>
          <w:sz w:val="22"/>
          <w:szCs w:val="22"/>
          <w:rtl w:val="0"/>
        </w:rPr>
        <w:t xml:space="preserve">World Health Organization</w:t>
      </w:r>
      <w:r w:rsidDel="00000000" w:rsidR="00000000" w:rsidRPr="00000000">
        <w:rPr>
          <w:rFonts w:ascii="Arial" w:cs="Arial" w:eastAsia="Arial" w:hAnsi="Arial"/>
          <w:color w:val="000000"/>
          <w:sz w:val="22"/>
          <w:szCs w:val="22"/>
          <w:rtl w:val="0"/>
        </w:rPr>
        <w:t xml:space="preserve">. Available at: </w:t>
      </w:r>
      <w:hyperlink r:id="rId11">
        <w:r w:rsidDel="00000000" w:rsidR="00000000" w:rsidRPr="00000000">
          <w:rPr>
            <w:rFonts w:ascii="Arial" w:cs="Arial" w:eastAsia="Arial" w:hAnsi="Arial"/>
            <w:color w:val="467886"/>
            <w:sz w:val="22"/>
            <w:szCs w:val="22"/>
            <w:u w:val="single"/>
            <w:rtl w:val="0"/>
          </w:rPr>
          <w:t xml:space="preserve">https://www.who.int/news-room/fact-sheets/detail/diabetes</w:t>
        </w:r>
      </w:hyperlink>
      <w:r w:rsidDel="00000000" w:rsidR="00000000" w:rsidRPr="00000000">
        <w:rPr>
          <w:rFonts w:ascii="Arial" w:cs="Arial" w:eastAsia="Arial" w:hAnsi="Arial"/>
          <w:color w:val="000000"/>
          <w:sz w:val="22"/>
          <w:szCs w:val="22"/>
          <w:rtl w:val="0"/>
        </w:rPr>
        <w:t xml:space="preserve">. [Accessed 11,2025]</w:t>
      </w:r>
      <w:r w:rsidDel="00000000" w:rsidR="00000000" w:rsidRPr="00000000">
        <w:rPr>
          <w:rtl w:val="0"/>
        </w:rPr>
      </w:r>
    </w:p>
    <w:p w:rsidR="00000000" w:rsidDel="00000000" w:rsidP="00000000" w:rsidRDefault="00000000" w:rsidRPr="00000000" w14:paraId="00000047">
      <w:pPr>
        <w:spacing w:after="0" w:before="240" w:line="360" w:lineRule="auto"/>
        <w:rPr>
          <w:rFonts w:ascii="Arial" w:cs="Arial" w:eastAsia="Arial" w:hAnsi="Arial"/>
          <w:color w:val="000000"/>
          <w:sz w:val="22"/>
          <w:szCs w:val="22"/>
        </w:rPr>
      </w:pPr>
      <w:r w:rsidDel="00000000" w:rsidR="00000000" w:rsidRPr="00000000">
        <w:rPr>
          <w:rFonts w:ascii="Arial" w:cs="Arial" w:eastAsia="Arial" w:hAnsi="Arial"/>
          <w:color w:val="222222"/>
          <w:sz w:val="22"/>
          <w:szCs w:val="22"/>
          <w:rtl w:val="0"/>
        </w:rPr>
        <w:t xml:space="preserve"> </w:t>
      </w:r>
      <w:r w:rsidDel="00000000" w:rsidR="00000000" w:rsidRPr="00000000">
        <w:rPr>
          <w:rFonts w:ascii="Arial" w:cs="Arial" w:eastAsia="Arial" w:hAnsi="Arial"/>
          <w:color w:val="000000"/>
          <w:sz w:val="22"/>
          <w:szCs w:val="22"/>
          <w:rtl w:val="0"/>
        </w:rPr>
        <w:t xml:space="preserve">NICE (2021) </w:t>
      </w:r>
      <w:r w:rsidDel="00000000" w:rsidR="00000000" w:rsidRPr="00000000">
        <w:rPr>
          <w:rFonts w:ascii="Arial" w:cs="Arial" w:eastAsia="Arial" w:hAnsi="Arial"/>
          <w:i w:val="1"/>
          <w:iCs w:val="1"/>
          <w:color w:val="000000"/>
          <w:sz w:val="22"/>
          <w:szCs w:val="22"/>
          <w:rtl w:val="0"/>
        </w:rPr>
        <w:t xml:space="preserve">NICE | the National Institute for Health and Care Excellence</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i w:val="1"/>
          <w:iCs w:val="1"/>
          <w:color w:val="000000"/>
          <w:sz w:val="22"/>
          <w:szCs w:val="22"/>
          <w:rtl w:val="0"/>
        </w:rPr>
        <w:t xml:space="preserve">NICE</w:t>
      </w:r>
      <w:r w:rsidDel="00000000" w:rsidR="00000000" w:rsidRPr="00000000">
        <w:rPr>
          <w:rFonts w:ascii="Arial" w:cs="Arial" w:eastAsia="Arial" w:hAnsi="Arial"/>
          <w:color w:val="000000"/>
          <w:sz w:val="22"/>
          <w:szCs w:val="22"/>
          <w:rtl w:val="0"/>
        </w:rPr>
        <w:t xml:space="preserve">. NICE. Available at: </w:t>
      </w:r>
      <w:hyperlink r:id="rId12">
        <w:r w:rsidDel="00000000" w:rsidR="00000000" w:rsidRPr="00000000">
          <w:rPr>
            <w:rFonts w:ascii="Arial" w:cs="Arial" w:eastAsia="Arial" w:hAnsi="Arial"/>
            <w:color w:val="467886"/>
            <w:sz w:val="22"/>
            <w:szCs w:val="22"/>
            <w:u w:val="single"/>
            <w:rtl w:val="0"/>
          </w:rPr>
          <w:t xml:space="preserve">https://www.nice.org.uk</w:t>
        </w:r>
      </w:hyperlink>
      <w:r w:rsidDel="00000000" w:rsidR="00000000" w:rsidRPr="00000000">
        <w:rPr>
          <w:rFonts w:ascii="Arial" w:cs="Arial" w:eastAsia="Arial" w:hAnsi="Arial"/>
          <w:color w:val="000000"/>
          <w:sz w:val="22"/>
          <w:szCs w:val="22"/>
          <w:rtl w:val="0"/>
        </w:rPr>
        <w:t xml:space="preserve">[ Accessed 12,2025]</w:t>
      </w:r>
    </w:p>
    <w:p w:rsidR="00000000" w:rsidDel="00000000" w:rsidP="00000000" w:rsidRDefault="00000000" w:rsidRPr="00000000" w14:paraId="00000048">
      <w:pPr>
        <w:spacing w:after="0" w:line="360"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49">
      <w:pPr>
        <w:spacing w:after="0" w:line="360" w:lineRule="auto"/>
        <w:rPr>
          <w:rFonts w:ascii="Arial" w:cs="Arial" w:eastAsia="Arial" w:hAnsi="Arial"/>
          <w:color w:val="000000"/>
          <w:sz w:val="22"/>
          <w:szCs w:val="22"/>
        </w:rPr>
      </w:pPr>
      <w:r w:rsidDel="00000000" w:rsidR="00000000" w:rsidRPr="00000000">
        <w:rPr>
          <w:rFonts w:ascii="Arial" w:cs="Arial" w:eastAsia="Arial" w:hAnsi="Arial"/>
          <w:color w:val="222222"/>
          <w:sz w:val="22"/>
          <w:szCs w:val="22"/>
          <w:rtl w:val="0"/>
        </w:rPr>
        <w:t xml:space="preserve">Public Health England (2015) Sugar reduction: The evidence for action. [online].  </w:t>
      </w:r>
      <w:r w:rsidDel="00000000" w:rsidR="00000000" w:rsidRPr="00000000">
        <w:rPr>
          <w:rFonts w:ascii="Arial" w:cs="Arial" w:eastAsia="Arial" w:hAnsi="Arial"/>
          <w:i w:val="1"/>
          <w:iCs w:val="1"/>
          <w:color w:val="000000"/>
          <w:sz w:val="22"/>
          <w:szCs w:val="22"/>
          <w:rtl w:val="0"/>
        </w:rPr>
        <w:t xml:space="preserve"> GOV.UK</w:t>
      </w:r>
      <w:r w:rsidDel="00000000" w:rsidR="00000000" w:rsidRPr="00000000">
        <w:rPr>
          <w:rFonts w:ascii="Arial" w:cs="Arial" w:eastAsia="Arial" w:hAnsi="Arial"/>
          <w:color w:val="000000"/>
          <w:sz w:val="22"/>
          <w:szCs w:val="22"/>
          <w:rtl w:val="0"/>
        </w:rPr>
        <w:t xml:space="preserve"> (2020) </w:t>
      </w:r>
      <w:hyperlink r:id="rId13">
        <w:r w:rsidDel="00000000" w:rsidR="00000000" w:rsidRPr="00000000">
          <w:rPr>
            <w:rFonts w:ascii="Arial" w:cs="Arial" w:eastAsia="Arial" w:hAnsi="Arial"/>
            <w:i w:val="1"/>
            <w:iCs w:val="1"/>
            <w:color w:val="467886"/>
            <w:sz w:val="22"/>
            <w:szCs w:val="22"/>
            <w:u w:val="single"/>
            <w:rtl w:val="0"/>
          </w:rPr>
          <w:t xml:space="preserve">Www.gov.uk</w:t>
        </w:r>
      </w:hyperlink>
      <w:r w:rsidDel="00000000" w:rsidR="00000000" w:rsidRPr="00000000">
        <w:rPr>
          <w:rFonts w:ascii="Arial" w:cs="Arial" w:eastAsia="Arial" w:hAnsi="Arial"/>
          <w:color w:val="000000"/>
          <w:sz w:val="22"/>
          <w:szCs w:val="22"/>
          <w:rtl w:val="0"/>
        </w:rPr>
        <w:t xml:space="preserve">. Available at: </w:t>
      </w:r>
      <w:hyperlink r:id="rId14">
        <w:r w:rsidDel="00000000" w:rsidR="00000000" w:rsidRPr="00000000">
          <w:rPr>
            <w:rFonts w:ascii="Arial" w:cs="Arial" w:eastAsia="Arial" w:hAnsi="Arial"/>
            <w:color w:val="467886"/>
            <w:sz w:val="22"/>
            <w:szCs w:val="22"/>
            <w:u w:val="single"/>
            <w:rtl w:val="0"/>
          </w:rPr>
          <w:t xml:space="preserve">https://www.gov.uk/government</w:t>
        </w:r>
      </w:hyperlink>
      <w:r w:rsidDel="00000000" w:rsidR="00000000" w:rsidRPr="00000000">
        <w:rPr>
          <w:rFonts w:ascii="Arial" w:cs="Arial" w:eastAsia="Arial" w:hAnsi="Arial"/>
          <w:color w:val="000000"/>
          <w:sz w:val="22"/>
          <w:szCs w:val="22"/>
          <w:rtl w:val="0"/>
        </w:rPr>
        <w:t xml:space="preserve">.</w:t>
      </w:r>
      <w:r w:rsidDel="00000000" w:rsidR="00000000" w:rsidRPr="00000000">
        <w:rPr>
          <w:rFonts w:ascii="Arial" w:cs="Arial" w:eastAsia="Arial" w:hAnsi="Arial"/>
          <w:color w:val="222222"/>
          <w:sz w:val="22"/>
          <w:szCs w:val="22"/>
          <w:rtl w:val="0"/>
        </w:rPr>
        <w:t xml:space="preserve"> [Accessed 10 October 2025].</w:t>
      </w:r>
      <w:r w:rsidDel="00000000" w:rsidR="00000000" w:rsidRPr="00000000">
        <w:rPr>
          <w:rtl w:val="0"/>
        </w:rPr>
      </w:r>
    </w:p>
    <w:p w:rsidR="00000000" w:rsidDel="00000000" w:rsidP="00000000" w:rsidRDefault="00000000" w:rsidRPr="00000000" w14:paraId="0000004A">
      <w:pPr>
        <w:spacing w:after="0" w:line="360" w:lineRule="auto"/>
        <w:rPr>
          <w:rFonts w:ascii="Arial" w:cs="Arial" w:eastAsia="Arial" w:hAnsi="Arial"/>
          <w:color w:val="222222"/>
          <w:sz w:val="22"/>
          <w:szCs w:val="22"/>
        </w:rPr>
      </w:pPr>
      <w:r w:rsidDel="00000000" w:rsidR="00000000" w:rsidRPr="00000000">
        <w:rPr>
          <w:rFonts w:ascii="Arial" w:cs="Arial" w:eastAsia="Arial" w:hAnsi="Arial"/>
          <w:color w:val="222222"/>
          <w:sz w:val="22"/>
          <w:szCs w:val="22"/>
          <w:rtl w:val="0"/>
        </w:rPr>
        <w:t xml:space="preserve"> Type 2 diabetes (2020) Illness and conditions. [online]. [Accessed 10 October 2025]. Available at: </w:t>
      </w:r>
      <w:hyperlink r:id="rId15">
        <w:r w:rsidDel="00000000" w:rsidR="00000000" w:rsidRPr="00000000">
          <w:rPr>
            <w:rFonts w:ascii="Arial" w:cs="Arial" w:eastAsia="Arial" w:hAnsi="Arial"/>
            <w:color w:val="467886"/>
            <w:sz w:val="22"/>
            <w:szCs w:val="22"/>
            <w:u w:val="single"/>
            <w:rtl w:val="0"/>
          </w:rPr>
          <w:t xml:space="preserve">https://www.nhsinform.scot/illnesses-and-conditions/diabetes/type-2-diabetes</w:t>
        </w:r>
      </w:hyperlink>
      <w:r w:rsidDel="00000000" w:rsidR="00000000" w:rsidRPr="00000000">
        <w:rPr>
          <w:rFonts w:ascii="Arial" w:cs="Arial" w:eastAsia="Arial" w:hAnsi="Arial"/>
          <w:color w:val="222222"/>
          <w:sz w:val="22"/>
          <w:szCs w:val="22"/>
          <w:rtl w:val="0"/>
        </w:rPr>
        <w:t xml:space="preserve">. [Accessed 12,2025]</w:t>
      </w:r>
    </w:p>
    <w:p w:rsidR="00000000" w:rsidDel="00000000" w:rsidP="00000000" w:rsidRDefault="00000000" w:rsidRPr="00000000" w14:paraId="0000004B">
      <w:pPr>
        <w:spacing w:after="0" w:line="360" w:lineRule="auto"/>
        <w:rPr>
          <w:rFonts w:ascii="Arial" w:cs="Arial" w:eastAsia="Arial" w:hAnsi="Arial"/>
          <w:color w:val="222222"/>
          <w:sz w:val="22"/>
          <w:szCs w:val="22"/>
        </w:rPr>
      </w:pPr>
      <w:r w:rsidDel="00000000" w:rsidR="00000000" w:rsidRPr="00000000">
        <w:rPr>
          <w:rtl w:val="0"/>
        </w:rPr>
      </w:r>
    </w:p>
    <w:p w:rsidR="00000000" w:rsidDel="00000000" w:rsidP="00000000" w:rsidRDefault="00000000" w:rsidRPr="00000000" w14:paraId="0000004C">
      <w:pPr>
        <w:shd w:fill="ffffff" w:val="clear"/>
        <w:spacing w:after="0" w:line="360" w:lineRule="auto"/>
        <w:rPr>
          <w:rFonts w:ascii="Arial" w:cs="Arial" w:eastAsia="Arial" w:hAnsi="Arial"/>
          <w:sz w:val="22"/>
          <w:szCs w:val="22"/>
        </w:rPr>
      </w:pPr>
      <w:r w:rsidDel="00000000" w:rsidR="00000000" w:rsidRPr="00000000">
        <w:rPr>
          <w:rFonts w:ascii="Arial" w:cs="Arial" w:eastAsia="Arial" w:hAnsi="Arial"/>
          <w:color w:val="222222"/>
          <w:sz w:val="22"/>
          <w:szCs w:val="22"/>
          <w:rtl w:val="0"/>
        </w:rPr>
        <w:t xml:space="preserve">World Health Organisation (2010) Gender: Women and Primary Health Care Renewal. Discussion Paper. Geneva: WHO.</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color w:val="222222"/>
          <w:sz w:val="22"/>
          <w:szCs w:val="22"/>
          <w:rtl w:val="0"/>
        </w:rPr>
        <w:t xml:space="preserve">def. World Health Organisation (2010) Gender: Women and Primary Health Care Renewal. Discussion Paper. Geneva: WHO.</w:t>
      </w:r>
      <w:r w:rsidDel="00000000" w:rsidR="00000000" w:rsidRPr="00000000">
        <w:rPr>
          <w:rtl w:val="0"/>
        </w:rPr>
      </w:r>
    </w:p>
    <w:p w:rsidR="00000000" w:rsidDel="00000000" w:rsidP="00000000" w:rsidRDefault="00000000" w:rsidRPr="00000000" w14:paraId="0000004D">
      <w:pPr>
        <w:spacing w:line="36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E">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World Health Organisation (2018) Diabetes. [online]. [Accessed 11 October,2025]. Available at:</w:t>
      </w:r>
    </w:p>
    <w:p w:rsidR="00000000" w:rsidDel="00000000" w:rsidP="00000000" w:rsidRDefault="00000000" w:rsidRPr="00000000" w14:paraId="0000004F">
      <w:pPr>
        <w:spacing w:line="360" w:lineRule="auto"/>
        <w:rPr>
          <w:sz w:val="22"/>
          <w:szCs w:val="22"/>
        </w:rPr>
      </w:pPr>
      <w:hyperlink r:id="rId16">
        <w:r w:rsidDel="00000000" w:rsidR="00000000" w:rsidRPr="00000000">
          <w:rPr>
            <w:rFonts w:ascii="Arial" w:cs="Arial" w:eastAsia="Arial" w:hAnsi="Arial"/>
            <w:b w:val="1"/>
            <w:bCs w:val="1"/>
            <w:color w:val="00799e"/>
            <w:sz w:val="22"/>
            <w:szCs w:val="22"/>
            <w:u w:val="none"/>
            <w:rtl w:val="0"/>
          </w:rPr>
          <w:t xml:space="preserve">https://www.who.int/news-room/fact-sheets/detail/diabetes</w:t>
        </w:r>
      </w:hyperlink>
      <w:r w:rsidDel="00000000" w:rsidR="00000000" w:rsidRPr="00000000">
        <w:rPr>
          <w:rFonts w:ascii="Arial" w:cs="Arial" w:eastAsia="Arial" w:hAnsi="Arial"/>
          <w:b w:val="1"/>
          <w:bCs w:val="1"/>
          <w:color w:val="00799e"/>
          <w:sz w:val="22"/>
          <w:szCs w:val="22"/>
          <w:rtl w:val="0"/>
        </w:rPr>
        <w:t xml:space="preserve">  [Accessed 12,2025]</w:t>
      </w:r>
      <w:r w:rsidDel="00000000" w:rsidR="00000000" w:rsidRPr="00000000">
        <w:rPr>
          <w:rFonts w:ascii="Calibri" w:cs="Calibri" w:eastAsia="Calibri" w:hAnsi="Calibri"/>
          <w:sz w:val="22"/>
          <w:szCs w:val="22"/>
          <w:rtl w:val="0"/>
        </w:rPr>
        <w:t xml:space="preserve">                             </w:t>
      </w:r>
      <w:r w:rsidDel="00000000" w:rsidR="00000000" w:rsidRPr="00000000">
        <w:rPr>
          <w:rtl w:val="0"/>
        </w:rPr>
      </w:r>
    </w:p>
    <w:sectPr>
      <w:headerReference r:id="rId17" w:type="default"/>
      <w:headerReference r:id="rId18" w:type="first"/>
      <w:pgSz w:h="16838" w:w="11906"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Calibri"/>
  <w:font w:name="Courier New"/>
  <w:font w:name="Aptos"/>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0">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1">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3F7406A5"/>
    <w:pPr>
      <w:ind w:left="720"/>
      <w:contextualSpacing w:val="1"/>
    </w:pPr>
  </w:style>
  <w:style w:type="character" w:styleId="Hyperlink">
    <w:name w:val="Hyperlink"/>
    <w:basedOn w:val="DefaultParagraphFont"/>
    <w:uiPriority w:val="99"/>
    <w:unhideWhenUsed w:val="1"/>
    <w:rsid w:val="3F7406A5"/>
    <w:rPr>
      <w:color w:val="467886"/>
      <w:u w:val="single"/>
    </w:rPr>
  </w:style>
  <w:style w:type="character" w:styleId="Heading4Char" w:customStyle="1">
    <w:name w:val="Heading 4 Char"/>
    <w:basedOn w:val="DefaultParagraphFont"/>
    <w:link w:val="Heading4"/>
    <w:uiPriority w:val="9"/>
    <w:rsid w:val="00C00D16"/>
    <w:rPr>
      <w:rFonts w:cstheme="majorBidi" w:eastAsiaTheme="majorEastAsia"/>
      <w:i w:val="1"/>
      <w:iCs w:val="1"/>
      <w:color w:val="0f4761" w:themeColor="accent1" w:themeShade="0000BF"/>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s://www.who.int/news-room/fact-sheets/detail/diabetes" TargetMode="External"/><Relationship Id="rId10" Type="http://schemas.openxmlformats.org/officeDocument/2006/relationships/hyperlink" Target="https://www.england.nhs.uk/diabetes/diabetes-prevention/" TargetMode="External"/><Relationship Id="rId13" Type="http://schemas.openxmlformats.org/officeDocument/2006/relationships/hyperlink" Target="https://www.gov.uk" TargetMode="External"/><Relationship Id="rId12" Type="http://schemas.openxmlformats.org/officeDocument/2006/relationships/hyperlink" Target="https://www.nice.org.u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uk/government/publications/health-matters-preventing-type-2-diabetes/health-matters-preventing-type-2-diabetes" TargetMode="External"/><Relationship Id="rId15" Type="http://schemas.openxmlformats.org/officeDocument/2006/relationships/hyperlink" Target="https://www.nhsinform.scot/illnesses-and-conditions/diabetes/type-2-diabetes" TargetMode="External"/><Relationship Id="rId14" Type="http://schemas.openxmlformats.org/officeDocument/2006/relationships/hyperlink" Target="https://www.gov.uk/government" TargetMode="External"/><Relationship Id="rId17" Type="http://schemas.openxmlformats.org/officeDocument/2006/relationships/header" Target="header2.xml"/><Relationship Id="rId16" Type="http://schemas.openxmlformats.org/officeDocument/2006/relationships/hyperlink" Target="https://www.who.int/news-room/fact-sheets/detail/diabetes" TargetMode="External"/><Relationship Id="rId5" Type="http://schemas.openxmlformats.org/officeDocument/2006/relationships/styles" Target="styles.xml"/><Relationship Id="rId6" Type="http://schemas.openxmlformats.org/officeDocument/2006/relationships/customXml" Target="../customXML/item1.xml"/><Relationship Id="rId18" Type="http://schemas.openxmlformats.org/officeDocument/2006/relationships/header" Target="header1.xml"/><Relationship Id="rId7" Type="http://schemas.openxmlformats.org/officeDocument/2006/relationships/hyperlink" Target="https://doi.org/10.1080/03073289.1993.10805782.%5bAccessed" TargetMode="External"/><Relationship Id="rId8" Type="http://schemas.openxmlformats.org/officeDocument/2006/relationships/hyperlink" Target="https://www.diabetes.org.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n8UEFcBuDJHIQJqjBb77lcUFYXw==">CgMxLjA4AHIhMWlxU1JpMVpaUDhqYWFYZGpsMjZ0VGJhdl9IRFFTQzFC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2025-11-10T01:33:00.0000000Z</dcterms:created>
  <dc:creator>Elizabeth Sarr (2435171)</dc:creator>
</cp:coreProperties>
</file>