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12C0C" w14:textId="77777777" w:rsidR="00642021" w:rsidRPr="00642021" w:rsidRDefault="00642021" w:rsidP="003C2FBD">
      <w:pPr>
        <w:pStyle w:val="ListParagraph"/>
        <w:spacing w:line="360" w:lineRule="auto"/>
        <w:ind w:left="360"/>
        <w:jc w:val="center"/>
        <w:rPr>
          <w:rFonts w:ascii="Arial" w:hAnsi="Arial" w:cs="Arial"/>
          <w:b/>
          <w:sz w:val="22"/>
          <w:szCs w:val="22"/>
        </w:rPr>
      </w:pPr>
      <w:r w:rsidRPr="00642021">
        <w:rPr>
          <w:rFonts w:ascii="Arial" w:hAnsi="Arial" w:cs="Arial"/>
          <w:b/>
          <w:sz w:val="22"/>
          <w:szCs w:val="22"/>
        </w:rPr>
        <w:t>EVALUATING PERSON-CENTRED CARE AND PARTNERSHIP WORKING IN UK MENTAL HEALTH SERVICES</w:t>
      </w:r>
    </w:p>
    <w:p w14:paraId="1443898D" w14:textId="77777777" w:rsidR="00642021" w:rsidRPr="00642021" w:rsidRDefault="00642021" w:rsidP="003C2FBD">
      <w:pPr>
        <w:pStyle w:val="ListParagraph"/>
        <w:spacing w:line="360" w:lineRule="auto"/>
        <w:ind w:left="360"/>
        <w:jc w:val="center"/>
        <w:rPr>
          <w:rFonts w:ascii="Arial" w:hAnsi="Arial" w:cs="Arial"/>
          <w:b/>
          <w:sz w:val="22"/>
          <w:szCs w:val="22"/>
        </w:rPr>
      </w:pPr>
      <w:r w:rsidRPr="00642021">
        <w:rPr>
          <w:rFonts w:ascii="Arial" w:hAnsi="Arial" w:cs="Arial"/>
          <w:b/>
          <w:sz w:val="22"/>
          <w:szCs w:val="22"/>
        </w:rPr>
        <w:t xml:space="preserve">NAME: CHINAEMEREM IHENACHO </w:t>
      </w:r>
    </w:p>
    <w:p w14:paraId="7E009ABE" w14:textId="77777777" w:rsidR="00642021" w:rsidRPr="00642021" w:rsidRDefault="00642021" w:rsidP="003C2FBD">
      <w:pPr>
        <w:pStyle w:val="ListParagraph"/>
        <w:spacing w:line="360" w:lineRule="auto"/>
        <w:ind w:left="360"/>
        <w:jc w:val="center"/>
        <w:rPr>
          <w:rFonts w:ascii="Arial" w:hAnsi="Arial" w:cs="Arial"/>
          <w:b/>
          <w:sz w:val="22"/>
          <w:szCs w:val="22"/>
        </w:rPr>
      </w:pPr>
      <w:r w:rsidRPr="00642021">
        <w:rPr>
          <w:rFonts w:ascii="Arial" w:hAnsi="Arial" w:cs="Arial"/>
          <w:b/>
          <w:sz w:val="22"/>
          <w:szCs w:val="22"/>
        </w:rPr>
        <w:t xml:space="preserve">S/N: 2311669 </w:t>
      </w:r>
    </w:p>
    <w:p w14:paraId="783D77E3" w14:textId="77777777" w:rsidR="00642021" w:rsidRPr="00642021" w:rsidRDefault="00642021" w:rsidP="003C2FBD">
      <w:pPr>
        <w:pStyle w:val="ListParagraph"/>
        <w:spacing w:line="360" w:lineRule="auto"/>
        <w:ind w:left="360"/>
        <w:jc w:val="center"/>
        <w:rPr>
          <w:rFonts w:ascii="Arial" w:hAnsi="Arial" w:cs="Arial"/>
          <w:b/>
          <w:sz w:val="22"/>
          <w:szCs w:val="22"/>
        </w:rPr>
      </w:pPr>
      <w:r w:rsidRPr="00642021">
        <w:rPr>
          <w:rFonts w:ascii="Arial" w:hAnsi="Arial" w:cs="Arial"/>
          <w:b/>
          <w:sz w:val="22"/>
          <w:szCs w:val="22"/>
        </w:rPr>
        <w:t xml:space="preserve">COURSE: PRINCIPLE OF HEALTH &amp;SOCIALCARE PRACTICE </w:t>
      </w:r>
    </w:p>
    <w:p w14:paraId="692D2BE2" w14:textId="77777777" w:rsidR="00642021" w:rsidRPr="0064140B" w:rsidRDefault="00642021" w:rsidP="003C2FBD">
      <w:pPr>
        <w:pStyle w:val="ListParagraph"/>
        <w:spacing w:line="360" w:lineRule="auto"/>
        <w:ind w:left="360"/>
        <w:jc w:val="center"/>
        <w:rPr>
          <w:rFonts w:ascii="Arial" w:hAnsi="Arial" w:cs="Arial"/>
          <w:b/>
          <w:sz w:val="22"/>
          <w:szCs w:val="22"/>
          <w:lang w:val="fr-FR"/>
        </w:rPr>
      </w:pPr>
      <w:r w:rsidRPr="0064140B">
        <w:rPr>
          <w:rFonts w:ascii="Arial" w:hAnsi="Arial" w:cs="Arial"/>
          <w:b/>
          <w:sz w:val="22"/>
          <w:szCs w:val="22"/>
          <w:lang w:val="fr-FR"/>
        </w:rPr>
        <w:t xml:space="preserve">COURSE </w:t>
      </w:r>
      <w:proofErr w:type="gramStart"/>
      <w:r w:rsidRPr="0064140B">
        <w:rPr>
          <w:rFonts w:ascii="Arial" w:hAnsi="Arial" w:cs="Arial"/>
          <w:b/>
          <w:sz w:val="22"/>
          <w:szCs w:val="22"/>
          <w:lang w:val="fr-FR"/>
        </w:rPr>
        <w:t>CODE:</w:t>
      </w:r>
      <w:proofErr w:type="gramEnd"/>
      <w:r w:rsidRPr="0064140B">
        <w:rPr>
          <w:rFonts w:ascii="Arial" w:hAnsi="Arial" w:cs="Arial"/>
          <w:b/>
          <w:sz w:val="22"/>
          <w:szCs w:val="22"/>
          <w:lang w:val="fr-FR"/>
        </w:rPr>
        <w:t xml:space="preserve"> BMHP5016 </w:t>
      </w:r>
    </w:p>
    <w:p w14:paraId="04F97704" w14:textId="77777777" w:rsidR="00642021" w:rsidRPr="00642021" w:rsidRDefault="00642021" w:rsidP="003C2FBD">
      <w:pPr>
        <w:pStyle w:val="ListParagraph"/>
        <w:spacing w:line="360" w:lineRule="auto"/>
        <w:ind w:left="360"/>
        <w:jc w:val="center"/>
        <w:rPr>
          <w:rFonts w:ascii="Arial" w:hAnsi="Arial" w:cs="Arial"/>
          <w:b/>
          <w:sz w:val="22"/>
          <w:szCs w:val="22"/>
          <w:lang w:val="fr-FR"/>
        </w:rPr>
        <w:sectPr w:rsidR="00642021" w:rsidRPr="00642021" w:rsidSect="00642021">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proofErr w:type="gramStart"/>
      <w:r w:rsidRPr="0064140B">
        <w:rPr>
          <w:rFonts w:ascii="Arial" w:hAnsi="Arial" w:cs="Arial"/>
          <w:b/>
          <w:sz w:val="22"/>
          <w:szCs w:val="22"/>
          <w:lang w:val="fr-FR"/>
        </w:rPr>
        <w:t>LECTURER:</w:t>
      </w:r>
      <w:proofErr w:type="gramEnd"/>
      <w:r w:rsidRPr="0064140B">
        <w:rPr>
          <w:rFonts w:ascii="Arial" w:hAnsi="Arial" w:cs="Arial"/>
          <w:b/>
          <w:sz w:val="22"/>
          <w:szCs w:val="22"/>
          <w:lang w:val="fr-FR"/>
        </w:rPr>
        <w:t xml:space="preserve"> FARAH ISLAM</w:t>
      </w:r>
    </w:p>
    <w:p w14:paraId="67AA65F8" w14:textId="6B52F43D" w:rsidR="00964178" w:rsidRPr="00EC6585" w:rsidRDefault="00EC6585" w:rsidP="003C2FBD">
      <w:pPr>
        <w:spacing w:line="360" w:lineRule="auto"/>
        <w:rPr>
          <w:rFonts w:ascii="Arial" w:hAnsi="Arial" w:cs="Arial"/>
          <w:b/>
          <w:bCs/>
          <w:sz w:val="22"/>
          <w:szCs w:val="22"/>
        </w:rPr>
      </w:pPr>
      <w:r w:rsidRPr="00EC6585">
        <w:rPr>
          <w:rFonts w:ascii="Arial" w:hAnsi="Arial" w:cs="Arial"/>
          <w:b/>
          <w:bCs/>
          <w:sz w:val="22"/>
          <w:szCs w:val="22"/>
        </w:rPr>
        <w:lastRenderedPageBreak/>
        <w:t xml:space="preserve">ABSTRACT </w:t>
      </w:r>
    </w:p>
    <w:p w14:paraId="44EC8132" w14:textId="6AA7E6D8" w:rsidR="00EC6585" w:rsidRPr="00EC6585" w:rsidRDefault="00EC6585" w:rsidP="003C2FBD">
      <w:pPr>
        <w:spacing w:line="360" w:lineRule="auto"/>
        <w:jc w:val="both"/>
        <w:rPr>
          <w:rFonts w:ascii="Arial" w:hAnsi="Arial" w:cs="Arial"/>
          <w:sz w:val="22"/>
          <w:szCs w:val="22"/>
        </w:rPr>
      </w:pPr>
      <w:r w:rsidRPr="7E6ABF50">
        <w:rPr>
          <w:rFonts w:ascii="Arial" w:hAnsi="Arial" w:cs="Arial"/>
          <w:sz w:val="22"/>
          <w:szCs w:val="22"/>
        </w:rPr>
        <w:t>This report is a critical assessment of the concepts of person-</w:t>
      </w:r>
      <w:r w:rsidR="00B64A10" w:rsidRPr="7E6ABF50">
        <w:rPr>
          <w:rFonts w:ascii="Arial" w:hAnsi="Arial" w:cs="Arial"/>
          <w:sz w:val="22"/>
          <w:szCs w:val="22"/>
        </w:rPr>
        <w:t>centered</w:t>
      </w:r>
      <w:r w:rsidRPr="7E6ABF50">
        <w:rPr>
          <w:rFonts w:ascii="Arial" w:hAnsi="Arial" w:cs="Arial"/>
          <w:sz w:val="22"/>
          <w:szCs w:val="22"/>
        </w:rPr>
        <w:t xml:space="preserve"> care (PCC) and partnership working (PW) in the UK mental health services. It discusses the ways these strategies enhance autonomy, collaboration, and recovery by applying the principles of ethics, applicable theories, and frameworks of national policies. Based on </w:t>
      </w:r>
      <w:proofErr w:type="gramStart"/>
      <w:r w:rsidRPr="7E6ABF50">
        <w:rPr>
          <w:rFonts w:ascii="Arial" w:hAnsi="Arial" w:cs="Arial"/>
          <w:sz w:val="22"/>
          <w:szCs w:val="22"/>
        </w:rPr>
        <w:t>the academic</w:t>
      </w:r>
      <w:proofErr w:type="gramEnd"/>
      <w:r w:rsidRPr="7E6ABF50">
        <w:rPr>
          <w:rFonts w:ascii="Arial" w:hAnsi="Arial" w:cs="Arial"/>
          <w:sz w:val="22"/>
          <w:szCs w:val="22"/>
        </w:rPr>
        <w:t xml:space="preserve"> literature evidence, the report found advantages of PCC and PW to comprise enhanced service-user satisfaction and inter-professional coordination. It also highlights challenges such as limited resources, communication barriers, and systemic inequalities. The aspects of the impact of ethical practice, integrated care systems, and shared decision-making on service quality were also mentioned in the discussion. The research ended with the suggestion of specific training, the use of digital innovations and increased user engagement as the methods of sustainable implementation of PCC and PW into the UK health and social care practice.</w:t>
      </w:r>
    </w:p>
    <w:p w14:paraId="7DFA38D1" w14:textId="54570C6F" w:rsidR="60127EF7" w:rsidRPr="003F7A38" w:rsidRDefault="00964178" w:rsidP="003C2FBD">
      <w:pPr>
        <w:spacing w:line="360" w:lineRule="auto"/>
        <w:rPr>
          <w:rStyle w:val="Hyperlink"/>
          <w:rFonts w:ascii="Arial" w:hAnsi="Arial" w:cs="Arial"/>
          <w:color w:val="auto"/>
          <w:u w:val="none"/>
        </w:rPr>
      </w:pPr>
      <w:r w:rsidRPr="7E6ABF50">
        <w:rPr>
          <w:rFonts w:ascii="Arial" w:hAnsi="Arial" w:cs="Arial"/>
        </w:rPr>
        <w:br w:type="page"/>
      </w:r>
    </w:p>
    <w:p w14:paraId="4BA0EFEA" w14:textId="09D5B8EA" w:rsidR="00C32899" w:rsidRDefault="00C32899" w:rsidP="003C2FBD">
      <w:pPr>
        <w:spacing w:line="360" w:lineRule="auto"/>
        <w:jc w:val="center"/>
        <w:rPr>
          <w:rFonts w:asciiTheme="minorBidi" w:hAnsiTheme="minorBidi"/>
          <w:b/>
          <w:bCs/>
          <w:sz w:val="22"/>
          <w:szCs w:val="22"/>
        </w:rPr>
      </w:pPr>
      <w:r w:rsidRPr="7E6ABF50">
        <w:rPr>
          <w:rFonts w:asciiTheme="minorBidi" w:hAnsiTheme="minorBidi"/>
          <w:b/>
          <w:bCs/>
          <w:sz w:val="22"/>
          <w:szCs w:val="22"/>
        </w:rPr>
        <w:lastRenderedPageBreak/>
        <w:t>TABLE OF CONTENTS</w:t>
      </w:r>
    </w:p>
    <w:p w14:paraId="206F2EC9" w14:textId="508293C3" w:rsidR="00C10798" w:rsidRPr="00A33D61" w:rsidRDefault="00A33D61" w:rsidP="003C2FBD">
      <w:pPr>
        <w:spacing w:line="360" w:lineRule="auto"/>
        <w:jc w:val="both"/>
        <w:rPr>
          <w:rFonts w:ascii="Arial" w:hAnsi="Arial" w:cs="Arial"/>
        </w:rPr>
      </w:pPr>
      <w:r w:rsidRPr="00707646">
        <w:rPr>
          <w:rFonts w:ascii="Arial" w:hAnsi="Arial" w:cs="Arial"/>
          <w:b/>
          <w:bCs/>
        </w:rPr>
        <w:t xml:space="preserve">1. </w:t>
      </w:r>
      <w:r w:rsidR="00707646">
        <w:rPr>
          <w:rFonts w:ascii="Arial" w:hAnsi="Arial" w:cs="Arial"/>
          <w:b/>
          <w:bCs/>
        </w:rPr>
        <w:t xml:space="preserve"> </w:t>
      </w:r>
      <w:r w:rsidR="00457D87">
        <w:rPr>
          <w:rFonts w:ascii="Arial" w:hAnsi="Arial" w:cs="Arial"/>
          <w:b/>
          <w:bCs/>
        </w:rPr>
        <w:t xml:space="preserve">   </w:t>
      </w:r>
      <w:r w:rsidR="00FA37A0" w:rsidRPr="00707646">
        <w:rPr>
          <w:rFonts w:ascii="Arial" w:hAnsi="Arial" w:cs="Arial"/>
          <w:b/>
          <w:bCs/>
        </w:rPr>
        <w:t>Introduction</w:t>
      </w:r>
      <w:r w:rsidR="00323076" w:rsidRPr="00A33D61">
        <w:rPr>
          <w:rFonts w:ascii="Arial" w:hAnsi="Arial" w:cs="Arial"/>
        </w:rPr>
        <w:t xml:space="preserve"> ………………………………</w:t>
      </w:r>
      <w:r w:rsidR="00457D87">
        <w:rPr>
          <w:rFonts w:ascii="Arial" w:hAnsi="Arial" w:cs="Arial"/>
        </w:rPr>
        <w:t>….</w:t>
      </w:r>
      <w:r w:rsidR="00323076" w:rsidRPr="00A33D61">
        <w:rPr>
          <w:rFonts w:ascii="Arial" w:hAnsi="Arial" w:cs="Arial"/>
        </w:rPr>
        <w:t>…………………………………</w:t>
      </w:r>
      <w:r w:rsidR="007A1FD9" w:rsidRPr="00A33D61">
        <w:rPr>
          <w:rFonts w:ascii="Arial" w:hAnsi="Arial" w:cs="Arial"/>
        </w:rPr>
        <w:t>…</w:t>
      </w:r>
      <w:proofErr w:type="gramStart"/>
      <w:r w:rsidR="007A1FD9" w:rsidRPr="00A33D61">
        <w:rPr>
          <w:rFonts w:ascii="Arial" w:hAnsi="Arial" w:cs="Arial"/>
        </w:rPr>
        <w:t>….</w:t>
      </w:r>
      <w:r w:rsidR="003F7A38">
        <w:rPr>
          <w:rFonts w:ascii="Arial" w:hAnsi="Arial" w:cs="Arial"/>
        </w:rPr>
        <w:t>.</w:t>
      </w:r>
      <w:proofErr w:type="gramEnd"/>
      <w:r w:rsidR="00323076" w:rsidRPr="00A33D61">
        <w:rPr>
          <w:rFonts w:ascii="Arial" w:hAnsi="Arial" w:cs="Arial"/>
        </w:rPr>
        <w:t>4</w:t>
      </w:r>
    </w:p>
    <w:sdt>
      <w:sdtPr>
        <w:rPr>
          <w:rFonts w:ascii="Arial" w:hAnsi="Arial" w:cs="Arial"/>
        </w:rPr>
        <w:id w:val="519577232"/>
        <w:docPartObj>
          <w:docPartGallery w:val="Table of Contents"/>
          <w:docPartUnique/>
        </w:docPartObj>
      </w:sdtPr>
      <w:sdtEndPr>
        <w:rPr>
          <w:rFonts w:asciiTheme="minorBidi" w:hAnsiTheme="minorBidi" w:cstheme="minorBidi"/>
          <w:sz w:val="22"/>
          <w:szCs w:val="22"/>
        </w:rPr>
      </w:sdtEndPr>
      <w:sdtContent>
        <w:p w14:paraId="12DD9213" w14:textId="53B6D1B2" w:rsidR="00FA22EE" w:rsidRDefault="00C32899" w:rsidP="003C2FBD">
          <w:pPr>
            <w:pStyle w:val="TOC1"/>
            <w:tabs>
              <w:tab w:val="left" w:pos="480"/>
              <w:tab w:val="right" w:leader="dot" w:pos="9016"/>
            </w:tabs>
            <w:spacing w:line="360" w:lineRule="auto"/>
            <w:rPr>
              <w:noProof/>
            </w:rPr>
          </w:pPr>
          <w:r w:rsidRPr="005E65BE">
            <w:rPr>
              <w:rFonts w:ascii="Arial" w:hAnsi="Arial" w:cs="Arial"/>
            </w:rPr>
            <w:fldChar w:fldCharType="begin"/>
          </w:r>
          <w:r w:rsidRPr="005E65BE">
            <w:rPr>
              <w:rFonts w:ascii="Arial" w:hAnsi="Arial" w:cs="Arial"/>
            </w:rPr>
            <w:instrText>TOC \o \z \u \h</w:instrText>
          </w:r>
          <w:r w:rsidRPr="005E65BE">
            <w:rPr>
              <w:rFonts w:ascii="Arial" w:hAnsi="Arial" w:cs="Arial"/>
            </w:rPr>
            <w:fldChar w:fldCharType="separate"/>
          </w:r>
          <w:hyperlink w:anchor="_Toc213593311" w:history="1">
            <w:r w:rsidR="00FA22EE" w:rsidRPr="00EF79FF">
              <w:rPr>
                <w:rStyle w:val="Hyperlink"/>
                <w:rFonts w:ascii="Arial" w:hAnsi="Arial" w:cs="Arial"/>
                <w:b/>
                <w:bCs/>
                <w:noProof/>
              </w:rPr>
              <w:t>2.</w:t>
            </w:r>
            <w:r w:rsidR="00FA22EE">
              <w:rPr>
                <w:noProof/>
              </w:rPr>
              <w:tab/>
            </w:r>
            <w:r w:rsidR="00FA22EE" w:rsidRPr="00EF79FF">
              <w:rPr>
                <w:rStyle w:val="Hyperlink"/>
                <w:rFonts w:ascii="Arial" w:hAnsi="Arial" w:cs="Arial"/>
                <w:b/>
                <w:bCs/>
                <w:noProof/>
              </w:rPr>
              <w:t>Person-Centred Care</w:t>
            </w:r>
            <w:r w:rsidR="00FA22EE">
              <w:rPr>
                <w:noProof/>
                <w:webHidden/>
              </w:rPr>
              <w:tab/>
            </w:r>
            <w:r w:rsidR="00FA22EE">
              <w:rPr>
                <w:noProof/>
                <w:webHidden/>
              </w:rPr>
              <w:fldChar w:fldCharType="begin"/>
            </w:r>
            <w:r w:rsidR="00FA22EE">
              <w:rPr>
                <w:noProof/>
                <w:webHidden/>
              </w:rPr>
              <w:instrText xml:space="preserve"> PAGEREF _Toc213593311 \h </w:instrText>
            </w:r>
            <w:r w:rsidR="00FA22EE">
              <w:rPr>
                <w:noProof/>
                <w:webHidden/>
              </w:rPr>
            </w:r>
            <w:r w:rsidR="00FA22EE">
              <w:rPr>
                <w:noProof/>
                <w:webHidden/>
              </w:rPr>
              <w:fldChar w:fldCharType="separate"/>
            </w:r>
            <w:r w:rsidR="00A83036">
              <w:rPr>
                <w:noProof/>
                <w:webHidden/>
              </w:rPr>
              <w:t>4</w:t>
            </w:r>
            <w:r w:rsidR="00FA22EE">
              <w:rPr>
                <w:noProof/>
                <w:webHidden/>
              </w:rPr>
              <w:fldChar w:fldCharType="end"/>
            </w:r>
          </w:hyperlink>
        </w:p>
        <w:p w14:paraId="5939A6F0" w14:textId="79679FD3" w:rsidR="00FA22EE" w:rsidRDefault="00FA22EE" w:rsidP="003C2FBD">
          <w:pPr>
            <w:pStyle w:val="TOC1"/>
            <w:tabs>
              <w:tab w:val="left" w:pos="480"/>
              <w:tab w:val="right" w:leader="dot" w:pos="9016"/>
            </w:tabs>
            <w:spacing w:line="360" w:lineRule="auto"/>
            <w:rPr>
              <w:noProof/>
            </w:rPr>
          </w:pPr>
          <w:hyperlink w:anchor="_Toc213593312" w:history="1">
            <w:r w:rsidRPr="00EF79FF">
              <w:rPr>
                <w:rStyle w:val="Hyperlink"/>
                <w:rFonts w:ascii="Arial" w:hAnsi="Arial" w:cs="Arial"/>
                <w:b/>
                <w:bCs/>
                <w:noProof/>
              </w:rPr>
              <w:t>3.</w:t>
            </w:r>
            <w:r>
              <w:rPr>
                <w:noProof/>
              </w:rPr>
              <w:tab/>
            </w:r>
            <w:r w:rsidRPr="00EF79FF">
              <w:rPr>
                <w:rStyle w:val="Hyperlink"/>
                <w:rFonts w:ascii="Arial" w:hAnsi="Arial" w:cs="Arial"/>
                <w:b/>
                <w:bCs/>
                <w:noProof/>
              </w:rPr>
              <w:t>Theoretical Models Underpinning Person-Centred Care</w:t>
            </w:r>
            <w:r>
              <w:rPr>
                <w:noProof/>
                <w:webHidden/>
              </w:rPr>
              <w:tab/>
            </w:r>
            <w:r>
              <w:rPr>
                <w:noProof/>
                <w:webHidden/>
              </w:rPr>
              <w:fldChar w:fldCharType="begin"/>
            </w:r>
            <w:r>
              <w:rPr>
                <w:noProof/>
                <w:webHidden/>
              </w:rPr>
              <w:instrText xml:space="preserve"> PAGEREF _Toc213593312 \h </w:instrText>
            </w:r>
            <w:r>
              <w:rPr>
                <w:noProof/>
                <w:webHidden/>
              </w:rPr>
            </w:r>
            <w:r>
              <w:rPr>
                <w:noProof/>
                <w:webHidden/>
              </w:rPr>
              <w:fldChar w:fldCharType="separate"/>
            </w:r>
            <w:r w:rsidR="00A83036">
              <w:rPr>
                <w:noProof/>
                <w:webHidden/>
              </w:rPr>
              <w:t>5</w:t>
            </w:r>
            <w:r>
              <w:rPr>
                <w:noProof/>
                <w:webHidden/>
              </w:rPr>
              <w:fldChar w:fldCharType="end"/>
            </w:r>
          </w:hyperlink>
        </w:p>
        <w:p w14:paraId="13C61C55" w14:textId="0B4B7AB1" w:rsidR="00FA22EE" w:rsidRDefault="00FA22EE" w:rsidP="003C2FBD">
          <w:pPr>
            <w:pStyle w:val="TOC1"/>
            <w:tabs>
              <w:tab w:val="left" w:pos="480"/>
              <w:tab w:val="right" w:leader="dot" w:pos="9016"/>
            </w:tabs>
            <w:spacing w:line="360" w:lineRule="auto"/>
            <w:rPr>
              <w:noProof/>
            </w:rPr>
          </w:pPr>
          <w:hyperlink w:anchor="_Toc213593313" w:history="1">
            <w:r w:rsidRPr="00EF79FF">
              <w:rPr>
                <w:rStyle w:val="Hyperlink"/>
                <w:rFonts w:ascii="Arial" w:hAnsi="Arial" w:cs="Arial"/>
                <w:b/>
                <w:bCs/>
                <w:noProof/>
              </w:rPr>
              <w:t>4.</w:t>
            </w:r>
            <w:r>
              <w:rPr>
                <w:noProof/>
              </w:rPr>
              <w:tab/>
            </w:r>
            <w:r w:rsidRPr="00EF79FF">
              <w:rPr>
                <w:rStyle w:val="Hyperlink"/>
                <w:rFonts w:ascii="Arial" w:hAnsi="Arial" w:cs="Arial"/>
                <w:b/>
                <w:bCs/>
                <w:noProof/>
              </w:rPr>
              <w:t>Ethical Fundamentals in Health and Social Care</w:t>
            </w:r>
            <w:r>
              <w:rPr>
                <w:noProof/>
                <w:webHidden/>
              </w:rPr>
              <w:tab/>
            </w:r>
            <w:r>
              <w:rPr>
                <w:noProof/>
                <w:webHidden/>
              </w:rPr>
              <w:fldChar w:fldCharType="begin"/>
            </w:r>
            <w:r>
              <w:rPr>
                <w:noProof/>
                <w:webHidden/>
              </w:rPr>
              <w:instrText xml:space="preserve"> PAGEREF _Toc213593313 \h </w:instrText>
            </w:r>
            <w:r>
              <w:rPr>
                <w:noProof/>
                <w:webHidden/>
              </w:rPr>
            </w:r>
            <w:r>
              <w:rPr>
                <w:noProof/>
                <w:webHidden/>
              </w:rPr>
              <w:fldChar w:fldCharType="separate"/>
            </w:r>
            <w:r w:rsidR="00A83036">
              <w:rPr>
                <w:noProof/>
                <w:webHidden/>
              </w:rPr>
              <w:t>6</w:t>
            </w:r>
            <w:r>
              <w:rPr>
                <w:noProof/>
                <w:webHidden/>
              </w:rPr>
              <w:fldChar w:fldCharType="end"/>
            </w:r>
          </w:hyperlink>
        </w:p>
        <w:p w14:paraId="3239A5DF" w14:textId="68B0BD67" w:rsidR="00FA22EE" w:rsidRDefault="00FA22EE" w:rsidP="003C2FBD">
          <w:pPr>
            <w:pStyle w:val="TOC1"/>
            <w:tabs>
              <w:tab w:val="left" w:pos="480"/>
              <w:tab w:val="right" w:leader="dot" w:pos="9016"/>
            </w:tabs>
            <w:spacing w:line="360" w:lineRule="auto"/>
            <w:rPr>
              <w:noProof/>
            </w:rPr>
          </w:pPr>
          <w:hyperlink w:anchor="_Toc213593314" w:history="1">
            <w:r w:rsidRPr="00EF79FF">
              <w:rPr>
                <w:rStyle w:val="Hyperlink"/>
                <w:rFonts w:ascii="Arial" w:hAnsi="Arial" w:cs="Arial"/>
                <w:b/>
                <w:bCs/>
                <w:noProof/>
              </w:rPr>
              <w:t>5.</w:t>
            </w:r>
            <w:r>
              <w:rPr>
                <w:noProof/>
              </w:rPr>
              <w:tab/>
            </w:r>
            <w:r w:rsidRPr="00EF79FF">
              <w:rPr>
                <w:rStyle w:val="Hyperlink"/>
                <w:rFonts w:ascii="Arial" w:hAnsi="Arial" w:cs="Arial"/>
                <w:b/>
                <w:bCs/>
                <w:noProof/>
              </w:rPr>
              <w:t>Evaluation of Partnership Working</w:t>
            </w:r>
            <w:r>
              <w:rPr>
                <w:noProof/>
                <w:webHidden/>
              </w:rPr>
              <w:tab/>
            </w:r>
            <w:r>
              <w:rPr>
                <w:noProof/>
                <w:webHidden/>
              </w:rPr>
              <w:fldChar w:fldCharType="begin"/>
            </w:r>
            <w:r>
              <w:rPr>
                <w:noProof/>
                <w:webHidden/>
              </w:rPr>
              <w:instrText xml:space="preserve"> PAGEREF _Toc213593314 \h </w:instrText>
            </w:r>
            <w:r>
              <w:rPr>
                <w:noProof/>
                <w:webHidden/>
              </w:rPr>
            </w:r>
            <w:r>
              <w:rPr>
                <w:noProof/>
                <w:webHidden/>
              </w:rPr>
              <w:fldChar w:fldCharType="separate"/>
            </w:r>
            <w:r w:rsidR="00A83036">
              <w:rPr>
                <w:noProof/>
                <w:webHidden/>
              </w:rPr>
              <w:t>7</w:t>
            </w:r>
            <w:r>
              <w:rPr>
                <w:noProof/>
                <w:webHidden/>
              </w:rPr>
              <w:fldChar w:fldCharType="end"/>
            </w:r>
          </w:hyperlink>
        </w:p>
        <w:p w14:paraId="689D304E" w14:textId="5A9FE734" w:rsidR="00FA22EE" w:rsidRDefault="00FA22EE" w:rsidP="003C2FBD">
          <w:pPr>
            <w:pStyle w:val="TOC1"/>
            <w:tabs>
              <w:tab w:val="left" w:pos="480"/>
              <w:tab w:val="right" w:leader="dot" w:pos="9016"/>
            </w:tabs>
            <w:spacing w:line="360" w:lineRule="auto"/>
            <w:rPr>
              <w:noProof/>
            </w:rPr>
          </w:pPr>
          <w:hyperlink w:anchor="_Toc213593315" w:history="1">
            <w:r w:rsidRPr="00EF79FF">
              <w:rPr>
                <w:rStyle w:val="Hyperlink"/>
                <w:rFonts w:ascii="Arial" w:hAnsi="Arial" w:cs="Arial"/>
                <w:b/>
                <w:bCs/>
                <w:noProof/>
              </w:rPr>
              <w:t>6.</w:t>
            </w:r>
            <w:r>
              <w:rPr>
                <w:noProof/>
              </w:rPr>
              <w:tab/>
            </w:r>
            <w:r w:rsidRPr="00EF79FF">
              <w:rPr>
                <w:rStyle w:val="Hyperlink"/>
                <w:rFonts w:ascii="Arial" w:hAnsi="Arial" w:cs="Arial"/>
                <w:b/>
                <w:bCs/>
                <w:noProof/>
              </w:rPr>
              <w:t>Policy and Legislation</w:t>
            </w:r>
            <w:r>
              <w:rPr>
                <w:noProof/>
                <w:webHidden/>
              </w:rPr>
              <w:tab/>
            </w:r>
            <w:r>
              <w:rPr>
                <w:noProof/>
                <w:webHidden/>
              </w:rPr>
              <w:fldChar w:fldCharType="begin"/>
            </w:r>
            <w:r>
              <w:rPr>
                <w:noProof/>
                <w:webHidden/>
              </w:rPr>
              <w:instrText xml:space="preserve"> PAGEREF _Toc213593315 \h </w:instrText>
            </w:r>
            <w:r>
              <w:rPr>
                <w:noProof/>
                <w:webHidden/>
              </w:rPr>
            </w:r>
            <w:r>
              <w:rPr>
                <w:noProof/>
                <w:webHidden/>
              </w:rPr>
              <w:fldChar w:fldCharType="separate"/>
            </w:r>
            <w:r w:rsidR="00A83036">
              <w:rPr>
                <w:noProof/>
                <w:webHidden/>
              </w:rPr>
              <w:t>8</w:t>
            </w:r>
            <w:r>
              <w:rPr>
                <w:noProof/>
                <w:webHidden/>
              </w:rPr>
              <w:fldChar w:fldCharType="end"/>
            </w:r>
          </w:hyperlink>
        </w:p>
        <w:p w14:paraId="7153076F" w14:textId="1408BD37" w:rsidR="00FA22EE" w:rsidRDefault="00FA22EE" w:rsidP="003C2FBD">
          <w:pPr>
            <w:pStyle w:val="TOC1"/>
            <w:tabs>
              <w:tab w:val="left" w:pos="480"/>
              <w:tab w:val="right" w:leader="dot" w:pos="9016"/>
            </w:tabs>
            <w:spacing w:line="360" w:lineRule="auto"/>
            <w:rPr>
              <w:noProof/>
            </w:rPr>
          </w:pPr>
          <w:hyperlink w:anchor="_Toc213593316" w:history="1">
            <w:r w:rsidRPr="00EF79FF">
              <w:rPr>
                <w:rStyle w:val="Hyperlink"/>
                <w:rFonts w:ascii="Arial" w:hAnsi="Arial" w:cs="Arial"/>
                <w:b/>
                <w:bCs/>
                <w:noProof/>
              </w:rPr>
              <w:t>7.</w:t>
            </w:r>
            <w:r>
              <w:rPr>
                <w:noProof/>
              </w:rPr>
              <w:tab/>
            </w:r>
            <w:r w:rsidRPr="00EF79F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_Toc213593316 \h </w:instrText>
            </w:r>
            <w:r>
              <w:rPr>
                <w:noProof/>
                <w:webHidden/>
              </w:rPr>
            </w:r>
            <w:r>
              <w:rPr>
                <w:noProof/>
                <w:webHidden/>
              </w:rPr>
              <w:fldChar w:fldCharType="separate"/>
            </w:r>
            <w:r w:rsidR="00A83036">
              <w:rPr>
                <w:noProof/>
                <w:webHidden/>
              </w:rPr>
              <w:t>8</w:t>
            </w:r>
            <w:r>
              <w:rPr>
                <w:noProof/>
                <w:webHidden/>
              </w:rPr>
              <w:fldChar w:fldCharType="end"/>
            </w:r>
          </w:hyperlink>
        </w:p>
        <w:p w14:paraId="19512B22" w14:textId="4086196C" w:rsidR="00FA22EE" w:rsidRDefault="00FA22EE" w:rsidP="003C2FBD">
          <w:pPr>
            <w:pStyle w:val="TOC1"/>
            <w:tabs>
              <w:tab w:val="left" w:pos="480"/>
              <w:tab w:val="right" w:leader="dot" w:pos="9016"/>
            </w:tabs>
            <w:spacing w:line="360" w:lineRule="auto"/>
            <w:rPr>
              <w:noProof/>
            </w:rPr>
          </w:pPr>
          <w:hyperlink w:anchor="_Toc213593317" w:history="1">
            <w:r w:rsidRPr="00EF79FF">
              <w:rPr>
                <w:rStyle w:val="Hyperlink"/>
                <w:rFonts w:ascii="Arial" w:hAnsi="Arial" w:cs="Arial"/>
                <w:b/>
                <w:bCs/>
                <w:noProof/>
              </w:rPr>
              <w:t>8.</w:t>
            </w:r>
            <w:r>
              <w:rPr>
                <w:noProof/>
              </w:rPr>
              <w:tab/>
            </w:r>
            <w:r w:rsidRPr="00EF79F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_Toc213593317 \h </w:instrText>
            </w:r>
            <w:r>
              <w:rPr>
                <w:noProof/>
                <w:webHidden/>
              </w:rPr>
            </w:r>
            <w:r>
              <w:rPr>
                <w:noProof/>
                <w:webHidden/>
              </w:rPr>
              <w:fldChar w:fldCharType="separate"/>
            </w:r>
            <w:r w:rsidR="00A83036">
              <w:rPr>
                <w:noProof/>
                <w:webHidden/>
              </w:rPr>
              <w:t>9</w:t>
            </w:r>
            <w:r>
              <w:rPr>
                <w:noProof/>
                <w:webHidden/>
              </w:rPr>
              <w:fldChar w:fldCharType="end"/>
            </w:r>
          </w:hyperlink>
        </w:p>
        <w:p w14:paraId="59F069ED" w14:textId="170F154A" w:rsidR="00FA22EE" w:rsidRDefault="00FA22EE" w:rsidP="003C2FBD">
          <w:pPr>
            <w:pStyle w:val="TOC1"/>
            <w:tabs>
              <w:tab w:val="right" w:leader="dot" w:pos="9016"/>
            </w:tabs>
            <w:spacing w:line="360" w:lineRule="auto"/>
            <w:rPr>
              <w:noProof/>
            </w:rPr>
          </w:pPr>
          <w:hyperlink w:anchor="_Toc213593318" w:history="1">
            <w:r w:rsidRPr="00EF79F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_Toc213593318 \h </w:instrText>
            </w:r>
            <w:r>
              <w:rPr>
                <w:noProof/>
                <w:webHidden/>
              </w:rPr>
            </w:r>
            <w:r>
              <w:rPr>
                <w:noProof/>
                <w:webHidden/>
              </w:rPr>
              <w:fldChar w:fldCharType="separate"/>
            </w:r>
            <w:r w:rsidR="00A83036">
              <w:rPr>
                <w:noProof/>
                <w:webHidden/>
              </w:rPr>
              <w:t>10</w:t>
            </w:r>
            <w:r>
              <w:rPr>
                <w:noProof/>
                <w:webHidden/>
              </w:rPr>
              <w:fldChar w:fldCharType="end"/>
            </w:r>
          </w:hyperlink>
        </w:p>
        <w:p w14:paraId="70B409B0" w14:textId="771C9A3D" w:rsidR="00964178" w:rsidRPr="006054DB" w:rsidRDefault="00C32899" w:rsidP="003C2FBD">
          <w:pPr>
            <w:spacing w:line="360" w:lineRule="auto"/>
            <w:rPr>
              <w:rFonts w:ascii="Arial" w:hAnsi="Arial" w:cs="Arial"/>
            </w:rPr>
          </w:pPr>
          <w:r w:rsidRPr="005E65BE">
            <w:rPr>
              <w:rFonts w:ascii="Arial" w:hAnsi="Arial" w:cs="Arial"/>
            </w:rPr>
            <w:fldChar w:fldCharType="end"/>
          </w:r>
        </w:p>
      </w:sdtContent>
    </w:sdt>
    <w:p w14:paraId="5A7572BB" w14:textId="4D46FBC8" w:rsidR="005A4AED" w:rsidRPr="006054DB" w:rsidRDefault="005A4AED" w:rsidP="003C2FBD">
      <w:pPr>
        <w:spacing w:line="360" w:lineRule="auto"/>
        <w:rPr>
          <w:rFonts w:ascii="Arial" w:hAnsi="Arial" w:cs="Arial"/>
        </w:rPr>
      </w:pPr>
    </w:p>
    <w:p w14:paraId="418FC858" w14:textId="6C6C4D29" w:rsidR="1438496E" w:rsidRDefault="1438496E" w:rsidP="003C2FBD">
      <w:pPr>
        <w:spacing w:beforeAutospacing="1" w:afterAutospacing="1" w:line="360" w:lineRule="auto"/>
        <w:jc w:val="both"/>
        <w:rPr>
          <w:rFonts w:ascii="Arial" w:eastAsia="Times New Roman" w:hAnsi="Arial" w:cs="Arial"/>
          <w:sz w:val="22"/>
          <w:szCs w:val="22"/>
        </w:rPr>
      </w:pPr>
    </w:p>
    <w:p w14:paraId="4ED7F41C" w14:textId="77777777" w:rsidR="00E85F01" w:rsidRDefault="00E85F01" w:rsidP="003C2FBD">
      <w:pPr>
        <w:spacing w:beforeAutospacing="1" w:afterAutospacing="1" w:line="360" w:lineRule="auto"/>
        <w:jc w:val="both"/>
        <w:rPr>
          <w:rFonts w:ascii="Arial" w:eastAsia="Times New Roman" w:hAnsi="Arial" w:cs="Arial"/>
          <w:sz w:val="22"/>
          <w:szCs w:val="22"/>
        </w:rPr>
      </w:pPr>
    </w:p>
    <w:p w14:paraId="5CDE3C0F" w14:textId="77777777" w:rsidR="00E85F01" w:rsidRDefault="00E85F01" w:rsidP="003C2FBD">
      <w:pPr>
        <w:spacing w:beforeAutospacing="1" w:afterAutospacing="1" w:line="360" w:lineRule="auto"/>
        <w:jc w:val="both"/>
        <w:rPr>
          <w:rFonts w:ascii="Arial" w:eastAsia="Times New Roman" w:hAnsi="Arial" w:cs="Arial"/>
          <w:sz w:val="22"/>
          <w:szCs w:val="22"/>
        </w:rPr>
      </w:pPr>
    </w:p>
    <w:p w14:paraId="70C7DA62" w14:textId="77777777" w:rsidR="00E85F01" w:rsidRDefault="00E85F01" w:rsidP="003C2FBD">
      <w:pPr>
        <w:spacing w:beforeAutospacing="1" w:afterAutospacing="1" w:line="360" w:lineRule="auto"/>
        <w:jc w:val="both"/>
        <w:rPr>
          <w:rFonts w:ascii="Arial" w:eastAsia="Times New Roman" w:hAnsi="Arial" w:cs="Arial"/>
          <w:sz w:val="22"/>
          <w:szCs w:val="22"/>
        </w:rPr>
      </w:pPr>
    </w:p>
    <w:p w14:paraId="0C411567" w14:textId="77777777" w:rsidR="00C10798" w:rsidRDefault="00C10798" w:rsidP="003C2FBD">
      <w:pPr>
        <w:spacing w:beforeAutospacing="1" w:afterAutospacing="1" w:line="360" w:lineRule="auto"/>
        <w:jc w:val="both"/>
        <w:rPr>
          <w:rFonts w:ascii="Arial" w:eastAsia="Times New Roman" w:hAnsi="Arial" w:cs="Arial"/>
          <w:sz w:val="22"/>
          <w:szCs w:val="22"/>
        </w:rPr>
      </w:pPr>
    </w:p>
    <w:p w14:paraId="7729CA1D"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2263C2D3"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75AADFB7"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60886254"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532AB972"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45FAD2FD" w14:textId="77777777" w:rsidR="003F7A38" w:rsidRDefault="003F7A38" w:rsidP="003C2FBD">
      <w:pPr>
        <w:spacing w:beforeAutospacing="1" w:afterAutospacing="1" w:line="360" w:lineRule="auto"/>
        <w:jc w:val="both"/>
        <w:rPr>
          <w:rFonts w:ascii="Arial" w:eastAsia="Times New Roman" w:hAnsi="Arial" w:cs="Arial"/>
          <w:sz w:val="22"/>
          <w:szCs w:val="22"/>
        </w:rPr>
      </w:pPr>
    </w:p>
    <w:p w14:paraId="73060BFE" w14:textId="67850E68" w:rsidR="00E85F01" w:rsidRPr="0064140B" w:rsidRDefault="004F7A04" w:rsidP="003C2FBD">
      <w:pPr>
        <w:pStyle w:val="ListParagraph"/>
        <w:numPr>
          <w:ilvl w:val="0"/>
          <w:numId w:val="2"/>
        </w:numPr>
        <w:spacing w:before="100" w:beforeAutospacing="1" w:after="100" w:afterAutospacing="1" w:line="360" w:lineRule="auto"/>
        <w:jc w:val="both"/>
        <w:rPr>
          <w:rFonts w:ascii="Arial" w:eastAsia="Times New Roman" w:hAnsi="Arial" w:cs="Arial"/>
          <w:b/>
          <w:bCs/>
          <w:kern w:val="0"/>
          <w:sz w:val="22"/>
          <w:szCs w:val="22"/>
          <w14:ligatures w14:val="none"/>
        </w:rPr>
      </w:pPr>
      <w:r w:rsidRPr="0064140B">
        <w:rPr>
          <w:rFonts w:ascii="Arial" w:eastAsia="Times New Roman" w:hAnsi="Arial" w:cs="Arial"/>
          <w:b/>
          <w:bCs/>
          <w:kern w:val="0"/>
          <w:sz w:val="22"/>
          <w:szCs w:val="22"/>
          <w14:ligatures w14:val="none"/>
        </w:rPr>
        <w:lastRenderedPageBreak/>
        <w:t>Introdu</w:t>
      </w:r>
      <w:r w:rsidR="001E368B" w:rsidRPr="0064140B">
        <w:rPr>
          <w:rFonts w:ascii="Arial" w:eastAsia="Times New Roman" w:hAnsi="Arial" w:cs="Arial"/>
          <w:b/>
          <w:bCs/>
          <w:kern w:val="0"/>
          <w:sz w:val="22"/>
          <w:szCs w:val="22"/>
          <w14:ligatures w14:val="none"/>
        </w:rPr>
        <w:t>ction</w:t>
      </w:r>
    </w:p>
    <w:p w14:paraId="66BF5250" w14:textId="23AAD285"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This report examines the importance of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and partnership work (PW) in current health and social care practices, with a particular focus on mental health services. It attempts to critically evaluate how the principles promote recovery, autonomy and collaborative decision-making and addresses the needs of ethical and systemic concerns. The report will begin with the definition of PCC and its benefits and weaknesses, as well as present a relevant theoretical framework upon which it will be implemented. It will then discuss ethical foundations, review PW, and discuss its application in a mental health setting. Finally, the report will </w:t>
      </w:r>
      <w:r w:rsidR="00B64A10" w:rsidRPr="006054DB">
        <w:rPr>
          <w:rFonts w:ascii="Arial" w:eastAsia="Times New Roman" w:hAnsi="Arial" w:cs="Arial"/>
          <w:kern w:val="0"/>
          <w:sz w:val="22"/>
          <w:szCs w:val="22"/>
          <w14:ligatures w14:val="none"/>
        </w:rPr>
        <w:t>scrutinize</w:t>
      </w:r>
      <w:r w:rsidRPr="006054DB">
        <w:rPr>
          <w:rFonts w:ascii="Arial" w:eastAsia="Times New Roman" w:hAnsi="Arial" w:cs="Arial"/>
          <w:kern w:val="0"/>
          <w:sz w:val="22"/>
          <w:szCs w:val="22"/>
          <w14:ligatures w14:val="none"/>
        </w:rPr>
        <w:t xml:space="preserve"> significant policies and legislation in the UK, offering suggestions to improve integration and quality care.</w:t>
      </w:r>
    </w:p>
    <w:p w14:paraId="54C5B3DC" w14:textId="7EA4B25D" w:rsidR="005A4AED" w:rsidRPr="001E368B"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0" w:name="_Toc213091414"/>
      <w:bookmarkStart w:id="1" w:name="_Toc213593311"/>
      <w:r w:rsidRPr="001E368B">
        <w:rPr>
          <w:rFonts w:ascii="Arial" w:hAnsi="Arial" w:cs="Arial"/>
          <w:b/>
          <w:bCs/>
          <w:color w:val="000000" w:themeColor="text1"/>
          <w:sz w:val="22"/>
          <w:szCs w:val="22"/>
        </w:rPr>
        <w:t>Person-</w:t>
      </w:r>
      <w:r w:rsidR="00B64A10" w:rsidRPr="001E368B">
        <w:rPr>
          <w:rFonts w:ascii="Arial" w:hAnsi="Arial" w:cs="Arial"/>
          <w:b/>
          <w:bCs/>
          <w:color w:val="000000" w:themeColor="text1"/>
          <w:sz w:val="22"/>
          <w:szCs w:val="22"/>
        </w:rPr>
        <w:t>Centered</w:t>
      </w:r>
      <w:r w:rsidRPr="001E368B">
        <w:rPr>
          <w:rFonts w:ascii="Arial" w:hAnsi="Arial" w:cs="Arial"/>
          <w:b/>
          <w:bCs/>
          <w:color w:val="000000" w:themeColor="text1"/>
          <w:sz w:val="22"/>
          <w:szCs w:val="22"/>
        </w:rPr>
        <w:t xml:space="preserve"> Care</w:t>
      </w:r>
      <w:bookmarkEnd w:id="0"/>
      <w:bookmarkEnd w:id="1"/>
    </w:p>
    <w:p w14:paraId="3F91CEDF" w14:textId="0356F2BD"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is an approach that puts the individual at the </w:t>
      </w:r>
      <w:proofErr w:type="spellStart"/>
      <w:r w:rsidRPr="006054DB">
        <w:rPr>
          <w:rFonts w:ascii="Arial" w:eastAsia="Times New Roman" w:hAnsi="Arial" w:cs="Arial"/>
          <w:kern w:val="0"/>
          <w:sz w:val="22"/>
          <w:szCs w:val="22"/>
          <w14:ligatures w14:val="none"/>
        </w:rPr>
        <w:t>centre</w:t>
      </w:r>
      <w:proofErr w:type="spellEnd"/>
      <w:r w:rsidRPr="006054DB">
        <w:rPr>
          <w:rFonts w:ascii="Arial" w:eastAsia="Times New Roman" w:hAnsi="Arial" w:cs="Arial"/>
          <w:kern w:val="0"/>
          <w:sz w:val="22"/>
          <w:szCs w:val="22"/>
          <w14:ligatures w14:val="none"/>
        </w:rPr>
        <w:t xml:space="preserve"> of any decision that concerns their health and wellbeing (Santana et al., 2018). According to the UK Health Foundation (2016), PCC refers to care that acknowledges the values, preferences and expressed needs of people and encourages dignity, choice and empowerment. On the same note, McCance and McCormack (2025) refer to it as a model that incorporates the beliefs and life experience of individuals into clinical practice, taking into consideration empathy, respect and shared decision-making. Notably, PCC, as a key part of the recovery-orientated practice in mental health services, </w:t>
      </w:r>
      <w:r w:rsidR="00B64A10" w:rsidRPr="006054DB">
        <w:rPr>
          <w:rFonts w:ascii="Arial" w:eastAsia="Times New Roman" w:hAnsi="Arial" w:cs="Arial"/>
          <w:kern w:val="0"/>
          <w:sz w:val="22"/>
          <w:szCs w:val="22"/>
          <w14:ligatures w14:val="none"/>
        </w:rPr>
        <w:t>emphasizes</w:t>
      </w:r>
      <w:r w:rsidRPr="006054DB">
        <w:rPr>
          <w:rFonts w:ascii="Arial" w:eastAsia="Times New Roman" w:hAnsi="Arial" w:cs="Arial"/>
          <w:kern w:val="0"/>
          <w:sz w:val="22"/>
          <w:szCs w:val="22"/>
          <w14:ligatures w14:val="none"/>
        </w:rPr>
        <w:t xml:space="preserve"> strengths, hope and self-determination, rather than symptoms alone, as the primary drivers of recovery (Miller et al., 2017; Jorgensen et al., 2022).</w:t>
      </w:r>
    </w:p>
    <w:p w14:paraId="57BA1395"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The advantages of PCC are well established in research. For instance, Delaney (2018) has observed that collaborative care has been shown to improve service-user satisfaction, treatment compliance and overall health performance. In mental health care, Keogh et al. (2015) believed the patients and their families would be empowered by involving them in decision-making and assessment to reduce relapse and </w:t>
      </w:r>
      <w:proofErr w:type="spellStart"/>
      <w:r w:rsidRPr="006054DB">
        <w:rPr>
          <w:rFonts w:ascii="Arial" w:eastAsia="Times New Roman" w:hAnsi="Arial" w:cs="Arial"/>
          <w:kern w:val="0"/>
          <w:sz w:val="22"/>
          <w:szCs w:val="22"/>
          <w14:ligatures w14:val="none"/>
        </w:rPr>
        <w:t>hospitalisation</w:t>
      </w:r>
      <w:proofErr w:type="spellEnd"/>
      <w:r w:rsidRPr="006054DB">
        <w:rPr>
          <w:rFonts w:ascii="Arial" w:eastAsia="Times New Roman" w:hAnsi="Arial" w:cs="Arial"/>
          <w:kern w:val="0"/>
          <w:sz w:val="22"/>
          <w:szCs w:val="22"/>
          <w14:ligatures w14:val="none"/>
        </w:rPr>
        <w:t xml:space="preserve"> rates.  Moreover, PCC enhances the quality of therapeutic relationships between practitioners and service users. This fosters the spirit of trust and free communication, which are crucial to recovery (</w:t>
      </w:r>
      <w:proofErr w:type="spellStart"/>
      <w:r w:rsidRPr="006054DB">
        <w:rPr>
          <w:rFonts w:ascii="Arial" w:eastAsia="Times New Roman" w:hAnsi="Arial" w:cs="Arial"/>
          <w:kern w:val="0"/>
          <w:sz w:val="22"/>
          <w:szCs w:val="22"/>
          <w14:ligatures w14:val="none"/>
        </w:rPr>
        <w:t>Hamovitch</w:t>
      </w:r>
      <w:proofErr w:type="spellEnd"/>
      <w:r w:rsidRPr="006054DB">
        <w:rPr>
          <w:rFonts w:ascii="Arial" w:eastAsia="Times New Roman" w:hAnsi="Arial" w:cs="Arial"/>
          <w:kern w:val="0"/>
          <w:sz w:val="22"/>
          <w:szCs w:val="22"/>
          <w14:ligatures w14:val="none"/>
        </w:rPr>
        <w:t xml:space="preserve"> et al., 2018; Bajaj, 2025).</w:t>
      </w:r>
    </w:p>
    <w:p w14:paraId="188E1B6A" w14:textId="0436FC2F"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Nevertheless, some challenges have been reported in the implementation of PCC in practice. Crawford et al. (2022) pointed out that practitioners can be constrained by time, staffing, and the absence of training to create meaningful relationships with people. Moreover, it may prove difficult to translate the </w:t>
      </w:r>
      <w:proofErr w:type="spellStart"/>
      <w:r w:rsidRPr="006054DB">
        <w:rPr>
          <w:rFonts w:ascii="Arial" w:eastAsia="Times New Roman" w:hAnsi="Arial" w:cs="Arial"/>
          <w:kern w:val="0"/>
          <w:sz w:val="22"/>
          <w:szCs w:val="22"/>
          <w14:ligatures w14:val="none"/>
        </w:rPr>
        <w:t>organisational</w:t>
      </w:r>
      <w:proofErr w:type="spellEnd"/>
      <w:r w:rsidRPr="006054DB">
        <w:rPr>
          <w:rFonts w:ascii="Arial" w:eastAsia="Times New Roman" w:hAnsi="Arial" w:cs="Arial"/>
          <w:kern w:val="0"/>
          <w:sz w:val="22"/>
          <w:szCs w:val="22"/>
          <w14:ligatures w14:val="none"/>
        </w:rPr>
        <w:t xml:space="preserve"> cultures, which are designated by medical or risk-averse paradigms, into more collaborative mental-health practices (Crowe and Deane, 2018; Ahmed </w:t>
      </w:r>
      <w:r w:rsidRPr="006054DB">
        <w:rPr>
          <w:rFonts w:ascii="Arial" w:eastAsia="Times New Roman" w:hAnsi="Arial" w:cs="Arial"/>
          <w:kern w:val="0"/>
          <w:sz w:val="22"/>
          <w:szCs w:val="22"/>
          <w14:ligatures w14:val="none"/>
        </w:rPr>
        <w:lastRenderedPageBreak/>
        <w:t>et al., 2021). Also, not every service user is confident enough to contribute fully, and due to this, may require sensitive communication and advocacy (</w:t>
      </w:r>
      <w:proofErr w:type="spellStart"/>
      <w:r w:rsidRPr="006054DB">
        <w:rPr>
          <w:rFonts w:ascii="Arial" w:eastAsia="Times New Roman" w:hAnsi="Arial" w:cs="Arial"/>
          <w:kern w:val="0"/>
          <w:sz w:val="22"/>
          <w:szCs w:val="22"/>
          <w14:ligatures w14:val="none"/>
        </w:rPr>
        <w:t>Ocloo</w:t>
      </w:r>
      <w:proofErr w:type="spellEnd"/>
      <w:r w:rsidRPr="006054DB">
        <w:rPr>
          <w:rFonts w:ascii="Arial" w:eastAsia="Times New Roman" w:hAnsi="Arial" w:cs="Arial"/>
          <w:kern w:val="0"/>
          <w:sz w:val="22"/>
          <w:szCs w:val="22"/>
          <w14:ligatures w14:val="none"/>
        </w:rPr>
        <w:t xml:space="preserve"> et al., 2021). Irrespective of these constraints, a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approach is still the core of ethical and effective mental health care; therefore, interventions are not merely clinically sound but consistent with what matters the most to an individual (</w:t>
      </w:r>
      <w:proofErr w:type="spellStart"/>
      <w:r w:rsidRPr="006054DB">
        <w:rPr>
          <w:rFonts w:ascii="Arial" w:eastAsia="Times New Roman" w:hAnsi="Arial" w:cs="Arial"/>
          <w:kern w:val="0"/>
          <w:sz w:val="22"/>
          <w:szCs w:val="22"/>
          <w14:ligatures w14:val="none"/>
        </w:rPr>
        <w:t>Hormazabal</w:t>
      </w:r>
      <w:proofErr w:type="spellEnd"/>
      <w:r w:rsidRPr="006054DB">
        <w:rPr>
          <w:rFonts w:ascii="Arial" w:eastAsia="Times New Roman" w:hAnsi="Arial" w:cs="Arial"/>
          <w:kern w:val="0"/>
          <w:sz w:val="22"/>
          <w:szCs w:val="22"/>
          <w14:ligatures w14:val="none"/>
        </w:rPr>
        <w:t>-Salgado et al., 2024).</w:t>
      </w:r>
    </w:p>
    <w:p w14:paraId="1EBE74A5" w14:textId="40C0ED73" w:rsidR="005A4AED" w:rsidRPr="00330036"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2" w:name="_Toc213091415"/>
      <w:bookmarkStart w:id="3" w:name="_Toc213593312"/>
      <w:r w:rsidRPr="7E6ABF50">
        <w:rPr>
          <w:rFonts w:ascii="Arial" w:hAnsi="Arial" w:cs="Arial"/>
          <w:b/>
          <w:bCs/>
          <w:color w:val="000000" w:themeColor="text1"/>
          <w:sz w:val="22"/>
          <w:szCs w:val="22"/>
        </w:rPr>
        <w:t>Theoretical Models Underpinning Person-</w:t>
      </w:r>
      <w:r w:rsidR="00B64A10" w:rsidRPr="7E6ABF50">
        <w:rPr>
          <w:rFonts w:ascii="Arial" w:hAnsi="Arial" w:cs="Arial"/>
          <w:b/>
          <w:bCs/>
          <w:color w:val="000000" w:themeColor="text1"/>
          <w:sz w:val="22"/>
          <w:szCs w:val="22"/>
        </w:rPr>
        <w:t>Centered</w:t>
      </w:r>
      <w:r w:rsidRPr="7E6ABF50">
        <w:rPr>
          <w:rFonts w:ascii="Arial" w:hAnsi="Arial" w:cs="Arial"/>
          <w:b/>
          <w:bCs/>
          <w:color w:val="000000" w:themeColor="text1"/>
          <w:sz w:val="22"/>
          <w:szCs w:val="22"/>
        </w:rPr>
        <w:t xml:space="preserve"> Care</w:t>
      </w:r>
      <w:bookmarkEnd w:id="2"/>
      <w:bookmarkEnd w:id="3"/>
    </w:p>
    <w:p w14:paraId="0B8DAE31" w14:textId="07608A99"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The concept of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is supported by </w:t>
      </w:r>
      <w:proofErr w:type="gramStart"/>
      <w:r w:rsidRPr="006054DB">
        <w:rPr>
          <w:rFonts w:ascii="Arial" w:eastAsia="Times New Roman" w:hAnsi="Arial" w:cs="Arial"/>
          <w:kern w:val="0"/>
          <w:sz w:val="22"/>
          <w:szCs w:val="22"/>
          <w14:ligatures w14:val="none"/>
        </w:rPr>
        <w:t>a number of</w:t>
      </w:r>
      <w:proofErr w:type="gramEnd"/>
      <w:r w:rsidRPr="006054DB">
        <w:rPr>
          <w:rFonts w:ascii="Arial" w:eastAsia="Times New Roman" w:hAnsi="Arial" w:cs="Arial"/>
          <w:kern w:val="0"/>
          <w:sz w:val="22"/>
          <w:szCs w:val="22"/>
          <w14:ligatures w14:val="none"/>
        </w:rPr>
        <w:t xml:space="preserve"> theoretical frameworks that </w:t>
      </w:r>
      <w:proofErr w:type="spellStart"/>
      <w:r w:rsidRPr="006054DB">
        <w:rPr>
          <w:rFonts w:ascii="Arial" w:eastAsia="Times New Roman" w:hAnsi="Arial" w:cs="Arial"/>
          <w:kern w:val="0"/>
          <w:sz w:val="22"/>
          <w:szCs w:val="22"/>
          <w14:ligatures w14:val="none"/>
        </w:rPr>
        <w:t>prioritise</w:t>
      </w:r>
      <w:proofErr w:type="spellEnd"/>
      <w:r w:rsidRPr="006054DB">
        <w:rPr>
          <w:rFonts w:ascii="Arial" w:eastAsia="Times New Roman" w:hAnsi="Arial" w:cs="Arial"/>
          <w:kern w:val="0"/>
          <w:sz w:val="22"/>
          <w:szCs w:val="22"/>
          <w14:ligatures w14:val="none"/>
        </w:rPr>
        <w:t xml:space="preserve"> the role of autonomy, holistic wellbeing and relational understanding of the individual. Carl Rogers's (1951) humanistic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theory is one of the most impactful, as it claims that people possess an inherent predisposition to growth and self-</w:t>
      </w:r>
      <w:proofErr w:type="spellStart"/>
      <w:r w:rsidRPr="006054DB">
        <w:rPr>
          <w:rFonts w:ascii="Arial" w:eastAsia="Times New Roman" w:hAnsi="Arial" w:cs="Arial"/>
          <w:kern w:val="0"/>
          <w:sz w:val="22"/>
          <w:szCs w:val="22"/>
          <w14:ligatures w14:val="none"/>
        </w:rPr>
        <w:t>actualisation</w:t>
      </w:r>
      <w:proofErr w:type="spellEnd"/>
      <w:r w:rsidRPr="006054DB">
        <w:rPr>
          <w:rFonts w:ascii="Arial" w:eastAsia="Times New Roman" w:hAnsi="Arial" w:cs="Arial"/>
          <w:kern w:val="0"/>
          <w:sz w:val="22"/>
          <w:szCs w:val="22"/>
          <w14:ligatures w14:val="none"/>
        </w:rPr>
        <w:t xml:space="preserve">, provided they are assisted in this process through empathy, unconditional positive regard and genuineness. This is particularly in line with the ethos of PCC, in which practitioners establish a culture of psychological safety through which service users are encouraged to share their values, needs and goals (McCance and McCormack, 2025). Such relational depth, when applied in mental health care, can enable service users to have control of their recovery. This process is echoed in the Recovery Model, </w:t>
      </w:r>
      <w:proofErr w:type="spellStart"/>
      <w:r w:rsidRPr="006054DB">
        <w:rPr>
          <w:rFonts w:ascii="Arial" w:eastAsia="Times New Roman" w:hAnsi="Arial" w:cs="Arial"/>
          <w:kern w:val="0"/>
          <w:sz w:val="22"/>
          <w:szCs w:val="22"/>
          <w14:ligatures w14:val="none"/>
        </w:rPr>
        <w:t>prioritising</w:t>
      </w:r>
      <w:proofErr w:type="spellEnd"/>
      <w:r w:rsidRPr="006054DB">
        <w:rPr>
          <w:rFonts w:ascii="Arial" w:eastAsia="Times New Roman" w:hAnsi="Arial" w:cs="Arial"/>
          <w:kern w:val="0"/>
          <w:sz w:val="22"/>
          <w:szCs w:val="22"/>
          <w14:ligatures w14:val="none"/>
        </w:rPr>
        <w:t xml:space="preserve"> hope, rebuilding self-agency, and identity (Slade, 2015, cited in Cruwys et al., 2020).</w:t>
      </w:r>
    </w:p>
    <w:p w14:paraId="556055E1"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Maslow's Hierarchy of Needs (1943) is another applicable framework that describes human motivation as a ladder of physiological necessities to self-</w:t>
      </w:r>
      <w:proofErr w:type="spellStart"/>
      <w:r w:rsidRPr="006054DB">
        <w:rPr>
          <w:rFonts w:ascii="Arial" w:eastAsia="Times New Roman" w:hAnsi="Arial" w:cs="Arial"/>
          <w:kern w:val="0"/>
          <w:sz w:val="22"/>
          <w:szCs w:val="22"/>
          <w14:ligatures w14:val="none"/>
        </w:rPr>
        <w:t>actualisation</w:t>
      </w:r>
      <w:proofErr w:type="spellEnd"/>
      <w:r w:rsidRPr="006054DB">
        <w:rPr>
          <w:rFonts w:ascii="Arial" w:eastAsia="Times New Roman" w:hAnsi="Arial" w:cs="Arial"/>
          <w:kern w:val="0"/>
          <w:sz w:val="22"/>
          <w:szCs w:val="22"/>
          <w14:ligatures w14:val="none"/>
        </w:rPr>
        <w:t>. PCC also fits this theory since the care plans are made in such a way that they not only cover medical or psychological symptoms but also social belonging, esteem and purpose. This can be applied to mental health services, where the promotion of autonomy over medication or daily routine can satisfy esteem and control needs, which are essential to recovery (</w:t>
      </w:r>
      <w:proofErr w:type="spellStart"/>
      <w:r w:rsidRPr="006054DB">
        <w:rPr>
          <w:rFonts w:ascii="Arial" w:eastAsia="Times New Roman" w:hAnsi="Arial" w:cs="Arial"/>
          <w:kern w:val="0"/>
          <w:sz w:val="22"/>
          <w:szCs w:val="22"/>
          <w14:ligatures w14:val="none"/>
        </w:rPr>
        <w:t>Bergamin</w:t>
      </w:r>
      <w:proofErr w:type="spellEnd"/>
      <w:r w:rsidRPr="006054DB">
        <w:rPr>
          <w:rFonts w:ascii="Arial" w:eastAsia="Times New Roman" w:hAnsi="Arial" w:cs="Arial"/>
          <w:kern w:val="0"/>
          <w:sz w:val="22"/>
          <w:szCs w:val="22"/>
          <w14:ligatures w14:val="none"/>
        </w:rPr>
        <w:t xml:space="preserve"> et al., 2022; </w:t>
      </w:r>
      <w:proofErr w:type="spellStart"/>
      <w:r w:rsidRPr="006054DB">
        <w:rPr>
          <w:rFonts w:ascii="Arial" w:eastAsia="Times New Roman" w:hAnsi="Arial" w:cs="Arial"/>
          <w:kern w:val="0"/>
          <w:sz w:val="22"/>
          <w:szCs w:val="22"/>
          <w14:ligatures w14:val="none"/>
        </w:rPr>
        <w:t>Orjasaeter</w:t>
      </w:r>
      <w:proofErr w:type="spellEnd"/>
      <w:r w:rsidRPr="006054DB">
        <w:rPr>
          <w:rFonts w:ascii="Arial" w:eastAsia="Times New Roman" w:hAnsi="Arial" w:cs="Arial"/>
          <w:kern w:val="0"/>
          <w:sz w:val="22"/>
          <w:szCs w:val="22"/>
          <w14:ligatures w14:val="none"/>
        </w:rPr>
        <w:t xml:space="preserve"> and </w:t>
      </w:r>
      <w:proofErr w:type="spellStart"/>
      <w:r w:rsidRPr="006054DB">
        <w:rPr>
          <w:rFonts w:ascii="Arial" w:eastAsia="Times New Roman" w:hAnsi="Arial" w:cs="Arial"/>
          <w:kern w:val="0"/>
          <w:sz w:val="22"/>
          <w:szCs w:val="22"/>
          <w14:ligatures w14:val="none"/>
        </w:rPr>
        <w:t>Almvik</w:t>
      </w:r>
      <w:proofErr w:type="spellEnd"/>
      <w:r w:rsidRPr="006054DB">
        <w:rPr>
          <w:rFonts w:ascii="Arial" w:eastAsia="Times New Roman" w:hAnsi="Arial" w:cs="Arial"/>
          <w:kern w:val="0"/>
          <w:sz w:val="22"/>
          <w:szCs w:val="22"/>
          <w14:ligatures w14:val="none"/>
        </w:rPr>
        <w:t>, 2022).</w:t>
      </w:r>
    </w:p>
    <w:p w14:paraId="6BCB8EE6"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Nevertheless, though these theories have good conceptual underpinnings, the practical implementation may prove complicated. The therapeutic conditions described by Rogers depend on the emotional intelligence of practitioners and available time to engage meaningfully (Bayliss-Conway et al., 2021). The result is overstretched mental-health teams that are frequently faced with constrained resources. Besides, the hierarchical structure of the Maslow model might reduce the complexity of the lived experience of mental distress, which is not necessarily linear (Rojas et al., 2023). However, the two theories focus on respect, empowerment and holistic understanding, which are fundamental values that guide PCC and support the existing policy priorities in the UK as stipulated by the Care Act 2014 and Health and Care Act 2022.</w:t>
      </w:r>
    </w:p>
    <w:p w14:paraId="7B35F88D" w14:textId="2BAA8736" w:rsidR="005A4AED" w:rsidRPr="00330036"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4" w:name="_Toc213091416"/>
      <w:bookmarkStart w:id="5" w:name="_Toc213593313"/>
      <w:r w:rsidRPr="7E6ABF50">
        <w:rPr>
          <w:rFonts w:ascii="Arial" w:hAnsi="Arial" w:cs="Arial"/>
          <w:b/>
          <w:bCs/>
          <w:color w:val="000000" w:themeColor="text1"/>
          <w:sz w:val="22"/>
          <w:szCs w:val="22"/>
        </w:rPr>
        <w:lastRenderedPageBreak/>
        <w:t>Ethical Fundamentals in Health and Social Care</w:t>
      </w:r>
      <w:bookmarkEnd w:id="4"/>
      <w:bookmarkEnd w:id="5"/>
      <w:r w:rsidRPr="7E6ABF50">
        <w:rPr>
          <w:rFonts w:ascii="Arial" w:hAnsi="Arial" w:cs="Arial"/>
          <w:b/>
          <w:bCs/>
          <w:color w:val="000000" w:themeColor="text1"/>
          <w:sz w:val="22"/>
          <w:szCs w:val="22"/>
        </w:rPr>
        <w:t xml:space="preserve"> </w:t>
      </w:r>
    </w:p>
    <w:p w14:paraId="608D21BF" w14:textId="1AA30D95"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The normative framework of clinical judgement and service design of mental-health care is established </w:t>
      </w:r>
      <w:proofErr w:type="gramStart"/>
      <w:r w:rsidRPr="006054DB">
        <w:rPr>
          <w:rFonts w:ascii="Arial" w:eastAsia="Times New Roman" w:hAnsi="Arial" w:cs="Arial"/>
          <w:kern w:val="0"/>
          <w:sz w:val="22"/>
          <w:szCs w:val="22"/>
          <w14:ligatures w14:val="none"/>
        </w:rPr>
        <w:t>on the basis of</w:t>
      </w:r>
      <w:proofErr w:type="gramEnd"/>
      <w:r w:rsidRPr="006054DB">
        <w:rPr>
          <w:rFonts w:ascii="Arial" w:eastAsia="Times New Roman" w:hAnsi="Arial" w:cs="Arial"/>
          <w:kern w:val="0"/>
          <w:sz w:val="22"/>
          <w:szCs w:val="22"/>
          <w14:ligatures w14:val="none"/>
        </w:rPr>
        <w:t xml:space="preserve"> ethical principles. A common and popular method of interpreting ethical dilemmas is the four-</w:t>
      </w:r>
      <w:proofErr w:type="gramStart"/>
      <w:r w:rsidRPr="006054DB">
        <w:rPr>
          <w:rFonts w:ascii="Arial" w:eastAsia="Times New Roman" w:hAnsi="Arial" w:cs="Arial"/>
          <w:kern w:val="0"/>
          <w:sz w:val="22"/>
          <w:szCs w:val="22"/>
          <w14:ligatures w14:val="none"/>
        </w:rPr>
        <w:t>principle</w:t>
      </w:r>
      <w:proofErr w:type="gramEnd"/>
      <w:r w:rsidRPr="006054DB">
        <w:rPr>
          <w:rFonts w:ascii="Arial" w:eastAsia="Times New Roman" w:hAnsi="Arial" w:cs="Arial"/>
          <w:kern w:val="0"/>
          <w:sz w:val="22"/>
          <w:szCs w:val="22"/>
          <w14:ligatures w14:val="none"/>
        </w:rPr>
        <w:t xml:space="preserve"> approach, i.e., autonomy, beneficence, non-maleficence and justice (Beauchamp and Childress, 2019). </w:t>
      </w:r>
      <w:proofErr w:type="gramStart"/>
      <w:r w:rsidRPr="006054DB">
        <w:rPr>
          <w:rFonts w:ascii="Arial" w:eastAsia="Times New Roman" w:hAnsi="Arial" w:cs="Arial"/>
          <w:kern w:val="0"/>
          <w:sz w:val="22"/>
          <w:szCs w:val="22"/>
          <w14:ligatures w14:val="none"/>
        </w:rPr>
        <w:t>In reality, these</w:t>
      </w:r>
      <w:proofErr w:type="gramEnd"/>
      <w:r w:rsidRPr="006054DB">
        <w:rPr>
          <w:rFonts w:ascii="Arial" w:eastAsia="Times New Roman" w:hAnsi="Arial" w:cs="Arial"/>
          <w:kern w:val="0"/>
          <w:sz w:val="22"/>
          <w:szCs w:val="22"/>
          <w14:ligatures w14:val="none"/>
        </w:rPr>
        <w:t xml:space="preserve"> principles do not sit well in isolation, but </w:t>
      </w:r>
      <w:proofErr w:type="gramStart"/>
      <w:r w:rsidRPr="006054DB">
        <w:rPr>
          <w:rFonts w:ascii="Arial" w:eastAsia="Times New Roman" w:hAnsi="Arial" w:cs="Arial"/>
          <w:kern w:val="0"/>
          <w:sz w:val="22"/>
          <w:szCs w:val="22"/>
          <w14:ligatures w14:val="none"/>
        </w:rPr>
        <w:t>the conflicts</w:t>
      </w:r>
      <w:proofErr w:type="gramEnd"/>
      <w:r w:rsidRPr="006054DB">
        <w:rPr>
          <w:rFonts w:ascii="Arial" w:eastAsia="Times New Roman" w:hAnsi="Arial" w:cs="Arial"/>
          <w:kern w:val="0"/>
          <w:sz w:val="22"/>
          <w:szCs w:val="22"/>
          <w14:ligatures w14:val="none"/>
        </w:rPr>
        <w:t xml:space="preserve"> between them are very common in mental-health practice. This explains why ethics needs to be actively </w:t>
      </w:r>
      <w:proofErr w:type="spellStart"/>
      <w:r w:rsidRPr="006054DB">
        <w:rPr>
          <w:rFonts w:ascii="Arial" w:eastAsia="Times New Roman" w:hAnsi="Arial" w:cs="Arial"/>
          <w:kern w:val="0"/>
          <w:sz w:val="22"/>
          <w:szCs w:val="22"/>
          <w14:ligatures w14:val="none"/>
        </w:rPr>
        <w:t>operationalised</w:t>
      </w:r>
      <w:proofErr w:type="spellEnd"/>
      <w:r w:rsidRPr="006054DB">
        <w:rPr>
          <w:rFonts w:ascii="Arial" w:eastAsia="Times New Roman" w:hAnsi="Arial" w:cs="Arial"/>
          <w:kern w:val="0"/>
          <w:sz w:val="22"/>
          <w:szCs w:val="22"/>
          <w14:ligatures w14:val="none"/>
        </w:rPr>
        <w:t xml:space="preserve"> within the context of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and partnership working (PW).</w:t>
      </w:r>
    </w:p>
    <w:p w14:paraId="21548537"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According to studies, mental health practice poses an exceptionally problematic case of autonomy due to the variability of capacity and potentially biased decisions based on the symptoms (Wergeland et al., 2022; </w:t>
      </w:r>
      <w:proofErr w:type="spellStart"/>
      <w:r w:rsidRPr="006054DB">
        <w:rPr>
          <w:rFonts w:ascii="Arial" w:eastAsia="Times New Roman" w:hAnsi="Arial" w:cs="Arial"/>
          <w:kern w:val="0"/>
          <w:sz w:val="22"/>
          <w:szCs w:val="22"/>
          <w14:ligatures w14:val="none"/>
        </w:rPr>
        <w:t>Grosselin</w:t>
      </w:r>
      <w:proofErr w:type="spellEnd"/>
      <w:r w:rsidRPr="006054DB">
        <w:rPr>
          <w:rFonts w:ascii="Arial" w:eastAsia="Times New Roman" w:hAnsi="Arial" w:cs="Arial"/>
          <w:kern w:val="0"/>
          <w:sz w:val="22"/>
          <w:szCs w:val="22"/>
          <w14:ligatures w14:val="none"/>
        </w:rPr>
        <w:t xml:space="preserve">, 2024). Although procedural safeguards are anticipated by the Mental Capacity Act 2005, clinicians continue to experience dilemmas when a service user with psychosis declines treatment which is deemed by the professionals as necessary to avoid deterioration (Kane et al., 2022). The PCC approach aims at enhancing autonomy by promoting decision-making supported by plain language, decision aids, and advocates (Peterson et al., 2021). Nevertheless, the involvement of PW (multi-disciplinary assessment, family involvement, advocates) in the presence of capacity or acute risk may lead to the </w:t>
      </w:r>
      <w:proofErr w:type="spellStart"/>
      <w:r w:rsidRPr="006054DB">
        <w:rPr>
          <w:rFonts w:ascii="Arial" w:eastAsia="Times New Roman" w:hAnsi="Arial" w:cs="Arial"/>
          <w:kern w:val="0"/>
          <w:sz w:val="22"/>
          <w:szCs w:val="22"/>
          <w14:ligatures w14:val="none"/>
        </w:rPr>
        <w:t>minimisation</w:t>
      </w:r>
      <w:proofErr w:type="spellEnd"/>
      <w:r w:rsidRPr="006054DB">
        <w:rPr>
          <w:rFonts w:ascii="Arial" w:eastAsia="Times New Roman" w:hAnsi="Arial" w:cs="Arial"/>
          <w:kern w:val="0"/>
          <w:sz w:val="22"/>
          <w:szCs w:val="22"/>
          <w14:ligatures w14:val="none"/>
        </w:rPr>
        <w:t xml:space="preserve"> of unilateral, paternalistic reactions and offer ethically justifiable, least-restrictive alternatives (Davies, 2016; Jacobs and Mkhize, 2021).</w:t>
      </w:r>
    </w:p>
    <w:p w14:paraId="428746E1"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Moreover, beneficence and non-maleficence dictate that interventions should be helpful and not harmful (Beauchamp &amp; Childress, 2019). This aspect of mental health practice involves a lack of restrictive measures (seclusion, restraint) unless it is necessary (</w:t>
      </w:r>
      <w:proofErr w:type="spellStart"/>
      <w:r w:rsidRPr="006054DB">
        <w:rPr>
          <w:rFonts w:ascii="Arial" w:eastAsia="Times New Roman" w:hAnsi="Arial" w:cs="Arial"/>
          <w:kern w:val="0"/>
          <w:sz w:val="22"/>
          <w:szCs w:val="22"/>
          <w14:ligatures w14:val="none"/>
        </w:rPr>
        <w:t>Manderius</w:t>
      </w:r>
      <w:proofErr w:type="spellEnd"/>
      <w:r w:rsidRPr="006054DB">
        <w:rPr>
          <w:rFonts w:ascii="Arial" w:eastAsia="Times New Roman" w:hAnsi="Arial" w:cs="Arial"/>
          <w:kern w:val="0"/>
          <w:sz w:val="22"/>
          <w:szCs w:val="22"/>
          <w14:ligatures w14:val="none"/>
        </w:rPr>
        <w:t xml:space="preserve"> et al., 2023). Consequently, there is some evidence that collaborative planning and de-escalation can help to reduce harm (</w:t>
      </w:r>
      <w:proofErr w:type="spellStart"/>
      <w:r w:rsidRPr="006054DB">
        <w:rPr>
          <w:rFonts w:ascii="Arial" w:eastAsia="Times New Roman" w:hAnsi="Arial" w:cs="Arial"/>
          <w:kern w:val="0"/>
          <w:sz w:val="22"/>
          <w:szCs w:val="22"/>
          <w14:ligatures w14:val="none"/>
        </w:rPr>
        <w:t>Alnemari</w:t>
      </w:r>
      <w:proofErr w:type="spellEnd"/>
      <w:r w:rsidRPr="006054DB">
        <w:rPr>
          <w:rFonts w:ascii="Arial" w:eastAsia="Times New Roman" w:hAnsi="Arial" w:cs="Arial"/>
          <w:kern w:val="0"/>
          <w:sz w:val="22"/>
          <w:szCs w:val="22"/>
          <w14:ligatures w14:val="none"/>
        </w:rPr>
        <w:t xml:space="preserve"> et al., 2024; </w:t>
      </w:r>
      <w:proofErr w:type="spellStart"/>
      <w:r w:rsidRPr="006054DB">
        <w:rPr>
          <w:rFonts w:ascii="Arial" w:eastAsia="Times New Roman" w:hAnsi="Arial" w:cs="Arial"/>
          <w:kern w:val="0"/>
          <w:sz w:val="22"/>
          <w:szCs w:val="22"/>
          <w14:ligatures w14:val="none"/>
        </w:rPr>
        <w:t>Daguma</w:t>
      </w:r>
      <w:proofErr w:type="spellEnd"/>
      <w:r w:rsidRPr="006054DB">
        <w:rPr>
          <w:rFonts w:ascii="Arial" w:eastAsia="Times New Roman" w:hAnsi="Arial" w:cs="Arial"/>
          <w:kern w:val="0"/>
          <w:sz w:val="22"/>
          <w:szCs w:val="22"/>
          <w14:ligatures w14:val="none"/>
        </w:rPr>
        <w:t xml:space="preserve"> et al., 2025). Similarly, PW makes it possible to conduct stronger risk appraisal and responsibility sharing (Loban et al., 2021). This assistance diminishes the chances of questionable, expedient judgements of individual practitioners.</w:t>
      </w:r>
    </w:p>
    <w:p w14:paraId="5AB6EC8B"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Also, justice (distributive and relational) also applies due to continuous inequalities in accessibility and </w:t>
      </w:r>
      <w:proofErr w:type="spellStart"/>
      <w:r w:rsidRPr="006054DB">
        <w:rPr>
          <w:rFonts w:ascii="Arial" w:eastAsia="Times New Roman" w:hAnsi="Arial" w:cs="Arial"/>
          <w:kern w:val="0"/>
          <w:sz w:val="22"/>
          <w:szCs w:val="22"/>
          <w14:ligatures w14:val="none"/>
        </w:rPr>
        <w:t>stigmatisation</w:t>
      </w:r>
      <w:proofErr w:type="spellEnd"/>
      <w:r w:rsidRPr="006054DB">
        <w:rPr>
          <w:rFonts w:ascii="Arial" w:eastAsia="Times New Roman" w:hAnsi="Arial" w:cs="Arial"/>
          <w:kern w:val="0"/>
          <w:sz w:val="22"/>
          <w:szCs w:val="22"/>
          <w14:ligatures w14:val="none"/>
        </w:rPr>
        <w:t xml:space="preserve"> of mental-health service users (Ngui et al., 2010; Lowther-Payne et al., 2023). As a result, systematic injustice (under-resourcing, postcode variation) results in ethical gaps that cannot be addressed individually by a clinical worker (Smith et al., 2025). Policy frameworks like the Health and Care Act 2022, which encourage integrated care systems, are ethically applicable in this situation since they seek to manage structural inequities.</w:t>
      </w:r>
    </w:p>
    <w:p w14:paraId="369D834A" w14:textId="3632A810" w:rsidR="005A4AED" w:rsidRPr="00330036"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6" w:name="_Toc213091417"/>
      <w:bookmarkStart w:id="7" w:name="_Toc213593314"/>
      <w:r w:rsidRPr="7E6ABF50">
        <w:rPr>
          <w:rFonts w:ascii="Arial" w:hAnsi="Arial" w:cs="Arial"/>
          <w:b/>
          <w:bCs/>
          <w:color w:val="000000" w:themeColor="text1"/>
          <w:sz w:val="22"/>
          <w:szCs w:val="22"/>
        </w:rPr>
        <w:lastRenderedPageBreak/>
        <w:t>Evaluation of Partnership Working</w:t>
      </w:r>
      <w:bookmarkEnd w:id="6"/>
      <w:bookmarkEnd w:id="7"/>
      <w:r w:rsidRPr="7E6ABF50">
        <w:rPr>
          <w:rFonts w:ascii="Arial" w:hAnsi="Arial" w:cs="Arial"/>
          <w:b/>
          <w:bCs/>
          <w:color w:val="000000" w:themeColor="text1"/>
          <w:sz w:val="22"/>
          <w:szCs w:val="22"/>
        </w:rPr>
        <w:t xml:space="preserve"> </w:t>
      </w:r>
    </w:p>
    <w:p w14:paraId="53C26BD9"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Partnership working (PW) is defined as a collaboration between professionals, </w:t>
      </w:r>
      <w:proofErr w:type="spellStart"/>
      <w:r w:rsidRPr="006054DB">
        <w:rPr>
          <w:rFonts w:ascii="Arial" w:eastAsia="Times New Roman" w:hAnsi="Arial" w:cs="Arial"/>
          <w:kern w:val="0"/>
          <w:sz w:val="22"/>
          <w:szCs w:val="22"/>
          <w14:ligatures w14:val="none"/>
        </w:rPr>
        <w:t>organisations</w:t>
      </w:r>
      <w:proofErr w:type="spellEnd"/>
      <w:r w:rsidRPr="006054DB">
        <w:rPr>
          <w:rFonts w:ascii="Arial" w:eastAsia="Times New Roman" w:hAnsi="Arial" w:cs="Arial"/>
          <w:kern w:val="0"/>
          <w:sz w:val="22"/>
          <w:szCs w:val="22"/>
          <w14:ligatures w14:val="none"/>
        </w:rPr>
        <w:t xml:space="preserve">, and service users to plan, provide, and assess care that will satisfy individual and community needs (Davies, 2016; Wilson &amp; </w:t>
      </w:r>
      <w:proofErr w:type="spellStart"/>
      <w:r w:rsidRPr="006054DB">
        <w:rPr>
          <w:rFonts w:ascii="Arial" w:eastAsia="Times New Roman" w:hAnsi="Arial" w:cs="Arial"/>
          <w:kern w:val="0"/>
          <w:sz w:val="22"/>
          <w:szCs w:val="22"/>
          <w14:ligatures w14:val="none"/>
        </w:rPr>
        <w:t>Mavhandu-Mudzusi</w:t>
      </w:r>
      <w:proofErr w:type="spellEnd"/>
      <w:r w:rsidRPr="006054DB">
        <w:rPr>
          <w:rFonts w:ascii="Arial" w:eastAsia="Times New Roman" w:hAnsi="Arial" w:cs="Arial"/>
          <w:kern w:val="0"/>
          <w:sz w:val="22"/>
          <w:szCs w:val="22"/>
          <w14:ligatures w14:val="none"/>
        </w:rPr>
        <w:t xml:space="preserve">, 2019; CQC, 2025). Thompson et al. (2024) describe the requirements of successful PW as shared objectives, mutual respect, and decision-making across the health and social care borders. In the Health and Care Act 2022, the principle is applied by creating Integrated Care Systems (ICSs) to enhance population health and eliminate inequalities through collaboration between the NHS, local authorities, and community </w:t>
      </w:r>
      <w:proofErr w:type="spellStart"/>
      <w:r w:rsidRPr="006054DB">
        <w:rPr>
          <w:rFonts w:ascii="Arial" w:eastAsia="Times New Roman" w:hAnsi="Arial" w:cs="Arial"/>
          <w:kern w:val="0"/>
          <w:sz w:val="22"/>
          <w:szCs w:val="22"/>
          <w14:ligatures w14:val="none"/>
        </w:rPr>
        <w:t>organisations</w:t>
      </w:r>
      <w:proofErr w:type="spellEnd"/>
      <w:r w:rsidRPr="006054DB">
        <w:rPr>
          <w:rFonts w:ascii="Arial" w:eastAsia="Times New Roman" w:hAnsi="Arial" w:cs="Arial"/>
          <w:kern w:val="0"/>
          <w:sz w:val="22"/>
          <w:szCs w:val="22"/>
          <w14:ligatures w14:val="none"/>
        </w:rPr>
        <w:t>. This kind of integration is vital in mental health services since service users usually need the multi-agency input to meet clinical, social, and occupational needs (Trevillion et al., 2022; Crellin et al., 2025).</w:t>
      </w:r>
    </w:p>
    <w:p w14:paraId="64B045FC"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The advantages of PW are strongly evidenced in literature. For instance, Campagna and Lee-Riley (2025) stated that collaborative practice improves the continuity of care, duplication reduction, and holistic, coordinated service provision to the service users. Thus, interprofessional collaboration in the context of mental health can be effective in achieving better crisis management and recovery outcomes when psychiatrists, social workers, occupational therapists, and community nurses collaborate (Rosen et al., 2021). Additional researchers have argued that joint care planning encourages </w:t>
      </w:r>
      <w:proofErr w:type="gramStart"/>
      <w:r w:rsidRPr="006054DB">
        <w:rPr>
          <w:rFonts w:ascii="Arial" w:eastAsia="Times New Roman" w:hAnsi="Arial" w:cs="Arial"/>
          <w:kern w:val="0"/>
          <w:sz w:val="22"/>
          <w:szCs w:val="22"/>
          <w14:ligatures w14:val="none"/>
        </w:rPr>
        <w:t>an early</w:t>
      </w:r>
      <w:proofErr w:type="gramEnd"/>
      <w:r w:rsidRPr="006054DB">
        <w:rPr>
          <w:rFonts w:ascii="Arial" w:eastAsia="Times New Roman" w:hAnsi="Arial" w:cs="Arial"/>
          <w:kern w:val="0"/>
          <w:sz w:val="22"/>
          <w:szCs w:val="22"/>
          <w14:ligatures w14:val="none"/>
        </w:rPr>
        <w:t xml:space="preserve"> intervention and aids in relapse prevention. This is achieved by making sure that the psychosocial determinants such as housing, employment, and social inclusion are incorporated in conjunction with the medical treatment (</w:t>
      </w:r>
      <w:proofErr w:type="spellStart"/>
      <w:r w:rsidRPr="006054DB">
        <w:rPr>
          <w:rFonts w:ascii="Arial" w:eastAsia="Times New Roman" w:hAnsi="Arial" w:cs="Arial"/>
          <w:kern w:val="0"/>
          <w:sz w:val="22"/>
          <w:szCs w:val="22"/>
          <w14:ligatures w14:val="none"/>
        </w:rPr>
        <w:t>Branjerdporn</w:t>
      </w:r>
      <w:proofErr w:type="spellEnd"/>
      <w:r w:rsidRPr="006054DB">
        <w:rPr>
          <w:rFonts w:ascii="Arial" w:eastAsia="Times New Roman" w:hAnsi="Arial" w:cs="Arial"/>
          <w:kern w:val="0"/>
          <w:sz w:val="22"/>
          <w:szCs w:val="22"/>
          <w14:ligatures w14:val="none"/>
        </w:rPr>
        <w:t xml:space="preserve"> et al., 2023; Gulbransen et al., 2024). PW also promotes ethical practice since it spreads responsibility and </w:t>
      </w:r>
      <w:proofErr w:type="spellStart"/>
      <w:r w:rsidRPr="006054DB">
        <w:rPr>
          <w:rFonts w:ascii="Arial" w:eastAsia="Times New Roman" w:hAnsi="Arial" w:cs="Arial"/>
          <w:kern w:val="0"/>
          <w:sz w:val="22"/>
          <w:szCs w:val="22"/>
          <w14:ligatures w14:val="none"/>
        </w:rPr>
        <w:t>minimises</w:t>
      </w:r>
      <w:proofErr w:type="spellEnd"/>
      <w:r w:rsidRPr="006054DB">
        <w:rPr>
          <w:rFonts w:ascii="Arial" w:eastAsia="Times New Roman" w:hAnsi="Arial" w:cs="Arial"/>
          <w:kern w:val="0"/>
          <w:sz w:val="22"/>
          <w:szCs w:val="22"/>
          <w14:ligatures w14:val="none"/>
        </w:rPr>
        <w:t xml:space="preserve"> the chances of unilateral decisions, which can undermine autonomy or justice (Hudson, 2021).</w:t>
      </w:r>
    </w:p>
    <w:p w14:paraId="5979D2CD"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Nevertheless, PW also has its drawbacks. Research suggests that </w:t>
      </w:r>
      <w:proofErr w:type="spellStart"/>
      <w:r w:rsidRPr="006054DB">
        <w:rPr>
          <w:rFonts w:ascii="Arial" w:eastAsia="Times New Roman" w:hAnsi="Arial" w:cs="Arial"/>
          <w:kern w:val="0"/>
          <w:sz w:val="22"/>
          <w:szCs w:val="22"/>
          <w14:ligatures w14:val="none"/>
        </w:rPr>
        <w:t>organisational</w:t>
      </w:r>
      <w:proofErr w:type="spellEnd"/>
      <w:r w:rsidRPr="006054DB">
        <w:rPr>
          <w:rFonts w:ascii="Arial" w:eastAsia="Times New Roman" w:hAnsi="Arial" w:cs="Arial"/>
          <w:kern w:val="0"/>
          <w:sz w:val="22"/>
          <w:szCs w:val="22"/>
          <w14:ligatures w14:val="none"/>
        </w:rPr>
        <w:t xml:space="preserve"> differences, opposing priorities and professional hierarchies are common barriers to collaboration (Crawford, 2015; Farchi et al., 2023). Confidentiality limits sometimes preclude information-sharing between agencies in mental health care (Herm et al., 2023). Similarly, relational continuity is deteriorated by time pressures and turnover of staff (Cao and Naruse, 2018; Petersen et al., 2025). These challenges may cause discontinuity in services and </w:t>
      </w:r>
      <w:proofErr w:type="gramStart"/>
      <w:r w:rsidRPr="006054DB">
        <w:rPr>
          <w:rFonts w:ascii="Arial" w:eastAsia="Times New Roman" w:hAnsi="Arial" w:cs="Arial"/>
          <w:kern w:val="0"/>
          <w:sz w:val="22"/>
          <w:szCs w:val="22"/>
          <w14:ligatures w14:val="none"/>
        </w:rPr>
        <w:t>frustrations</w:t>
      </w:r>
      <w:proofErr w:type="gramEnd"/>
      <w:r w:rsidRPr="006054DB">
        <w:rPr>
          <w:rFonts w:ascii="Arial" w:eastAsia="Times New Roman" w:hAnsi="Arial" w:cs="Arial"/>
          <w:kern w:val="0"/>
          <w:sz w:val="22"/>
          <w:szCs w:val="22"/>
          <w14:ligatures w14:val="none"/>
        </w:rPr>
        <w:t xml:space="preserve"> among users of the services who are forced to use complicated systems.</w:t>
      </w:r>
    </w:p>
    <w:p w14:paraId="3198DEC9"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However, irrespective of such complications, the effect of successful PW on health and social care outcomes is immense. It is proven that integrated methods decrease </w:t>
      </w:r>
      <w:proofErr w:type="spellStart"/>
      <w:r w:rsidRPr="006054DB">
        <w:rPr>
          <w:rFonts w:ascii="Arial" w:eastAsia="Times New Roman" w:hAnsi="Arial" w:cs="Arial"/>
          <w:kern w:val="0"/>
          <w:sz w:val="22"/>
          <w:szCs w:val="22"/>
          <w14:ligatures w14:val="none"/>
        </w:rPr>
        <w:t>hospitalisations</w:t>
      </w:r>
      <w:proofErr w:type="spellEnd"/>
      <w:r w:rsidRPr="006054DB">
        <w:rPr>
          <w:rFonts w:ascii="Arial" w:eastAsia="Times New Roman" w:hAnsi="Arial" w:cs="Arial"/>
          <w:kern w:val="0"/>
          <w:sz w:val="22"/>
          <w:szCs w:val="22"/>
          <w14:ligatures w14:val="none"/>
        </w:rPr>
        <w:t xml:space="preserve">, increase patient satisfaction, and improve employee morale (Glasby and Dickinson, 2014; Rosen et al., 2021). The move towards collaboration as an ethical and working necessity is </w:t>
      </w:r>
      <w:r w:rsidRPr="006054DB">
        <w:rPr>
          <w:rFonts w:ascii="Arial" w:eastAsia="Times New Roman" w:hAnsi="Arial" w:cs="Arial"/>
          <w:kern w:val="0"/>
          <w:sz w:val="22"/>
          <w:szCs w:val="22"/>
          <w14:ligatures w14:val="none"/>
        </w:rPr>
        <w:lastRenderedPageBreak/>
        <w:t xml:space="preserve">supported </w:t>
      </w:r>
      <w:proofErr w:type="gramStart"/>
      <w:r w:rsidRPr="006054DB">
        <w:rPr>
          <w:rFonts w:ascii="Arial" w:eastAsia="Times New Roman" w:hAnsi="Arial" w:cs="Arial"/>
          <w:kern w:val="0"/>
          <w:sz w:val="22"/>
          <w:szCs w:val="22"/>
          <w14:ligatures w14:val="none"/>
        </w:rPr>
        <w:t>by the use of</w:t>
      </w:r>
      <w:proofErr w:type="gramEnd"/>
      <w:r w:rsidRPr="006054DB">
        <w:rPr>
          <w:rFonts w:ascii="Arial" w:eastAsia="Times New Roman" w:hAnsi="Arial" w:cs="Arial"/>
          <w:kern w:val="0"/>
          <w:sz w:val="22"/>
          <w:szCs w:val="22"/>
          <w14:ligatures w14:val="none"/>
        </w:rPr>
        <w:t xml:space="preserve"> ICSs, which have been introduced based on policy frameworks like the Care Act 2014 and NICE (2021) guidelines. In mental health services, actual collaboration based on mutual trust, communication and shared responsibility ensures that policy rhetoric is translated into concrete, person-focused results (Miller et al., 2017).</w:t>
      </w:r>
    </w:p>
    <w:p w14:paraId="50A79677" w14:textId="44185212" w:rsidR="005A4AED" w:rsidRPr="00330036"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8" w:name="_Toc213091418"/>
      <w:bookmarkStart w:id="9" w:name="_Toc213593315"/>
      <w:r w:rsidRPr="7E6ABF50">
        <w:rPr>
          <w:rFonts w:ascii="Arial" w:hAnsi="Arial" w:cs="Arial"/>
          <w:b/>
          <w:bCs/>
          <w:color w:val="000000" w:themeColor="text1"/>
          <w:sz w:val="22"/>
          <w:szCs w:val="22"/>
        </w:rPr>
        <w:t>Policy and Legislation</w:t>
      </w:r>
      <w:bookmarkEnd w:id="8"/>
      <w:bookmarkEnd w:id="9"/>
    </w:p>
    <w:p w14:paraId="48443E14" w14:textId="53D1E059"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and partnership working (PW), in mental health services, have a structural foundation based on policy and legislation. The Health and Care Act 2022 </w:t>
      </w:r>
      <w:proofErr w:type="gramStart"/>
      <w:r w:rsidRPr="006054DB">
        <w:rPr>
          <w:rFonts w:ascii="Arial" w:eastAsia="Times New Roman" w:hAnsi="Arial" w:cs="Arial"/>
          <w:kern w:val="0"/>
          <w:sz w:val="22"/>
          <w:szCs w:val="22"/>
          <w14:ligatures w14:val="none"/>
        </w:rPr>
        <w:t>supports</w:t>
      </w:r>
      <w:proofErr w:type="gramEnd"/>
      <w:r w:rsidRPr="006054DB">
        <w:rPr>
          <w:rFonts w:ascii="Arial" w:eastAsia="Times New Roman" w:hAnsi="Arial" w:cs="Arial"/>
          <w:kern w:val="0"/>
          <w:sz w:val="22"/>
          <w:szCs w:val="22"/>
          <w14:ligatures w14:val="none"/>
        </w:rPr>
        <w:t xml:space="preserve"> the strength of integration by creating Integrated Care Systems (ICSs), which are aimed at aligning NHS </w:t>
      </w:r>
      <w:proofErr w:type="spellStart"/>
      <w:r w:rsidRPr="006054DB">
        <w:rPr>
          <w:rFonts w:ascii="Arial" w:eastAsia="Times New Roman" w:hAnsi="Arial" w:cs="Arial"/>
          <w:kern w:val="0"/>
          <w:sz w:val="22"/>
          <w:szCs w:val="22"/>
          <w14:ligatures w14:val="none"/>
        </w:rPr>
        <w:t>organisations</w:t>
      </w:r>
      <w:proofErr w:type="spellEnd"/>
      <w:r w:rsidRPr="006054DB">
        <w:rPr>
          <w:rFonts w:ascii="Arial" w:eastAsia="Times New Roman" w:hAnsi="Arial" w:cs="Arial"/>
          <w:kern w:val="0"/>
          <w:sz w:val="22"/>
          <w:szCs w:val="22"/>
          <w14:ligatures w14:val="none"/>
        </w:rPr>
        <w:t>, local authorities, and the voluntary sectors. This is to ensure the provision of holistic population-based health management. This framework underpins PCC because it promotes co-delivery of services and collective responsibility for results. An example of this is the multidisciplinary community teams, which consist of psychiatrists, social workers, and support coordinators. They function within ICS principles to decrease hospital readmissions and enhance continuity of care in mental health settings (NHS England, 2024).</w:t>
      </w:r>
    </w:p>
    <w:p w14:paraId="7D0E5FDA"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 xml:space="preserve">Moreover, the Care Act 2014 requires that the decisions concerning social care be made based on wellbeing and personal choice. Consequently, it makes practitioners </w:t>
      </w:r>
      <w:proofErr w:type="gramStart"/>
      <w:r w:rsidRPr="006054DB">
        <w:rPr>
          <w:rFonts w:ascii="Arial" w:eastAsia="Times New Roman" w:hAnsi="Arial" w:cs="Arial"/>
          <w:kern w:val="0"/>
          <w:sz w:val="22"/>
          <w:szCs w:val="22"/>
          <w14:ligatures w14:val="none"/>
        </w:rPr>
        <w:t>take into account</w:t>
      </w:r>
      <w:proofErr w:type="gramEnd"/>
      <w:r w:rsidRPr="006054DB">
        <w:rPr>
          <w:rFonts w:ascii="Arial" w:eastAsia="Times New Roman" w:hAnsi="Arial" w:cs="Arial"/>
          <w:kern w:val="0"/>
          <w:sz w:val="22"/>
          <w:szCs w:val="22"/>
          <w14:ligatures w14:val="none"/>
        </w:rPr>
        <w:t xml:space="preserve"> the abilities, preferences, and social background of the individual. For instance, in community mental health services, the care coordinators are required to co-produce recovery plans that show the goals of the client (e.g., seeking employment or restoring relationships with family members) (McNaught, 2025). In the same manner, the Health and Social Care Act 2012 has imposed the responsibility of patient engagement in the design of services and quality enhancement, </w:t>
      </w:r>
      <w:proofErr w:type="spellStart"/>
      <w:r w:rsidRPr="006054DB">
        <w:rPr>
          <w:rFonts w:ascii="Arial" w:eastAsia="Times New Roman" w:hAnsi="Arial" w:cs="Arial"/>
          <w:kern w:val="0"/>
          <w:sz w:val="22"/>
          <w:szCs w:val="22"/>
          <w14:ligatures w14:val="none"/>
        </w:rPr>
        <w:t>institutionalising</w:t>
      </w:r>
      <w:proofErr w:type="spellEnd"/>
      <w:r w:rsidRPr="006054DB">
        <w:rPr>
          <w:rFonts w:ascii="Arial" w:eastAsia="Times New Roman" w:hAnsi="Arial" w:cs="Arial"/>
          <w:kern w:val="0"/>
          <w:sz w:val="22"/>
          <w:szCs w:val="22"/>
          <w14:ligatures w14:val="none"/>
        </w:rPr>
        <w:t xml:space="preserve"> collaboration between services and professionals and service users.</w:t>
      </w:r>
    </w:p>
    <w:p w14:paraId="2B801F30"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In addition, the Equality Act 2010 and the Human Rights Act 1998 also offer further ethical and legal underpinnings. These legislations prevent the discrimination of individuals and promote respect of autonomy and dignity in mental health interventions (UK Parliament, 1998; UK Parliament, 2010). Nonetheless, when bureaucratic targets or ineffective funding restrict flexibility, policies may also serve as obstacles to PCC and PW. Studies agreed that strict risk management protocols can interfere with shared decision-making and affect trust (Nkrumah and Abekah-Nkrumah, 2019; Gagliardi et al., 2020; Elwyn et al., 2021). Hence, the balance between accountability and professional discretion of compassionate and person-led mental health care is required to successfully implement such frameworks.</w:t>
      </w:r>
    </w:p>
    <w:p w14:paraId="6D394AFA" w14:textId="0546FA8D" w:rsidR="005A4AED" w:rsidRPr="00330036"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10" w:name="_Toc213091419"/>
      <w:bookmarkStart w:id="11" w:name="_Toc213593316"/>
      <w:r w:rsidRPr="7E6ABF50">
        <w:rPr>
          <w:rFonts w:ascii="Arial" w:hAnsi="Arial" w:cs="Arial"/>
          <w:b/>
          <w:bCs/>
          <w:color w:val="000000" w:themeColor="text1"/>
          <w:sz w:val="22"/>
          <w:szCs w:val="22"/>
        </w:rPr>
        <w:t>Recommendations</w:t>
      </w:r>
      <w:bookmarkEnd w:id="10"/>
      <w:bookmarkEnd w:id="11"/>
      <w:r w:rsidRPr="7E6ABF50">
        <w:rPr>
          <w:rFonts w:ascii="Arial" w:hAnsi="Arial" w:cs="Arial"/>
          <w:b/>
          <w:bCs/>
          <w:color w:val="000000" w:themeColor="text1"/>
          <w:sz w:val="22"/>
          <w:szCs w:val="22"/>
        </w:rPr>
        <w:t xml:space="preserve"> </w:t>
      </w:r>
    </w:p>
    <w:p w14:paraId="49FE5128" w14:textId="07ED2683"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lastRenderedPageBreak/>
        <w:t>Although there has been an improvement, there are still gaps in the implementation of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and partnership working (PW) in UK mental health services. One of the priorities is improved inter-professional training to improve communication and limit power imbalance, as well as to encourage shared decision-making (Glasby and Dickinson, 2014).</w:t>
      </w:r>
    </w:p>
    <w:p w14:paraId="3C7C3A6E"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In addition, continuity and accessibility of care, particularly among the service users in remote locations, should be enhanced by investing in digital technologies, including shared electronic records and telepsychiatry (Adaji and Fortney, 2017; Saeed et al., 2018).</w:t>
      </w:r>
    </w:p>
    <w:p w14:paraId="04DA7212" w14:textId="77777777"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Also, enhancement of service-user participation in co-design and assessment would make sure that care aligns with an individual’s recovery goals (Biringer et al., 2016; HSE, 2020). Moreover, permanent policy dedication and investment are also needed to sustain integration within health and social care boundaries (King et al., 2012; HSC, 2022).</w:t>
      </w:r>
    </w:p>
    <w:p w14:paraId="4B56C36D" w14:textId="74CBCA16" w:rsidR="005A4AED" w:rsidRPr="00F86E7E" w:rsidRDefault="005A4AED" w:rsidP="003C2FBD">
      <w:pPr>
        <w:pStyle w:val="ListParagraph"/>
        <w:numPr>
          <w:ilvl w:val="0"/>
          <w:numId w:val="2"/>
        </w:numPr>
        <w:spacing w:beforeAutospacing="1" w:afterAutospacing="1" w:line="360" w:lineRule="auto"/>
        <w:jc w:val="both"/>
        <w:outlineLvl w:val="0"/>
        <w:rPr>
          <w:rFonts w:ascii="Arial" w:hAnsi="Arial" w:cs="Arial"/>
          <w:b/>
          <w:bCs/>
          <w:color w:val="000000" w:themeColor="text1"/>
          <w:sz w:val="22"/>
          <w:szCs w:val="22"/>
        </w:rPr>
      </w:pPr>
      <w:bookmarkStart w:id="12" w:name="_Toc213091420"/>
      <w:bookmarkStart w:id="13" w:name="_Toc213593317"/>
      <w:r w:rsidRPr="00F86E7E">
        <w:rPr>
          <w:rFonts w:ascii="Arial" w:hAnsi="Arial" w:cs="Arial"/>
          <w:b/>
          <w:bCs/>
          <w:color w:val="000000" w:themeColor="text1"/>
          <w:sz w:val="22"/>
          <w:szCs w:val="22"/>
        </w:rPr>
        <w:t>Conclusion</w:t>
      </w:r>
      <w:bookmarkEnd w:id="12"/>
      <w:bookmarkEnd w:id="13"/>
      <w:r w:rsidRPr="00F86E7E">
        <w:rPr>
          <w:rFonts w:ascii="Arial" w:hAnsi="Arial" w:cs="Arial"/>
          <w:b/>
          <w:bCs/>
          <w:color w:val="000000" w:themeColor="text1"/>
          <w:sz w:val="22"/>
          <w:szCs w:val="22"/>
        </w:rPr>
        <w:t xml:space="preserve"> </w:t>
      </w:r>
    </w:p>
    <w:p w14:paraId="5A9410DA" w14:textId="75A7B34C" w:rsidR="005A4AED" w:rsidRPr="006054DB" w:rsidRDefault="005A4AED" w:rsidP="003C2FBD">
      <w:pPr>
        <w:spacing w:before="100" w:beforeAutospacing="1" w:after="100" w:afterAutospacing="1" w:line="360" w:lineRule="auto"/>
        <w:jc w:val="both"/>
        <w:rPr>
          <w:rFonts w:ascii="Arial" w:eastAsia="Times New Roman" w:hAnsi="Arial" w:cs="Arial"/>
          <w:kern w:val="0"/>
          <w:sz w:val="22"/>
          <w:szCs w:val="22"/>
          <w14:ligatures w14:val="none"/>
        </w:rPr>
      </w:pPr>
      <w:r w:rsidRPr="006054DB">
        <w:rPr>
          <w:rFonts w:ascii="Arial" w:eastAsia="Times New Roman" w:hAnsi="Arial" w:cs="Arial"/>
          <w:kern w:val="0"/>
          <w:sz w:val="22"/>
          <w:szCs w:val="22"/>
          <w14:ligatures w14:val="none"/>
        </w:rPr>
        <w:t>The report has discussed the role of person-</w:t>
      </w:r>
      <w:r w:rsidR="00B64A10" w:rsidRPr="006054DB">
        <w:rPr>
          <w:rFonts w:ascii="Arial" w:eastAsia="Times New Roman" w:hAnsi="Arial" w:cs="Arial"/>
          <w:kern w:val="0"/>
          <w:sz w:val="22"/>
          <w:szCs w:val="22"/>
          <w14:ligatures w14:val="none"/>
        </w:rPr>
        <w:t>centered</w:t>
      </w:r>
      <w:r w:rsidRPr="006054DB">
        <w:rPr>
          <w:rFonts w:ascii="Arial" w:eastAsia="Times New Roman" w:hAnsi="Arial" w:cs="Arial"/>
          <w:kern w:val="0"/>
          <w:sz w:val="22"/>
          <w:szCs w:val="22"/>
          <w14:ligatures w14:val="none"/>
        </w:rPr>
        <w:t xml:space="preserve"> care (PCC) and partnership working (PW) as foundations </w:t>
      </w:r>
      <w:proofErr w:type="gramStart"/>
      <w:r w:rsidRPr="006054DB">
        <w:rPr>
          <w:rFonts w:ascii="Arial" w:eastAsia="Times New Roman" w:hAnsi="Arial" w:cs="Arial"/>
          <w:kern w:val="0"/>
          <w:sz w:val="22"/>
          <w:szCs w:val="22"/>
          <w14:ligatures w14:val="none"/>
        </w:rPr>
        <w:t>to</w:t>
      </w:r>
      <w:proofErr w:type="gramEnd"/>
      <w:r w:rsidRPr="006054DB">
        <w:rPr>
          <w:rFonts w:ascii="Arial" w:eastAsia="Times New Roman" w:hAnsi="Arial" w:cs="Arial"/>
          <w:kern w:val="0"/>
          <w:sz w:val="22"/>
          <w:szCs w:val="22"/>
          <w14:ligatures w14:val="none"/>
        </w:rPr>
        <w:t xml:space="preserve"> quality and compassion in the UK mental health services. It has </w:t>
      </w:r>
      <w:proofErr w:type="gramStart"/>
      <w:r w:rsidRPr="006054DB">
        <w:rPr>
          <w:rFonts w:ascii="Arial" w:eastAsia="Times New Roman" w:hAnsi="Arial" w:cs="Arial"/>
          <w:kern w:val="0"/>
          <w:sz w:val="22"/>
          <w:szCs w:val="22"/>
          <w14:ligatures w14:val="none"/>
        </w:rPr>
        <w:t>shown</w:t>
      </w:r>
      <w:proofErr w:type="gramEnd"/>
      <w:r w:rsidRPr="006054DB">
        <w:rPr>
          <w:rFonts w:ascii="Arial" w:eastAsia="Times New Roman" w:hAnsi="Arial" w:cs="Arial"/>
          <w:kern w:val="0"/>
          <w:sz w:val="22"/>
          <w:szCs w:val="22"/>
          <w14:ligatures w14:val="none"/>
        </w:rPr>
        <w:t xml:space="preserve"> that these methods promote autonomy, safety and recovery given their support by ethical principles and policies. Although there are still challenges like lack of resources and coordination, it has been proven that health outcomes are better or improved when working together and making decisions together. The </w:t>
      </w:r>
      <w:proofErr w:type="gramStart"/>
      <w:r w:rsidRPr="006054DB">
        <w:rPr>
          <w:rFonts w:ascii="Arial" w:eastAsia="Times New Roman" w:hAnsi="Arial" w:cs="Arial"/>
          <w:kern w:val="0"/>
          <w:sz w:val="22"/>
          <w:szCs w:val="22"/>
          <w14:ligatures w14:val="none"/>
        </w:rPr>
        <w:t>reinforcement</w:t>
      </w:r>
      <w:proofErr w:type="gramEnd"/>
      <w:r w:rsidRPr="006054DB">
        <w:rPr>
          <w:rFonts w:ascii="Arial" w:eastAsia="Times New Roman" w:hAnsi="Arial" w:cs="Arial"/>
          <w:kern w:val="0"/>
          <w:sz w:val="22"/>
          <w:szCs w:val="22"/>
          <w14:ligatures w14:val="none"/>
        </w:rPr>
        <w:t xml:space="preserve"> of workforce training, digital integration and user engagement will make sure that PCC and PW continue to drive inclusive, effective and sustainable mental health care.</w:t>
      </w:r>
    </w:p>
    <w:p w14:paraId="7D575661" w14:textId="77777777" w:rsidR="005A4AED" w:rsidRPr="006054DB" w:rsidRDefault="005A4AED" w:rsidP="003C2FBD">
      <w:pPr>
        <w:spacing w:before="100" w:beforeAutospacing="1" w:after="100" w:afterAutospacing="1" w:line="360" w:lineRule="auto"/>
        <w:jc w:val="both"/>
        <w:rPr>
          <w:rFonts w:ascii="Arial" w:hAnsi="Arial" w:cs="Arial"/>
          <w:color w:val="000000"/>
          <w:kern w:val="0"/>
          <w:sz w:val="22"/>
          <w:szCs w:val="22"/>
          <w14:ligatures w14:val="none"/>
        </w:rPr>
      </w:pPr>
    </w:p>
    <w:p w14:paraId="1A99C99E" w14:textId="77777777" w:rsidR="005A4AED" w:rsidRPr="006054DB" w:rsidRDefault="005A4AED" w:rsidP="003C2FBD">
      <w:pPr>
        <w:spacing w:before="100" w:beforeAutospacing="1" w:after="100" w:afterAutospacing="1" w:line="360" w:lineRule="auto"/>
        <w:jc w:val="both"/>
        <w:rPr>
          <w:rFonts w:ascii="Arial" w:hAnsi="Arial" w:cs="Arial"/>
          <w:color w:val="000000"/>
          <w:kern w:val="0"/>
          <w:sz w:val="22"/>
          <w:szCs w:val="22"/>
          <w:lang w:val="x-none"/>
          <w14:ligatures w14:val="none"/>
        </w:rPr>
      </w:pPr>
    </w:p>
    <w:p w14:paraId="18D867FA" w14:textId="77777777" w:rsidR="005A4AED" w:rsidRPr="006054DB" w:rsidRDefault="005A4AED" w:rsidP="003C2FBD">
      <w:pPr>
        <w:spacing w:before="100" w:beforeAutospacing="1" w:after="100" w:afterAutospacing="1" w:line="360" w:lineRule="auto"/>
        <w:jc w:val="both"/>
        <w:rPr>
          <w:rFonts w:ascii="Arial" w:hAnsi="Arial" w:cs="Arial"/>
          <w:color w:val="000000"/>
          <w:kern w:val="0"/>
          <w:sz w:val="22"/>
          <w:szCs w:val="22"/>
          <w:lang w:val="x-none"/>
          <w14:ligatures w14:val="none"/>
        </w:rPr>
      </w:pPr>
    </w:p>
    <w:p w14:paraId="4119906D" w14:textId="77777777" w:rsidR="005A4AED" w:rsidRPr="006054DB" w:rsidRDefault="005A4AED" w:rsidP="003C2FBD">
      <w:pPr>
        <w:spacing w:before="100" w:beforeAutospacing="1" w:after="100" w:afterAutospacing="1" w:line="360" w:lineRule="auto"/>
        <w:jc w:val="both"/>
        <w:rPr>
          <w:rFonts w:ascii="Arial" w:hAnsi="Arial" w:cs="Arial"/>
          <w:color w:val="000000"/>
          <w:kern w:val="0"/>
          <w:sz w:val="22"/>
          <w:szCs w:val="22"/>
          <w:lang w:val="x-none"/>
          <w14:ligatures w14:val="none"/>
        </w:rPr>
      </w:pPr>
    </w:p>
    <w:p w14:paraId="0CC67EB1" w14:textId="77777777" w:rsidR="005A4AED" w:rsidRPr="006054DB" w:rsidRDefault="005A4AED" w:rsidP="003C2FBD">
      <w:pPr>
        <w:spacing w:before="100" w:beforeAutospacing="1" w:after="100" w:afterAutospacing="1" w:line="360" w:lineRule="auto"/>
        <w:jc w:val="both"/>
        <w:rPr>
          <w:rFonts w:ascii="Arial" w:hAnsi="Arial" w:cs="Arial"/>
          <w:color w:val="000000"/>
          <w:kern w:val="0"/>
          <w:sz w:val="22"/>
          <w:szCs w:val="22"/>
          <w:lang w:val="x-none"/>
          <w14:ligatures w14:val="none"/>
        </w:rPr>
      </w:pPr>
    </w:p>
    <w:p w14:paraId="01840142" w14:textId="77777777" w:rsidR="00457D87" w:rsidRDefault="00457D87">
      <w:pPr>
        <w:rPr>
          <w:rFonts w:ascii="Arial" w:hAnsi="Arial" w:cs="Arial"/>
          <w:b/>
          <w:bCs/>
          <w:color w:val="000000" w:themeColor="text1"/>
          <w:sz w:val="22"/>
          <w:szCs w:val="22"/>
        </w:rPr>
      </w:pPr>
      <w:bookmarkStart w:id="14" w:name="_Toc213091421"/>
      <w:bookmarkStart w:id="15" w:name="_Toc213593318"/>
      <w:r>
        <w:rPr>
          <w:rFonts w:ascii="Arial" w:hAnsi="Arial" w:cs="Arial"/>
          <w:b/>
          <w:bCs/>
          <w:color w:val="000000" w:themeColor="text1"/>
          <w:sz w:val="22"/>
          <w:szCs w:val="22"/>
        </w:rPr>
        <w:br w:type="page"/>
      </w:r>
    </w:p>
    <w:p w14:paraId="51F216C2" w14:textId="3C6B7569" w:rsidR="005A4AED" w:rsidRPr="006054DB" w:rsidRDefault="005A4AED" w:rsidP="003C2FBD">
      <w:pPr>
        <w:spacing w:beforeAutospacing="1" w:afterAutospacing="1" w:line="360" w:lineRule="auto"/>
        <w:contextualSpacing/>
        <w:jc w:val="both"/>
        <w:outlineLvl w:val="0"/>
        <w:rPr>
          <w:rFonts w:ascii="Arial" w:hAnsi="Arial" w:cs="Arial"/>
          <w:b/>
          <w:bCs/>
          <w:color w:val="000000" w:themeColor="text1"/>
          <w:sz w:val="22"/>
          <w:szCs w:val="22"/>
        </w:rPr>
      </w:pPr>
      <w:r w:rsidRPr="7E6ABF50">
        <w:rPr>
          <w:rFonts w:ascii="Arial" w:hAnsi="Arial" w:cs="Arial"/>
          <w:b/>
          <w:bCs/>
          <w:color w:val="000000" w:themeColor="text1"/>
          <w:sz w:val="22"/>
          <w:szCs w:val="22"/>
        </w:rPr>
        <w:lastRenderedPageBreak/>
        <w:t>REFERENCES</w:t>
      </w:r>
      <w:bookmarkEnd w:id="14"/>
      <w:bookmarkEnd w:id="15"/>
    </w:p>
    <w:p w14:paraId="4F5FFF72"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Ahmed, N., Barlow, S., Reynolds, L., Drey, N., Begum, F., </w:t>
      </w:r>
      <w:proofErr w:type="spellStart"/>
      <w:r w:rsidRPr="006054DB">
        <w:rPr>
          <w:rFonts w:ascii="Arial" w:eastAsia="Arial" w:hAnsi="Arial" w:cs="Arial"/>
          <w:color w:val="222222"/>
          <w:kern w:val="0"/>
          <w:sz w:val="22"/>
          <w:szCs w:val="22"/>
          <w:lang w:eastAsia="ja-JP"/>
          <w14:ligatures w14:val="none"/>
        </w:rPr>
        <w:t>Tuudah</w:t>
      </w:r>
      <w:proofErr w:type="spellEnd"/>
      <w:r w:rsidRPr="006054DB">
        <w:rPr>
          <w:rFonts w:ascii="Arial" w:eastAsia="Arial" w:hAnsi="Arial" w:cs="Arial"/>
          <w:color w:val="222222"/>
          <w:kern w:val="0"/>
          <w:sz w:val="22"/>
          <w:szCs w:val="22"/>
          <w:lang w:eastAsia="ja-JP"/>
          <w14:ligatures w14:val="none"/>
        </w:rPr>
        <w:t xml:space="preserve">, E. and Simpson, A. (2021) ‘Mental health professionals’ perceived barriers and enablers to shared decision-making in risk assessment and risk management: a qualitative systematic review’, </w:t>
      </w:r>
      <w:r w:rsidRPr="006054DB">
        <w:rPr>
          <w:rFonts w:ascii="Arial" w:eastAsia="Arial" w:hAnsi="Arial" w:cs="Arial"/>
          <w:i/>
          <w:iCs/>
          <w:color w:val="222222"/>
          <w:kern w:val="0"/>
          <w:sz w:val="22"/>
          <w:szCs w:val="22"/>
          <w:lang w:eastAsia="ja-JP"/>
          <w14:ligatures w14:val="none"/>
        </w:rPr>
        <w:t>BMC Psychiatry,</w:t>
      </w:r>
      <w:r w:rsidRPr="006054DB">
        <w:rPr>
          <w:rFonts w:ascii="Arial" w:eastAsia="Arial" w:hAnsi="Arial" w:cs="Arial"/>
          <w:color w:val="222222"/>
          <w:kern w:val="0"/>
          <w:sz w:val="22"/>
          <w:szCs w:val="22"/>
          <w:lang w:eastAsia="ja-JP"/>
          <w14:ligatures w14:val="none"/>
        </w:rPr>
        <w:t xml:space="preserve"> 21(1), p.594. Available at: </w:t>
      </w:r>
      <w:hyperlink r:id="rId12">
        <w:r w:rsidRPr="006054DB">
          <w:rPr>
            <w:rFonts w:ascii="Arial" w:eastAsia="Arial" w:hAnsi="Arial" w:cs="Arial"/>
            <w:color w:val="467886"/>
            <w:kern w:val="0"/>
            <w:sz w:val="22"/>
            <w:szCs w:val="22"/>
            <w:u w:val="single"/>
            <w:lang w:eastAsia="ja-JP"/>
            <w14:ligatures w14:val="none"/>
          </w:rPr>
          <w:t>https://link.springer.com/article/10.1186/s12888-021-03304-0</w:t>
        </w:r>
      </w:hyperlink>
      <w:r w:rsidRPr="006054DB">
        <w:rPr>
          <w:rFonts w:ascii="Arial" w:eastAsia="Arial" w:hAnsi="Arial" w:cs="Arial"/>
          <w:color w:val="222222"/>
          <w:kern w:val="0"/>
          <w:sz w:val="22"/>
          <w:szCs w:val="22"/>
          <w:lang w:eastAsia="ja-JP"/>
          <w14:ligatures w14:val="none"/>
        </w:rPr>
        <w:t xml:space="preserve"> (Accessed: 9th October 2025).</w:t>
      </w:r>
    </w:p>
    <w:p w14:paraId="30D792A1"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Alnemari</w:t>
      </w:r>
      <w:proofErr w:type="spellEnd"/>
      <w:r w:rsidRPr="006054DB">
        <w:rPr>
          <w:rFonts w:ascii="Arial" w:eastAsia="Arial" w:hAnsi="Arial" w:cs="Arial"/>
          <w:color w:val="222222"/>
          <w:kern w:val="0"/>
          <w:sz w:val="22"/>
          <w:szCs w:val="22"/>
          <w:lang w:eastAsia="ja-JP"/>
          <w14:ligatures w14:val="none"/>
        </w:rPr>
        <w:t xml:space="preserve">, A.A., Ismail, A.S., </w:t>
      </w:r>
      <w:proofErr w:type="spellStart"/>
      <w:r w:rsidRPr="006054DB">
        <w:rPr>
          <w:rFonts w:ascii="Arial" w:eastAsia="Arial" w:hAnsi="Arial" w:cs="Arial"/>
          <w:color w:val="222222"/>
          <w:kern w:val="0"/>
          <w:sz w:val="22"/>
          <w:szCs w:val="22"/>
          <w:lang w:eastAsia="ja-JP"/>
          <w14:ligatures w14:val="none"/>
        </w:rPr>
        <w:t>Ubeeri</w:t>
      </w:r>
      <w:proofErr w:type="spellEnd"/>
      <w:r w:rsidRPr="006054DB">
        <w:rPr>
          <w:rFonts w:ascii="Arial" w:eastAsia="Arial" w:hAnsi="Arial" w:cs="Arial"/>
          <w:color w:val="222222"/>
          <w:kern w:val="0"/>
          <w:sz w:val="22"/>
          <w:szCs w:val="22"/>
          <w:lang w:eastAsia="ja-JP"/>
          <w14:ligatures w14:val="none"/>
        </w:rPr>
        <w:t xml:space="preserve">, A.M.A., Alzahrani, S.S.S., Alharthi, M.S., Althaqafi, S.D.S., </w:t>
      </w:r>
      <w:proofErr w:type="spellStart"/>
      <w:r w:rsidRPr="006054DB">
        <w:rPr>
          <w:rFonts w:ascii="Arial" w:eastAsia="Arial" w:hAnsi="Arial" w:cs="Arial"/>
          <w:color w:val="222222"/>
          <w:kern w:val="0"/>
          <w:sz w:val="22"/>
          <w:szCs w:val="22"/>
          <w:lang w:eastAsia="ja-JP"/>
          <w14:ligatures w14:val="none"/>
        </w:rPr>
        <w:t>Alrabie</w:t>
      </w:r>
      <w:proofErr w:type="spellEnd"/>
      <w:r w:rsidRPr="006054DB">
        <w:rPr>
          <w:rFonts w:ascii="Arial" w:eastAsia="Arial" w:hAnsi="Arial" w:cs="Arial"/>
          <w:color w:val="222222"/>
          <w:kern w:val="0"/>
          <w:sz w:val="22"/>
          <w:szCs w:val="22"/>
          <w:lang w:eastAsia="ja-JP"/>
          <w14:ligatures w14:val="none"/>
        </w:rPr>
        <w:t>, M.A.A. and Alharthi, A.J. (2024) ‘Nursing Strategies for Managing Aggressive Behavior in Psychiatric Settings</w:t>
      </w:r>
      <w:proofErr w:type="gramStart"/>
      <w:r w:rsidRPr="006054DB">
        <w:rPr>
          <w:rFonts w:ascii="Arial" w:eastAsia="Arial" w:hAnsi="Arial" w:cs="Arial"/>
          <w:color w:val="222222"/>
          <w:kern w:val="0"/>
          <w:sz w:val="22"/>
          <w:szCs w:val="22"/>
          <w:lang w:eastAsia="ja-JP"/>
          <w14:ligatures w14:val="none"/>
        </w:rPr>
        <w:t>’,.</w:t>
      </w:r>
      <w:proofErr w:type="gramEnd"/>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Journal of International Crisis and Risk Communication Research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7</w:t>
      </w:r>
      <w:r w:rsidRPr="006054DB">
        <w:rPr>
          <w:rFonts w:ascii="Arial" w:eastAsia="Arial" w:hAnsi="Arial" w:cs="Arial"/>
          <w:color w:val="222222"/>
          <w:kern w:val="0"/>
          <w:sz w:val="22"/>
          <w:szCs w:val="22"/>
          <w:lang w:eastAsia="ja-JP"/>
          <w14:ligatures w14:val="none"/>
        </w:rPr>
        <w:t xml:space="preserve">(S10), p.1888. Available at: </w:t>
      </w:r>
      <w:hyperlink r:id="rId13">
        <w:r w:rsidRPr="006054DB">
          <w:rPr>
            <w:rFonts w:ascii="Arial" w:eastAsia="Arial" w:hAnsi="Arial" w:cs="Arial"/>
            <w:color w:val="467886"/>
            <w:kern w:val="0"/>
            <w:sz w:val="22"/>
            <w:szCs w:val="22"/>
            <w:u w:val="single"/>
            <w:lang w:eastAsia="ja-JP"/>
            <w14:ligatures w14:val="none"/>
          </w:rPr>
          <w:t>https://search.proquest.com/openview/4d6c108032c8a5cfd947a4b344c383e5/1?pq-origsite=gscholar&amp;cbl=6480378</w:t>
        </w:r>
      </w:hyperlink>
      <w:r w:rsidRPr="006054DB">
        <w:rPr>
          <w:rFonts w:ascii="Arial" w:eastAsia="Arial" w:hAnsi="Arial" w:cs="Arial"/>
          <w:color w:val="222222"/>
          <w:kern w:val="0"/>
          <w:sz w:val="22"/>
          <w:szCs w:val="22"/>
          <w:lang w:eastAsia="ja-JP"/>
          <w14:ligatures w14:val="none"/>
        </w:rPr>
        <w:t xml:space="preserve">  Accessed: 9th October 2025).</w:t>
      </w:r>
    </w:p>
    <w:p w14:paraId="5920F8A3"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Bajaj, A. (2025) ‘Patient-centered communication: A key to effective psychiatric rehabilitation’,</w:t>
      </w:r>
      <w:r w:rsidRPr="006054DB">
        <w:rPr>
          <w:rFonts w:ascii="Arial" w:eastAsia="Arial" w:hAnsi="Arial" w:cs="Arial"/>
          <w:i/>
          <w:iCs/>
          <w:color w:val="222222"/>
          <w:kern w:val="0"/>
          <w:sz w:val="22"/>
          <w:szCs w:val="22"/>
          <w:lang w:eastAsia="ja-JP"/>
          <w14:ligatures w14:val="none"/>
        </w:rPr>
        <w:t xml:space="preserve"> American</w:t>
      </w:r>
      <w:r w:rsidRPr="006054DB">
        <w:rPr>
          <w:rFonts w:ascii="Arial" w:eastAsia="Arial" w:hAnsi="Arial" w:cs="Arial"/>
          <w:color w:val="222222"/>
          <w:kern w:val="0"/>
          <w:sz w:val="22"/>
          <w:szCs w:val="22"/>
          <w:lang w:eastAsia="ja-JP"/>
          <w14:ligatures w14:val="none"/>
        </w:rPr>
        <w:t xml:space="preserve"> J</w:t>
      </w:r>
      <w:r w:rsidRPr="006054DB">
        <w:rPr>
          <w:rFonts w:ascii="Arial" w:eastAsia="Arial" w:hAnsi="Arial" w:cs="Arial"/>
          <w:i/>
          <w:iCs/>
          <w:color w:val="222222"/>
          <w:kern w:val="0"/>
          <w:sz w:val="22"/>
          <w:szCs w:val="22"/>
          <w:lang w:eastAsia="ja-JP"/>
          <w14:ligatures w14:val="none"/>
        </w:rPr>
        <w:t>ournal of Psychiatric Rehabilitatio</w:t>
      </w:r>
      <w:r w:rsidRPr="006054DB">
        <w:rPr>
          <w:rFonts w:ascii="Arial" w:eastAsia="Arial" w:hAnsi="Arial" w:cs="Arial"/>
          <w:color w:val="222222"/>
          <w:kern w:val="0"/>
          <w:sz w:val="22"/>
          <w:szCs w:val="22"/>
          <w:lang w:eastAsia="ja-JP"/>
          <w14:ligatures w14:val="none"/>
        </w:rPr>
        <w:t xml:space="preserve">n, 28(1), pp.339-345. Available at: </w:t>
      </w:r>
      <w:hyperlink r:id="rId14">
        <w:r w:rsidRPr="006054DB">
          <w:rPr>
            <w:rFonts w:ascii="Arial" w:eastAsia="Arial" w:hAnsi="Arial" w:cs="Arial"/>
            <w:color w:val="467886"/>
            <w:kern w:val="0"/>
            <w:sz w:val="22"/>
            <w:szCs w:val="22"/>
            <w:u w:val="single"/>
            <w:lang w:eastAsia="ja-JP"/>
            <w14:ligatures w14:val="none"/>
          </w:rPr>
          <w:t>https://ajprui.com/index.php/ajpr/article/view/96</w:t>
        </w:r>
      </w:hyperlink>
      <w:r w:rsidRPr="006054DB">
        <w:rPr>
          <w:rFonts w:ascii="Arial" w:eastAsia="Arial" w:hAnsi="Arial" w:cs="Arial"/>
          <w:color w:val="222222"/>
          <w:kern w:val="0"/>
          <w:sz w:val="22"/>
          <w:szCs w:val="22"/>
          <w:lang w:eastAsia="ja-JP"/>
          <w14:ligatures w14:val="none"/>
        </w:rPr>
        <w:t xml:space="preserve"> (Accessed: 9th October 2025).</w:t>
      </w:r>
    </w:p>
    <w:p w14:paraId="60EF705C"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Bayliss-Conway, C., Price, S., Murphy, D. and Joseph, S. (2021) ‘Client-</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therapeutic relationship conditions and authenticity: A prospective study’, B</w:t>
      </w:r>
      <w:r w:rsidRPr="006054DB">
        <w:rPr>
          <w:rFonts w:ascii="Arial" w:eastAsia="Arial" w:hAnsi="Arial" w:cs="Arial"/>
          <w:i/>
          <w:iCs/>
          <w:color w:val="222222"/>
          <w:kern w:val="0"/>
          <w:sz w:val="22"/>
          <w:szCs w:val="22"/>
          <w:lang w:eastAsia="ja-JP"/>
          <w14:ligatures w14:val="none"/>
        </w:rPr>
        <w:t xml:space="preserve">ritish Journal of Guidance &amp; Counselling, </w:t>
      </w:r>
      <w:r w:rsidRPr="006054DB">
        <w:rPr>
          <w:rFonts w:ascii="Arial" w:eastAsia="Arial" w:hAnsi="Arial" w:cs="Arial"/>
          <w:color w:val="222222"/>
          <w:kern w:val="0"/>
          <w:sz w:val="22"/>
          <w:szCs w:val="22"/>
          <w:lang w:eastAsia="ja-JP"/>
          <w14:ligatures w14:val="none"/>
        </w:rPr>
        <w:t xml:space="preserve">49(5), pp.637-647. Available at: </w:t>
      </w:r>
      <w:hyperlink r:id="rId15">
        <w:r w:rsidRPr="006054DB">
          <w:rPr>
            <w:rFonts w:ascii="Arial" w:eastAsia="Arial" w:hAnsi="Arial" w:cs="Arial"/>
            <w:color w:val="467886"/>
            <w:kern w:val="0"/>
            <w:sz w:val="22"/>
            <w:szCs w:val="22"/>
            <w:u w:val="single"/>
            <w:lang w:eastAsia="ja-JP"/>
            <w14:ligatures w14:val="none"/>
          </w:rPr>
          <w:t>https://www.tandfonline.com/doi/abs/10.1080/03069885.2020.1755952</w:t>
        </w:r>
      </w:hyperlink>
      <w:r w:rsidRPr="006054DB">
        <w:rPr>
          <w:rFonts w:ascii="Arial" w:eastAsia="Arial" w:hAnsi="Arial" w:cs="Arial"/>
          <w:color w:val="222222"/>
          <w:kern w:val="0"/>
          <w:sz w:val="22"/>
          <w:szCs w:val="22"/>
          <w:lang w:eastAsia="ja-JP"/>
          <w14:ligatures w14:val="none"/>
        </w:rPr>
        <w:t xml:space="preserve"> (Accessed: 9th October 2025).</w:t>
      </w:r>
    </w:p>
    <w:p w14:paraId="5CB66FE2"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Beauchamp, T. and Childress, J. (2019) ’Principles of biomedical ethics: marking its fortieth anniversary’, </w:t>
      </w:r>
      <w:r w:rsidRPr="006054DB">
        <w:rPr>
          <w:rFonts w:ascii="Arial" w:eastAsia="Arial" w:hAnsi="Arial" w:cs="Arial"/>
          <w:i/>
          <w:iCs/>
          <w:color w:val="222222"/>
          <w:kern w:val="0"/>
          <w:sz w:val="22"/>
          <w:szCs w:val="22"/>
          <w:lang w:eastAsia="ja-JP"/>
          <w14:ligatures w14:val="none"/>
        </w:rPr>
        <w:t>The American journal of bioethics</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19</w:t>
      </w:r>
      <w:r w:rsidRPr="006054DB">
        <w:rPr>
          <w:rFonts w:ascii="Arial" w:eastAsia="Arial" w:hAnsi="Arial" w:cs="Arial"/>
          <w:color w:val="222222"/>
          <w:kern w:val="0"/>
          <w:sz w:val="22"/>
          <w:szCs w:val="22"/>
          <w:lang w:eastAsia="ja-JP"/>
          <w14:ligatures w14:val="none"/>
        </w:rPr>
        <w:t xml:space="preserve">(11), pp.9-12. Available at: </w:t>
      </w:r>
      <w:hyperlink r:id="rId16">
        <w:r w:rsidRPr="006054DB">
          <w:rPr>
            <w:rFonts w:ascii="Arial" w:eastAsia="Arial" w:hAnsi="Arial" w:cs="Arial"/>
            <w:color w:val="467886"/>
            <w:kern w:val="0"/>
            <w:sz w:val="22"/>
            <w:szCs w:val="22"/>
            <w:u w:val="single"/>
            <w:lang w:eastAsia="ja-JP"/>
            <w14:ligatures w14:val="none"/>
          </w:rPr>
          <w:t>https://www.tandfonline.com/doi/full/10.1080/15265161.2019.1665402</w:t>
        </w:r>
      </w:hyperlink>
      <w:r w:rsidRPr="006054DB">
        <w:rPr>
          <w:rFonts w:ascii="Arial" w:eastAsia="Arial" w:hAnsi="Arial" w:cs="Arial"/>
          <w:color w:val="222222"/>
          <w:kern w:val="0"/>
          <w:sz w:val="22"/>
          <w:szCs w:val="22"/>
          <w:lang w:eastAsia="ja-JP"/>
          <w14:ligatures w14:val="none"/>
        </w:rPr>
        <w:t xml:space="preserve"> (Accessed: 9th October 2025).</w:t>
      </w:r>
    </w:p>
    <w:p w14:paraId="5DEF119C"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Bergamin</w:t>
      </w:r>
      <w:proofErr w:type="spellEnd"/>
      <w:r w:rsidRPr="006054DB">
        <w:rPr>
          <w:rFonts w:ascii="Arial" w:eastAsia="Arial" w:hAnsi="Arial" w:cs="Arial"/>
          <w:color w:val="222222"/>
          <w:kern w:val="0"/>
          <w:sz w:val="22"/>
          <w:szCs w:val="22"/>
          <w:lang w:eastAsia="ja-JP"/>
          <w14:ligatures w14:val="none"/>
        </w:rPr>
        <w:t xml:space="preserve">, J., </w:t>
      </w:r>
      <w:proofErr w:type="spellStart"/>
      <w:r w:rsidRPr="006054DB">
        <w:rPr>
          <w:rFonts w:ascii="Arial" w:eastAsia="Arial" w:hAnsi="Arial" w:cs="Arial"/>
          <w:color w:val="222222"/>
          <w:kern w:val="0"/>
          <w:sz w:val="22"/>
          <w:szCs w:val="22"/>
          <w:lang w:eastAsia="ja-JP"/>
          <w14:ligatures w14:val="none"/>
        </w:rPr>
        <w:t>Luigjes</w:t>
      </w:r>
      <w:proofErr w:type="spellEnd"/>
      <w:r w:rsidRPr="006054DB">
        <w:rPr>
          <w:rFonts w:ascii="Arial" w:eastAsia="Arial" w:hAnsi="Arial" w:cs="Arial"/>
          <w:color w:val="222222"/>
          <w:kern w:val="0"/>
          <w:sz w:val="22"/>
          <w:szCs w:val="22"/>
          <w:lang w:eastAsia="ja-JP"/>
          <w14:ligatures w14:val="none"/>
        </w:rPr>
        <w:t xml:space="preserve">, J., </w:t>
      </w:r>
      <w:proofErr w:type="spellStart"/>
      <w:r w:rsidRPr="006054DB">
        <w:rPr>
          <w:rFonts w:ascii="Arial" w:eastAsia="Arial" w:hAnsi="Arial" w:cs="Arial"/>
          <w:color w:val="222222"/>
          <w:kern w:val="0"/>
          <w:sz w:val="22"/>
          <w:szCs w:val="22"/>
          <w:lang w:eastAsia="ja-JP"/>
          <w14:ligatures w14:val="none"/>
        </w:rPr>
        <w:t>Kiverstein</w:t>
      </w:r>
      <w:proofErr w:type="spellEnd"/>
      <w:r w:rsidRPr="006054DB">
        <w:rPr>
          <w:rFonts w:ascii="Arial" w:eastAsia="Arial" w:hAnsi="Arial" w:cs="Arial"/>
          <w:color w:val="222222"/>
          <w:kern w:val="0"/>
          <w:sz w:val="22"/>
          <w:szCs w:val="22"/>
          <w:lang w:eastAsia="ja-JP"/>
          <w14:ligatures w14:val="none"/>
        </w:rPr>
        <w:t>, J., Bockting, C.L. and Denys, D. (</w:t>
      </w:r>
      <w:proofErr w:type="gramStart"/>
      <w:r w:rsidRPr="006054DB">
        <w:rPr>
          <w:rFonts w:ascii="Arial" w:eastAsia="Arial" w:hAnsi="Arial" w:cs="Arial"/>
          <w:color w:val="222222"/>
          <w:kern w:val="0"/>
          <w:sz w:val="22"/>
          <w:szCs w:val="22"/>
          <w:lang w:eastAsia="ja-JP"/>
          <w14:ligatures w14:val="none"/>
        </w:rPr>
        <w:t>2022) ‘</w:t>
      </w:r>
      <w:proofErr w:type="gramEnd"/>
      <w:r w:rsidRPr="006054DB">
        <w:rPr>
          <w:rFonts w:ascii="Arial" w:eastAsia="Arial" w:hAnsi="Arial" w:cs="Arial"/>
          <w:color w:val="222222"/>
          <w:kern w:val="0"/>
          <w:sz w:val="22"/>
          <w:szCs w:val="22"/>
          <w:lang w:eastAsia="ja-JP"/>
          <w14:ligatures w14:val="none"/>
        </w:rPr>
        <w:t xml:space="preserve">Defining autonomy in psychiatry’, </w:t>
      </w:r>
      <w:r w:rsidRPr="006054DB">
        <w:rPr>
          <w:rFonts w:ascii="Arial" w:eastAsia="Arial" w:hAnsi="Arial" w:cs="Arial"/>
          <w:i/>
          <w:iCs/>
          <w:color w:val="222222"/>
          <w:kern w:val="0"/>
          <w:sz w:val="22"/>
          <w:szCs w:val="22"/>
          <w:lang w:eastAsia="ja-JP"/>
          <w14:ligatures w14:val="none"/>
        </w:rPr>
        <w:t>Frontiers in Psychiatry</w:t>
      </w:r>
      <w:r w:rsidRPr="006054DB">
        <w:rPr>
          <w:rFonts w:ascii="Arial" w:eastAsia="Arial" w:hAnsi="Arial" w:cs="Arial"/>
          <w:color w:val="222222"/>
          <w:kern w:val="0"/>
          <w:sz w:val="22"/>
          <w:szCs w:val="22"/>
          <w:lang w:eastAsia="ja-JP"/>
          <w14:ligatures w14:val="none"/>
        </w:rPr>
        <w:t xml:space="preserve">, 13, p.801415. Available at: </w:t>
      </w:r>
      <w:hyperlink r:id="rId17">
        <w:r w:rsidRPr="006054DB">
          <w:rPr>
            <w:rFonts w:ascii="Arial" w:eastAsia="Arial" w:hAnsi="Arial" w:cs="Arial"/>
            <w:color w:val="467886"/>
            <w:kern w:val="0"/>
            <w:sz w:val="22"/>
            <w:szCs w:val="22"/>
            <w:u w:val="single"/>
            <w:lang w:eastAsia="ja-JP"/>
            <w14:ligatures w14:val="none"/>
          </w:rPr>
          <w:t>https://www.frontiersin.org/journals/psychiatry/articles/10.3389/fpsyt.2022.801415/full</w:t>
        </w:r>
      </w:hyperlink>
      <w:r w:rsidRPr="006054DB">
        <w:rPr>
          <w:rFonts w:ascii="Arial" w:eastAsia="Arial" w:hAnsi="Arial" w:cs="Arial"/>
          <w:color w:val="222222"/>
          <w:kern w:val="0"/>
          <w:sz w:val="22"/>
          <w:szCs w:val="22"/>
          <w:lang w:eastAsia="ja-JP"/>
          <w14:ligatures w14:val="none"/>
        </w:rPr>
        <w:t xml:space="preserve"> (Accessed: 9th October 2025).</w:t>
      </w:r>
    </w:p>
    <w:p w14:paraId="378365B7"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Branjerdporn</w:t>
      </w:r>
      <w:proofErr w:type="spellEnd"/>
      <w:r w:rsidRPr="006054DB">
        <w:rPr>
          <w:rFonts w:ascii="Arial" w:eastAsia="Arial" w:hAnsi="Arial" w:cs="Arial"/>
          <w:color w:val="222222"/>
          <w:kern w:val="0"/>
          <w:sz w:val="22"/>
          <w:szCs w:val="22"/>
          <w:lang w:eastAsia="ja-JP"/>
          <w14:ligatures w14:val="none"/>
        </w:rPr>
        <w:t>, G., Gillespie, K.M., Dymond, A., Reyes, N.J.D., Robertson, J., Almeida-Crasto, A. and Bethi, S. (</w:t>
      </w:r>
      <w:proofErr w:type="gramStart"/>
      <w:r w:rsidRPr="006054DB">
        <w:rPr>
          <w:rFonts w:ascii="Arial" w:eastAsia="Arial" w:hAnsi="Arial" w:cs="Arial"/>
          <w:color w:val="222222"/>
          <w:kern w:val="0"/>
          <w:sz w:val="22"/>
          <w:szCs w:val="22"/>
          <w:lang w:eastAsia="ja-JP"/>
          <w14:ligatures w14:val="none"/>
        </w:rPr>
        <w:t>2023) ‘</w:t>
      </w:r>
      <w:proofErr w:type="gramEnd"/>
      <w:r w:rsidRPr="006054DB">
        <w:rPr>
          <w:rFonts w:ascii="Arial" w:eastAsia="Arial" w:hAnsi="Arial" w:cs="Arial"/>
          <w:color w:val="222222"/>
          <w:kern w:val="0"/>
          <w:sz w:val="22"/>
          <w:szCs w:val="22"/>
          <w:lang w:eastAsia="ja-JP"/>
          <w14:ligatures w14:val="none"/>
        </w:rPr>
        <w:t xml:space="preserve">Development of an interprofessional psychosocial interventions framework’, </w:t>
      </w:r>
      <w:r w:rsidRPr="006054DB">
        <w:rPr>
          <w:rFonts w:ascii="Arial" w:eastAsia="Arial" w:hAnsi="Arial" w:cs="Arial"/>
          <w:i/>
          <w:iCs/>
          <w:color w:val="222222"/>
          <w:kern w:val="0"/>
          <w:sz w:val="22"/>
          <w:szCs w:val="22"/>
          <w:lang w:eastAsia="ja-JP"/>
          <w14:ligatures w14:val="none"/>
        </w:rPr>
        <w:t>International Journal of Environmental Research and Public Health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20</w:t>
      </w:r>
      <w:r w:rsidRPr="006054DB">
        <w:rPr>
          <w:rFonts w:ascii="Arial" w:eastAsia="Arial" w:hAnsi="Arial" w:cs="Arial"/>
          <w:color w:val="222222"/>
          <w:kern w:val="0"/>
          <w:sz w:val="22"/>
          <w:szCs w:val="22"/>
          <w:lang w:eastAsia="ja-JP"/>
          <w14:ligatures w14:val="none"/>
        </w:rPr>
        <w:t xml:space="preserve">(8), p.5495. Available at: </w:t>
      </w:r>
      <w:hyperlink r:id="rId18">
        <w:r w:rsidRPr="006054DB">
          <w:rPr>
            <w:rFonts w:ascii="Arial" w:eastAsia="Arial" w:hAnsi="Arial" w:cs="Arial"/>
            <w:color w:val="467886"/>
            <w:kern w:val="0"/>
            <w:sz w:val="22"/>
            <w:szCs w:val="22"/>
            <w:u w:val="single"/>
            <w:lang w:eastAsia="ja-JP"/>
            <w14:ligatures w14:val="none"/>
          </w:rPr>
          <w:t>https://www.mdpi.com/1660-4601/20/8/5495</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46E1E15E" w14:textId="77777777" w:rsidR="005A4AED" w:rsidRPr="006054DB" w:rsidRDefault="005A4AED" w:rsidP="003C2FBD">
      <w:pPr>
        <w:spacing w:before="240" w:after="240"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lastRenderedPageBreak/>
        <w:t>Campagna, V. and Lee-Riley, L. (</w:t>
      </w:r>
      <w:proofErr w:type="gramStart"/>
      <w:r w:rsidRPr="006054DB">
        <w:rPr>
          <w:rFonts w:ascii="Arial" w:eastAsia="Arial" w:hAnsi="Arial" w:cs="Arial"/>
          <w:color w:val="222222"/>
          <w:kern w:val="0"/>
          <w:sz w:val="22"/>
          <w:szCs w:val="22"/>
          <w:lang w:eastAsia="ja-JP"/>
          <w14:ligatures w14:val="none"/>
        </w:rPr>
        <w:t>2025) ‘</w:t>
      </w:r>
      <w:proofErr w:type="gramEnd"/>
      <w:r w:rsidRPr="006054DB">
        <w:rPr>
          <w:rFonts w:ascii="Arial" w:eastAsia="Arial" w:hAnsi="Arial" w:cs="Arial"/>
          <w:color w:val="222222"/>
          <w:kern w:val="0"/>
          <w:sz w:val="22"/>
          <w:szCs w:val="22"/>
          <w:lang w:eastAsia="ja-JP"/>
          <w14:ligatures w14:val="none"/>
        </w:rPr>
        <w:t xml:space="preserve">Interprofessional collaboration as a best practice across the care continuum’, </w:t>
      </w:r>
      <w:r w:rsidRPr="006054DB">
        <w:rPr>
          <w:rFonts w:ascii="Arial" w:eastAsia="Arial" w:hAnsi="Arial" w:cs="Arial"/>
          <w:i/>
          <w:iCs/>
          <w:color w:val="222222"/>
          <w:kern w:val="0"/>
          <w:sz w:val="22"/>
          <w:szCs w:val="22"/>
          <w:lang w:eastAsia="ja-JP"/>
          <w14:ligatures w14:val="none"/>
        </w:rPr>
        <w:t>Professional Case Management</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30</w:t>
      </w:r>
      <w:r w:rsidRPr="006054DB">
        <w:rPr>
          <w:rFonts w:ascii="Arial" w:eastAsia="Arial" w:hAnsi="Arial" w:cs="Arial"/>
          <w:color w:val="222222"/>
          <w:kern w:val="0"/>
          <w:sz w:val="22"/>
          <w:szCs w:val="22"/>
          <w:lang w:eastAsia="ja-JP"/>
          <w14:ligatures w14:val="none"/>
        </w:rPr>
        <w:t xml:space="preserve">(3), pp.100-106. Available at: </w:t>
      </w:r>
      <w:hyperlink r:id="rId19">
        <w:r w:rsidRPr="006054DB">
          <w:rPr>
            <w:rFonts w:ascii="Arial" w:eastAsia="Arial" w:hAnsi="Arial" w:cs="Arial"/>
            <w:color w:val="467886"/>
            <w:kern w:val="0"/>
            <w:sz w:val="22"/>
            <w:szCs w:val="22"/>
            <w:u w:val="single"/>
            <w:lang w:eastAsia="ja-JP"/>
            <w14:ligatures w14:val="none"/>
          </w:rPr>
          <w:t>https://journals.lww.com/professionalcasemanagementjournal/fulltext/2025/05000/interprofessional_collaboration_as_a_best_practice.6.aspx?context=latestarticles</w:t>
        </w:r>
      </w:hyperlink>
      <w:r w:rsidRPr="006054DB">
        <w:rPr>
          <w:rFonts w:ascii="Arial" w:eastAsia="Arial" w:hAnsi="Arial" w:cs="Arial"/>
          <w:kern w:val="0"/>
          <w:sz w:val="22"/>
          <w:szCs w:val="22"/>
          <w:lang w:eastAsia="ja-JP"/>
          <w14:ligatures w14:val="none"/>
        </w:rPr>
        <w:t xml:space="preserve"> </w:t>
      </w:r>
      <w:r w:rsidRPr="006054DB">
        <w:rPr>
          <w:rFonts w:ascii="Arial" w:eastAsia="Arial" w:hAnsi="Arial" w:cs="Arial"/>
          <w:color w:val="222222"/>
          <w:kern w:val="0"/>
          <w:sz w:val="22"/>
          <w:szCs w:val="22"/>
          <w:lang w:eastAsia="ja-JP"/>
          <w14:ligatures w14:val="none"/>
        </w:rPr>
        <w:t>(Accessed: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628F9C5A" w14:textId="77777777" w:rsidR="005A4AED" w:rsidRPr="006054DB" w:rsidRDefault="005A4AED" w:rsidP="003C2FBD">
      <w:pPr>
        <w:spacing w:before="240" w:after="240"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Cao, X. and Naruse, T. (2019</w:t>
      </w:r>
      <w:proofErr w:type="gramStart"/>
      <w:r w:rsidRPr="006054DB">
        <w:rPr>
          <w:rFonts w:ascii="Arial" w:eastAsia="Arial" w:hAnsi="Arial" w:cs="Arial"/>
          <w:color w:val="222222"/>
          <w:kern w:val="0"/>
          <w:sz w:val="22"/>
          <w:szCs w:val="22"/>
          <w:lang w:eastAsia="ja-JP"/>
          <w14:ligatures w14:val="none"/>
        </w:rPr>
        <w:t>)  ‘</w:t>
      </w:r>
      <w:proofErr w:type="gramEnd"/>
      <w:r w:rsidRPr="006054DB">
        <w:rPr>
          <w:rFonts w:ascii="Arial" w:eastAsia="Arial" w:hAnsi="Arial" w:cs="Arial"/>
          <w:color w:val="222222"/>
          <w:kern w:val="0"/>
          <w:sz w:val="22"/>
          <w:szCs w:val="22"/>
          <w:lang w:eastAsia="ja-JP"/>
          <w14:ligatures w14:val="none"/>
        </w:rPr>
        <w:t xml:space="preserve">Effect of time pressure on the burnout of home-visiting nurses: The moderating role of relational coordination with nursing managers’, </w:t>
      </w:r>
      <w:proofErr w:type="spellStart"/>
      <w:r w:rsidRPr="006054DB">
        <w:rPr>
          <w:rFonts w:ascii="Arial" w:eastAsia="Arial" w:hAnsi="Arial" w:cs="Arial"/>
          <w:color w:val="222222"/>
          <w:kern w:val="0"/>
          <w:sz w:val="22"/>
          <w:szCs w:val="22"/>
          <w:lang w:eastAsia="ja-JP"/>
          <w14:ligatures w14:val="none"/>
        </w:rPr>
        <w:t>Jpn</w:t>
      </w:r>
      <w:proofErr w:type="spellEnd"/>
      <w:r w:rsidRPr="006054DB">
        <w:rPr>
          <w:rFonts w:ascii="Arial" w:eastAsia="Arial" w:hAnsi="Arial" w:cs="Arial"/>
          <w:color w:val="222222"/>
          <w:kern w:val="0"/>
          <w:sz w:val="22"/>
          <w:szCs w:val="22"/>
          <w:lang w:eastAsia="ja-JP"/>
          <w14:ligatures w14:val="none"/>
        </w:rPr>
        <w:t xml:space="preserve"> J Nurs Sci, 16, pp. 221-231.  Available at: </w:t>
      </w:r>
      <w:hyperlink r:id="rId20">
        <w:r w:rsidRPr="006054DB">
          <w:rPr>
            <w:rFonts w:ascii="Arial" w:eastAsia="Arial" w:hAnsi="Arial" w:cs="Arial"/>
            <w:color w:val="467886"/>
            <w:kern w:val="0"/>
            <w:sz w:val="22"/>
            <w:szCs w:val="22"/>
            <w:u w:val="single"/>
            <w:lang w:eastAsia="ja-JP"/>
            <w14:ligatures w14:val="none"/>
          </w:rPr>
          <w:t>https://doi.org/10.1111/jjns.12233</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3A6E144B" w14:textId="77777777" w:rsidR="005A4AED" w:rsidRPr="006054DB" w:rsidRDefault="005A4AED" w:rsidP="003C2FBD">
      <w:pPr>
        <w:spacing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color w:val="000000" w:themeColor="text1"/>
          <w:kern w:val="0"/>
          <w:sz w:val="22"/>
          <w:szCs w:val="22"/>
          <w:lang w:eastAsia="ja-JP"/>
          <w14:ligatures w14:val="none"/>
        </w:rPr>
        <w:t xml:space="preserve">Care Act 2014, c. 23. UK Parliament. Available at: </w:t>
      </w:r>
      <w:hyperlink r:id="rId21">
        <w:r w:rsidRPr="006054DB">
          <w:rPr>
            <w:rFonts w:ascii="Arial" w:eastAsia="Arial" w:hAnsi="Arial" w:cs="Arial"/>
            <w:color w:val="467886"/>
            <w:kern w:val="0"/>
            <w:sz w:val="22"/>
            <w:szCs w:val="22"/>
            <w:u w:val="single"/>
            <w:lang w:eastAsia="ja-JP"/>
            <w14:ligatures w14:val="none"/>
          </w:rPr>
          <w:t>https://www.legislation.gov.uk/id/ukpga/2014/23</w:t>
        </w:r>
      </w:hyperlink>
      <w:r w:rsidRPr="006054DB">
        <w:rPr>
          <w:rFonts w:ascii="Arial" w:eastAsia="Arial" w:hAnsi="Arial" w:cs="Arial"/>
          <w:color w:val="000000" w:themeColor="text1"/>
          <w:kern w:val="0"/>
          <w:sz w:val="22"/>
          <w:szCs w:val="22"/>
          <w:lang w:eastAsia="ja-JP"/>
          <w14:ligatures w14:val="none"/>
        </w:rPr>
        <w:t xml:space="preserve"> (Accessed: 9th October 2025).</w:t>
      </w:r>
    </w:p>
    <w:p w14:paraId="2C0D54CB" w14:textId="77777777" w:rsidR="005A4AED" w:rsidRPr="006054DB" w:rsidRDefault="005A4AED" w:rsidP="003C2FBD">
      <w:pPr>
        <w:spacing w:before="240" w:after="240"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color w:val="000000" w:themeColor="text1"/>
          <w:kern w:val="0"/>
          <w:sz w:val="22"/>
          <w:szCs w:val="22"/>
          <w:lang w:eastAsia="ja-JP"/>
          <w14:ligatures w14:val="none"/>
        </w:rPr>
        <w:t xml:space="preserve">Care Act 2014, s. 6. UK Parliament. Available at: </w:t>
      </w:r>
      <w:hyperlink r:id="rId22">
        <w:r w:rsidRPr="006054DB">
          <w:rPr>
            <w:rFonts w:ascii="Arial" w:eastAsia="Arial" w:hAnsi="Arial" w:cs="Arial"/>
            <w:color w:val="467886"/>
            <w:kern w:val="0"/>
            <w:sz w:val="22"/>
            <w:szCs w:val="22"/>
            <w:u w:val="single"/>
            <w:lang w:eastAsia="ja-JP"/>
            <w14:ligatures w14:val="none"/>
          </w:rPr>
          <w:t>https://www.legislation.gov.uk/ukpga/2014/23/section/6</w:t>
        </w:r>
      </w:hyperlink>
      <w:r w:rsidRPr="006054DB">
        <w:rPr>
          <w:rFonts w:ascii="Arial" w:eastAsia="Arial" w:hAnsi="Arial" w:cs="Arial"/>
          <w:color w:val="000000" w:themeColor="text1"/>
          <w:kern w:val="0"/>
          <w:sz w:val="22"/>
          <w:szCs w:val="22"/>
          <w:lang w:eastAsia="ja-JP"/>
          <w14:ligatures w14:val="none"/>
        </w:rPr>
        <w:t xml:space="preserve"> (Accessed: 9th October 2025).</w:t>
      </w:r>
    </w:p>
    <w:p w14:paraId="167AB788" w14:textId="77777777" w:rsidR="005A4AED" w:rsidRPr="006054DB" w:rsidRDefault="005A4AED" w:rsidP="003C2FBD">
      <w:pPr>
        <w:spacing w:after="0" w:line="360" w:lineRule="auto"/>
        <w:jc w:val="both"/>
        <w:rPr>
          <w:rFonts w:ascii="Arial" w:eastAsia="Arial" w:hAnsi="Arial" w:cs="Arial"/>
          <w:color w:val="000000" w:themeColor="text1"/>
          <w:kern w:val="0"/>
          <w:sz w:val="22"/>
          <w:szCs w:val="22"/>
          <w:lang w:eastAsia="ja-JP"/>
          <w14:ligatures w14:val="none"/>
        </w:rPr>
      </w:pPr>
      <w:r w:rsidRPr="006054DB">
        <w:rPr>
          <w:rFonts w:ascii="Arial" w:eastAsia="Times New Roman" w:hAnsi="Arial" w:cs="Arial"/>
          <w:kern w:val="0"/>
          <w:sz w:val="22"/>
          <w:szCs w:val="22"/>
          <w:lang w:eastAsia="ja-JP"/>
          <w14:ligatures w14:val="none"/>
        </w:rPr>
        <w:t xml:space="preserve">Care Quality Commission (2025) </w:t>
      </w:r>
      <w:r w:rsidRPr="006054DB">
        <w:rPr>
          <w:rFonts w:ascii="Arial" w:eastAsia="Times New Roman" w:hAnsi="Arial" w:cs="Arial"/>
          <w:i/>
          <w:iCs/>
          <w:kern w:val="0"/>
          <w:sz w:val="22"/>
          <w:szCs w:val="22"/>
          <w:lang w:eastAsia="ja-JP"/>
          <w14:ligatures w14:val="none"/>
        </w:rPr>
        <w:t>‘Partnerships and Communities‘</w:t>
      </w:r>
      <w:r w:rsidRPr="006054DB">
        <w:rPr>
          <w:rFonts w:ascii="Arial" w:eastAsia="Times New Roman" w:hAnsi="Arial" w:cs="Arial"/>
          <w:kern w:val="0"/>
          <w:sz w:val="22"/>
          <w:szCs w:val="22"/>
          <w:lang w:eastAsia="ja-JP"/>
          <w14:ligatures w14:val="none"/>
        </w:rPr>
        <w:t xml:space="preserve">, Available at: </w:t>
      </w:r>
      <w:hyperlink r:id="rId23">
        <w:r w:rsidRPr="006054DB">
          <w:rPr>
            <w:rFonts w:ascii="Arial" w:eastAsia="Times New Roman" w:hAnsi="Arial" w:cs="Arial"/>
            <w:color w:val="467886"/>
            <w:kern w:val="0"/>
            <w:sz w:val="22"/>
            <w:szCs w:val="22"/>
            <w:u w:val="single"/>
            <w:lang w:eastAsia="ja-JP"/>
            <w14:ligatures w14:val="none"/>
          </w:rPr>
          <w:t>https://www.cqc.org.uk/guidance-regulation/local-authorities/assessment-framework/theme2/partnerships</w:t>
        </w:r>
      </w:hyperlink>
      <w:r w:rsidRPr="006054DB">
        <w:rPr>
          <w:rFonts w:ascii="Arial" w:eastAsia="Times New Roman" w:hAnsi="Arial" w:cs="Arial"/>
          <w:kern w:val="0"/>
          <w:sz w:val="22"/>
          <w:szCs w:val="22"/>
          <w:lang w:eastAsia="ja-JP"/>
          <w14:ligatures w14:val="none"/>
        </w:rPr>
        <w:t xml:space="preserve">. </w:t>
      </w:r>
      <w:r w:rsidRPr="006054DB">
        <w:rPr>
          <w:rFonts w:ascii="Arial" w:eastAsia="Arial" w:hAnsi="Arial" w:cs="Arial"/>
          <w:color w:val="000000" w:themeColor="text1"/>
          <w:kern w:val="0"/>
          <w:sz w:val="22"/>
          <w:szCs w:val="22"/>
          <w:lang w:eastAsia="ja-JP"/>
          <w14:ligatures w14:val="none"/>
        </w:rPr>
        <w:t>(Accessed: 10</w:t>
      </w:r>
      <w:r w:rsidRPr="006054DB">
        <w:rPr>
          <w:rFonts w:ascii="Arial" w:eastAsia="Arial" w:hAnsi="Arial" w:cs="Arial"/>
          <w:color w:val="000000" w:themeColor="text1"/>
          <w:kern w:val="0"/>
          <w:sz w:val="22"/>
          <w:szCs w:val="22"/>
          <w:vertAlign w:val="superscript"/>
          <w:lang w:eastAsia="ja-JP"/>
          <w14:ligatures w14:val="none"/>
        </w:rPr>
        <w:t>th</w:t>
      </w:r>
      <w:r w:rsidRPr="006054DB">
        <w:rPr>
          <w:rFonts w:ascii="Arial" w:eastAsia="Arial" w:hAnsi="Arial" w:cs="Arial"/>
          <w:color w:val="000000" w:themeColor="text1"/>
          <w:kern w:val="0"/>
          <w:sz w:val="22"/>
          <w:szCs w:val="22"/>
          <w:lang w:eastAsia="ja-JP"/>
          <w14:ligatures w14:val="none"/>
        </w:rPr>
        <w:t xml:space="preserve"> October 2025).</w:t>
      </w:r>
    </w:p>
    <w:p w14:paraId="7CDF9054" w14:textId="77777777" w:rsidR="005A4AED" w:rsidRPr="006054DB" w:rsidRDefault="005A4AED" w:rsidP="003C2FBD">
      <w:pPr>
        <w:spacing w:after="0" w:line="360" w:lineRule="auto"/>
        <w:jc w:val="both"/>
        <w:rPr>
          <w:rFonts w:ascii="Arial" w:eastAsia="Arial" w:hAnsi="Arial" w:cs="Arial"/>
          <w:color w:val="000000" w:themeColor="text1"/>
          <w:kern w:val="0"/>
          <w:sz w:val="22"/>
          <w:szCs w:val="22"/>
          <w:lang w:eastAsia="ja-JP"/>
          <w14:ligatures w14:val="none"/>
        </w:rPr>
      </w:pPr>
    </w:p>
    <w:p w14:paraId="27B0E200"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000000" w:themeColor="text1"/>
          <w:kern w:val="0"/>
          <w:sz w:val="22"/>
          <w:szCs w:val="22"/>
          <w:lang w:eastAsia="ja-JP"/>
          <w14:ligatures w14:val="none"/>
        </w:rPr>
        <w:t>Crellin, A., Manti, A.M., Tucker, H., Foulds, G. and McSherry, P. (</w:t>
      </w:r>
      <w:proofErr w:type="gramStart"/>
      <w:r w:rsidRPr="006054DB">
        <w:rPr>
          <w:rFonts w:ascii="Arial" w:eastAsia="Arial" w:hAnsi="Arial" w:cs="Arial"/>
          <w:color w:val="000000" w:themeColor="text1"/>
          <w:kern w:val="0"/>
          <w:sz w:val="22"/>
          <w:szCs w:val="22"/>
          <w:lang w:eastAsia="ja-JP"/>
          <w14:ligatures w14:val="none"/>
        </w:rPr>
        <w:t>2025) ‘</w:t>
      </w:r>
      <w:proofErr w:type="spellStart"/>
      <w:proofErr w:type="gramEnd"/>
      <w:r w:rsidRPr="006054DB">
        <w:rPr>
          <w:rFonts w:ascii="Arial" w:eastAsia="Arial" w:hAnsi="Arial" w:cs="Arial"/>
          <w:color w:val="000000" w:themeColor="text1"/>
          <w:kern w:val="0"/>
          <w:sz w:val="22"/>
          <w:szCs w:val="22"/>
          <w:lang w:eastAsia="ja-JP"/>
          <w14:ligatures w14:val="none"/>
        </w:rPr>
        <w:t>HomeFirst</w:t>
      </w:r>
      <w:proofErr w:type="spellEnd"/>
      <w:r w:rsidRPr="006054DB">
        <w:rPr>
          <w:rFonts w:ascii="Arial" w:eastAsia="Arial" w:hAnsi="Arial" w:cs="Arial"/>
          <w:color w:val="000000" w:themeColor="text1"/>
          <w:kern w:val="0"/>
          <w:sz w:val="22"/>
          <w:szCs w:val="22"/>
          <w:lang w:eastAsia="ja-JP"/>
          <w14:ligatures w14:val="none"/>
        </w:rPr>
        <w:t>: An evaluation of a multi-agency approach to supporting people with significant mental health problems to remain in the community. J</w:t>
      </w:r>
      <w:r w:rsidRPr="006054DB">
        <w:rPr>
          <w:rFonts w:ascii="Arial" w:eastAsia="Arial" w:hAnsi="Arial" w:cs="Arial"/>
          <w:i/>
          <w:iCs/>
          <w:color w:val="000000" w:themeColor="text1"/>
          <w:kern w:val="0"/>
          <w:sz w:val="22"/>
          <w:szCs w:val="22"/>
          <w:lang w:eastAsia="ja-JP"/>
          <w14:ligatures w14:val="none"/>
        </w:rPr>
        <w:t>ournal of Psychosocial Rehabilitation and Mental Health</w:t>
      </w:r>
      <w:r w:rsidRPr="006054DB">
        <w:rPr>
          <w:rFonts w:ascii="Arial" w:eastAsia="Arial" w:hAnsi="Arial" w:cs="Arial"/>
          <w:color w:val="000000" w:themeColor="text1"/>
          <w:kern w:val="0"/>
          <w:sz w:val="22"/>
          <w:szCs w:val="22"/>
          <w:lang w:eastAsia="ja-JP"/>
          <w14:ligatures w14:val="none"/>
        </w:rPr>
        <w:t xml:space="preserve">, pp.1-12. Available at: </w:t>
      </w:r>
      <w:hyperlink r:id="rId24">
        <w:r w:rsidRPr="006054DB">
          <w:rPr>
            <w:rFonts w:ascii="Arial" w:eastAsia="Arial" w:hAnsi="Arial" w:cs="Arial"/>
            <w:color w:val="467886"/>
            <w:kern w:val="0"/>
            <w:sz w:val="22"/>
            <w:szCs w:val="22"/>
            <w:u w:val="single"/>
            <w:lang w:eastAsia="ja-JP"/>
            <w14:ligatures w14:val="none"/>
          </w:rPr>
          <w:t>https://link.springer.com/article/10.1007/s40737-025-00458-y</w:t>
        </w:r>
      </w:hyperlink>
      <w:r w:rsidRPr="006054DB">
        <w:rPr>
          <w:rFonts w:ascii="Arial" w:eastAsia="Arial" w:hAnsi="Arial" w:cs="Arial"/>
          <w:color w:val="000000" w:themeColor="text1"/>
          <w:kern w:val="0"/>
          <w:sz w:val="22"/>
          <w:szCs w:val="22"/>
          <w:lang w:eastAsia="ja-JP"/>
          <w14:ligatures w14:val="none"/>
        </w:rPr>
        <w:t xml:space="preserve"> </w:t>
      </w:r>
      <w:r w:rsidRPr="006054DB">
        <w:rPr>
          <w:rFonts w:ascii="Arial" w:eastAsia="Arial" w:hAnsi="Arial" w:cs="Arial"/>
          <w:color w:val="222222"/>
          <w:kern w:val="0"/>
          <w:sz w:val="22"/>
          <w:szCs w:val="22"/>
          <w:lang w:eastAsia="ja-JP"/>
          <w14:ligatures w14:val="none"/>
        </w:rPr>
        <w:t>(Accessed: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47DADAAA"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Crawford, L., Maxwell, J., Colquhoun, H., Kingsnorth, S., </w:t>
      </w:r>
      <w:proofErr w:type="spellStart"/>
      <w:r w:rsidRPr="006054DB">
        <w:rPr>
          <w:rFonts w:ascii="Arial" w:eastAsia="Arial" w:hAnsi="Arial" w:cs="Arial"/>
          <w:color w:val="222222"/>
          <w:kern w:val="0"/>
          <w:sz w:val="22"/>
          <w:szCs w:val="22"/>
          <w:lang w:eastAsia="ja-JP"/>
          <w14:ligatures w14:val="none"/>
        </w:rPr>
        <w:t>Fehlings</w:t>
      </w:r>
      <w:proofErr w:type="spellEnd"/>
      <w:r w:rsidRPr="006054DB">
        <w:rPr>
          <w:rFonts w:ascii="Arial" w:eastAsia="Arial" w:hAnsi="Arial" w:cs="Arial"/>
          <w:color w:val="222222"/>
          <w:kern w:val="0"/>
          <w:sz w:val="22"/>
          <w:szCs w:val="22"/>
          <w:lang w:eastAsia="ja-JP"/>
          <w14:ligatures w14:val="none"/>
        </w:rPr>
        <w:t xml:space="preserve">, D., </w:t>
      </w:r>
      <w:proofErr w:type="spellStart"/>
      <w:r w:rsidRPr="006054DB">
        <w:rPr>
          <w:rFonts w:ascii="Arial" w:eastAsia="Arial" w:hAnsi="Arial" w:cs="Arial"/>
          <w:color w:val="222222"/>
          <w:kern w:val="0"/>
          <w:sz w:val="22"/>
          <w:szCs w:val="22"/>
          <w:lang w:eastAsia="ja-JP"/>
          <w14:ligatures w14:val="none"/>
        </w:rPr>
        <w:t>Zarshenas</w:t>
      </w:r>
      <w:proofErr w:type="spellEnd"/>
      <w:r w:rsidRPr="006054DB">
        <w:rPr>
          <w:rFonts w:ascii="Arial" w:eastAsia="Arial" w:hAnsi="Arial" w:cs="Arial"/>
          <w:color w:val="222222"/>
          <w:kern w:val="0"/>
          <w:sz w:val="22"/>
          <w:szCs w:val="22"/>
          <w:lang w:eastAsia="ja-JP"/>
          <w14:ligatures w14:val="none"/>
        </w:rPr>
        <w:t>, S., McFarland, S. and Fayed, N. (</w:t>
      </w:r>
      <w:proofErr w:type="gramStart"/>
      <w:r w:rsidRPr="006054DB">
        <w:rPr>
          <w:rFonts w:ascii="Arial" w:eastAsia="Arial" w:hAnsi="Arial" w:cs="Arial"/>
          <w:color w:val="222222"/>
          <w:kern w:val="0"/>
          <w:sz w:val="22"/>
          <w:szCs w:val="22"/>
          <w:lang w:eastAsia="ja-JP"/>
          <w14:ligatures w14:val="none"/>
        </w:rPr>
        <w:t>2022) ‘</w:t>
      </w:r>
      <w:proofErr w:type="gramEnd"/>
      <w:r w:rsidRPr="006054DB">
        <w:rPr>
          <w:rFonts w:ascii="Arial" w:eastAsia="Arial" w:hAnsi="Arial" w:cs="Arial"/>
          <w:color w:val="222222"/>
          <w:kern w:val="0"/>
          <w:sz w:val="22"/>
          <w:szCs w:val="22"/>
          <w:lang w:eastAsia="ja-JP"/>
          <w14:ligatures w14:val="none"/>
        </w:rPr>
        <w:t>Facilitators and barriers to patient-</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w:t>
      </w:r>
      <w:proofErr w:type="gramStart"/>
      <w:r w:rsidRPr="006054DB">
        <w:rPr>
          <w:rFonts w:ascii="Arial" w:eastAsia="Arial" w:hAnsi="Arial" w:cs="Arial"/>
          <w:color w:val="222222"/>
          <w:kern w:val="0"/>
          <w:sz w:val="22"/>
          <w:szCs w:val="22"/>
          <w:lang w:eastAsia="ja-JP"/>
          <w14:ligatures w14:val="none"/>
        </w:rPr>
        <w:t>goal-setting</w:t>
      </w:r>
      <w:proofErr w:type="gramEnd"/>
      <w:r w:rsidRPr="006054DB">
        <w:rPr>
          <w:rFonts w:ascii="Arial" w:eastAsia="Arial" w:hAnsi="Arial" w:cs="Arial"/>
          <w:color w:val="222222"/>
          <w:kern w:val="0"/>
          <w:sz w:val="22"/>
          <w:szCs w:val="22"/>
          <w:lang w:eastAsia="ja-JP"/>
          <w14:ligatures w14:val="none"/>
        </w:rPr>
        <w:t xml:space="preserve"> in rehabilitation: A scoping review’, </w:t>
      </w:r>
      <w:r w:rsidRPr="006054DB">
        <w:rPr>
          <w:rFonts w:ascii="Arial" w:eastAsia="Arial" w:hAnsi="Arial" w:cs="Arial"/>
          <w:i/>
          <w:iCs/>
          <w:color w:val="222222"/>
          <w:kern w:val="0"/>
          <w:sz w:val="22"/>
          <w:szCs w:val="22"/>
          <w:lang w:eastAsia="ja-JP"/>
          <w14:ligatures w14:val="none"/>
        </w:rPr>
        <w:t>Clinical Rehabilitation</w:t>
      </w:r>
      <w:r w:rsidRPr="006054DB">
        <w:rPr>
          <w:rFonts w:ascii="Arial" w:eastAsia="Arial" w:hAnsi="Arial" w:cs="Arial"/>
          <w:color w:val="222222"/>
          <w:kern w:val="0"/>
          <w:sz w:val="22"/>
          <w:szCs w:val="22"/>
          <w:lang w:eastAsia="ja-JP"/>
          <w14:ligatures w14:val="none"/>
        </w:rPr>
        <w:t xml:space="preserve">, 36(12), pp.1694-1704. Available at: </w:t>
      </w:r>
      <w:hyperlink r:id="rId25">
        <w:r w:rsidRPr="006054DB">
          <w:rPr>
            <w:rFonts w:ascii="Arial" w:eastAsia="Arial" w:hAnsi="Arial" w:cs="Arial"/>
            <w:color w:val="467886"/>
            <w:kern w:val="0"/>
            <w:sz w:val="22"/>
            <w:szCs w:val="22"/>
            <w:u w:val="single"/>
            <w:lang w:eastAsia="ja-JP"/>
            <w14:ligatures w14:val="none"/>
          </w:rPr>
          <w:t>https://journals.sagepub.com/doi/abs/10.1177/02692155221121006</w:t>
        </w:r>
      </w:hyperlink>
      <w:r w:rsidRPr="006054DB">
        <w:rPr>
          <w:rFonts w:ascii="Arial" w:eastAsia="Arial" w:hAnsi="Arial" w:cs="Arial"/>
          <w:color w:val="222222"/>
          <w:kern w:val="0"/>
          <w:sz w:val="22"/>
          <w:szCs w:val="22"/>
          <w:lang w:eastAsia="ja-JP"/>
          <w14:ligatures w14:val="none"/>
        </w:rPr>
        <w:t xml:space="preserve"> (Accessed: 9th October 2025).</w:t>
      </w:r>
    </w:p>
    <w:p w14:paraId="32037C3B"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Crowe, S. and Deane, F. (</w:t>
      </w:r>
      <w:proofErr w:type="gramStart"/>
      <w:r w:rsidRPr="006054DB">
        <w:rPr>
          <w:rFonts w:ascii="Arial" w:eastAsia="Arial" w:hAnsi="Arial" w:cs="Arial"/>
          <w:color w:val="222222"/>
          <w:kern w:val="0"/>
          <w:sz w:val="22"/>
          <w:szCs w:val="22"/>
          <w:lang w:eastAsia="ja-JP"/>
          <w14:ligatures w14:val="none"/>
        </w:rPr>
        <w:t>2018) ‘</w:t>
      </w:r>
      <w:proofErr w:type="gramEnd"/>
      <w:r w:rsidRPr="006054DB">
        <w:rPr>
          <w:rFonts w:ascii="Arial" w:eastAsia="Arial" w:hAnsi="Arial" w:cs="Arial"/>
          <w:color w:val="222222"/>
          <w:kern w:val="0"/>
          <w:sz w:val="22"/>
          <w:szCs w:val="22"/>
          <w:lang w:eastAsia="ja-JP"/>
          <w14:ligatures w14:val="none"/>
        </w:rPr>
        <w:t xml:space="preserve">Characteristics of mental health recovery model implementation and managers’ and clinicians’ risk aversion’, </w:t>
      </w:r>
      <w:r w:rsidRPr="006054DB">
        <w:rPr>
          <w:rFonts w:ascii="Arial" w:eastAsia="Arial" w:hAnsi="Arial" w:cs="Arial"/>
          <w:i/>
          <w:iCs/>
          <w:color w:val="222222"/>
          <w:kern w:val="0"/>
          <w:sz w:val="22"/>
          <w:szCs w:val="22"/>
          <w:lang w:eastAsia="ja-JP"/>
          <w14:ligatures w14:val="none"/>
        </w:rPr>
        <w:t>The Journal of Mental Health Training, Education and Practice</w:t>
      </w:r>
      <w:r w:rsidRPr="006054DB">
        <w:rPr>
          <w:rFonts w:ascii="Arial" w:eastAsia="Arial" w:hAnsi="Arial" w:cs="Arial"/>
          <w:color w:val="222222"/>
          <w:kern w:val="0"/>
          <w:sz w:val="22"/>
          <w:szCs w:val="22"/>
          <w:lang w:eastAsia="ja-JP"/>
          <w14:ligatures w14:val="none"/>
        </w:rPr>
        <w:t xml:space="preserve">, 13(1), pp.22-33. Available at: </w:t>
      </w:r>
      <w:hyperlink r:id="rId26">
        <w:r w:rsidRPr="006054DB">
          <w:rPr>
            <w:rFonts w:ascii="Arial" w:eastAsia="Arial" w:hAnsi="Arial" w:cs="Arial"/>
            <w:color w:val="467886"/>
            <w:kern w:val="0"/>
            <w:sz w:val="22"/>
            <w:szCs w:val="22"/>
            <w:u w:val="single"/>
            <w:lang w:eastAsia="ja-JP"/>
            <w14:ligatures w14:val="none"/>
          </w:rPr>
          <w:t>https://www.emerald.com/insight/content/doi/10.1108/JMHTEP-05-2017-0039/full/html</w:t>
        </w:r>
      </w:hyperlink>
      <w:r w:rsidRPr="006054DB">
        <w:rPr>
          <w:rFonts w:ascii="Arial" w:eastAsia="Arial" w:hAnsi="Arial" w:cs="Arial"/>
          <w:color w:val="222222"/>
          <w:kern w:val="0"/>
          <w:sz w:val="22"/>
          <w:szCs w:val="22"/>
          <w:lang w:eastAsia="ja-JP"/>
          <w14:ligatures w14:val="none"/>
        </w:rPr>
        <w:t xml:space="preserve"> (Accessed: 9th October 2025).</w:t>
      </w:r>
    </w:p>
    <w:p w14:paraId="4AC1C06B"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Cruwys, T., Stewart, B., Buckley, L., </w:t>
      </w:r>
      <w:proofErr w:type="spellStart"/>
      <w:r w:rsidRPr="006054DB">
        <w:rPr>
          <w:rFonts w:ascii="Arial" w:eastAsia="Arial" w:hAnsi="Arial" w:cs="Arial"/>
          <w:color w:val="222222"/>
          <w:kern w:val="0"/>
          <w:sz w:val="22"/>
          <w:szCs w:val="22"/>
          <w:lang w:eastAsia="ja-JP"/>
          <w14:ligatures w14:val="none"/>
        </w:rPr>
        <w:t>Gumley</w:t>
      </w:r>
      <w:proofErr w:type="spellEnd"/>
      <w:r w:rsidRPr="006054DB">
        <w:rPr>
          <w:rFonts w:ascii="Arial" w:eastAsia="Arial" w:hAnsi="Arial" w:cs="Arial"/>
          <w:color w:val="222222"/>
          <w:kern w:val="0"/>
          <w:sz w:val="22"/>
          <w:szCs w:val="22"/>
          <w:lang w:eastAsia="ja-JP"/>
          <w14:ligatures w14:val="none"/>
        </w:rPr>
        <w:t>, J. and Scholz, B. (</w:t>
      </w:r>
      <w:proofErr w:type="gramStart"/>
      <w:r w:rsidRPr="006054DB">
        <w:rPr>
          <w:rFonts w:ascii="Arial" w:eastAsia="Arial" w:hAnsi="Arial" w:cs="Arial"/>
          <w:color w:val="222222"/>
          <w:kern w:val="0"/>
          <w:sz w:val="22"/>
          <w:szCs w:val="22"/>
          <w:lang w:eastAsia="ja-JP"/>
          <w14:ligatures w14:val="none"/>
        </w:rPr>
        <w:t>2020) ‘</w:t>
      </w:r>
      <w:proofErr w:type="gramEnd"/>
      <w:r w:rsidRPr="006054DB">
        <w:rPr>
          <w:rFonts w:ascii="Arial" w:eastAsia="Arial" w:hAnsi="Arial" w:cs="Arial"/>
          <w:color w:val="222222"/>
          <w:kern w:val="0"/>
          <w:sz w:val="22"/>
          <w:szCs w:val="22"/>
          <w:lang w:eastAsia="ja-JP"/>
          <w14:ligatures w14:val="none"/>
        </w:rPr>
        <w:t xml:space="preserve">The recovery model in chronic mental health: A community-based investigation of social identity processes’, </w:t>
      </w:r>
      <w:r w:rsidRPr="006054DB">
        <w:rPr>
          <w:rFonts w:ascii="Arial" w:eastAsia="Arial" w:hAnsi="Arial" w:cs="Arial"/>
          <w:i/>
          <w:iCs/>
          <w:color w:val="222222"/>
          <w:kern w:val="0"/>
          <w:sz w:val="22"/>
          <w:szCs w:val="22"/>
          <w:lang w:eastAsia="ja-JP"/>
          <w14:ligatures w14:val="none"/>
        </w:rPr>
        <w:lastRenderedPageBreak/>
        <w:t>Psychiatry Research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291</w:t>
      </w:r>
      <w:r w:rsidRPr="006054DB">
        <w:rPr>
          <w:rFonts w:ascii="Arial" w:eastAsia="Arial" w:hAnsi="Arial" w:cs="Arial"/>
          <w:color w:val="222222"/>
          <w:kern w:val="0"/>
          <w:sz w:val="22"/>
          <w:szCs w:val="22"/>
          <w:lang w:eastAsia="ja-JP"/>
          <w14:ligatures w14:val="none"/>
        </w:rPr>
        <w:t xml:space="preserve">, p.113241. Available at: </w:t>
      </w:r>
      <w:hyperlink r:id="rId27">
        <w:r w:rsidRPr="006054DB">
          <w:rPr>
            <w:rFonts w:ascii="Arial" w:eastAsia="Arial" w:hAnsi="Arial" w:cs="Arial"/>
            <w:color w:val="467886"/>
            <w:kern w:val="0"/>
            <w:sz w:val="22"/>
            <w:szCs w:val="22"/>
            <w:u w:val="single"/>
            <w:lang w:eastAsia="ja-JP"/>
            <w14:ligatures w14:val="none"/>
          </w:rPr>
          <w:t>https://www.sciencedirect.com/science/article/pii/S0165178120311434</w:t>
        </w:r>
      </w:hyperlink>
      <w:r w:rsidRPr="006054DB">
        <w:rPr>
          <w:rFonts w:ascii="Arial" w:eastAsia="Arial" w:hAnsi="Arial" w:cs="Arial"/>
          <w:color w:val="222222"/>
          <w:kern w:val="0"/>
          <w:sz w:val="22"/>
          <w:szCs w:val="22"/>
          <w:lang w:eastAsia="ja-JP"/>
          <w14:ligatures w14:val="none"/>
        </w:rPr>
        <w:t xml:space="preserve"> (Accessed: 9th October 2025).</w:t>
      </w:r>
    </w:p>
    <w:p w14:paraId="05FFB2AC"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Daguman</w:t>
      </w:r>
      <w:proofErr w:type="spellEnd"/>
      <w:r w:rsidRPr="006054DB">
        <w:rPr>
          <w:rFonts w:ascii="Arial" w:eastAsia="Arial" w:hAnsi="Arial" w:cs="Arial"/>
          <w:color w:val="222222"/>
          <w:kern w:val="0"/>
          <w:sz w:val="22"/>
          <w:szCs w:val="22"/>
          <w:lang w:eastAsia="ja-JP"/>
          <w14:ligatures w14:val="none"/>
        </w:rPr>
        <w:t xml:space="preserve">, E.I., Taylor, A., Flowers, M., Owen, D., Wilson, A., Lakeman, R. and Hutchinson, M. (2025) ‘Evaluating the Safe Steps for De-escalation: A protocol for a mixed concurrent control study in acute mental health units’, </w:t>
      </w:r>
      <w:proofErr w:type="spellStart"/>
      <w:r w:rsidRPr="006054DB">
        <w:rPr>
          <w:rFonts w:ascii="Arial" w:eastAsia="Arial" w:hAnsi="Arial" w:cs="Arial"/>
          <w:i/>
          <w:iCs/>
          <w:color w:val="222222"/>
          <w:kern w:val="0"/>
          <w:sz w:val="22"/>
          <w:szCs w:val="22"/>
          <w:lang w:eastAsia="ja-JP"/>
          <w14:ligatures w14:val="none"/>
        </w:rPr>
        <w:t>PLoS</w:t>
      </w:r>
      <w:proofErr w:type="spellEnd"/>
      <w:r w:rsidRPr="006054DB">
        <w:rPr>
          <w:rFonts w:ascii="Arial" w:eastAsia="Arial" w:hAnsi="Arial" w:cs="Arial"/>
          <w:i/>
          <w:iCs/>
          <w:color w:val="222222"/>
          <w:kern w:val="0"/>
          <w:sz w:val="22"/>
          <w:szCs w:val="22"/>
          <w:lang w:eastAsia="ja-JP"/>
          <w14:ligatures w14:val="none"/>
        </w:rPr>
        <w:t xml:space="preserve"> One,</w:t>
      </w:r>
      <w:r w:rsidRPr="006054DB">
        <w:rPr>
          <w:rFonts w:ascii="Arial" w:eastAsia="Arial" w:hAnsi="Arial" w:cs="Arial"/>
          <w:color w:val="222222"/>
          <w:kern w:val="0"/>
          <w:sz w:val="22"/>
          <w:szCs w:val="22"/>
          <w:lang w:eastAsia="ja-JP"/>
          <w14:ligatures w14:val="none"/>
        </w:rPr>
        <w:t xml:space="preserve"> 20(6), p.e0325558. Available at: </w:t>
      </w:r>
      <w:hyperlink r:id="rId28">
        <w:r w:rsidRPr="006054DB">
          <w:rPr>
            <w:rFonts w:ascii="Arial" w:eastAsia="Arial" w:hAnsi="Arial" w:cs="Arial"/>
            <w:color w:val="467886"/>
            <w:kern w:val="0"/>
            <w:sz w:val="22"/>
            <w:szCs w:val="22"/>
            <w:u w:val="single"/>
            <w:lang w:eastAsia="ja-JP"/>
            <w14:ligatures w14:val="none"/>
          </w:rPr>
          <w:t>https://journals.plos.org/plosone/article?id=10.1371/journal.pone.0325558</w:t>
        </w:r>
      </w:hyperlink>
      <w:r w:rsidRPr="006054DB">
        <w:rPr>
          <w:rFonts w:ascii="Arial" w:eastAsia="Arial" w:hAnsi="Arial" w:cs="Arial"/>
          <w:color w:val="222222"/>
          <w:kern w:val="0"/>
          <w:sz w:val="22"/>
          <w:szCs w:val="22"/>
          <w:lang w:eastAsia="ja-JP"/>
          <w14:ligatures w14:val="none"/>
        </w:rPr>
        <w:t xml:space="preserve"> (Accessed: 9th October 2025).</w:t>
      </w:r>
    </w:p>
    <w:p w14:paraId="3D76363E" w14:textId="77777777" w:rsidR="005A4AED" w:rsidRPr="006054DB" w:rsidRDefault="005A4AED" w:rsidP="003C2FBD">
      <w:pPr>
        <w:spacing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color w:val="000000" w:themeColor="text1"/>
          <w:kern w:val="0"/>
          <w:sz w:val="22"/>
          <w:szCs w:val="22"/>
          <w:lang w:eastAsia="ja-JP"/>
          <w14:ligatures w14:val="none"/>
        </w:rPr>
        <w:t xml:space="preserve">Davies, E. (2016) ’Partnership working and new roles and responsibilities’, Future Hospital Journal, 3(2), pp.123-127. Available at: </w:t>
      </w:r>
      <w:hyperlink r:id="rId29">
        <w:r w:rsidRPr="006054DB">
          <w:rPr>
            <w:rFonts w:ascii="Arial" w:eastAsia="Arial" w:hAnsi="Arial" w:cs="Arial"/>
            <w:color w:val="467886"/>
            <w:kern w:val="0"/>
            <w:sz w:val="22"/>
            <w:szCs w:val="22"/>
            <w:u w:val="single"/>
            <w:lang w:eastAsia="ja-JP"/>
            <w14:ligatures w14:val="none"/>
          </w:rPr>
          <w:t>https://www.sciencedirect.com/science/article/pii/S2514664524010865</w:t>
        </w:r>
      </w:hyperlink>
      <w:r w:rsidRPr="006054DB">
        <w:rPr>
          <w:rFonts w:ascii="Arial" w:eastAsia="Arial" w:hAnsi="Arial" w:cs="Arial"/>
          <w:color w:val="000000" w:themeColor="text1"/>
          <w:kern w:val="0"/>
          <w:sz w:val="22"/>
          <w:szCs w:val="22"/>
          <w:lang w:eastAsia="ja-JP"/>
          <w14:ligatures w14:val="none"/>
        </w:rPr>
        <w:t xml:space="preserve"> (Accessed: 9th October 2025).</w:t>
      </w:r>
    </w:p>
    <w:p w14:paraId="7B0BC67B"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Delaney, L.J. (2018) ‘Patient-</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care as an approach to improving health care in Australia’, </w:t>
      </w:r>
      <w:r w:rsidRPr="006054DB">
        <w:rPr>
          <w:rFonts w:ascii="Arial" w:eastAsia="Arial" w:hAnsi="Arial" w:cs="Arial"/>
          <w:i/>
          <w:iCs/>
          <w:color w:val="222222"/>
          <w:kern w:val="0"/>
          <w:sz w:val="22"/>
          <w:szCs w:val="22"/>
          <w:lang w:eastAsia="ja-JP"/>
          <w14:ligatures w14:val="none"/>
        </w:rPr>
        <w:t>Collegian</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25</w:t>
      </w:r>
      <w:r w:rsidRPr="006054DB">
        <w:rPr>
          <w:rFonts w:ascii="Arial" w:eastAsia="Arial" w:hAnsi="Arial" w:cs="Arial"/>
          <w:color w:val="222222"/>
          <w:kern w:val="0"/>
          <w:sz w:val="22"/>
          <w:szCs w:val="22"/>
          <w:lang w:eastAsia="ja-JP"/>
          <w14:ligatures w14:val="none"/>
        </w:rPr>
        <w:t xml:space="preserve">(1), pp.119-123. Available at: </w:t>
      </w:r>
      <w:hyperlink r:id="rId30">
        <w:r w:rsidRPr="006054DB">
          <w:rPr>
            <w:rFonts w:ascii="Arial" w:eastAsia="Arial" w:hAnsi="Arial" w:cs="Arial"/>
            <w:color w:val="467886"/>
            <w:kern w:val="0"/>
            <w:sz w:val="22"/>
            <w:szCs w:val="22"/>
            <w:u w:val="single"/>
            <w:lang w:eastAsia="ja-JP"/>
            <w14:ligatures w14:val="none"/>
          </w:rPr>
          <w:t>https://www.sciencedirect.com/science/article/pii/S1322769617300422</w:t>
        </w:r>
      </w:hyperlink>
      <w:r w:rsidRPr="006054DB">
        <w:rPr>
          <w:rFonts w:ascii="Arial" w:eastAsia="Arial" w:hAnsi="Arial" w:cs="Arial"/>
          <w:color w:val="222222"/>
          <w:kern w:val="0"/>
          <w:sz w:val="22"/>
          <w:szCs w:val="22"/>
          <w:lang w:eastAsia="ja-JP"/>
          <w14:ligatures w14:val="none"/>
        </w:rPr>
        <w:t xml:space="preserve"> (Accessed: 9th October 2025).</w:t>
      </w:r>
    </w:p>
    <w:p w14:paraId="0DCA5459"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Elwyn, G., Scholl, I., </w:t>
      </w:r>
      <w:proofErr w:type="spellStart"/>
      <w:r w:rsidRPr="006054DB">
        <w:rPr>
          <w:rFonts w:ascii="Arial" w:eastAsia="Arial" w:hAnsi="Arial" w:cs="Arial"/>
          <w:kern w:val="0"/>
          <w:sz w:val="22"/>
          <w:szCs w:val="22"/>
          <w:lang w:eastAsia="ja-JP"/>
          <w14:ligatures w14:val="none"/>
        </w:rPr>
        <w:t>Tietbohl</w:t>
      </w:r>
      <w:proofErr w:type="spellEnd"/>
      <w:r w:rsidRPr="006054DB">
        <w:rPr>
          <w:rFonts w:ascii="Arial" w:eastAsia="Arial" w:hAnsi="Arial" w:cs="Arial"/>
          <w:kern w:val="0"/>
          <w:sz w:val="22"/>
          <w:szCs w:val="22"/>
          <w:lang w:eastAsia="ja-JP"/>
          <w14:ligatures w14:val="none"/>
        </w:rPr>
        <w:t xml:space="preserve">, C., Mann, M., Edwards, A., Clay, C., Legare, F. and Coulter, A. (2021) ‘Barriers and facilitators to shared decision-making in hospitals from policy to practice: a systematic review’, </w:t>
      </w:r>
      <w:r w:rsidRPr="006054DB">
        <w:rPr>
          <w:rFonts w:ascii="Arial" w:eastAsia="Arial" w:hAnsi="Arial" w:cs="Arial"/>
          <w:i/>
          <w:iCs/>
          <w:kern w:val="0"/>
          <w:sz w:val="22"/>
          <w:szCs w:val="22"/>
          <w:lang w:eastAsia="ja-JP"/>
          <w14:ligatures w14:val="none"/>
        </w:rPr>
        <w:t>Implementation Science</w:t>
      </w:r>
      <w:r w:rsidRPr="006054DB">
        <w:rPr>
          <w:rFonts w:ascii="Arial" w:eastAsia="Arial" w:hAnsi="Arial" w:cs="Arial"/>
          <w:kern w:val="0"/>
          <w:sz w:val="22"/>
          <w:szCs w:val="22"/>
          <w:lang w:eastAsia="ja-JP"/>
          <w14:ligatures w14:val="none"/>
        </w:rPr>
        <w:t xml:space="preserve">, 16(1), p.74. Available at: </w:t>
      </w:r>
      <w:hyperlink r:id="rId31">
        <w:r w:rsidRPr="006054DB">
          <w:rPr>
            <w:rFonts w:ascii="Arial" w:eastAsia="Arial" w:hAnsi="Arial" w:cs="Arial"/>
            <w:color w:val="467886"/>
            <w:kern w:val="0"/>
            <w:sz w:val="22"/>
            <w:szCs w:val="22"/>
            <w:u w:val="single"/>
            <w:lang w:eastAsia="ja-JP"/>
            <w14:ligatures w14:val="none"/>
          </w:rPr>
          <w:t>https://implementationscience.biomedcentral.com/articles/10.1186/s13012-021-01142-y</w:t>
        </w:r>
      </w:hyperlink>
      <w:r w:rsidRPr="006054DB">
        <w:rPr>
          <w:rFonts w:ascii="Arial" w:eastAsia="Arial" w:hAnsi="Arial" w:cs="Arial"/>
          <w:kern w:val="0"/>
          <w:sz w:val="22"/>
          <w:szCs w:val="22"/>
          <w:lang w:eastAsia="ja-JP"/>
          <w14:ligatures w14:val="none"/>
        </w:rPr>
        <w:t xml:space="preserve"> (Accessed: 10 October 2025).</w:t>
      </w:r>
    </w:p>
    <w:p w14:paraId="261290F5"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color w:val="222222"/>
          <w:kern w:val="0"/>
          <w:sz w:val="22"/>
          <w:szCs w:val="22"/>
          <w:lang w:eastAsia="ja-JP"/>
          <w14:ligatures w14:val="none"/>
        </w:rPr>
        <w:t>Farchi, T., Dopson, S. and Ferlie, E. (</w:t>
      </w:r>
      <w:proofErr w:type="gramStart"/>
      <w:r w:rsidRPr="006054DB">
        <w:rPr>
          <w:rFonts w:ascii="Arial" w:eastAsia="Arial" w:hAnsi="Arial" w:cs="Arial"/>
          <w:color w:val="222222"/>
          <w:kern w:val="0"/>
          <w:sz w:val="22"/>
          <w:szCs w:val="22"/>
          <w:lang w:eastAsia="ja-JP"/>
          <w14:ligatures w14:val="none"/>
        </w:rPr>
        <w:t>2023) ‘</w:t>
      </w:r>
      <w:proofErr w:type="gramEnd"/>
      <w:r w:rsidRPr="006054DB">
        <w:rPr>
          <w:rFonts w:ascii="Arial" w:eastAsia="Arial" w:hAnsi="Arial" w:cs="Arial"/>
          <w:color w:val="222222"/>
          <w:kern w:val="0"/>
          <w:sz w:val="22"/>
          <w:szCs w:val="22"/>
          <w:lang w:eastAsia="ja-JP"/>
          <w14:ligatures w14:val="none"/>
        </w:rPr>
        <w:t xml:space="preserve">Do we still need professional boundaries? The multiple influences of boundaries on interprofessional collaboration’, </w:t>
      </w:r>
      <w:r w:rsidRPr="006054DB">
        <w:rPr>
          <w:rFonts w:ascii="Arial" w:eastAsia="Arial" w:hAnsi="Arial" w:cs="Arial"/>
          <w:i/>
          <w:iCs/>
          <w:color w:val="222222"/>
          <w:kern w:val="0"/>
          <w:sz w:val="22"/>
          <w:szCs w:val="22"/>
          <w:lang w:eastAsia="ja-JP"/>
          <w14:ligatures w14:val="none"/>
        </w:rPr>
        <w:t>Organization Studies</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44</w:t>
      </w:r>
      <w:r w:rsidRPr="006054DB">
        <w:rPr>
          <w:rFonts w:ascii="Arial" w:eastAsia="Arial" w:hAnsi="Arial" w:cs="Arial"/>
          <w:color w:val="222222"/>
          <w:kern w:val="0"/>
          <w:sz w:val="22"/>
          <w:szCs w:val="22"/>
          <w:lang w:eastAsia="ja-JP"/>
          <w14:ligatures w14:val="none"/>
        </w:rPr>
        <w:t xml:space="preserve">(2), pp.277-298. Available at:  </w:t>
      </w:r>
      <w:hyperlink r:id="rId32">
        <w:r w:rsidRPr="006054DB">
          <w:rPr>
            <w:rFonts w:ascii="Arial" w:eastAsia="Arial" w:hAnsi="Arial" w:cs="Arial"/>
            <w:color w:val="467886"/>
            <w:kern w:val="0"/>
            <w:sz w:val="22"/>
            <w:szCs w:val="22"/>
            <w:u w:val="single"/>
            <w:lang w:eastAsia="ja-JP"/>
            <w14:ligatures w14:val="none"/>
          </w:rPr>
          <w:t>https://journals.sagepub.com/doi/abs/10.1177/01708406221074146</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314FCA71"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Gosselin, A. (</w:t>
      </w:r>
      <w:proofErr w:type="gramStart"/>
      <w:r w:rsidRPr="006054DB">
        <w:rPr>
          <w:rFonts w:ascii="Arial" w:eastAsia="Arial" w:hAnsi="Arial" w:cs="Arial"/>
          <w:color w:val="222222"/>
          <w:kern w:val="0"/>
          <w:sz w:val="22"/>
          <w:szCs w:val="22"/>
          <w:lang w:eastAsia="ja-JP"/>
          <w14:ligatures w14:val="none"/>
        </w:rPr>
        <w:t>2024) ‘</w:t>
      </w:r>
      <w:proofErr w:type="gramEnd"/>
      <w:r w:rsidRPr="006054DB">
        <w:rPr>
          <w:rFonts w:ascii="Arial" w:eastAsia="Arial" w:hAnsi="Arial" w:cs="Arial"/>
          <w:color w:val="222222"/>
          <w:kern w:val="0"/>
          <w:sz w:val="22"/>
          <w:szCs w:val="22"/>
          <w:lang w:eastAsia="ja-JP"/>
          <w14:ligatures w14:val="none"/>
        </w:rPr>
        <w:t>Autonomy and mental health care: Enabling the pursuit of a life of meaning’, K</w:t>
      </w:r>
      <w:r w:rsidRPr="006054DB">
        <w:rPr>
          <w:rFonts w:ascii="Arial" w:eastAsia="Arial" w:hAnsi="Arial" w:cs="Arial"/>
          <w:i/>
          <w:iCs/>
          <w:color w:val="222222"/>
          <w:kern w:val="0"/>
          <w:sz w:val="22"/>
          <w:szCs w:val="22"/>
          <w:lang w:eastAsia="ja-JP"/>
          <w14:ligatures w14:val="none"/>
        </w:rPr>
        <w:t>ennedy Institute of Ethics Journal,</w:t>
      </w:r>
      <w:r w:rsidRPr="006054DB">
        <w:rPr>
          <w:rFonts w:ascii="Arial" w:eastAsia="Arial" w:hAnsi="Arial" w:cs="Arial"/>
          <w:color w:val="222222"/>
          <w:kern w:val="0"/>
          <w:sz w:val="22"/>
          <w:szCs w:val="22"/>
          <w:lang w:eastAsia="ja-JP"/>
          <w14:ligatures w14:val="none"/>
        </w:rPr>
        <w:t xml:space="preserve"> 34(2), pp.283-310. Available at: </w:t>
      </w:r>
      <w:hyperlink r:id="rId33">
        <w:r w:rsidRPr="006054DB">
          <w:rPr>
            <w:rFonts w:ascii="Arial" w:eastAsia="Arial" w:hAnsi="Arial" w:cs="Arial"/>
            <w:color w:val="467886"/>
            <w:kern w:val="0"/>
            <w:sz w:val="22"/>
            <w:szCs w:val="22"/>
            <w:u w:val="single"/>
            <w:lang w:eastAsia="ja-JP"/>
            <w14:ligatures w14:val="none"/>
          </w:rPr>
          <w:t>https://muse.jhu.edu/pub/1/article/958996/summary</w:t>
        </w:r>
      </w:hyperlink>
      <w:r w:rsidRPr="006054DB">
        <w:rPr>
          <w:rFonts w:ascii="Arial" w:eastAsia="Arial" w:hAnsi="Arial" w:cs="Arial"/>
          <w:color w:val="222222"/>
          <w:kern w:val="0"/>
          <w:sz w:val="22"/>
          <w:szCs w:val="22"/>
          <w:lang w:eastAsia="ja-JP"/>
          <w14:ligatures w14:val="none"/>
        </w:rPr>
        <w:t xml:space="preserve"> (Accessed: 9th October 2025).</w:t>
      </w:r>
    </w:p>
    <w:p w14:paraId="5D1616CF" w14:textId="77777777" w:rsidR="005A4AED" w:rsidRPr="006054DB" w:rsidRDefault="005A4AED" w:rsidP="003C2FBD">
      <w:pPr>
        <w:spacing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color w:val="222222"/>
          <w:kern w:val="0"/>
          <w:sz w:val="22"/>
          <w:szCs w:val="22"/>
          <w:lang w:eastAsia="ja-JP"/>
          <w14:ligatures w14:val="none"/>
        </w:rPr>
        <w:t>Gulbransen, K., Thiessen, K., Ford, N., Beck, W.P., Watson, H. and Gregory, P. (</w:t>
      </w:r>
      <w:proofErr w:type="gramStart"/>
      <w:r w:rsidRPr="006054DB">
        <w:rPr>
          <w:rFonts w:ascii="Arial" w:eastAsia="Arial" w:hAnsi="Arial" w:cs="Arial"/>
          <w:color w:val="222222"/>
          <w:kern w:val="0"/>
          <w:sz w:val="22"/>
          <w:szCs w:val="22"/>
          <w:lang w:eastAsia="ja-JP"/>
          <w14:ligatures w14:val="none"/>
        </w:rPr>
        <w:t>2024) ‘</w:t>
      </w:r>
      <w:proofErr w:type="gramEnd"/>
      <w:r w:rsidRPr="006054DB">
        <w:rPr>
          <w:rFonts w:ascii="Arial" w:eastAsia="Arial" w:hAnsi="Arial" w:cs="Arial"/>
          <w:color w:val="222222"/>
          <w:kern w:val="0"/>
          <w:sz w:val="22"/>
          <w:szCs w:val="22"/>
          <w:lang w:eastAsia="ja-JP"/>
          <w14:ligatures w14:val="none"/>
        </w:rPr>
        <w:t xml:space="preserve">Interprofessional Care Models for Pregnant and </w:t>
      </w:r>
      <w:proofErr w:type="gramStart"/>
      <w:r w:rsidRPr="006054DB">
        <w:rPr>
          <w:rFonts w:ascii="Arial" w:eastAsia="Arial" w:hAnsi="Arial" w:cs="Arial"/>
          <w:color w:val="222222"/>
          <w:kern w:val="0"/>
          <w:sz w:val="22"/>
          <w:szCs w:val="22"/>
          <w:lang w:eastAsia="ja-JP"/>
          <w14:ligatures w14:val="none"/>
        </w:rPr>
        <w:t>Early-Parenting</w:t>
      </w:r>
      <w:proofErr w:type="gramEnd"/>
      <w:r w:rsidRPr="006054DB">
        <w:rPr>
          <w:rFonts w:ascii="Arial" w:eastAsia="Arial" w:hAnsi="Arial" w:cs="Arial"/>
          <w:color w:val="222222"/>
          <w:kern w:val="0"/>
          <w:sz w:val="22"/>
          <w:szCs w:val="22"/>
          <w:lang w:eastAsia="ja-JP"/>
          <w14:ligatures w14:val="none"/>
        </w:rPr>
        <w:t xml:space="preserve"> Persons Who Use Substances: A Scoping Review’, </w:t>
      </w:r>
      <w:r w:rsidRPr="006054DB">
        <w:rPr>
          <w:rFonts w:ascii="Arial" w:eastAsia="Arial" w:hAnsi="Arial" w:cs="Arial"/>
          <w:i/>
          <w:iCs/>
          <w:color w:val="222222"/>
          <w:kern w:val="0"/>
          <w:sz w:val="22"/>
          <w:szCs w:val="22"/>
          <w:lang w:eastAsia="ja-JP"/>
          <w14:ligatures w14:val="none"/>
        </w:rPr>
        <w:t>International Journal of Integrated Care</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24</w:t>
      </w:r>
      <w:r w:rsidRPr="006054DB">
        <w:rPr>
          <w:rFonts w:ascii="Arial" w:eastAsia="Arial" w:hAnsi="Arial" w:cs="Arial"/>
          <w:color w:val="222222"/>
          <w:kern w:val="0"/>
          <w:sz w:val="22"/>
          <w:szCs w:val="22"/>
          <w:lang w:eastAsia="ja-JP"/>
          <w14:ligatures w14:val="none"/>
        </w:rPr>
        <w:t xml:space="preserve">(2), p.24. Available at: </w:t>
      </w:r>
      <w:hyperlink r:id="rId34">
        <w:r w:rsidRPr="006054DB">
          <w:rPr>
            <w:rFonts w:ascii="Arial" w:eastAsia="Arial" w:hAnsi="Arial" w:cs="Arial"/>
            <w:color w:val="467886"/>
            <w:kern w:val="0"/>
            <w:sz w:val="22"/>
            <w:szCs w:val="22"/>
            <w:u w:val="single"/>
            <w:lang w:eastAsia="ja-JP"/>
            <w14:ligatures w14:val="none"/>
          </w:rPr>
          <w:t>https://pmc.ncbi.nlm.nih.gov/articles/PMC11160395/</w:t>
        </w:r>
      </w:hyperlink>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color w:val="000000" w:themeColor="text1"/>
          <w:kern w:val="0"/>
          <w:sz w:val="22"/>
          <w:szCs w:val="22"/>
          <w:lang w:eastAsia="ja-JP"/>
          <w14:ligatures w14:val="none"/>
        </w:rPr>
        <w:t>(Accessed: 10</w:t>
      </w:r>
      <w:r w:rsidRPr="006054DB">
        <w:rPr>
          <w:rFonts w:ascii="Arial" w:eastAsia="Arial" w:hAnsi="Arial" w:cs="Arial"/>
          <w:color w:val="000000" w:themeColor="text1"/>
          <w:kern w:val="0"/>
          <w:sz w:val="22"/>
          <w:szCs w:val="22"/>
          <w:vertAlign w:val="superscript"/>
          <w:lang w:eastAsia="ja-JP"/>
          <w14:ligatures w14:val="none"/>
        </w:rPr>
        <w:t>th</w:t>
      </w:r>
      <w:r w:rsidRPr="006054DB">
        <w:rPr>
          <w:rFonts w:ascii="Arial" w:eastAsia="Arial" w:hAnsi="Arial" w:cs="Arial"/>
          <w:color w:val="000000" w:themeColor="text1"/>
          <w:kern w:val="0"/>
          <w:sz w:val="22"/>
          <w:szCs w:val="22"/>
          <w:lang w:eastAsia="ja-JP"/>
          <w14:ligatures w14:val="none"/>
        </w:rPr>
        <w:t xml:space="preserve"> October 2025).</w:t>
      </w:r>
    </w:p>
    <w:p w14:paraId="3375E129"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lastRenderedPageBreak/>
        <w:t>Hamovitch</w:t>
      </w:r>
      <w:proofErr w:type="spellEnd"/>
      <w:r w:rsidRPr="006054DB">
        <w:rPr>
          <w:rFonts w:ascii="Arial" w:eastAsia="Arial" w:hAnsi="Arial" w:cs="Arial"/>
          <w:color w:val="222222"/>
          <w:kern w:val="0"/>
          <w:sz w:val="22"/>
          <w:szCs w:val="22"/>
          <w:lang w:eastAsia="ja-JP"/>
          <w14:ligatures w14:val="none"/>
        </w:rPr>
        <w:t>, E.K., Choy-Brown, M. and Stanhope, V. (</w:t>
      </w:r>
      <w:proofErr w:type="gramStart"/>
      <w:r w:rsidRPr="006054DB">
        <w:rPr>
          <w:rFonts w:ascii="Arial" w:eastAsia="Arial" w:hAnsi="Arial" w:cs="Arial"/>
          <w:color w:val="222222"/>
          <w:kern w:val="0"/>
          <w:sz w:val="22"/>
          <w:szCs w:val="22"/>
          <w:lang w:eastAsia="ja-JP"/>
          <w14:ligatures w14:val="none"/>
        </w:rPr>
        <w:t>2018) ‘</w:t>
      </w:r>
      <w:proofErr w:type="gramEnd"/>
      <w:r w:rsidRPr="006054DB">
        <w:rPr>
          <w:rFonts w:ascii="Arial" w:eastAsia="Arial" w:hAnsi="Arial" w:cs="Arial"/>
          <w:color w:val="222222"/>
          <w:kern w:val="0"/>
          <w:sz w:val="22"/>
          <w:szCs w:val="22"/>
          <w:lang w:eastAsia="ja-JP"/>
          <w14:ligatures w14:val="none"/>
        </w:rPr>
        <w:t>Person-centered care and the therapeutic alliance’,</w:t>
      </w:r>
      <w:r w:rsidRPr="006054DB">
        <w:rPr>
          <w:rFonts w:ascii="Arial" w:eastAsia="Arial" w:hAnsi="Arial" w:cs="Arial"/>
          <w:i/>
          <w:iCs/>
          <w:color w:val="222222"/>
          <w:kern w:val="0"/>
          <w:sz w:val="22"/>
          <w:szCs w:val="22"/>
          <w:lang w:eastAsia="ja-JP"/>
          <w14:ligatures w14:val="none"/>
        </w:rPr>
        <w:t xml:space="preserve"> Community Mental Health Journal,</w:t>
      </w:r>
      <w:r w:rsidRPr="006054DB">
        <w:rPr>
          <w:rFonts w:ascii="Arial" w:eastAsia="Arial" w:hAnsi="Arial" w:cs="Arial"/>
          <w:color w:val="222222"/>
          <w:kern w:val="0"/>
          <w:sz w:val="22"/>
          <w:szCs w:val="22"/>
          <w:lang w:eastAsia="ja-JP"/>
          <w14:ligatures w14:val="none"/>
        </w:rPr>
        <w:t xml:space="preserve"> 54(7), pp.951-958. Available at: </w:t>
      </w:r>
      <w:hyperlink r:id="rId35">
        <w:r w:rsidRPr="006054DB">
          <w:rPr>
            <w:rFonts w:ascii="Arial" w:eastAsia="Arial" w:hAnsi="Arial" w:cs="Arial"/>
            <w:color w:val="467886"/>
            <w:kern w:val="0"/>
            <w:sz w:val="22"/>
            <w:szCs w:val="22"/>
            <w:u w:val="single"/>
            <w:lang w:eastAsia="ja-JP"/>
            <w14:ligatures w14:val="none"/>
          </w:rPr>
          <w:t>https://link.springer.com/article/10.1007/s10597-018-0295-z</w:t>
        </w:r>
      </w:hyperlink>
      <w:r w:rsidRPr="006054DB">
        <w:rPr>
          <w:rFonts w:ascii="Arial" w:eastAsia="Arial" w:hAnsi="Arial" w:cs="Arial"/>
          <w:color w:val="222222"/>
          <w:kern w:val="0"/>
          <w:sz w:val="22"/>
          <w:szCs w:val="22"/>
          <w:lang w:eastAsia="ja-JP"/>
          <w14:ligatures w14:val="none"/>
        </w:rPr>
        <w:t xml:space="preserve"> (Accessed: 9th October 2025).</w:t>
      </w:r>
    </w:p>
    <w:p w14:paraId="4C4BB331"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i/>
          <w:iCs/>
          <w:kern w:val="0"/>
          <w:sz w:val="22"/>
          <w:szCs w:val="22"/>
          <w:lang w:eastAsia="ja-JP"/>
          <w14:ligatures w14:val="none"/>
        </w:rPr>
        <w:t>Health and Social Care Act 2012</w:t>
      </w:r>
      <w:r w:rsidRPr="006054DB">
        <w:rPr>
          <w:rFonts w:ascii="Arial" w:eastAsia="Arial" w:hAnsi="Arial" w:cs="Arial"/>
          <w:kern w:val="0"/>
          <w:sz w:val="22"/>
          <w:szCs w:val="22"/>
          <w:lang w:eastAsia="ja-JP"/>
          <w14:ligatures w14:val="none"/>
        </w:rPr>
        <w:t xml:space="preserve">, c. 7, section 13H. London: The Stationery Office. Available at: </w:t>
      </w:r>
      <w:hyperlink r:id="rId36">
        <w:r w:rsidRPr="006054DB">
          <w:rPr>
            <w:rFonts w:ascii="Arial" w:eastAsia="Arial" w:hAnsi="Arial" w:cs="Arial"/>
            <w:color w:val="467886"/>
            <w:kern w:val="0"/>
            <w:sz w:val="22"/>
            <w:szCs w:val="22"/>
            <w:u w:val="single"/>
            <w:lang w:eastAsia="ja-JP"/>
            <w14:ligatures w14:val="none"/>
          </w:rPr>
          <w:t>https://www.legislation.gov.uk/ukpga/2012/7/section/13</w:t>
        </w:r>
      </w:hyperlink>
      <w:r w:rsidRPr="006054DB">
        <w:rPr>
          <w:rFonts w:ascii="Arial" w:eastAsia="Arial" w:hAnsi="Arial" w:cs="Arial"/>
          <w:kern w:val="0"/>
          <w:sz w:val="22"/>
          <w:szCs w:val="22"/>
          <w:lang w:eastAsia="ja-JP"/>
          <w14:ligatures w14:val="none"/>
        </w:rPr>
        <w:t xml:space="preserve">  (Accessed: 10 October 2025).</w:t>
      </w:r>
    </w:p>
    <w:p w14:paraId="0F263BB7" w14:textId="77777777" w:rsidR="005A4AED" w:rsidRPr="006054DB" w:rsidRDefault="005A4AED" w:rsidP="003C2FBD">
      <w:pPr>
        <w:spacing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i/>
          <w:iCs/>
          <w:color w:val="000000" w:themeColor="text1"/>
          <w:kern w:val="0"/>
          <w:sz w:val="22"/>
          <w:szCs w:val="22"/>
          <w:lang w:eastAsia="ja-JP"/>
          <w14:ligatures w14:val="none"/>
        </w:rPr>
        <w:t>Health and Care Act 2022: summary &amp; additional measures impact assessment</w:t>
      </w:r>
      <w:r w:rsidRPr="006054DB">
        <w:rPr>
          <w:rFonts w:ascii="Arial" w:eastAsia="Arial" w:hAnsi="Arial" w:cs="Arial"/>
          <w:color w:val="000000" w:themeColor="text1"/>
          <w:kern w:val="0"/>
          <w:sz w:val="22"/>
          <w:szCs w:val="22"/>
          <w:lang w:eastAsia="ja-JP"/>
          <w14:ligatures w14:val="none"/>
        </w:rPr>
        <w:t xml:space="preserve">. Available at: </w:t>
      </w:r>
      <w:hyperlink r:id="rId37">
        <w:r w:rsidRPr="006054DB">
          <w:rPr>
            <w:rFonts w:ascii="Arial" w:eastAsia="Arial" w:hAnsi="Arial" w:cs="Arial"/>
            <w:color w:val="467886"/>
            <w:kern w:val="0"/>
            <w:sz w:val="22"/>
            <w:szCs w:val="22"/>
            <w:u w:val="single"/>
            <w:lang w:eastAsia="ja-JP"/>
            <w14:ligatures w14:val="none"/>
          </w:rPr>
          <w:t>https://assets.publishing.service.gov.uk/media/6363d911e90e0705a8c35457/health-and-care-act-2022-summary-and-additional-measures-impact-assessment.pdf</w:t>
        </w:r>
      </w:hyperlink>
      <w:r w:rsidRPr="006054DB">
        <w:rPr>
          <w:rFonts w:ascii="Arial" w:eastAsia="Arial" w:hAnsi="Arial" w:cs="Arial"/>
          <w:color w:val="000000" w:themeColor="text1"/>
          <w:kern w:val="0"/>
          <w:sz w:val="22"/>
          <w:szCs w:val="22"/>
          <w:lang w:eastAsia="ja-JP"/>
          <w14:ligatures w14:val="none"/>
        </w:rPr>
        <w:t xml:space="preserve"> (Accessed: 10</w:t>
      </w:r>
      <w:r w:rsidRPr="006054DB">
        <w:rPr>
          <w:rFonts w:ascii="Arial" w:eastAsia="Arial" w:hAnsi="Arial" w:cs="Arial"/>
          <w:color w:val="000000" w:themeColor="text1"/>
          <w:kern w:val="0"/>
          <w:sz w:val="22"/>
          <w:szCs w:val="22"/>
          <w:vertAlign w:val="superscript"/>
          <w:lang w:eastAsia="ja-JP"/>
          <w14:ligatures w14:val="none"/>
        </w:rPr>
        <w:t>th</w:t>
      </w:r>
      <w:r w:rsidRPr="006054DB">
        <w:rPr>
          <w:rFonts w:ascii="Arial" w:eastAsia="Arial" w:hAnsi="Arial" w:cs="Arial"/>
          <w:color w:val="000000" w:themeColor="text1"/>
          <w:kern w:val="0"/>
          <w:sz w:val="22"/>
          <w:szCs w:val="22"/>
          <w:lang w:eastAsia="ja-JP"/>
          <w14:ligatures w14:val="none"/>
        </w:rPr>
        <w:t xml:space="preserve"> October 2025).</w:t>
      </w:r>
    </w:p>
    <w:p w14:paraId="48CD97F3"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Hem, M.H., </w:t>
      </w:r>
      <w:proofErr w:type="spellStart"/>
      <w:r w:rsidRPr="006054DB">
        <w:rPr>
          <w:rFonts w:ascii="Arial" w:eastAsia="Arial" w:hAnsi="Arial" w:cs="Arial"/>
          <w:color w:val="222222"/>
          <w:kern w:val="0"/>
          <w:sz w:val="22"/>
          <w:szCs w:val="22"/>
          <w:lang w:eastAsia="ja-JP"/>
          <w14:ligatures w14:val="none"/>
        </w:rPr>
        <w:t>Molewijk</w:t>
      </w:r>
      <w:proofErr w:type="spellEnd"/>
      <w:r w:rsidRPr="006054DB">
        <w:rPr>
          <w:rFonts w:ascii="Arial" w:eastAsia="Arial" w:hAnsi="Arial" w:cs="Arial"/>
          <w:color w:val="222222"/>
          <w:kern w:val="0"/>
          <w:sz w:val="22"/>
          <w:szCs w:val="22"/>
          <w:lang w:eastAsia="ja-JP"/>
          <w14:ligatures w14:val="none"/>
        </w:rPr>
        <w:t xml:space="preserve">, B., </w:t>
      </w:r>
      <w:proofErr w:type="spellStart"/>
      <w:r w:rsidRPr="006054DB">
        <w:rPr>
          <w:rFonts w:ascii="Arial" w:eastAsia="Arial" w:hAnsi="Arial" w:cs="Arial"/>
          <w:color w:val="222222"/>
          <w:kern w:val="0"/>
          <w:sz w:val="22"/>
          <w:szCs w:val="22"/>
          <w:lang w:eastAsia="ja-JP"/>
          <w14:ligatures w14:val="none"/>
        </w:rPr>
        <w:t>Weimand</w:t>
      </w:r>
      <w:proofErr w:type="spellEnd"/>
      <w:r w:rsidRPr="006054DB">
        <w:rPr>
          <w:rFonts w:ascii="Arial" w:eastAsia="Arial" w:hAnsi="Arial" w:cs="Arial"/>
          <w:color w:val="222222"/>
          <w:kern w:val="0"/>
          <w:sz w:val="22"/>
          <w:szCs w:val="22"/>
          <w:lang w:eastAsia="ja-JP"/>
          <w14:ligatures w14:val="none"/>
        </w:rPr>
        <w:t xml:space="preserve">, B. and Pedersen, R. (2023) ‘Patients with severe mental illness and the ethical challenges related to confidentiality during family involvement: A scoping review’, </w:t>
      </w:r>
      <w:r w:rsidRPr="006054DB">
        <w:rPr>
          <w:rFonts w:ascii="Arial" w:eastAsia="Arial" w:hAnsi="Arial" w:cs="Arial"/>
          <w:i/>
          <w:iCs/>
          <w:color w:val="222222"/>
          <w:kern w:val="0"/>
          <w:sz w:val="22"/>
          <w:szCs w:val="22"/>
          <w:lang w:eastAsia="ja-JP"/>
          <w14:ligatures w14:val="none"/>
        </w:rPr>
        <w:t>Frontiers in Public Health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10</w:t>
      </w:r>
      <w:r w:rsidRPr="006054DB">
        <w:rPr>
          <w:rFonts w:ascii="Arial" w:eastAsia="Arial" w:hAnsi="Arial" w:cs="Arial"/>
          <w:color w:val="222222"/>
          <w:kern w:val="0"/>
          <w:sz w:val="22"/>
          <w:szCs w:val="22"/>
          <w:lang w:eastAsia="ja-JP"/>
          <w14:ligatures w14:val="none"/>
        </w:rPr>
        <w:t xml:space="preserve">, p.960815. Available at:  </w:t>
      </w:r>
      <w:hyperlink r:id="rId38">
        <w:r w:rsidRPr="006054DB">
          <w:rPr>
            <w:rFonts w:ascii="Arial" w:eastAsia="Arial" w:hAnsi="Arial" w:cs="Arial"/>
            <w:color w:val="467886"/>
            <w:kern w:val="0"/>
            <w:sz w:val="22"/>
            <w:szCs w:val="22"/>
            <w:u w:val="single"/>
            <w:lang w:eastAsia="ja-JP"/>
            <w14:ligatures w14:val="none"/>
          </w:rPr>
          <w:t>https://www.frontiersin.org/articles/10.3389/fpubh.2022.960815/full</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124B0F29"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Hormazábal</w:t>
      </w:r>
      <w:proofErr w:type="spellEnd"/>
      <w:r w:rsidRPr="006054DB">
        <w:rPr>
          <w:rFonts w:ascii="Arial" w:eastAsia="Arial" w:hAnsi="Arial" w:cs="Arial"/>
          <w:color w:val="222222"/>
          <w:kern w:val="0"/>
          <w:sz w:val="22"/>
          <w:szCs w:val="22"/>
          <w:lang w:eastAsia="ja-JP"/>
          <w14:ligatures w14:val="none"/>
        </w:rPr>
        <w:t>-Salgado, R., Whitehead, D., Osman, A.D. and Hills, D. (2024) ‘Person-</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decision-making in mental health: A scoping review’, </w:t>
      </w:r>
      <w:r w:rsidRPr="006054DB">
        <w:rPr>
          <w:rFonts w:ascii="Arial" w:eastAsia="Arial" w:hAnsi="Arial" w:cs="Arial"/>
          <w:i/>
          <w:iCs/>
          <w:color w:val="222222"/>
          <w:kern w:val="0"/>
          <w:sz w:val="22"/>
          <w:szCs w:val="22"/>
          <w:lang w:eastAsia="ja-JP"/>
          <w14:ligatures w14:val="none"/>
        </w:rPr>
        <w:t>Issues in Mental Health Nursing</w:t>
      </w:r>
      <w:r w:rsidRPr="006054DB">
        <w:rPr>
          <w:rFonts w:ascii="Arial" w:eastAsia="Arial" w:hAnsi="Arial" w:cs="Arial"/>
          <w:color w:val="222222"/>
          <w:kern w:val="0"/>
          <w:sz w:val="22"/>
          <w:szCs w:val="22"/>
          <w:lang w:eastAsia="ja-JP"/>
          <w14:ligatures w14:val="none"/>
        </w:rPr>
        <w:t xml:space="preserve">, 45(3), pp.294-310. Available at: </w:t>
      </w:r>
      <w:hyperlink r:id="rId39">
        <w:r w:rsidRPr="006054DB">
          <w:rPr>
            <w:rFonts w:ascii="Arial" w:eastAsia="Arial" w:hAnsi="Arial" w:cs="Arial"/>
            <w:color w:val="467886"/>
            <w:kern w:val="0"/>
            <w:sz w:val="22"/>
            <w:szCs w:val="22"/>
            <w:u w:val="single"/>
            <w:lang w:eastAsia="ja-JP"/>
            <w14:ligatures w14:val="none"/>
          </w:rPr>
          <w:t>https://www.tandfonline.com/doi/abs/10.1080/01612840.2023.2288181</w:t>
        </w:r>
      </w:hyperlink>
      <w:r w:rsidRPr="006054DB">
        <w:rPr>
          <w:rFonts w:ascii="Arial" w:eastAsia="Arial" w:hAnsi="Arial" w:cs="Arial"/>
          <w:color w:val="222222"/>
          <w:kern w:val="0"/>
          <w:sz w:val="22"/>
          <w:szCs w:val="22"/>
          <w:lang w:eastAsia="ja-JP"/>
          <w14:ligatures w14:val="none"/>
        </w:rPr>
        <w:t xml:space="preserve"> (Accessed: 9th October 2025).</w:t>
      </w:r>
    </w:p>
    <w:p w14:paraId="64914F1D"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Health Service Executive (HSE), 2020. </w:t>
      </w:r>
      <w:r w:rsidRPr="006054DB">
        <w:rPr>
          <w:rFonts w:ascii="Arial" w:eastAsia="Arial" w:hAnsi="Arial" w:cs="Arial"/>
          <w:i/>
          <w:iCs/>
          <w:kern w:val="0"/>
          <w:sz w:val="22"/>
          <w:szCs w:val="22"/>
          <w:lang w:eastAsia="ja-JP"/>
          <w14:ligatures w14:val="none"/>
        </w:rPr>
        <w:t>National framework for recovery in mental health: co-production in practice guidance document 2018–2020.</w:t>
      </w:r>
      <w:r w:rsidRPr="006054DB">
        <w:rPr>
          <w:rFonts w:ascii="Arial" w:eastAsia="Arial" w:hAnsi="Arial" w:cs="Arial"/>
          <w:kern w:val="0"/>
          <w:sz w:val="22"/>
          <w:szCs w:val="22"/>
          <w:lang w:eastAsia="ja-JP"/>
          <w14:ligatures w14:val="none"/>
        </w:rPr>
        <w:t xml:space="preserve"> Dublin: HSE. Available at: </w:t>
      </w:r>
      <w:hyperlink r:id="rId40">
        <w:r w:rsidRPr="006054DB">
          <w:rPr>
            <w:rFonts w:ascii="Arial" w:eastAsia="Arial" w:hAnsi="Arial" w:cs="Arial"/>
            <w:color w:val="467886"/>
            <w:kern w:val="0"/>
            <w:sz w:val="22"/>
            <w:szCs w:val="22"/>
            <w:u w:val="single"/>
            <w:lang w:eastAsia="ja-JP"/>
            <w14:ligatures w14:val="none"/>
          </w:rPr>
          <w:t>https://www.hse.ie/eng/services/list/4/mental-health-services/advancingrecoveryireland/national-framework-for-recovery-in-mental-health/co-production-in-practice-guidance-document-2018-to-2020.pdf</w:t>
        </w:r>
      </w:hyperlink>
      <w:r w:rsidRPr="006054DB">
        <w:rPr>
          <w:rFonts w:ascii="Arial" w:eastAsia="Arial" w:hAnsi="Arial" w:cs="Arial"/>
          <w:kern w:val="0"/>
          <w:sz w:val="22"/>
          <w:szCs w:val="22"/>
          <w:lang w:eastAsia="ja-JP"/>
          <w14:ligatures w14:val="none"/>
        </w:rPr>
        <w:t xml:space="preserve"> [Accessed 10 October 2025].</w:t>
      </w:r>
    </w:p>
    <w:p w14:paraId="359506B8"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Jacobs, E.P. and Mkhize, S.W. (</w:t>
      </w:r>
      <w:proofErr w:type="gramStart"/>
      <w:r w:rsidRPr="006054DB">
        <w:rPr>
          <w:rFonts w:ascii="Arial" w:eastAsia="Arial" w:hAnsi="Arial" w:cs="Arial"/>
          <w:color w:val="222222"/>
          <w:kern w:val="0"/>
          <w:sz w:val="22"/>
          <w:szCs w:val="22"/>
          <w:lang w:eastAsia="ja-JP"/>
          <w14:ligatures w14:val="none"/>
        </w:rPr>
        <w:t>2021) ‘</w:t>
      </w:r>
      <w:proofErr w:type="gramEnd"/>
      <w:r w:rsidRPr="006054DB">
        <w:rPr>
          <w:rFonts w:ascii="Arial" w:eastAsia="Arial" w:hAnsi="Arial" w:cs="Arial"/>
          <w:color w:val="222222"/>
          <w:kern w:val="0"/>
          <w:sz w:val="22"/>
          <w:szCs w:val="22"/>
          <w:lang w:eastAsia="ja-JP"/>
          <w14:ligatures w14:val="none"/>
        </w:rPr>
        <w:t xml:space="preserve">Multidisciplinary team members’ perceptions regarding advanced psychiatric nurses’ attitudes on mental healthcare’, </w:t>
      </w:r>
      <w:r w:rsidRPr="006054DB">
        <w:rPr>
          <w:rFonts w:ascii="Arial" w:eastAsia="Arial" w:hAnsi="Arial" w:cs="Arial"/>
          <w:i/>
          <w:iCs/>
          <w:color w:val="222222"/>
          <w:kern w:val="0"/>
          <w:sz w:val="22"/>
          <w:szCs w:val="22"/>
          <w:lang w:eastAsia="ja-JP"/>
          <w14:ligatures w14:val="none"/>
        </w:rPr>
        <w:t xml:space="preserve">Health SA </w:t>
      </w:r>
      <w:proofErr w:type="spellStart"/>
      <w:r w:rsidRPr="006054DB">
        <w:rPr>
          <w:rFonts w:ascii="Arial" w:eastAsia="Arial" w:hAnsi="Arial" w:cs="Arial"/>
          <w:i/>
          <w:iCs/>
          <w:color w:val="222222"/>
          <w:kern w:val="0"/>
          <w:sz w:val="22"/>
          <w:szCs w:val="22"/>
          <w:lang w:eastAsia="ja-JP"/>
          <w14:ligatures w14:val="none"/>
        </w:rPr>
        <w:t>Gesondheid</w:t>
      </w:r>
      <w:proofErr w:type="spellEnd"/>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26</w:t>
      </w:r>
      <w:r w:rsidRPr="006054DB">
        <w:rPr>
          <w:rFonts w:ascii="Arial" w:eastAsia="Arial" w:hAnsi="Arial" w:cs="Arial"/>
          <w:color w:val="222222"/>
          <w:kern w:val="0"/>
          <w:sz w:val="22"/>
          <w:szCs w:val="22"/>
          <w:lang w:eastAsia="ja-JP"/>
          <w14:ligatures w14:val="none"/>
        </w:rPr>
        <w:t xml:space="preserve">, p.1646. Available at: </w:t>
      </w:r>
      <w:hyperlink r:id="rId41">
        <w:r w:rsidRPr="006054DB">
          <w:rPr>
            <w:rFonts w:ascii="Arial" w:eastAsia="Arial" w:hAnsi="Arial" w:cs="Arial"/>
            <w:color w:val="467886"/>
            <w:kern w:val="0"/>
            <w:sz w:val="22"/>
            <w:szCs w:val="22"/>
            <w:u w:val="single"/>
            <w:lang w:eastAsia="ja-JP"/>
            <w14:ligatures w14:val="none"/>
          </w:rPr>
          <w:t>https://pmc.ncbi.nlm.nih.gov/articles/PMC8603099/</w:t>
        </w:r>
      </w:hyperlink>
      <w:r w:rsidRPr="006054DB">
        <w:rPr>
          <w:rFonts w:ascii="Arial" w:eastAsia="Arial" w:hAnsi="Arial" w:cs="Arial"/>
          <w:color w:val="222222"/>
          <w:kern w:val="0"/>
          <w:sz w:val="22"/>
          <w:szCs w:val="22"/>
          <w:lang w:eastAsia="ja-JP"/>
          <w14:ligatures w14:val="none"/>
        </w:rPr>
        <w:t xml:space="preserve"> (Accessed: 9th October 2025).</w:t>
      </w:r>
    </w:p>
    <w:p w14:paraId="312F8C00"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Jørgensen, K., Hansen, M. and Karlsson, B. (2022) ‘Recovery-oriented practices in a mental health </w:t>
      </w:r>
      <w:proofErr w:type="spellStart"/>
      <w:r w:rsidRPr="006054DB">
        <w:rPr>
          <w:rFonts w:ascii="Arial" w:eastAsia="Arial" w:hAnsi="Arial" w:cs="Arial"/>
          <w:color w:val="222222"/>
          <w:kern w:val="0"/>
          <w:sz w:val="22"/>
          <w:szCs w:val="22"/>
          <w:lang w:eastAsia="ja-JP"/>
          <w14:ligatures w14:val="none"/>
        </w:rPr>
        <w:t>centre</w:t>
      </w:r>
      <w:proofErr w:type="spellEnd"/>
      <w:r w:rsidRPr="006054DB">
        <w:rPr>
          <w:rFonts w:ascii="Arial" w:eastAsia="Arial" w:hAnsi="Arial" w:cs="Arial"/>
          <w:color w:val="222222"/>
          <w:kern w:val="0"/>
          <w:sz w:val="22"/>
          <w:szCs w:val="22"/>
          <w:lang w:eastAsia="ja-JP"/>
          <w14:ligatures w14:val="none"/>
        </w:rPr>
        <w:t xml:space="preserve"> for citizens experiencing serious mental issues and substance use: as perceived by healthcare professionals’, International Journal of Environmental Research and Public Health, 19(16), p.10294. Available at: </w:t>
      </w:r>
      <w:hyperlink r:id="rId42">
        <w:r w:rsidRPr="006054DB">
          <w:rPr>
            <w:rFonts w:ascii="Arial" w:eastAsia="Arial" w:hAnsi="Arial" w:cs="Arial"/>
            <w:color w:val="467886"/>
            <w:kern w:val="0"/>
            <w:sz w:val="22"/>
            <w:szCs w:val="22"/>
            <w:u w:val="single"/>
            <w:lang w:eastAsia="ja-JP"/>
            <w14:ligatures w14:val="none"/>
          </w:rPr>
          <w:t>https://www.mdpi.com/1660-4601/19/16/10294</w:t>
        </w:r>
      </w:hyperlink>
      <w:r w:rsidRPr="006054DB">
        <w:rPr>
          <w:rFonts w:ascii="Arial" w:eastAsia="Arial" w:hAnsi="Arial" w:cs="Arial"/>
          <w:color w:val="222222"/>
          <w:kern w:val="0"/>
          <w:sz w:val="22"/>
          <w:szCs w:val="22"/>
          <w:lang w:eastAsia="ja-JP"/>
          <w14:ligatures w14:val="none"/>
        </w:rPr>
        <w:t xml:space="preserve"> (Accessed: 9th October 2025).</w:t>
      </w:r>
    </w:p>
    <w:p w14:paraId="081A9699"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lastRenderedPageBreak/>
        <w:t>Loban, E., Scott, C., Lewis, V., Law, S. and Haggerty, J. (2021) ‘Improving primary health care through partnerships: key insights from a cross</w:t>
      </w:r>
      <w:r w:rsidRPr="006054DB">
        <w:rPr>
          <w:rFonts w:ascii="Cambria Math" w:eastAsia="Arial" w:hAnsi="Cambria Math" w:cs="Cambria Math"/>
          <w:color w:val="222222"/>
          <w:kern w:val="0"/>
          <w:sz w:val="22"/>
          <w:szCs w:val="22"/>
          <w:lang w:eastAsia="ja-JP"/>
          <w14:ligatures w14:val="none"/>
        </w:rPr>
        <w:t>‐</w:t>
      </w:r>
      <w:r w:rsidRPr="006054DB">
        <w:rPr>
          <w:rFonts w:ascii="Arial" w:eastAsia="Arial" w:hAnsi="Arial" w:cs="Arial"/>
          <w:color w:val="222222"/>
          <w:kern w:val="0"/>
          <w:sz w:val="22"/>
          <w:szCs w:val="22"/>
          <w:lang w:eastAsia="ja-JP"/>
          <w14:ligatures w14:val="none"/>
        </w:rPr>
        <w:t>case analysis of multi</w:t>
      </w:r>
      <w:r w:rsidRPr="006054DB">
        <w:rPr>
          <w:rFonts w:ascii="Cambria Math" w:eastAsia="Arial" w:hAnsi="Cambria Math" w:cs="Cambria Math"/>
          <w:color w:val="222222"/>
          <w:kern w:val="0"/>
          <w:sz w:val="22"/>
          <w:szCs w:val="22"/>
          <w:lang w:eastAsia="ja-JP"/>
          <w14:ligatures w14:val="none"/>
        </w:rPr>
        <w:t>‐</w:t>
      </w:r>
      <w:r w:rsidRPr="006054DB">
        <w:rPr>
          <w:rFonts w:ascii="Arial" w:eastAsia="Arial" w:hAnsi="Arial" w:cs="Arial"/>
          <w:color w:val="222222"/>
          <w:kern w:val="0"/>
          <w:sz w:val="22"/>
          <w:szCs w:val="22"/>
          <w:lang w:eastAsia="ja-JP"/>
          <w14:ligatures w14:val="none"/>
        </w:rPr>
        <w:t xml:space="preserve">stakeholder partnerships in two Canadian provinces’, </w:t>
      </w:r>
      <w:r w:rsidRPr="006054DB">
        <w:rPr>
          <w:rFonts w:ascii="Arial" w:eastAsia="Arial" w:hAnsi="Arial" w:cs="Arial"/>
          <w:i/>
          <w:iCs/>
          <w:color w:val="222222"/>
          <w:kern w:val="0"/>
          <w:sz w:val="22"/>
          <w:szCs w:val="22"/>
          <w:lang w:eastAsia="ja-JP"/>
          <w14:ligatures w14:val="none"/>
        </w:rPr>
        <w:t>Health Science Reports</w:t>
      </w:r>
      <w:r w:rsidRPr="006054DB">
        <w:rPr>
          <w:rFonts w:ascii="Arial" w:eastAsia="Arial" w:hAnsi="Arial" w:cs="Arial"/>
          <w:color w:val="222222"/>
          <w:kern w:val="0"/>
          <w:sz w:val="22"/>
          <w:szCs w:val="22"/>
          <w:lang w:eastAsia="ja-JP"/>
          <w14:ligatures w14:val="none"/>
        </w:rPr>
        <w:t xml:space="preserve">, 4(4), p.e397. Available at: </w:t>
      </w:r>
      <w:hyperlink r:id="rId43">
        <w:r w:rsidRPr="006054DB">
          <w:rPr>
            <w:rFonts w:ascii="Arial" w:eastAsia="Arial" w:hAnsi="Arial" w:cs="Arial"/>
            <w:color w:val="467886"/>
            <w:kern w:val="0"/>
            <w:sz w:val="22"/>
            <w:szCs w:val="22"/>
            <w:u w:val="single"/>
            <w:lang w:eastAsia="ja-JP"/>
            <w14:ligatures w14:val="none"/>
          </w:rPr>
          <w:t>https://onlinelibrary.wiley.com/doi/abs/10.1002/hsr2.397</w:t>
        </w:r>
      </w:hyperlink>
      <w:r w:rsidRPr="006054DB">
        <w:rPr>
          <w:rFonts w:ascii="Arial" w:eastAsia="Arial" w:hAnsi="Arial" w:cs="Arial"/>
          <w:color w:val="222222"/>
          <w:kern w:val="0"/>
          <w:sz w:val="22"/>
          <w:szCs w:val="22"/>
          <w:lang w:eastAsia="ja-JP"/>
          <w14:ligatures w14:val="none"/>
        </w:rPr>
        <w:t xml:space="preserve"> (Accessed: 9th October 2025).</w:t>
      </w:r>
    </w:p>
    <w:p w14:paraId="7F1020B4"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Lowther-Payne, H.J., Ushakova, A., Beckwith, A., Liberty, C., Edge, R. and Lobban, F. (</w:t>
      </w:r>
      <w:proofErr w:type="gramStart"/>
      <w:r w:rsidRPr="006054DB">
        <w:rPr>
          <w:rFonts w:ascii="Arial" w:eastAsia="Arial" w:hAnsi="Arial" w:cs="Arial"/>
          <w:color w:val="222222"/>
          <w:kern w:val="0"/>
          <w:sz w:val="22"/>
          <w:szCs w:val="22"/>
          <w:lang w:eastAsia="ja-JP"/>
          <w14:ligatures w14:val="none"/>
        </w:rPr>
        <w:t>2023) ‘</w:t>
      </w:r>
      <w:proofErr w:type="gramEnd"/>
      <w:r w:rsidRPr="006054DB">
        <w:rPr>
          <w:rFonts w:ascii="Arial" w:eastAsia="Arial" w:hAnsi="Arial" w:cs="Arial"/>
          <w:color w:val="222222"/>
          <w:kern w:val="0"/>
          <w:sz w:val="22"/>
          <w:szCs w:val="22"/>
          <w:lang w:eastAsia="ja-JP"/>
          <w14:ligatures w14:val="none"/>
        </w:rPr>
        <w:t xml:space="preserve">Understanding inequalities in access to adult mental health services in the UK: a systematic mapping review’, </w:t>
      </w:r>
      <w:r w:rsidRPr="006054DB">
        <w:rPr>
          <w:rFonts w:ascii="Arial" w:eastAsia="Arial" w:hAnsi="Arial" w:cs="Arial"/>
          <w:i/>
          <w:iCs/>
          <w:color w:val="222222"/>
          <w:kern w:val="0"/>
          <w:sz w:val="22"/>
          <w:szCs w:val="22"/>
          <w:lang w:eastAsia="ja-JP"/>
          <w14:ligatures w14:val="none"/>
        </w:rPr>
        <w:t>BMC health services research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23</w:t>
      </w:r>
      <w:r w:rsidRPr="006054DB">
        <w:rPr>
          <w:rFonts w:ascii="Arial" w:eastAsia="Arial" w:hAnsi="Arial" w:cs="Arial"/>
          <w:color w:val="222222"/>
          <w:kern w:val="0"/>
          <w:sz w:val="22"/>
          <w:szCs w:val="22"/>
          <w:lang w:eastAsia="ja-JP"/>
          <w14:ligatures w14:val="none"/>
        </w:rPr>
        <w:t xml:space="preserve">(1), p.1042.  Available at: </w:t>
      </w:r>
      <w:hyperlink r:id="rId44">
        <w:r w:rsidRPr="006054DB">
          <w:rPr>
            <w:rFonts w:ascii="Arial" w:eastAsia="Arial" w:hAnsi="Arial" w:cs="Arial"/>
            <w:color w:val="467886"/>
            <w:kern w:val="0"/>
            <w:sz w:val="22"/>
            <w:szCs w:val="22"/>
            <w:u w:val="single"/>
            <w:lang w:eastAsia="ja-JP"/>
            <w14:ligatures w14:val="none"/>
          </w:rPr>
          <w:t>https://link.springer.com/article/10.1186/s12913-023-10030-8</w:t>
        </w:r>
      </w:hyperlink>
      <w:r w:rsidRPr="006054DB">
        <w:rPr>
          <w:rFonts w:ascii="Arial" w:eastAsia="Arial" w:hAnsi="Arial" w:cs="Arial"/>
          <w:color w:val="222222"/>
          <w:kern w:val="0"/>
          <w:sz w:val="22"/>
          <w:szCs w:val="22"/>
          <w:lang w:eastAsia="ja-JP"/>
          <w14:ligatures w14:val="none"/>
        </w:rPr>
        <w:t xml:space="preserve"> (Accessed: 9th October 2025).</w:t>
      </w:r>
    </w:p>
    <w:p w14:paraId="28C39147"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Kane, N.B., Ruck Keene, A., Owen, G.S. and Kim, S.Y. (2022) ‘Difficult capacity cases—The experience of liaison psychiatrists. An interview study across three jurisdictions’, </w:t>
      </w:r>
      <w:r w:rsidRPr="006054DB">
        <w:rPr>
          <w:rFonts w:ascii="Arial" w:eastAsia="Arial" w:hAnsi="Arial" w:cs="Arial"/>
          <w:i/>
          <w:iCs/>
          <w:color w:val="222222"/>
          <w:kern w:val="0"/>
          <w:sz w:val="22"/>
          <w:szCs w:val="22"/>
          <w:lang w:eastAsia="ja-JP"/>
          <w14:ligatures w14:val="none"/>
        </w:rPr>
        <w:t>Frontiers in Psychiatry</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13</w:t>
      </w:r>
      <w:r w:rsidRPr="006054DB">
        <w:rPr>
          <w:rFonts w:ascii="Arial" w:eastAsia="Arial" w:hAnsi="Arial" w:cs="Arial"/>
          <w:color w:val="222222"/>
          <w:kern w:val="0"/>
          <w:sz w:val="22"/>
          <w:szCs w:val="22"/>
          <w:lang w:eastAsia="ja-JP"/>
          <w14:ligatures w14:val="none"/>
        </w:rPr>
        <w:t xml:space="preserve">, p.946234. Available at: </w:t>
      </w:r>
      <w:hyperlink r:id="rId45">
        <w:r w:rsidRPr="006054DB">
          <w:rPr>
            <w:rFonts w:ascii="Arial" w:eastAsia="Arial" w:hAnsi="Arial" w:cs="Arial"/>
            <w:color w:val="467886"/>
            <w:kern w:val="0"/>
            <w:sz w:val="22"/>
            <w:szCs w:val="22"/>
            <w:u w:val="single"/>
            <w:lang w:eastAsia="ja-JP"/>
            <w14:ligatures w14:val="none"/>
          </w:rPr>
          <w:t>https://www.frontiersin.org/journals/psychiatry/articles/10.3389/fpsyt.2022.946234/full</w:t>
        </w:r>
      </w:hyperlink>
      <w:r w:rsidRPr="006054DB">
        <w:rPr>
          <w:rFonts w:ascii="Arial" w:eastAsia="Arial" w:hAnsi="Arial" w:cs="Arial"/>
          <w:color w:val="222222"/>
          <w:kern w:val="0"/>
          <w:sz w:val="22"/>
          <w:szCs w:val="22"/>
          <w:lang w:eastAsia="ja-JP"/>
          <w14:ligatures w14:val="none"/>
        </w:rPr>
        <w:t xml:space="preserve"> (Accessed: 9th October 2025).</w:t>
      </w:r>
    </w:p>
    <w:p w14:paraId="71A91C3E"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Keogh, B., Callaghan, P. and Higgins, A. (2015) ‘Managing preconceived expectations: mental health service users </w:t>
      </w:r>
      <w:proofErr w:type="gramStart"/>
      <w:r w:rsidRPr="006054DB">
        <w:rPr>
          <w:rFonts w:ascii="Arial" w:eastAsia="Arial" w:hAnsi="Arial" w:cs="Arial"/>
          <w:color w:val="222222"/>
          <w:kern w:val="0"/>
          <w:sz w:val="22"/>
          <w:szCs w:val="22"/>
          <w:lang w:eastAsia="ja-JP"/>
          <w14:ligatures w14:val="none"/>
        </w:rPr>
        <w:t>experiences</w:t>
      </w:r>
      <w:proofErr w:type="gramEnd"/>
      <w:r w:rsidRPr="006054DB">
        <w:rPr>
          <w:rFonts w:ascii="Arial" w:eastAsia="Arial" w:hAnsi="Arial" w:cs="Arial"/>
          <w:color w:val="222222"/>
          <w:kern w:val="0"/>
          <w:sz w:val="22"/>
          <w:szCs w:val="22"/>
          <w:lang w:eastAsia="ja-JP"/>
          <w14:ligatures w14:val="none"/>
        </w:rPr>
        <w:t xml:space="preserve"> of going home from hospital: a grounded theory study’, Journal of Psychiatric and Mental Health Nursing, 22(9), pp.715-723. Available at: </w:t>
      </w:r>
      <w:hyperlink r:id="rId46">
        <w:r w:rsidRPr="006054DB">
          <w:rPr>
            <w:rFonts w:ascii="Arial" w:eastAsia="Arial" w:hAnsi="Arial" w:cs="Arial"/>
            <w:color w:val="467886"/>
            <w:kern w:val="0"/>
            <w:sz w:val="22"/>
            <w:szCs w:val="22"/>
            <w:u w:val="single"/>
            <w:lang w:eastAsia="ja-JP"/>
            <w14:ligatures w14:val="none"/>
          </w:rPr>
          <w:t>https://onlinelibrary.wiley.com/doi/abs/10.1111/jpm.12265</w:t>
        </w:r>
      </w:hyperlink>
      <w:r w:rsidRPr="006054DB">
        <w:rPr>
          <w:rFonts w:ascii="Arial" w:eastAsia="Arial" w:hAnsi="Arial" w:cs="Arial"/>
          <w:color w:val="222222"/>
          <w:kern w:val="0"/>
          <w:sz w:val="22"/>
          <w:szCs w:val="22"/>
          <w:lang w:eastAsia="ja-JP"/>
          <w14:ligatures w14:val="none"/>
        </w:rPr>
        <w:t xml:space="preserve"> (Accessed: 9th October 2025).</w:t>
      </w:r>
    </w:p>
    <w:p w14:paraId="7FAD735A"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Manderius, C., </w:t>
      </w:r>
      <w:proofErr w:type="spellStart"/>
      <w:r w:rsidRPr="006054DB">
        <w:rPr>
          <w:rFonts w:ascii="Arial" w:eastAsia="Arial" w:hAnsi="Arial" w:cs="Arial"/>
          <w:color w:val="222222"/>
          <w:kern w:val="0"/>
          <w:sz w:val="22"/>
          <w:szCs w:val="22"/>
          <w:lang w:eastAsia="ja-JP"/>
          <w14:ligatures w14:val="none"/>
        </w:rPr>
        <w:t>Clintståhl</w:t>
      </w:r>
      <w:proofErr w:type="spellEnd"/>
      <w:r w:rsidRPr="006054DB">
        <w:rPr>
          <w:rFonts w:ascii="Arial" w:eastAsia="Arial" w:hAnsi="Arial" w:cs="Arial"/>
          <w:color w:val="222222"/>
          <w:kern w:val="0"/>
          <w:sz w:val="22"/>
          <w:szCs w:val="22"/>
          <w:lang w:eastAsia="ja-JP"/>
          <w14:ligatures w14:val="none"/>
        </w:rPr>
        <w:t xml:space="preserve">, K., Sjöström, K. and </w:t>
      </w:r>
      <w:proofErr w:type="spellStart"/>
      <w:r w:rsidRPr="006054DB">
        <w:rPr>
          <w:rFonts w:ascii="Arial" w:eastAsia="Arial" w:hAnsi="Arial" w:cs="Arial"/>
          <w:color w:val="222222"/>
          <w:kern w:val="0"/>
          <w:sz w:val="22"/>
          <w:szCs w:val="22"/>
          <w:lang w:eastAsia="ja-JP"/>
          <w14:ligatures w14:val="none"/>
        </w:rPr>
        <w:t>Örmon</w:t>
      </w:r>
      <w:proofErr w:type="spellEnd"/>
      <w:r w:rsidRPr="006054DB">
        <w:rPr>
          <w:rFonts w:ascii="Arial" w:eastAsia="Arial" w:hAnsi="Arial" w:cs="Arial"/>
          <w:color w:val="222222"/>
          <w:kern w:val="0"/>
          <w:sz w:val="22"/>
          <w:szCs w:val="22"/>
          <w:lang w:eastAsia="ja-JP"/>
          <w14:ligatures w14:val="none"/>
        </w:rPr>
        <w:t xml:space="preserve">, K. (2023) ‘The psychiatric mental health nurse’s ethical considerations regarding the use of coercive measures–a qualitative interview study’, BMC nursing, 22(1), p.23. Available at: </w:t>
      </w:r>
      <w:hyperlink r:id="rId47">
        <w:r w:rsidRPr="006054DB">
          <w:rPr>
            <w:rFonts w:ascii="Arial" w:eastAsia="Arial" w:hAnsi="Arial" w:cs="Arial"/>
            <w:color w:val="467886"/>
            <w:kern w:val="0"/>
            <w:sz w:val="22"/>
            <w:szCs w:val="22"/>
            <w:u w:val="single"/>
            <w:lang w:eastAsia="ja-JP"/>
            <w14:ligatures w14:val="none"/>
          </w:rPr>
          <w:t>https://link.springer.com/article/10.1186/s12912-023-01186-z</w:t>
        </w:r>
      </w:hyperlink>
      <w:r w:rsidRPr="006054DB">
        <w:rPr>
          <w:rFonts w:ascii="Arial" w:eastAsia="Arial" w:hAnsi="Arial" w:cs="Arial"/>
          <w:color w:val="222222"/>
          <w:kern w:val="0"/>
          <w:sz w:val="22"/>
          <w:szCs w:val="22"/>
          <w:lang w:eastAsia="ja-JP"/>
          <w14:ligatures w14:val="none"/>
        </w:rPr>
        <w:t xml:space="preserve"> (Accessed: 9th October 2025).</w:t>
      </w:r>
    </w:p>
    <w:p w14:paraId="3C2F3510"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McCance, T. and McCormack, B. (</w:t>
      </w:r>
      <w:proofErr w:type="gramStart"/>
      <w:r w:rsidRPr="006054DB">
        <w:rPr>
          <w:rFonts w:ascii="Arial" w:eastAsia="Arial" w:hAnsi="Arial" w:cs="Arial"/>
          <w:color w:val="222222"/>
          <w:kern w:val="0"/>
          <w:sz w:val="22"/>
          <w:szCs w:val="22"/>
          <w:lang w:eastAsia="ja-JP"/>
          <w14:ligatures w14:val="none"/>
        </w:rPr>
        <w:t>2025) ‘</w:t>
      </w:r>
      <w:proofErr w:type="gramEnd"/>
      <w:r w:rsidRPr="006054DB">
        <w:rPr>
          <w:rFonts w:ascii="Arial" w:eastAsia="Arial" w:hAnsi="Arial" w:cs="Arial"/>
          <w:color w:val="222222"/>
          <w:kern w:val="0"/>
          <w:sz w:val="22"/>
          <w:szCs w:val="22"/>
          <w:lang w:eastAsia="ja-JP"/>
          <w14:ligatures w14:val="none"/>
        </w:rPr>
        <w:t>The Person-</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Nursing Framework: a mid-range theory for nursing practice’, J</w:t>
      </w:r>
      <w:r w:rsidRPr="006054DB">
        <w:rPr>
          <w:rFonts w:ascii="Arial" w:eastAsia="Arial" w:hAnsi="Arial" w:cs="Arial"/>
          <w:i/>
          <w:iCs/>
          <w:color w:val="222222"/>
          <w:kern w:val="0"/>
          <w:sz w:val="22"/>
          <w:szCs w:val="22"/>
          <w:lang w:eastAsia="ja-JP"/>
          <w14:ligatures w14:val="none"/>
        </w:rPr>
        <w:t>ournal of research in nursing</w:t>
      </w:r>
      <w:r w:rsidRPr="006054DB">
        <w:rPr>
          <w:rFonts w:ascii="Arial" w:eastAsia="Arial" w:hAnsi="Arial" w:cs="Arial"/>
          <w:color w:val="222222"/>
          <w:kern w:val="0"/>
          <w:sz w:val="22"/>
          <w:szCs w:val="22"/>
          <w:lang w:eastAsia="ja-JP"/>
          <w14:ligatures w14:val="none"/>
        </w:rPr>
        <w:t xml:space="preserve">, 30(1), pp.47-60. Available at: </w:t>
      </w:r>
      <w:hyperlink r:id="rId48">
        <w:r w:rsidRPr="006054DB">
          <w:rPr>
            <w:rFonts w:ascii="Arial" w:eastAsia="Arial" w:hAnsi="Arial" w:cs="Arial"/>
            <w:color w:val="467886"/>
            <w:kern w:val="0"/>
            <w:sz w:val="22"/>
            <w:szCs w:val="22"/>
            <w:u w:val="single"/>
            <w:lang w:eastAsia="ja-JP"/>
            <w14:ligatures w14:val="none"/>
          </w:rPr>
          <w:t>https://journals.sagepub.com/doi/abs/10.1177/17449871241281428</w:t>
        </w:r>
      </w:hyperlink>
      <w:r w:rsidRPr="006054DB">
        <w:rPr>
          <w:rFonts w:ascii="Arial" w:eastAsia="Arial" w:hAnsi="Arial" w:cs="Arial"/>
          <w:color w:val="222222"/>
          <w:kern w:val="0"/>
          <w:sz w:val="22"/>
          <w:szCs w:val="22"/>
          <w:lang w:eastAsia="ja-JP"/>
          <w14:ligatures w14:val="none"/>
        </w:rPr>
        <w:t xml:space="preserve">  (Accessed: 9th October 2025).</w:t>
      </w:r>
    </w:p>
    <w:p w14:paraId="7A1379E8" w14:textId="77777777" w:rsidR="005A4AED" w:rsidRPr="006054DB" w:rsidRDefault="005A4AED" w:rsidP="003C2FBD">
      <w:pPr>
        <w:spacing w:line="360" w:lineRule="auto"/>
        <w:jc w:val="both"/>
        <w:rPr>
          <w:rFonts w:ascii="Arial" w:eastAsia="Arial" w:hAnsi="Arial" w:cs="Arial"/>
          <w:color w:val="000000" w:themeColor="text1"/>
          <w:kern w:val="0"/>
          <w:sz w:val="22"/>
          <w:szCs w:val="22"/>
          <w:lang w:eastAsia="ja-JP"/>
          <w14:ligatures w14:val="none"/>
        </w:rPr>
      </w:pPr>
      <w:r w:rsidRPr="006054DB">
        <w:rPr>
          <w:rFonts w:ascii="Arial" w:eastAsia="Arial" w:hAnsi="Arial" w:cs="Arial"/>
          <w:i/>
          <w:iCs/>
          <w:color w:val="000000" w:themeColor="text1"/>
          <w:kern w:val="0"/>
          <w:sz w:val="22"/>
          <w:szCs w:val="22"/>
          <w:lang w:eastAsia="ja-JP"/>
          <w14:ligatures w14:val="none"/>
        </w:rPr>
        <w:t>Mental Capacity Act 2005: Code of Practice</w:t>
      </w:r>
      <w:r w:rsidRPr="006054DB">
        <w:rPr>
          <w:rFonts w:ascii="Arial" w:eastAsia="Arial" w:hAnsi="Arial" w:cs="Arial"/>
          <w:color w:val="000000" w:themeColor="text1"/>
          <w:kern w:val="0"/>
          <w:sz w:val="22"/>
          <w:szCs w:val="22"/>
          <w:lang w:eastAsia="ja-JP"/>
          <w14:ligatures w14:val="none"/>
        </w:rPr>
        <w:t xml:space="preserve">. London: TSO. Available at: </w:t>
      </w:r>
      <w:hyperlink r:id="rId49">
        <w:r w:rsidRPr="006054DB">
          <w:rPr>
            <w:rFonts w:ascii="Arial" w:eastAsia="Arial" w:hAnsi="Arial" w:cs="Arial"/>
            <w:color w:val="467886"/>
            <w:kern w:val="0"/>
            <w:sz w:val="22"/>
            <w:szCs w:val="22"/>
            <w:u w:val="single"/>
            <w:lang w:eastAsia="ja-JP"/>
            <w14:ligatures w14:val="none"/>
          </w:rPr>
          <w:t>https://assets.publishing.service.gov.uk/media/5f6cc6138fa8f541f6763295/Mental-capacity-act-code-of-practice.pdf</w:t>
        </w:r>
      </w:hyperlink>
      <w:r w:rsidRPr="006054DB">
        <w:rPr>
          <w:rFonts w:ascii="Arial" w:eastAsia="Arial" w:hAnsi="Arial" w:cs="Arial"/>
          <w:color w:val="000000" w:themeColor="text1"/>
          <w:kern w:val="0"/>
          <w:sz w:val="22"/>
          <w:szCs w:val="22"/>
          <w:lang w:eastAsia="ja-JP"/>
          <w14:ligatures w14:val="none"/>
        </w:rPr>
        <w:t>(Accessed: 9</w:t>
      </w:r>
      <w:r w:rsidRPr="006054DB">
        <w:rPr>
          <w:rFonts w:ascii="Arial" w:eastAsia="Arial" w:hAnsi="Arial" w:cs="Arial"/>
          <w:color w:val="000000" w:themeColor="text1"/>
          <w:kern w:val="0"/>
          <w:sz w:val="22"/>
          <w:szCs w:val="22"/>
          <w:vertAlign w:val="superscript"/>
          <w:lang w:eastAsia="ja-JP"/>
          <w14:ligatures w14:val="none"/>
        </w:rPr>
        <w:t>th</w:t>
      </w:r>
      <w:r w:rsidRPr="006054DB">
        <w:rPr>
          <w:rFonts w:ascii="Arial" w:eastAsia="Arial" w:hAnsi="Arial" w:cs="Arial"/>
          <w:color w:val="000000" w:themeColor="text1"/>
          <w:kern w:val="0"/>
          <w:sz w:val="22"/>
          <w:szCs w:val="22"/>
          <w:lang w:eastAsia="ja-JP"/>
          <w14:ligatures w14:val="none"/>
        </w:rPr>
        <w:t xml:space="preserve"> October 2025).</w:t>
      </w:r>
    </w:p>
    <w:p w14:paraId="5838A3FA"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Miller, E., Stanhope, V., Restrepo-Toro, M. and </w:t>
      </w:r>
      <w:proofErr w:type="spellStart"/>
      <w:r w:rsidRPr="006054DB">
        <w:rPr>
          <w:rFonts w:ascii="Arial" w:eastAsia="Arial" w:hAnsi="Arial" w:cs="Arial"/>
          <w:color w:val="222222"/>
          <w:kern w:val="0"/>
          <w:sz w:val="22"/>
          <w:szCs w:val="22"/>
          <w:lang w:eastAsia="ja-JP"/>
          <w14:ligatures w14:val="none"/>
        </w:rPr>
        <w:t>Tondora</w:t>
      </w:r>
      <w:proofErr w:type="spellEnd"/>
      <w:r w:rsidRPr="006054DB">
        <w:rPr>
          <w:rFonts w:ascii="Arial" w:eastAsia="Arial" w:hAnsi="Arial" w:cs="Arial"/>
          <w:color w:val="222222"/>
          <w:kern w:val="0"/>
          <w:sz w:val="22"/>
          <w:szCs w:val="22"/>
          <w:lang w:eastAsia="ja-JP"/>
          <w14:ligatures w14:val="none"/>
        </w:rPr>
        <w:t xml:space="preserve">, J. (2017) ‘Person-centered planning in mental health: A transatlantic collaboration to tackle implementation barriers’, </w:t>
      </w:r>
      <w:r w:rsidRPr="006054DB">
        <w:rPr>
          <w:rFonts w:ascii="Arial" w:eastAsia="Arial" w:hAnsi="Arial" w:cs="Arial"/>
          <w:i/>
          <w:iCs/>
          <w:color w:val="222222"/>
          <w:kern w:val="0"/>
          <w:sz w:val="22"/>
          <w:szCs w:val="22"/>
          <w:lang w:eastAsia="ja-JP"/>
          <w14:ligatures w14:val="none"/>
        </w:rPr>
        <w:t>American Journal of Psychiatric Rehabilitation</w:t>
      </w:r>
      <w:r w:rsidRPr="006054DB">
        <w:rPr>
          <w:rFonts w:ascii="Arial" w:eastAsia="Arial" w:hAnsi="Arial" w:cs="Arial"/>
          <w:color w:val="222222"/>
          <w:kern w:val="0"/>
          <w:sz w:val="22"/>
          <w:szCs w:val="22"/>
          <w:lang w:eastAsia="ja-JP"/>
          <w14:ligatures w14:val="none"/>
        </w:rPr>
        <w:t xml:space="preserve">, 20(3), pp.251-267. Available at: </w:t>
      </w:r>
      <w:hyperlink r:id="rId50">
        <w:r w:rsidRPr="006054DB">
          <w:rPr>
            <w:rFonts w:ascii="Arial" w:eastAsia="Arial" w:hAnsi="Arial" w:cs="Arial"/>
            <w:color w:val="467886"/>
            <w:kern w:val="0"/>
            <w:sz w:val="22"/>
            <w:szCs w:val="22"/>
            <w:u w:val="single"/>
            <w:lang w:eastAsia="ja-JP"/>
            <w14:ligatures w14:val="none"/>
          </w:rPr>
          <w:t>https://www.tandfonline.com/doi/abs/10.1080/15487768.2017.1338045</w:t>
        </w:r>
      </w:hyperlink>
      <w:r w:rsidRPr="006054DB">
        <w:rPr>
          <w:rFonts w:ascii="Arial" w:eastAsia="Arial" w:hAnsi="Arial" w:cs="Arial"/>
          <w:color w:val="222222"/>
          <w:kern w:val="0"/>
          <w:sz w:val="22"/>
          <w:szCs w:val="22"/>
          <w:lang w:eastAsia="ja-JP"/>
          <w14:ligatures w14:val="none"/>
        </w:rPr>
        <w:t xml:space="preserve"> (Accessed: 9th October 2025).</w:t>
      </w:r>
    </w:p>
    <w:p w14:paraId="0FF7A0D7"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lastRenderedPageBreak/>
        <w:t xml:space="preserve">Ngui, E.M., </w:t>
      </w:r>
      <w:proofErr w:type="spellStart"/>
      <w:r w:rsidRPr="006054DB">
        <w:rPr>
          <w:rFonts w:ascii="Arial" w:eastAsia="Arial" w:hAnsi="Arial" w:cs="Arial"/>
          <w:color w:val="222222"/>
          <w:kern w:val="0"/>
          <w:sz w:val="22"/>
          <w:szCs w:val="22"/>
          <w:lang w:eastAsia="ja-JP"/>
          <w14:ligatures w14:val="none"/>
        </w:rPr>
        <w:t>Khasakhala</w:t>
      </w:r>
      <w:proofErr w:type="spellEnd"/>
      <w:r w:rsidRPr="006054DB">
        <w:rPr>
          <w:rFonts w:ascii="Arial" w:eastAsia="Arial" w:hAnsi="Arial" w:cs="Arial"/>
          <w:color w:val="222222"/>
          <w:kern w:val="0"/>
          <w:sz w:val="22"/>
          <w:szCs w:val="22"/>
          <w:lang w:eastAsia="ja-JP"/>
          <w14:ligatures w14:val="none"/>
        </w:rPr>
        <w:t xml:space="preserve">, L., </w:t>
      </w:r>
      <w:proofErr w:type="spellStart"/>
      <w:r w:rsidRPr="006054DB">
        <w:rPr>
          <w:rFonts w:ascii="Arial" w:eastAsia="Arial" w:hAnsi="Arial" w:cs="Arial"/>
          <w:color w:val="222222"/>
          <w:kern w:val="0"/>
          <w:sz w:val="22"/>
          <w:szCs w:val="22"/>
          <w:lang w:eastAsia="ja-JP"/>
          <w14:ligatures w14:val="none"/>
        </w:rPr>
        <w:t>Ndetei</w:t>
      </w:r>
      <w:proofErr w:type="spellEnd"/>
      <w:r w:rsidRPr="006054DB">
        <w:rPr>
          <w:rFonts w:ascii="Arial" w:eastAsia="Arial" w:hAnsi="Arial" w:cs="Arial"/>
          <w:color w:val="222222"/>
          <w:kern w:val="0"/>
          <w:sz w:val="22"/>
          <w:szCs w:val="22"/>
          <w:lang w:eastAsia="ja-JP"/>
          <w14:ligatures w14:val="none"/>
        </w:rPr>
        <w:t>, D. and Roberts, L.W. (</w:t>
      </w:r>
      <w:proofErr w:type="gramStart"/>
      <w:r w:rsidRPr="006054DB">
        <w:rPr>
          <w:rFonts w:ascii="Arial" w:eastAsia="Arial" w:hAnsi="Arial" w:cs="Arial"/>
          <w:color w:val="222222"/>
          <w:kern w:val="0"/>
          <w:sz w:val="22"/>
          <w:szCs w:val="22"/>
          <w:lang w:eastAsia="ja-JP"/>
          <w14:ligatures w14:val="none"/>
        </w:rPr>
        <w:t>2010) ‘</w:t>
      </w:r>
      <w:proofErr w:type="gramEnd"/>
      <w:r w:rsidRPr="006054DB">
        <w:rPr>
          <w:rFonts w:ascii="Arial" w:eastAsia="Arial" w:hAnsi="Arial" w:cs="Arial"/>
          <w:color w:val="222222"/>
          <w:kern w:val="0"/>
          <w:sz w:val="22"/>
          <w:szCs w:val="22"/>
          <w:lang w:eastAsia="ja-JP"/>
          <w14:ligatures w14:val="none"/>
        </w:rPr>
        <w:t xml:space="preserve">Mental disorders, health inequalities and ethics: A global perspective’, </w:t>
      </w:r>
      <w:r w:rsidRPr="006054DB">
        <w:rPr>
          <w:rFonts w:ascii="Arial" w:eastAsia="Arial" w:hAnsi="Arial" w:cs="Arial"/>
          <w:i/>
          <w:iCs/>
          <w:color w:val="222222"/>
          <w:kern w:val="0"/>
          <w:sz w:val="22"/>
          <w:szCs w:val="22"/>
          <w:lang w:eastAsia="ja-JP"/>
          <w14:ligatures w14:val="none"/>
        </w:rPr>
        <w:t>International Review of Psychiatry</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22</w:t>
      </w:r>
      <w:r w:rsidRPr="006054DB">
        <w:rPr>
          <w:rFonts w:ascii="Arial" w:eastAsia="Arial" w:hAnsi="Arial" w:cs="Arial"/>
          <w:color w:val="222222"/>
          <w:kern w:val="0"/>
          <w:sz w:val="22"/>
          <w:szCs w:val="22"/>
          <w:lang w:eastAsia="ja-JP"/>
          <w14:ligatures w14:val="none"/>
        </w:rPr>
        <w:t xml:space="preserve">(3), pp.235-244. Av </w:t>
      </w:r>
      <w:proofErr w:type="spellStart"/>
      <w:r w:rsidRPr="006054DB">
        <w:rPr>
          <w:rFonts w:ascii="Arial" w:eastAsia="Arial" w:hAnsi="Arial" w:cs="Arial"/>
          <w:color w:val="222222"/>
          <w:kern w:val="0"/>
          <w:sz w:val="22"/>
          <w:szCs w:val="22"/>
          <w:lang w:eastAsia="ja-JP"/>
          <w14:ligatures w14:val="none"/>
        </w:rPr>
        <w:t>ailable</w:t>
      </w:r>
      <w:proofErr w:type="spellEnd"/>
      <w:r w:rsidRPr="006054DB">
        <w:rPr>
          <w:rFonts w:ascii="Arial" w:eastAsia="Arial" w:hAnsi="Arial" w:cs="Arial"/>
          <w:color w:val="222222"/>
          <w:kern w:val="0"/>
          <w:sz w:val="22"/>
          <w:szCs w:val="22"/>
          <w:lang w:eastAsia="ja-JP"/>
          <w14:ligatures w14:val="none"/>
        </w:rPr>
        <w:t xml:space="preserve"> at: </w:t>
      </w:r>
      <w:hyperlink r:id="rId51">
        <w:r w:rsidRPr="006054DB">
          <w:rPr>
            <w:rFonts w:ascii="Arial" w:eastAsia="Arial" w:hAnsi="Arial" w:cs="Arial"/>
            <w:color w:val="467886"/>
            <w:kern w:val="0"/>
            <w:sz w:val="22"/>
            <w:szCs w:val="22"/>
            <w:u w:val="single"/>
            <w:lang w:eastAsia="ja-JP"/>
            <w14:ligatures w14:val="none"/>
          </w:rPr>
          <w:t>https://www.tandfonline.com/doi/abs/10.3109/09540261.2010.485273</w:t>
        </w:r>
      </w:hyperlink>
      <w:r w:rsidRPr="006054DB">
        <w:rPr>
          <w:rFonts w:ascii="Arial" w:eastAsia="Arial" w:hAnsi="Arial" w:cs="Arial"/>
          <w:color w:val="222222"/>
          <w:kern w:val="0"/>
          <w:sz w:val="22"/>
          <w:szCs w:val="22"/>
          <w:lang w:eastAsia="ja-JP"/>
          <w14:ligatures w14:val="none"/>
        </w:rPr>
        <w:t xml:space="preserve"> (Accessed: 9th October 2025).</w:t>
      </w:r>
    </w:p>
    <w:p w14:paraId="29E2049D"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NHS England (2024) </w:t>
      </w:r>
      <w:r w:rsidRPr="006054DB">
        <w:rPr>
          <w:rFonts w:ascii="Arial" w:eastAsia="Arial" w:hAnsi="Arial" w:cs="Arial"/>
          <w:i/>
          <w:iCs/>
          <w:kern w:val="0"/>
          <w:sz w:val="22"/>
          <w:szCs w:val="22"/>
          <w:lang w:eastAsia="ja-JP"/>
          <w14:ligatures w14:val="none"/>
        </w:rPr>
        <w:t>Commissioning framework for mental health inpatient services</w:t>
      </w:r>
      <w:r w:rsidRPr="006054DB">
        <w:rPr>
          <w:rFonts w:ascii="Arial" w:eastAsia="Arial" w:hAnsi="Arial" w:cs="Arial"/>
          <w:kern w:val="0"/>
          <w:sz w:val="22"/>
          <w:szCs w:val="22"/>
          <w:lang w:eastAsia="ja-JP"/>
          <w14:ligatures w14:val="none"/>
        </w:rPr>
        <w:t xml:space="preserve">. Available at: </w:t>
      </w:r>
      <w:hyperlink r:id="rId52">
        <w:r w:rsidRPr="006054DB">
          <w:rPr>
            <w:rFonts w:ascii="Arial" w:eastAsia="Arial" w:hAnsi="Arial" w:cs="Arial"/>
            <w:color w:val="467886"/>
            <w:kern w:val="0"/>
            <w:sz w:val="22"/>
            <w:szCs w:val="22"/>
            <w:u w:val="single"/>
            <w:lang w:eastAsia="ja-JP"/>
            <w14:ligatures w14:val="none"/>
          </w:rPr>
          <w:t>https://www.england.nhs.uk/long-read/commissioning-framework-for-mental-health-inpatient-services/</w:t>
        </w:r>
      </w:hyperlink>
      <w:r w:rsidRPr="006054DB">
        <w:rPr>
          <w:rFonts w:ascii="Arial" w:eastAsia="Arial" w:hAnsi="Arial" w:cs="Arial"/>
          <w:kern w:val="0"/>
          <w:sz w:val="22"/>
          <w:szCs w:val="22"/>
          <w:lang w:eastAsia="ja-JP"/>
          <w14:ligatures w14:val="none"/>
        </w:rPr>
        <w:t xml:space="preserve"> (Accessed: 10</w:t>
      </w:r>
      <w:r w:rsidRPr="006054DB">
        <w:rPr>
          <w:rFonts w:ascii="Arial" w:eastAsia="Arial" w:hAnsi="Arial" w:cs="Arial"/>
          <w:kern w:val="0"/>
          <w:sz w:val="22"/>
          <w:szCs w:val="22"/>
          <w:vertAlign w:val="superscript"/>
          <w:lang w:eastAsia="ja-JP"/>
          <w14:ligatures w14:val="none"/>
        </w:rPr>
        <w:t>th</w:t>
      </w:r>
      <w:r w:rsidRPr="006054DB">
        <w:rPr>
          <w:rFonts w:ascii="Arial" w:eastAsia="Arial" w:hAnsi="Arial" w:cs="Arial"/>
          <w:kern w:val="0"/>
          <w:sz w:val="22"/>
          <w:szCs w:val="22"/>
          <w:lang w:eastAsia="ja-JP"/>
          <w14:ligatures w14:val="none"/>
        </w:rPr>
        <w:t xml:space="preserve"> October 2025).</w:t>
      </w:r>
    </w:p>
    <w:p w14:paraId="5ED7D0D4"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Nkrumah, J. and Abekah-Nkrumah, G. (2019) ‘Facilitators and barriers of patient-centered care at the organizational-level: A study of three district hospitals in the central region of Ghana’, </w:t>
      </w:r>
      <w:r w:rsidRPr="006054DB">
        <w:rPr>
          <w:rFonts w:ascii="Arial" w:eastAsia="Arial" w:hAnsi="Arial" w:cs="Arial"/>
          <w:i/>
          <w:iCs/>
          <w:kern w:val="0"/>
          <w:sz w:val="22"/>
          <w:szCs w:val="22"/>
          <w:lang w:eastAsia="ja-JP"/>
          <w14:ligatures w14:val="none"/>
        </w:rPr>
        <w:t>BMC Health Services Research</w:t>
      </w:r>
      <w:r w:rsidRPr="006054DB">
        <w:rPr>
          <w:rFonts w:ascii="Arial" w:eastAsia="Arial" w:hAnsi="Arial" w:cs="Arial"/>
          <w:kern w:val="0"/>
          <w:sz w:val="22"/>
          <w:szCs w:val="22"/>
          <w:lang w:eastAsia="ja-JP"/>
          <w14:ligatures w14:val="none"/>
        </w:rPr>
        <w:t xml:space="preserve">, 19(1), p. 900. Available at: </w:t>
      </w:r>
      <w:hyperlink r:id="rId53">
        <w:r w:rsidRPr="006054DB">
          <w:rPr>
            <w:rFonts w:ascii="Arial" w:eastAsia="Arial" w:hAnsi="Arial" w:cs="Arial"/>
            <w:color w:val="467886"/>
            <w:kern w:val="0"/>
            <w:sz w:val="22"/>
            <w:szCs w:val="22"/>
            <w:u w:val="single"/>
            <w:lang w:eastAsia="ja-JP"/>
            <w14:ligatures w14:val="none"/>
          </w:rPr>
          <w:t>https://bmchealthservres.biomedcentral.com/articles/10.1186/s12913-019-4748-z</w:t>
        </w:r>
      </w:hyperlink>
      <w:r w:rsidRPr="006054DB">
        <w:rPr>
          <w:rFonts w:ascii="Arial" w:eastAsia="Arial" w:hAnsi="Arial" w:cs="Arial"/>
          <w:kern w:val="0"/>
          <w:sz w:val="22"/>
          <w:szCs w:val="22"/>
          <w:lang w:eastAsia="ja-JP"/>
          <w14:ligatures w14:val="none"/>
        </w:rPr>
        <w:t xml:space="preserve"> (Accessed: 10th October 2025).</w:t>
      </w:r>
    </w:p>
    <w:p w14:paraId="18732E08"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Ocloo</w:t>
      </w:r>
      <w:proofErr w:type="spellEnd"/>
      <w:r w:rsidRPr="006054DB">
        <w:rPr>
          <w:rFonts w:ascii="Arial" w:eastAsia="Arial" w:hAnsi="Arial" w:cs="Arial"/>
          <w:color w:val="222222"/>
          <w:kern w:val="0"/>
          <w:sz w:val="22"/>
          <w:szCs w:val="22"/>
          <w:lang w:eastAsia="ja-JP"/>
          <w14:ligatures w14:val="none"/>
        </w:rPr>
        <w:t>, J., Garfield, S., Franklin, B.D. and Dawson, S. (</w:t>
      </w:r>
      <w:proofErr w:type="gramStart"/>
      <w:r w:rsidRPr="006054DB">
        <w:rPr>
          <w:rFonts w:ascii="Arial" w:eastAsia="Arial" w:hAnsi="Arial" w:cs="Arial"/>
          <w:color w:val="222222"/>
          <w:kern w:val="0"/>
          <w:sz w:val="22"/>
          <w:szCs w:val="22"/>
          <w:lang w:eastAsia="ja-JP"/>
          <w14:ligatures w14:val="none"/>
        </w:rPr>
        <w:t>2021) ‘</w:t>
      </w:r>
      <w:proofErr w:type="gramEnd"/>
      <w:r w:rsidRPr="006054DB">
        <w:rPr>
          <w:rFonts w:ascii="Arial" w:eastAsia="Arial" w:hAnsi="Arial" w:cs="Arial"/>
          <w:color w:val="222222"/>
          <w:kern w:val="0"/>
          <w:sz w:val="22"/>
          <w:szCs w:val="22"/>
          <w:lang w:eastAsia="ja-JP"/>
          <w14:ligatures w14:val="none"/>
        </w:rPr>
        <w:t xml:space="preserve">Exploring the theory, barriers and enablers for patient and public involvement across health, social care </w:t>
      </w:r>
      <w:proofErr w:type="gramStart"/>
      <w:r w:rsidRPr="006054DB">
        <w:rPr>
          <w:rFonts w:ascii="Arial" w:eastAsia="Arial" w:hAnsi="Arial" w:cs="Arial"/>
          <w:color w:val="222222"/>
          <w:kern w:val="0"/>
          <w:sz w:val="22"/>
          <w:szCs w:val="22"/>
          <w:lang w:eastAsia="ja-JP"/>
          <w14:ligatures w14:val="none"/>
        </w:rPr>
        <w:t>and patient</w:t>
      </w:r>
      <w:proofErr w:type="gramEnd"/>
      <w:r w:rsidRPr="006054DB">
        <w:rPr>
          <w:rFonts w:ascii="Arial" w:eastAsia="Arial" w:hAnsi="Arial" w:cs="Arial"/>
          <w:color w:val="222222"/>
          <w:kern w:val="0"/>
          <w:sz w:val="22"/>
          <w:szCs w:val="22"/>
          <w:lang w:eastAsia="ja-JP"/>
          <w14:ligatures w14:val="none"/>
        </w:rPr>
        <w:t xml:space="preserve"> safety: a systematic review of reviews’, Health research policy and systems, 19(1), p.8. Available at: </w:t>
      </w:r>
      <w:hyperlink r:id="rId54">
        <w:r w:rsidRPr="006054DB">
          <w:rPr>
            <w:rFonts w:ascii="Arial" w:eastAsia="Arial" w:hAnsi="Arial" w:cs="Arial"/>
            <w:color w:val="467886"/>
            <w:kern w:val="0"/>
            <w:sz w:val="22"/>
            <w:szCs w:val="22"/>
            <w:u w:val="single"/>
            <w:lang w:eastAsia="ja-JP"/>
            <w14:ligatures w14:val="none"/>
          </w:rPr>
          <w:t>https://link.springer.com/article/10.1186/s12961-020-00644-3</w:t>
        </w:r>
      </w:hyperlink>
      <w:r w:rsidRPr="006054DB">
        <w:rPr>
          <w:rFonts w:ascii="Arial" w:eastAsia="Arial" w:hAnsi="Arial" w:cs="Arial"/>
          <w:color w:val="222222"/>
          <w:kern w:val="0"/>
          <w:sz w:val="22"/>
          <w:szCs w:val="22"/>
          <w:lang w:eastAsia="ja-JP"/>
          <w14:ligatures w14:val="none"/>
        </w:rPr>
        <w:t xml:space="preserve"> (Accessed: 9th October 2025).</w:t>
      </w:r>
    </w:p>
    <w:p w14:paraId="15B9BAA8"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proofErr w:type="spellStart"/>
      <w:r w:rsidRPr="006054DB">
        <w:rPr>
          <w:rFonts w:ascii="Arial" w:eastAsia="Arial" w:hAnsi="Arial" w:cs="Arial"/>
          <w:color w:val="222222"/>
          <w:kern w:val="0"/>
          <w:sz w:val="22"/>
          <w:szCs w:val="22"/>
          <w:lang w:eastAsia="ja-JP"/>
          <w14:ligatures w14:val="none"/>
        </w:rPr>
        <w:t>Ørjasæter</w:t>
      </w:r>
      <w:proofErr w:type="spellEnd"/>
      <w:r w:rsidRPr="006054DB">
        <w:rPr>
          <w:rFonts w:ascii="Arial" w:eastAsia="Arial" w:hAnsi="Arial" w:cs="Arial"/>
          <w:color w:val="222222"/>
          <w:kern w:val="0"/>
          <w:sz w:val="22"/>
          <w:szCs w:val="22"/>
          <w:lang w:eastAsia="ja-JP"/>
          <w14:ligatures w14:val="none"/>
        </w:rPr>
        <w:t xml:space="preserve">, K.B. and </w:t>
      </w:r>
      <w:proofErr w:type="spellStart"/>
      <w:r w:rsidRPr="006054DB">
        <w:rPr>
          <w:rFonts w:ascii="Arial" w:eastAsia="Arial" w:hAnsi="Arial" w:cs="Arial"/>
          <w:color w:val="222222"/>
          <w:kern w:val="0"/>
          <w:sz w:val="22"/>
          <w:szCs w:val="22"/>
          <w:lang w:eastAsia="ja-JP"/>
          <w14:ligatures w14:val="none"/>
        </w:rPr>
        <w:t>Almvik</w:t>
      </w:r>
      <w:proofErr w:type="spellEnd"/>
      <w:r w:rsidRPr="006054DB">
        <w:rPr>
          <w:rFonts w:ascii="Arial" w:eastAsia="Arial" w:hAnsi="Arial" w:cs="Arial"/>
          <w:color w:val="222222"/>
          <w:kern w:val="0"/>
          <w:sz w:val="22"/>
          <w:szCs w:val="22"/>
          <w:lang w:eastAsia="ja-JP"/>
          <w14:ligatures w14:val="none"/>
        </w:rPr>
        <w:t xml:space="preserve">, A. (2022) ‘Challenges in adopting recovery-oriented practices in specialized mental health </w:t>
      </w:r>
      <w:proofErr w:type="spellStart"/>
      <w:proofErr w:type="gramStart"/>
      <w:r w:rsidRPr="006054DB">
        <w:rPr>
          <w:rFonts w:ascii="Arial" w:eastAsia="Arial" w:hAnsi="Arial" w:cs="Arial"/>
          <w:color w:val="222222"/>
          <w:kern w:val="0"/>
          <w:sz w:val="22"/>
          <w:szCs w:val="22"/>
          <w:lang w:eastAsia="ja-JP"/>
          <w14:ligatures w14:val="none"/>
        </w:rPr>
        <w:t>care:“</w:t>
      </w:r>
      <w:proofErr w:type="gramEnd"/>
      <w:r w:rsidRPr="006054DB">
        <w:rPr>
          <w:rFonts w:ascii="Arial" w:eastAsia="Arial" w:hAnsi="Arial" w:cs="Arial"/>
          <w:color w:val="222222"/>
          <w:kern w:val="0"/>
          <w:sz w:val="22"/>
          <w:szCs w:val="22"/>
          <w:lang w:eastAsia="ja-JP"/>
          <w14:ligatures w14:val="none"/>
        </w:rPr>
        <w:t>how</w:t>
      </w:r>
      <w:proofErr w:type="spellEnd"/>
      <w:r w:rsidRPr="006054DB">
        <w:rPr>
          <w:rFonts w:ascii="Arial" w:eastAsia="Arial" w:hAnsi="Arial" w:cs="Arial"/>
          <w:color w:val="222222"/>
          <w:kern w:val="0"/>
          <w:sz w:val="22"/>
          <w:szCs w:val="22"/>
          <w:lang w:eastAsia="ja-JP"/>
          <w14:ligatures w14:val="none"/>
        </w:rPr>
        <w:t xml:space="preserve"> far should self-determination go; should one be allowed to perish?’, J</w:t>
      </w:r>
      <w:r w:rsidRPr="006054DB">
        <w:rPr>
          <w:rFonts w:ascii="Arial" w:eastAsia="Arial" w:hAnsi="Arial" w:cs="Arial"/>
          <w:i/>
          <w:iCs/>
          <w:color w:val="222222"/>
          <w:kern w:val="0"/>
          <w:sz w:val="22"/>
          <w:szCs w:val="22"/>
          <w:lang w:eastAsia="ja-JP"/>
          <w14:ligatures w14:val="none"/>
        </w:rPr>
        <w:t>ournal of Psychosocial Rehabilitation and Mental Health</w:t>
      </w:r>
      <w:r w:rsidRPr="006054DB">
        <w:rPr>
          <w:rFonts w:ascii="Arial" w:eastAsia="Arial" w:hAnsi="Arial" w:cs="Arial"/>
          <w:color w:val="222222"/>
          <w:kern w:val="0"/>
          <w:sz w:val="22"/>
          <w:szCs w:val="22"/>
          <w:lang w:eastAsia="ja-JP"/>
          <w14:ligatures w14:val="none"/>
        </w:rPr>
        <w:t xml:space="preserve">, 9(4), pp.395-407. Available at: </w:t>
      </w:r>
      <w:hyperlink r:id="rId55">
        <w:r w:rsidRPr="006054DB">
          <w:rPr>
            <w:rFonts w:ascii="Arial" w:eastAsia="Arial" w:hAnsi="Arial" w:cs="Arial"/>
            <w:color w:val="467886"/>
            <w:kern w:val="0"/>
            <w:sz w:val="22"/>
            <w:szCs w:val="22"/>
            <w:u w:val="single"/>
            <w:lang w:eastAsia="ja-JP"/>
            <w14:ligatures w14:val="none"/>
          </w:rPr>
          <w:t>https://link.springer.com/article/10.1007/s40737-022-00276-6</w:t>
        </w:r>
      </w:hyperlink>
      <w:r w:rsidRPr="006054DB">
        <w:rPr>
          <w:rFonts w:ascii="Arial" w:eastAsia="Arial" w:hAnsi="Arial" w:cs="Arial"/>
          <w:color w:val="222222"/>
          <w:kern w:val="0"/>
          <w:sz w:val="22"/>
          <w:szCs w:val="22"/>
          <w:lang w:eastAsia="ja-JP"/>
          <w14:ligatures w14:val="none"/>
        </w:rPr>
        <w:t xml:space="preserve"> (Accessed: 9th October 2025).</w:t>
      </w:r>
    </w:p>
    <w:p w14:paraId="113A7907"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Peterson, A., </w:t>
      </w:r>
      <w:proofErr w:type="spellStart"/>
      <w:r w:rsidRPr="006054DB">
        <w:rPr>
          <w:rFonts w:ascii="Arial" w:eastAsia="Arial" w:hAnsi="Arial" w:cs="Arial"/>
          <w:color w:val="222222"/>
          <w:kern w:val="0"/>
          <w:sz w:val="22"/>
          <w:szCs w:val="22"/>
          <w:lang w:eastAsia="ja-JP"/>
          <w14:ligatures w14:val="none"/>
        </w:rPr>
        <w:t>Karlawish</w:t>
      </w:r>
      <w:proofErr w:type="spellEnd"/>
      <w:r w:rsidRPr="006054DB">
        <w:rPr>
          <w:rFonts w:ascii="Arial" w:eastAsia="Arial" w:hAnsi="Arial" w:cs="Arial"/>
          <w:color w:val="222222"/>
          <w:kern w:val="0"/>
          <w:sz w:val="22"/>
          <w:szCs w:val="22"/>
          <w:lang w:eastAsia="ja-JP"/>
          <w14:ligatures w14:val="none"/>
        </w:rPr>
        <w:t xml:space="preserve">, J. and Largent, E., (2021) ‘Supported decision making with people at the margins of autonomy’, </w:t>
      </w:r>
      <w:r w:rsidRPr="006054DB">
        <w:rPr>
          <w:rFonts w:ascii="Arial" w:eastAsia="Arial" w:hAnsi="Arial" w:cs="Arial"/>
          <w:i/>
          <w:iCs/>
          <w:color w:val="222222"/>
          <w:kern w:val="0"/>
          <w:sz w:val="22"/>
          <w:szCs w:val="22"/>
          <w:lang w:eastAsia="ja-JP"/>
          <w14:ligatures w14:val="none"/>
        </w:rPr>
        <w:t>The American journal of bioethics</w:t>
      </w:r>
      <w:r w:rsidRPr="006054DB">
        <w:rPr>
          <w:rFonts w:ascii="Arial" w:eastAsia="Arial" w:hAnsi="Arial" w:cs="Arial"/>
          <w:color w:val="222222"/>
          <w:kern w:val="0"/>
          <w:sz w:val="22"/>
          <w:szCs w:val="22"/>
          <w:lang w:eastAsia="ja-JP"/>
          <w14:ligatures w14:val="none"/>
        </w:rPr>
        <w:t xml:space="preserve">, 21(11), pp.4-18. Available at: </w:t>
      </w:r>
      <w:hyperlink r:id="rId56">
        <w:r w:rsidRPr="006054DB">
          <w:rPr>
            <w:rFonts w:ascii="Arial" w:eastAsia="Arial" w:hAnsi="Arial" w:cs="Arial"/>
            <w:color w:val="467886"/>
            <w:kern w:val="0"/>
            <w:sz w:val="22"/>
            <w:szCs w:val="22"/>
            <w:u w:val="single"/>
            <w:lang w:eastAsia="ja-JP"/>
            <w14:ligatures w14:val="none"/>
          </w:rPr>
          <w:t>https://www.tandfonline.com/doi/abs/10.1080/15265161.2020.1863507</w:t>
        </w:r>
      </w:hyperlink>
      <w:r w:rsidRPr="006054DB">
        <w:rPr>
          <w:rFonts w:ascii="Arial" w:eastAsia="Arial" w:hAnsi="Arial" w:cs="Arial"/>
          <w:color w:val="222222"/>
          <w:kern w:val="0"/>
          <w:sz w:val="22"/>
          <w:szCs w:val="22"/>
          <w:lang w:eastAsia="ja-JP"/>
          <w14:ligatures w14:val="none"/>
        </w:rPr>
        <w:t xml:space="preserve"> (Accessed: 9th October 2025).</w:t>
      </w:r>
    </w:p>
    <w:p w14:paraId="0B41CBA7"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Petersen, J., Müller, H. and Melzer, M. (2025) ‘Job Demands and Resources in Relation to Nurses’ Health in Home Care: An Integrative Literature Review’, Health &amp; Social Care in the Community, 2025(1), p.7605478. Available at: </w:t>
      </w:r>
      <w:hyperlink r:id="rId57">
        <w:r w:rsidRPr="006054DB">
          <w:rPr>
            <w:rFonts w:ascii="Arial" w:eastAsia="Arial" w:hAnsi="Arial" w:cs="Arial"/>
            <w:color w:val="467886"/>
            <w:kern w:val="0"/>
            <w:sz w:val="22"/>
            <w:szCs w:val="22"/>
            <w:u w:val="single"/>
            <w:lang w:eastAsia="ja-JP"/>
            <w14:ligatures w14:val="none"/>
          </w:rPr>
          <w:t>https://onlinelibrary.wiley.com/doi/abs/10.1155/hsc/7605478</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762E6B6E"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Rojas, M., Méndez, A. and Watkins-Fassler, K. (</w:t>
      </w:r>
      <w:proofErr w:type="gramStart"/>
      <w:r w:rsidRPr="006054DB">
        <w:rPr>
          <w:rFonts w:ascii="Arial" w:eastAsia="Arial" w:hAnsi="Arial" w:cs="Arial"/>
          <w:color w:val="222222"/>
          <w:kern w:val="0"/>
          <w:sz w:val="22"/>
          <w:szCs w:val="22"/>
          <w:lang w:eastAsia="ja-JP"/>
          <w14:ligatures w14:val="none"/>
        </w:rPr>
        <w:t>2023) ‘</w:t>
      </w:r>
      <w:proofErr w:type="gramEnd"/>
      <w:r w:rsidRPr="006054DB">
        <w:rPr>
          <w:rFonts w:ascii="Arial" w:eastAsia="Arial" w:hAnsi="Arial" w:cs="Arial"/>
          <w:color w:val="222222"/>
          <w:kern w:val="0"/>
          <w:sz w:val="22"/>
          <w:szCs w:val="22"/>
          <w:lang w:eastAsia="ja-JP"/>
          <w14:ligatures w14:val="none"/>
        </w:rPr>
        <w:t xml:space="preserve">The hierarchy of needs empirical examination of Maslow’s theory and lessons for development’, </w:t>
      </w:r>
      <w:r w:rsidRPr="006054DB">
        <w:rPr>
          <w:rFonts w:ascii="Arial" w:eastAsia="Arial" w:hAnsi="Arial" w:cs="Arial"/>
          <w:i/>
          <w:iCs/>
          <w:color w:val="222222"/>
          <w:kern w:val="0"/>
          <w:sz w:val="22"/>
          <w:szCs w:val="22"/>
          <w:lang w:eastAsia="ja-JP"/>
          <w14:ligatures w14:val="none"/>
        </w:rPr>
        <w:t>World Developmen</w:t>
      </w:r>
      <w:r w:rsidRPr="006054DB">
        <w:rPr>
          <w:rFonts w:ascii="Arial" w:eastAsia="Arial" w:hAnsi="Arial" w:cs="Arial"/>
          <w:color w:val="222222"/>
          <w:kern w:val="0"/>
          <w:sz w:val="22"/>
          <w:szCs w:val="22"/>
          <w:lang w:eastAsia="ja-JP"/>
          <w14:ligatures w14:val="none"/>
        </w:rPr>
        <w:t xml:space="preserve">t, 165, p.106185. Available at: </w:t>
      </w:r>
      <w:hyperlink r:id="rId58">
        <w:r w:rsidRPr="006054DB">
          <w:rPr>
            <w:rFonts w:ascii="Arial" w:eastAsia="Arial" w:hAnsi="Arial" w:cs="Arial"/>
            <w:color w:val="467886"/>
            <w:kern w:val="0"/>
            <w:sz w:val="22"/>
            <w:szCs w:val="22"/>
            <w:u w:val="single"/>
            <w:lang w:eastAsia="ja-JP"/>
            <w14:ligatures w14:val="none"/>
          </w:rPr>
          <w:t>https://www.sciencedirect.com/science/article/pii/S0305750X23000037</w:t>
        </w:r>
      </w:hyperlink>
      <w:r w:rsidRPr="006054DB">
        <w:rPr>
          <w:rFonts w:ascii="Arial" w:eastAsia="Arial" w:hAnsi="Arial" w:cs="Arial"/>
          <w:color w:val="222222"/>
          <w:kern w:val="0"/>
          <w:sz w:val="22"/>
          <w:szCs w:val="22"/>
          <w:lang w:eastAsia="ja-JP"/>
          <w14:ligatures w14:val="none"/>
        </w:rPr>
        <w:t xml:space="preserve"> (Accessed: 9th October 2025).</w:t>
      </w:r>
    </w:p>
    <w:p w14:paraId="6DDC49C7"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Saeed, S.A., </w:t>
      </w:r>
      <w:proofErr w:type="spellStart"/>
      <w:r w:rsidRPr="006054DB">
        <w:rPr>
          <w:rFonts w:ascii="Arial" w:eastAsia="Arial" w:hAnsi="Arial" w:cs="Arial"/>
          <w:kern w:val="0"/>
          <w:sz w:val="22"/>
          <w:szCs w:val="22"/>
          <w:lang w:eastAsia="ja-JP"/>
          <w14:ligatures w14:val="none"/>
        </w:rPr>
        <w:t>Atezaz</w:t>
      </w:r>
      <w:proofErr w:type="spellEnd"/>
      <w:r w:rsidRPr="006054DB">
        <w:rPr>
          <w:rFonts w:ascii="Arial" w:eastAsia="Arial" w:hAnsi="Arial" w:cs="Arial"/>
          <w:kern w:val="0"/>
          <w:sz w:val="22"/>
          <w:szCs w:val="22"/>
          <w:lang w:eastAsia="ja-JP"/>
          <w14:ligatures w14:val="none"/>
        </w:rPr>
        <w:t>, S., Bloch, R.M. and Diamond, M.A. (2018) ‘</w:t>
      </w:r>
      <w:r w:rsidRPr="006054DB">
        <w:rPr>
          <w:rFonts w:ascii="Arial" w:eastAsia="Arial" w:hAnsi="Arial" w:cs="Arial"/>
          <w:i/>
          <w:iCs/>
          <w:kern w:val="0"/>
          <w:sz w:val="22"/>
          <w:szCs w:val="22"/>
          <w:lang w:eastAsia="ja-JP"/>
          <w14:ligatures w14:val="none"/>
        </w:rPr>
        <w:t>Successfully navigating multiple electronic health records when using telepsychiatry: the NC-</w:t>
      </w:r>
      <w:proofErr w:type="spellStart"/>
      <w:r w:rsidRPr="006054DB">
        <w:rPr>
          <w:rFonts w:ascii="Arial" w:eastAsia="Arial" w:hAnsi="Arial" w:cs="Arial"/>
          <w:i/>
          <w:iCs/>
          <w:kern w:val="0"/>
          <w:sz w:val="22"/>
          <w:szCs w:val="22"/>
          <w:lang w:eastAsia="ja-JP"/>
          <w14:ligatures w14:val="none"/>
        </w:rPr>
        <w:t>STeP</w:t>
      </w:r>
      <w:proofErr w:type="spellEnd"/>
      <w:r w:rsidRPr="006054DB">
        <w:rPr>
          <w:rFonts w:ascii="Arial" w:eastAsia="Arial" w:hAnsi="Arial" w:cs="Arial"/>
          <w:i/>
          <w:iCs/>
          <w:kern w:val="0"/>
          <w:sz w:val="22"/>
          <w:szCs w:val="22"/>
          <w:lang w:eastAsia="ja-JP"/>
          <w14:ligatures w14:val="none"/>
        </w:rPr>
        <w:t xml:space="preserve"> experience’, </w:t>
      </w:r>
      <w:r w:rsidRPr="006054DB">
        <w:rPr>
          <w:rFonts w:ascii="Arial" w:eastAsia="Arial" w:hAnsi="Arial" w:cs="Arial"/>
          <w:kern w:val="0"/>
          <w:sz w:val="22"/>
          <w:szCs w:val="22"/>
          <w:lang w:eastAsia="ja-JP"/>
          <w14:ligatures w14:val="none"/>
        </w:rPr>
        <w:t xml:space="preserve">Psychiatric Services, 69(10), pp.1064–1067. Available at: </w:t>
      </w:r>
      <w:hyperlink r:id="rId59">
        <w:r w:rsidRPr="006054DB">
          <w:rPr>
            <w:rFonts w:ascii="Arial" w:eastAsia="Arial" w:hAnsi="Arial" w:cs="Arial"/>
            <w:color w:val="467886"/>
            <w:kern w:val="0"/>
            <w:sz w:val="22"/>
            <w:szCs w:val="22"/>
            <w:u w:val="single"/>
            <w:lang w:eastAsia="ja-JP"/>
            <w14:ligatures w14:val="none"/>
          </w:rPr>
          <w:t>https://pubmed.ncbi.nlm.nih.gov/29650622/</w:t>
        </w:r>
      </w:hyperlink>
      <w:r w:rsidRPr="006054DB">
        <w:rPr>
          <w:rFonts w:ascii="Arial" w:eastAsia="Arial" w:hAnsi="Arial" w:cs="Arial"/>
          <w:kern w:val="0"/>
          <w:sz w:val="22"/>
          <w:szCs w:val="22"/>
          <w:lang w:eastAsia="ja-JP"/>
          <w14:ligatures w14:val="none"/>
        </w:rPr>
        <w:t xml:space="preserve">  [Accessed 10 October 2025].</w:t>
      </w:r>
    </w:p>
    <w:p w14:paraId="37074A02"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Santana, M.J., Manalili, K., Jolley, R.J., Zelinsky, S., Quan, H. and Lu, M. (2018) ’How to practice person</w:t>
      </w:r>
      <w:r w:rsidRPr="006054DB">
        <w:rPr>
          <w:rFonts w:ascii="Cambria Math" w:eastAsia="Arial" w:hAnsi="Cambria Math" w:cs="Cambria Math"/>
          <w:color w:val="222222"/>
          <w:kern w:val="0"/>
          <w:sz w:val="22"/>
          <w:szCs w:val="22"/>
          <w:lang w:eastAsia="ja-JP"/>
          <w14:ligatures w14:val="none"/>
        </w:rPr>
        <w:t>‐</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care: A conceptual framework’, </w:t>
      </w:r>
      <w:r w:rsidRPr="006054DB">
        <w:rPr>
          <w:rFonts w:ascii="Arial" w:eastAsia="Arial" w:hAnsi="Arial" w:cs="Arial"/>
          <w:i/>
          <w:iCs/>
          <w:color w:val="222222"/>
          <w:kern w:val="0"/>
          <w:sz w:val="22"/>
          <w:szCs w:val="22"/>
          <w:lang w:eastAsia="ja-JP"/>
          <w14:ligatures w14:val="none"/>
        </w:rPr>
        <w:t>Health Expectations</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21</w:t>
      </w:r>
      <w:r w:rsidRPr="006054DB">
        <w:rPr>
          <w:rFonts w:ascii="Arial" w:eastAsia="Arial" w:hAnsi="Arial" w:cs="Arial"/>
          <w:color w:val="222222"/>
          <w:kern w:val="0"/>
          <w:sz w:val="22"/>
          <w:szCs w:val="22"/>
          <w:lang w:eastAsia="ja-JP"/>
          <w14:ligatures w14:val="none"/>
        </w:rPr>
        <w:t xml:space="preserve">(2), pp.429-440. Available at: </w:t>
      </w:r>
      <w:hyperlink r:id="rId60">
        <w:r w:rsidRPr="006054DB">
          <w:rPr>
            <w:rFonts w:ascii="Arial" w:eastAsia="Arial" w:hAnsi="Arial" w:cs="Arial"/>
            <w:color w:val="467886"/>
            <w:kern w:val="0"/>
            <w:sz w:val="22"/>
            <w:szCs w:val="22"/>
            <w:u w:val="single"/>
            <w:lang w:eastAsia="ja-JP"/>
            <w14:ligatures w14:val="none"/>
          </w:rPr>
          <w:t>https://onlinelibrary.wiley.com/doi/abs/10.1111/hex.12640</w:t>
        </w:r>
      </w:hyperlink>
      <w:r w:rsidRPr="006054DB">
        <w:rPr>
          <w:rFonts w:ascii="Arial" w:eastAsia="Arial" w:hAnsi="Arial" w:cs="Arial"/>
          <w:color w:val="222222"/>
          <w:kern w:val="0"/>
          <w:sz w:val="22"/>
          <w:szCs w:val="22"/>
          <w:lang w:eastAsia="ja-JP"/>
          <w14:ligatures w14:val="none"/>
        </w:rPr>
        <w:t xml:space="preserve"> (Accessed: 9th October 2025).</w:t>
      </w:r>
    </w:p>
    <w:p w14:paraId="2DAF0C2A" w14:textId="77777777" w:rsidR="005A4AED" w:rsidRPr="006054DB" w:rsidRDefault="005A4AED" w:rsidP="003C2FBD">
      <w:pPr>
        <w:spacing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Skills for Care, UK, 2023. </w:t>
      </w:r>
      <w:r w:rsidRPr="006054DB">
        <w:rPr>
          <w:rFonts w:ascii="Arial" w:eastAsia="Arial" w:hAnsi="Arial" w:cs="Arial"/>
          <w:i/>
          <w:iCs/>
          <w:kern w:val="0"/>
          <w:sz w:val="22"/>
          <w:szCs w:val="22"/>
          <w:lang w:eastAsia="ja-JP"/>
          <w14:ligatures w14:val="none"/>
        </w:rPr>
        <w:t>Attract and retain.</w:t>
      </w:r>
      <w:r w:rsidRPr="006054DB">
        <w:rPr>
          <w:rFonts w:ascii="Arial" w:eastAsia="Arial" w:hAnsi="Arial" w:cs="Arial"/>
          <w:kern w:val="0"/>
          <w:sz w:val="22"/>
          <w:szCs w:val="22"/>
          <w:lang w:eastAsia="ja-JP"/>
          <w14:ligatures w14:val="none"/>
        </w:rPr>
        <w:t xml:space="preserve"> High staff turnover, particularly in social care, </w:t>
      </w:r>
      <w:proofErr w:type="gramStart"/>
      <w:r w:rsidRPr="006054DB">
        <w:rPr>
          <w:rFonts w:ascii="Arial" w:eastAsia="Arial" w:hAnsi="Arial" w:cs="Arial"/>
          <w:kern w:val="0"/>
          <w:sz w:val="22"/>
          <w:szCs w:val="22"/>
          <w:lang w:eastAsia="ja-JP"/>
          <w14:ligatures w14:val="none"/>
        </w:rPr>
        <w:t>disrupting</w:t>
      </w:r>
      <w:proofErr w:type="gramEnd"/>
      <w:r w:rsidRPr="006054DB">
        <w:rPr>
          <w:rFonts w:ascii="Arial" w:eastAsia="Arial" w:hAnsi="Arial" w:cs="Arial"/>
          <w:kern w:val="0"/>
          <w:sz w:val="22"/>
          <w:szCs w:val="22"/>
          <w:lang w:eastAsia="ja-JP"/>
          <w14:ligatures w14:val="none"/>
        </w:rPr>
        <w:t xml:space="preserve"> continuity of care. Available at: </w:t>
      </w:r>
      <w:hyperlink r:id="rId61">
        <w:r w:rsidRPr="006054DB">
          <w:rPr>
            <w:rFonts w:ascii="Arial" w:eastAsia="Arial" w:hAnsi="Arial" w:cs="Arial"/>
            <w:color w:val="467886"/>
            <w:kern w:val="0"/>
            <w:sz w:val="22"/>
            <w:szCs w:val="22"/>
            <w:u w:val="single"/>
            <w:lang w:eastAsia="ja-JP"/>
            <w14:ligatures w14:val="none"/>
          </w:rPr>
          <w:t>https://www.skillsforcare.org.uk/Workforce-Strategy/Recommendations-and-commitments/Attract-and-retain.aspx</w:t>
        </w:r>
      </w:hyperlink>
      <w:r w:rsidRPr="006054DB">
        <w:rPr>
          <w:rFonts w:ascii="Arial" w:eastAsia="Arial" w:hAnsi="Arial" w:cs="Arial"/>
          <w:kern w:val="0"/>
          <w:sz w:val="22"/>
          <w:szCs w:val="22"/>
          <w:lang w:eastAsia="ja-JP"/>
          <w14:ligatures w14:val="none"/>
        </w:rPr>
        <w:t xml:space="preserve"> [Accessed 10 October 2025].</w:t>
      </w:r>
    </w:p>
    <w:p w14:paraId="2F726E24"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Smith, O., Johnson, K., Brooks-Hay, O., Friskney, R., Geoghegan-</w:t>
      </w:r>
      <w:proofErr w:type="spellStart"/>
      <w:r w:rsidRPr="006054DB">
        <w:rPr>
          <w:rFonts w:ascii="Arial" w:eastAsia="Arial" w:hAnsi="Arial" w:cs="Arial"/>
          <w:color w:val="222222"/>
          <w:kern w:val="0"/>
          <w:sz w:val="22"/>
          <w:szCs w:val="22"/>
          <w:lang w:eastAsia="ja-JP"/>
          <w14:ligatures w14:val="none"/>
        </w:rPr>
        <w:t>Fittall</w:t>
      </w:r>
      <w:proofErr w:type="spellEnd"/>
      <w:r w:rsidRPr="006054DB">
        <w:rPr>
          <w:rFonts w:ascii="Arial" w:eastAsia="Arial" w:hAnsi="Arial" w:cs="Arial"/>
          <w:color w:val="222222"/>
          <w:kern w:val="0"/>
          <w:sz w:val="22"/>
          <w:szCs w:val="22"/>
          <w:lang w:eastAsia="ja-JP"/>
          <w14:ligatures w14:val="none"/>
        </w:rPr>
        <w:t xml:space="preserve">, S., Hillyard, S., Hohl, K., Jennings, B., </w:t>
      </w:r>
      <w:proofErr w:type="spellStart"/>
      <w:r w:rsidRPr="006054DB">
        <w:rPr>
          <w:rFonts w:ascii="Arial" w:eastAsia="Arial" w:hAnsi="Arial" w:cs="Arial"/>
          <w:color w:val="222222"/>
          <w:kern w:val="0"/>
          <w:sz w:val="22"/>
          <w:szCs w:val="22"/>
          <w:lang w:eastAsia="ja-JP"/>
          <w14:ligatures w14:val="none"/>
        </w:rPr>
        <w:t>Molisso</w:t>
      </w:r>
      <w:proofErr w:type="spellEnd"/>
      <w:r w:rsidRPr="006054DB">
        <w:rPr>
          <w:rFonts w:ascii="Arial" w:eastAsia="Arial" w:hAnsi="Arial" w:cs="Arial"/>
          <w:color w:val="222222"/>
          <w:kern w:val="0"/>
          <w:sz w:val="22"/>
          <w:szCs w:val="22"/>
          <w:lang w:eastAsia="ja-JP"/>
          <w14:ligatures w14:val="none"/>
        </w:rPr>
        <w:t>, S., Myhill, A. and Walling-</w:t>
      </w:r>
      <w:proofErr w:type="spellStart"/>
      <w:r w:rsidRPr="006054DB">
        <w:rPr>
          <w:rFonts w:ascii="Arial" w:eastAsia="Arial" w:hAnsi="Arial" w:cs="Arial"/>
          <w:color w:val="222222"/>
          <w:kern w:val="0"/>
          <w:sz w:val="22"/>
          <w:szCs w:val="22"/>
          <w:lang w:eastAsia="ja-JP"/>
          <w14:ligatures w14:val="none"/>
        </w:rPr>
        <w:t>Wefelmeyer</w:t>
      </w:r>
      <w:proofErr w:type="spellEnd"/>
      <w:r w:rsidRPr="006054DB">
        <w:rPr>
          <w:rFonts w:ascii="Arial" w:eastAsia="Arial" w:hAnsi="Arial" w:cs="Arial"/>
          <w:color w:val="222222"/>
          <w:kern w:val="0"/>
          <w:sz w:val="22"/>
          <w:szCs w:val="22"/>
          <w:lang w:eastAsia="ja-JP"/>
          <w14:ligatures w14:val="none"/>
        </w:rPr>
        <w:t>, R. (2025) ‘The systemic procedural injustice faced by victim-survivors in police responses to rape and ‘</w:t>
      </w:r>
      <w:proofErr w:type="spellStart"/>
      <w:r w:rsidRPr="006054DB">
        <w:rPr>
          <w:rFonts w:ascii="Arial" w:eastAsia="Arial" w:hAnsi="Arial" w:cs="Arial"/>
          <w:color w:val="222222"/>
          <w:kern w:val="0"/>
          <w:sz w:val="22"/>
          <w:szCs w:val="22"/>
          <w:lang w:eastAsia="ja-JP"/>
          <w14:ligatures w14:val="none"/>
        </w:rPr>
        <w:t>serious’</w:t>
      </w:r>
      <w:proofErr w:type="spellEnd"/>
      <w:r w:rsidRPr="006054DB">
        <w:rPr>
          <w:rFonts w:ascii="Arial" w:eastAsia="Arial" w:hAnsi="Arial" w:cs="Arial"/>
          <w:color w:val="222222"/>
          <w:kern w:val="0"/>
          <w:sz w:val="22"/>
          <w:szCs w:val="22"/>
          <w:lang w:eastAsia="ja-JP"/>
          <w14:ligatures w14:val="none"/>
        </w:rPr>
        <w:t xml:space="preserve"> sexual offences: A comprehensive study of four forces in England and Wales’, </w:t>
      </w:r>
      <w:r w:rsidRPr="006054DB">
        <w:rPr>
          <w:rFonts w:ascii="Arial" w:eastAsia="Arial" w:hAnsi="Arial" w:cs="Arial"/>
          <w:i/>
          <w:iCs/>
          <w:color w:val="222222"/>
          <w:kern w:val="0"/>
          <w:sz w:val="22"/>
          <w:szCs w:val="22"/>
          <w:lang w:eastAsia="ja-JP"/>
          <w14:ligatures w14:val="none"/>
        </w:rPr>
        <w:t>International Journal of Law, Crime and Justice</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82</w:t>
      </w:r>
      <w:r w:rsidRPr="006054DB">
        <w:rPr>
          <w:rFonts w:ascii="Arial" w:eastAsia="Arial" w:hAnsi="Arial" w:cs="Arial"/>
          <w:color w:val="222222"/>
          <w:kern w:val="0"/>
          <w:sz w:val="22"/>
          <w:szCs w:val="22"/>
          <w:lang w:eastAsia="ja-JP"/>
          <w14:ligatures w14:val="none"/>
        </w:rPr>
        <w:t xml:space="preserve">, p.100756. Available at: </w:t>
      </w:r>
      <w:hyperlink r:id="rId62">
        <w:r w:rsidRPr="006054DB">
          <w:rPr>
            <w:rFonts w:ascii="Arial" w:eastAsia="Arial" w:hAnsi="Arial" w:cs="Arial"/>
            <w:color w:val="467886"/>
            <w:kern w:val="0"/>
            <w:sz w:val="22"/>
            <w:szCs w:val="22"/>
            <w:u w:val="single"/>
            <w:lang w:eastAsia="ja-JP"/>
            <w14:ligatures w14:val="none"/>
          </w:rPr>
          <w:t>https://www.sciencedirect.com/science/article/pii/S1756061625000321</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53F82E79"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Thomson, L.J.M., Waterson, H. and Chatterjee, H.J. (2024) ’Successes and challenges of partnership working to tackle health inequalities using collaborative approaches to community-based research: mixed methods analysis of focus group evidence’, </w:t>
      </w:r>
      <w:r w:rsidRPr="006054DB">
        <w:rPr>
          <w:rFonts w:ascii="Arial" w:eastAsia="Arial" w:hAnsi="Arial" w:cs="Arial"/>
          <w:i/>
          <w:iCs/>
          <w:color w:val="222222"/>
          <w:kern w:val="0"/>
          <w:sz w:val="22"/>
          <w:szCs w:val="22"/>
          <w:lang w:eastAsia="ja-JP"/>
          <w14:ligatures w14:val="none"/>
        </w:rPr>
        <w:t>International Journal for Equity in Health</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23</w:t>
      </w:r>
      <w:r w:rsidRPr="006054DB">
        <w:rPr>
          <w:rFonts w:ascii="Arial" w:eastAsia="Arial" w:hAnsi="Arial" w:cs="Arial"/>
          <w:color w:val="222222"/>
          <w:kern w:val="0"/>
          <w:sz w:val="22"/>
          <w:szCs w:val="22"/>
          <w:lang w:eastAsia="ja-JP"/>
          <w14:ligatures w14:val="none"/>
        </w:rPr>
        <w:t xml:space="preserve">(1), p.135. Available at; </w:t>
      </w:r>
      <w:hyperlink r:id="rId63">
        <w:r w:rsidRPr="006054DB">
          <w:rPr>
            <w:rFonts w:ascii="Arial" w:eastAsia="Arial" w:hAnsi="Arial" w:cs="Arial"/>
            <w:color w:val="467886"/>
            <w:kern w:val="0"/>
            <w:sz w:val="22"/>
            <w:szCs w:val="22"/>
            <w:u w:val="single"/>
            <w:lang w:eastAsia="ja-JP"/>
            <w14:ligatures w14:val="none"/>
          </w:rPr>
          <w:t>https://link.springer.com/article/10.1186/s12939-024-02216-1</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731BB82A"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Trevillion, K., Stuart, R., </w:t>
      </w:r>
      <w:proofErr w:type="spellStart"/>
      <w:r w:rsidRPr="006054DB">
        <w:rPr>
          <w:rFonts w:ascii="Arial" w:eastAsia="Arial" w:hAnsi="Arial" w:cs="Arial"/>
          <w:color w:val="222222"/>
          <w:kern w:val="0"/>
          <w:sz w:val="22"/>
          <w:szCs w:val="22"/>
          <w:lang w:eastAsia="ja-JP"/>
          <w14:ligatures w14:val="none"/>
        </w:rPr>
        <w:t>Ocloo</w:t>
      </w:r>
      <w:proofErr w:type="spellEnd"/>
      <w:r w:rsidRPr="006054DB">
        <w:rPr>
          <w:rFonts w:ascii="Arial" w:eastAsia="Arial" w:hAnsi="Arial" w:cs="Arial"/>
          <w:color w:val="222222"/>
          <w:kern w:val="0"/>
          <w:sz w:val="22"/>
          <w:szCs w:val="22"/>
          <w:lang w:eastAsia="ja-JP"/>
          <w14:ligatures w14:val="none"/>
        </w:rPr>
        <w:t xml:space="preserve">, J., </w:t>
      </w:r>
      <w:proofErr w:type="spellStart"/>
      <w:r w:rsidRPr="006054DB">
        <w:rPr>
          <w:rFonts w:ascii="Arial" w:eastAsia="Arial" w:hAnsi="Arial" w:cs="Arial"/>
          <w:color w:val="222222"/>
          <w:kern w:val="0"/>
          <w:sz w:val="22"/>
          <w:szCs w:val="22"/>
          <w:lang w:eastAsia="ja-JP"/>
          <w14:ligatures w14:val="none"/>
        </w:rPr>
        <w:t>Broeckelmann</w:t>
      </w:r>
      <w:proofErr w:type="spellEnd"/>
      <w:r w:rsidRPr="006054DB">
        <w:rPr>
          <w:rFonts w:ascii="Arial" w:eastAsia="Arial" w:hAnsi="Arial" w:cs="Arial"/>
          <w:color w:val="222222"/>
          <w:kern w:val="0"/>
          <w:sz w:val="22"/>
          <w:szCs w:val="22"/>
          <w:lang w:eastAsia="ja-JP"/>
          <w14:ligatures w14:val="none"/>
        </w:rPr>
        <w:t xml:space="preserve">, E., Jeffreys, S., </w:t>
      </w:r>
      <w:proofErr w:type="spellStart"/>
      <w:r w:rsidRPr="006054DB">
        <w:rPr>
          <w:rFonts w:ascii="Arial" w:eastAsia="Arial" w:hAnsi="Arial" w:cs="Arial"/>
          <w:color w:val="222222"/>
          <w:kern w:val="0"/>
          <w:sz w:val="22"/>
          <w:szCs w:val="22"/>
          <w:lang w:eastAsia="ja-JP"/>
          <w14:ligatures w14:val="none"/>
        </w:rPr>
        <w:t>Jeynes</w:t>
      </w:r>
      <w:proofErr w:type="spellEnd"/>
      <w:r w:rsidRPr="006054DB">
        <w:rPr>
          <w:rFonts w:ascii="Arial" w:eastAsia="Arial" w:hAnsi="Arial" w:cs="Arial"/>
          <w:color w:val="222222"/>
          <w:kern w:val="0"/>
          <w:sz w:val="22"/>
          <w:szCs w:val="22"/>
          <w:lang w:eastAsia="ja-JP"/>
          <w14:ligatures w14:val="none"/>
        </w:rPr>
        <w:t xml:space="preserve">, T., Allen, D., Russell, J., Billings, J., Crawford, M.J. and Dale, O. (2022) ‘Service user perspectives of community mental health services for people with complex emotional needs: a co-produced qualitative interview study’, </w:t>
      </w:r>
      <w:r w:rsidRPr="006054DB">
        <w:rPr>
          <w:rFonts w:ascii="Arial" w:eastAsia="Arial" w:hAnsi="Arial" w:cs="Arial"/>
          <w:i/>
          <w:iCs/>
          <w:color w:val="222222"/>
          <w:kern w:val="0"/>
          <w:sz w:val="22"/>
          <w:szCs w:val="22"/>
          <w:lang w:eastAsia="ja-JP"/>
          <w14:ligatures w14:val="none"/>
        </w:rPr>
        <w:t>BMC psychiatry</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22</w:t>
      </w:r>
      <w:r w:rsidRPr="006054DB">
        <w:rPr>
          <w:rFonts w:ascii="Arial" w:eastAsia="Arial" w:hAnsi="Arial" w:cs="Arial"/>
          <w:color w:val="222222"/>
          <w:kern w:val="0"/>
          <w:sz w:val="22"/>
          <w:szCs w:val="22"/>
          <w:lang w:eastAsia="ja-JP"/>
          <w14:ligatures w14:val="none"/>
        </w:rPr>
        <w:t xml:space="preserve">(1), p.55. Available at: </w:t>
      </w:r>
      <w:hyperlink r:id="rId64">
        <w:r w:rsidRPr="006054DB">
          <w:rPr>
            <w:rFonts w:ascii="Arial" w:eastAsia="Arial" w:hAnsi="Arial" w:cs="Arial"/>
            <w:color w:val="467886"/>
            <w:kern w:val="0"/>
            <w:sz w:val="22"/>
            <w:szCs w:val="22"/>
            <w:u w:val="single"/>
            <w:lang w:eastAsia="ja-JP"/>
            <w14:ligatures w14:val="none"/>
          </w:rPr>
          <w:t>https://link.springer.com/article/10.1186/s12888-021-03605-4</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097505CB"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Uk Health Foundation (2016, January) </w:t>
      </w:r>
      <w:r w:rsidRPr="006054DB">
        <w:rPr>
          <w:rFonts w:ascii="Arial" w:eastAsia="Arial" w:hAnsi="Arial" w:cs="Arial"/>
          <w:b/>
          <w:bCs/>
          <w:i/>
          <w:iCs/>
          <w:color w:val="222222"/>
          <w:kern w:val="0"/>
          <w:sz w:val="22"/>
          <w:szCs w:val="22"/>
          <w:lang w:eastAsia="ja-JP"/>
          <w14:ligatures w14:val="none"/>
        </w:rPr>
        <w:t>’Person</w:t>
      </w:r>
      <w:r w:rsidRPr="006054DB">
        <w:rPr>
          <w:rFonts w:ascii="Arial" w:eastAsia="Arial" w:hAnsi="Arial" w:cs="Arial"/>
          <w:color w:val="222222"/>
          <w:kern w:val="0"/>
          <w:sz w:val="22"/>
          <w:szCs w:val="22"/>
          <w:lang w:eastAsia="ja-JP"/>
          <w14:ligatures w14:val="none"/>
        </w:rPr>
        <w:t>-</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care made </w:t>
      </w:r>
      <w:proofErr w:type="spellStart"/>
      <w:r w:rsidRPr="006054DB">
        <w:rPr>
          <w:rFonts w:ascii="Arial" w:eastAsia="Arial" w:hAnsi="Arial" w:cs="Arial"/>
          <w:color w:val="222222"/>
          <w:kern w:val="0"/>
          <w:sz w:val="22"/>
          <w:szCs w:val="22"/>
          <w:lang w:eastAsia="ja-JP"/>
          <w14:ligatures w14:val="none"/>
        </w:rPr>
        <w:t>simple:What</w:t>
      </w:r>
      <w:proofErr w:type="spellEnd"/>
      <w:r w:rsidRPr="006054DB">
        <w:rPr>
          <w:rFonts w:ascii="Arial" w:eastAsia="Arial" w:hAnsi="Arial" w:cs="Arial"/>
          <w:color w:val="222222"/>
          <w:kern w:val="0"/>
          <w:sz w:val="22"/>
          <w:szCs w:val="22"/>
          <w:lang w:eastAsia="ja-JP"/>
          <w14:ligatures w14:val="none"/>
        </w:rPr>
        <w:t xml:space="preserve"> everyone should know about person-</w:t>
      </w:r>
      <w:proofErr w:type="spellStart"/>
      <w:r w:rsidRPr="006054DB">
        <w:rPr>
          <w:rFonts w:ascii="Arial" w:eastAsia="Arial" w:hAnsi="Arial" w:cs="Arial"/>
          <w:color w:val="222222"/>
          <w:kern w:val="0"/>
          <w:sz w:val="22"/>
          <w:szCs w:val="22"/>
          <w:lang w:eastAsia="ja-JP"/>
          <w14:ligatures w14:val="none"/>
        </w:rPr>
        <w:t>centred</w:t>
      </w:r>
      <w:proofErr w:type="spellEnd"/>
      <w:r w:rsidRPr="006054DB">
        <w:rPr>
          <w:rFonts w:ascii="Arial" w:eastAsia="Arial" w:hAnsi="Arial" w:cs="Arial"/>
          <w:color w:val="222222"/>
          <w:kern w:val="0"/>
          <w:sz w:val="22"/>
          <w:szCs w:val="22"/>
          <w:lang w:eastAsia="ja-JP"/>
          <w14:ligatures w14:val="none"/>
        </w:rPr>
        <w:t xml:space="preserve"> care’, (online) Available at: </w:t>
      </w:r>
      <w:hyperlink r:id="rId65">
        <w:r w:rsidRPr="006054DB">
          <w:rPr>
            <w:rFonts w:ascii="Arial" w:eastAsia="Arial" w:hAnsi="Arial" w:cs="Arial"/>
            <w:color w:val="467886"/>
            <w:kern w:val="0"/>
            <w:sz w:val="22"/>
            <w:szCs w:val="22"/>
            <w:u w:val="single"/>
            <w:lang w:eastAsia="ja-JP"/>
            <w14:ligatures w14:val="none"/>
          </w:rPr>
          <w:t>https://www.health.org.uk/sites/default/files/PersonCentredCareMadeSimple.pdf</w:t>
        </w:r>
      </w:hyperlink>
      <w:r w:rsidRPr="006054DB">
        <w:rPr>
          <w:rFonts w:ascii="Arial" w:eastAsia="Arial" w:hAnsi="Arial" w:cs="Arial"/>
          <w:color w:val="222222"/>
          <w:kern w:val="0"/>
          <w:sz w:val="22"/>
          <w:szCs w:val="22"/>
          <w:lang w:eastAsia="ja-JP"/>
          <w14:ligatures w14:val="none"/>
        </w:rPr>
        <w:t xml:space="preserve"> (Accessed: 9th October 2025).</w:t>
      </w:r>
    </w:p>
    <w:p w14:paraId="696BEAD3" w14:textId="77777777" w:rsidR="005A4AED" w:rsidRPr="006054DB" w:rsidRDefault="005A4AED" w:rsidP="003C2FBD">
      <w:pPr>
        <w:spacing w:before="240" w:after="240"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UK Parliament (2010) </w:t>
      </w:r>
      <w:r w:rsidRPr="006054DB">
        <w:rPr>
          <w:rFonts w:ascii="Arial" w:eastAsia="Arial" w:hAnsi="Arial" w:cs="Arial"/>
          <w:i/>
          <w:iCs/>
          <w:kern w:val="0"/>
          <w:sz w:val="22"/>
          <w:szCs w:val="22"/>
          <w:lang w:eastAsia="ja-JP"/>
          <w14:ligatures w14:val="none"/>
        </w:rPr>
        <w:t>Equality Act 2010</w:t>
      </w:r>
      <w:r w:rsidRPr="006054DB">
        <w:rPr>
          <w:rFonts w:ascii="Arial" w:eastAsia="Arial" w:hAnsi="Arial" w:cs="Arial"/>
          <w:kern w:val="0"/>
          <w:sz w:val="22"/>
          <w:szCs w:val="22"/>
          <w:lang w:eastAsia="ja-JP"/>
          <w14:ligatures w14:val="none"/>
        </w:rPr>
        <w:t xml:space="preserve">, c. 15. London: The Stationery Office. Available at: </w:t>
      </w:r>
      <w:hyperlink r:id="rId66">
        <w:r w:rsidRPr="006054DB">
          <w:rPr>
            <w:rFonts w:ascii="Arial" w:eastAsia="Arial" w:hAnsi="Arial" w:cs="Arial"/>
            <w:color w:val="467886"/>
            <w:kern w:val="0"/>
            <w:sz w:val="22"/>
            <w:szCs w:val="22"/>
            <w:u w:val="single"/>
            <w:lang w:eastAsia="ja-JP"/>
            <w14:ligatures w14:val="none"/>
          </w:rPr>
          <w:t>https://www.legislation.gov.uk/ukpga/2010/15</w:t>
        </w:r>
      </w:hyperlink>
      <w:r w:rsidRPr="006054DB">
        <w:rPr>
          <w:rFonts w:ascii="Arial" w:eastAsia="Arial" w:hAnsi="Arial" w:cs="Arial"/>
          <w:kern w:val="0"/>
          <w:sz w:val="22"/>
          <w:szCs w:val="22"/>
          <w:lang w:eastAsia="ja-JP"/>
          <w14:ligatures w14:val="none"/>
        </w:rPr>
        <w:t xml:space="preserve"> (Accessed: 10 October 2025).</w:t>
      </w:r>
    </w:p>
    <w:p w14:paraId="6C1C95B0" w14:textId="77777777" w:rsidR="005A4AED" w:rsidRPr="006054DB" w:rsidRDefault="005A4AED" w:rsidP="003C2FBD">
      <w:pPr>
        <w:spacing w:before="240" w:after="240" w:line="360" w:lineRule="auto"/>
        <w:jc w:val="both"/>
        <w:rPr>
          <w:rFonts w:ascii="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UK Parliament (1998) </w:t>
      </w:r>
      <w:r w:rsidRPr="006054DB">
        <w:rPr>
          <w:rFonts w:ascii="Arial" w:eastAsia="Arial" w:hAnsi="Arial" w:cs="Arial"/>
          <w:i/>
          <w:iCs/>
          <w:kern w:val="0"/>
          <w:sz w:val="22"/>
          <w:szCs w:val="22"/>
          <w:lang w:eastAsia="ja-JP"/>
          <w14:ligatures w14:val="none"/>
        </w:rPr>
        <w:t>Human Rights Act 1998</w:t>
      </w:r>
      <w:r w:rsidRPr="006054DB">
        <w:rPr>
          <w:rFonts w:ascii="Arial" w:eastAsia="Arial" w:hAnsi="Arial" w:cs="Arial"/>
          <w:kern w:val="0"/>
          <w:sz w:val="22"/>
          <w:szCs w:val="22"/>
          <w:lang w:eastAsia="ja-JP"/>
          <w14:ligatures w14:val="none"/>
        </w:rPr>
        <w:t xml:space="preserve">, c. 42. London: The Stationery Office. Available at: </w:t>
      </w:r>
      <w:hyperlink r:id="rId67">
        <w:r w:rsidRPr="006054DB">
          <w:rPr>
            <w:rFonts w:ascii="Arial" w:eastAsia="Arial" w:hAnsi="Arial" w:cs="Arial"/>
            <w:color w:val="467886"/>
            <w:kern w:val="0"/>
            <w:sz w:val="22"/>
            <w:szCs w:val="22"/>
            <w:u w:val="single"/>
            <w:lang w:eastAsia="ja-JP"/>
            <w14:ligatures w14:val="none"/>
          </w:rPr>
          <w:t>https://www.legislation.gov.uk/ukpga/1998/42</w:t>
        </w:r>
      </w:hyperlink>
      <w:r w:rsidRPr="006054DB">
        <w:rPr>
          <w:rFonts w:ascii="Arial" w:eastAsia="Arial" w:hAnsi="Arial" w:cs="Arial"/>
          <w:kern w:val="0"/>
          <w:sz w:val="22"/>
          <w:szCs w:val="22"/>
          <w:lang w:eastAsia="ja-JP"/>
          <w14:ligatures w14:val="none"/>
        </w:rPr>
        <w:t xml:space="preserve"> (Accessed: 10 October 2025).</w:t>
      </w:r>
    </w:p>
    <w:p w14:paraId="1FA77681" w14:textId="77777777" w:rsidR="005A4AED" w:rsidRPr="006054DB" w:rsidRDefault="005A4AED" w:rsidP="003C2FBD">
      <w:pPr>
        <w:spacing w:before="240" w:after="240" w:line="360" w:lineRule="auto"/>
        <w:jc w:val="both"/>
        <w:rPr>
          <w:rFonts w:ascii="Arial" w:eastAsia="Arial" w:hAnsi="Arial" w:cs="Arial"/>
          <w:kern w:val="0"/>
          <w:sz w:val="22"/>
          <w:szCs w:val="22"/>
          <w:lang w:eastAsia="ja-JP"/>
          <w14:ligatures w14:val="none"/>
        </w:rPr>
      </w:pPr>
      <w:r w:rsidRPr="006054DB">
        <w:rPr>
          <w:rFonts w:ascii="Arial" w:eastAsia="Arial" w:hAnsi="Arial" w:cs="Arial"/>
          <w:kern w:val="0"/>
          <w:sz w:val="22"/>
          <w:szCs w:val="22"/>
          <w:lang w:eastAsia="ja-JP"/>
          <w14:ligatures w14:val="none"/>
        </w:rPr>
        <w:t xml:space="preserve">Vadlamani, K., Chittaranjan Andrade, and </w:t>
      </w:r>
      <w:proofErr w:type="spellStart"/>
      <w:r w:rsidRPr="006054DB">
        <w:rPr>
          <w:rFonts w:ascii="Arial" w:eastAsia="Arial" w:hAnsi="Arial" w:cs="Arial"/>
          <w:kern w:val="0"/>
          <w:sz w:val="22"/>
          <w:szCs w:val="22"/>
          <w:lang w:eastAsia="ja-JP"/>
          <w14:ligatures w14:val="none"/>
        </w:rPr>
        <w:t>Thirthalli</w:t>
      </w:r>
      <w:proofErr w:type="spellEnd"/>
      <w:r w:rsidRPr="006054DB">
        <w:rPr>
          <w:rFonts w:ascii="Arial" w:eastAsia="Arial" w:hAnsi="Arial" w:cs="Arial"/>
          <w:kern w:val="0"/>
          <w:sz w:val="22"/>
          <w:szCs w:val="22"/>
          <w:lang w:eastAsia="ja-JP"/>
          <w14:ligatures w14:val="none"/>
        </w:rPr>
        <w:t>, J. (2020) ‘</w:t>
      </w:r>
      <w:r w:rsidRPr="006054DB">
        <w:rPr>
          <w:rFonts w:ascii="Arial" w:eastAsia="Arial" w:hAnsi="Arial" w:cs="Arial"/>
          <w:i/>
          <w:iCs/>
          <w:kern w:val="0"/>
          <w:sz w:val="22"/>
          <w:szCs w:val="22"/>
          <w:lang w:eastAsia="ja-JP"/>
          <w14:ligatures w14:val="none"/>
        </w:rPr>
        <w:t xml:space="preserve">Telepsychiatry and outpatient department services’, </w:t>
      </w:r>
      <w:r w:rsidRPr="006054DB">
        <w:rPr>
          <w:rFonts w:ascii="Arial" w:eastAsia="Arial" w:hAnsi="Arial" w:cs="Arial"/>
          <w:kern w:val="0"/>
          <w:sz w:val="22"/>
          <w:szCs w:val="22"/>
          <w:lang w:eastAsia="ja-JP"/>
          <w14:ligatures w14:val="none"/>
        </w:rPr>
        <w:t xml:space="preserve">Indian Journal of </w:t>
      </w:r>
      <w:r w:rsidRPr="006054DB">
        <w:rPr>
          <w:rFonts w:ascii="Arial" w:eastAsia="Arial" w:hAnsi="Arial" w:cs="Arial"/>
          <w:i/>
          <w:iCs/>
          <w:kern w:val="0"/>
          <w:sz w:val="22"/>
          <w:szCs w:val="22"/>
          <w:lang w:eastAsia="ja-JP"/>
          <w14:ligatures w14:val="none"/>
        </w:rPr>
        <w:t>Psychiatry</w:t>
      </w:r>
      <w:r w:rsidRPr="006054DB">
        <w:rPr>
          <w:rFonts w:ascii="Arial" w:eastAsia="Arial" w:hAnsi="Arial" w:cs="Arial"/>
          <w:kern w:val="0"/>
          <w:sz w:val="22"/>
          <w:szCs w:val="22"/>
          <w:lang w:eastAsia="ja-JP"/>
          <w14:ligatures w14:val="none"/>
        </w:rPr>
        <w:t xml:space="preserve">, 62(Suppl 2), pp. S229–S234. Available at: </w:t>
      </w:r>
      <w:hyperlink r:id="rId68">
        <w:r w:rsidRPr="006054DB">
          <w:rPr>
            <w:rFonts w:ascii="Arial" w:eastAsia="Arial" w:hAnsi="Arial" w:cs="Arial"/>
            <w:color w:val="467886"/>
            <w:kern w:val="0"/>
            <w:sz w:val="22"/>
            <w:szCs w:val="22"/>
            <w:u w:val="single"/>
            <w:lang w:eastAsia="ja-JP"/>
            <w14:ligatures w14:val="none"/>
          </w:rPr>
          <w:t>https://journals.sagepub.com/doi/full/10.1177/0253717620960694</w:t>
        </w:r>
      </w:hyperlink>
      <w:r w:rsidRPr="006054DB">
        <w:rPr>
          <w:rFonts w:ascii="Arial" w:eastAsia="Arial" w:hAnsi="Arial" w:cs="Arial"/>
          <w:kern w:val="0"/>
          <w:sz w:val="22"/>
          <w:szCs w:val="22"/>
          <w:lang w:eastAsia="ja-JP"/>
          <w14:ligatures w14:val="none"/>
        </w:rPr>
        <w:t xml:space="preserve"> [Accessed 10 October 2025].</w:t>
      </w:r>
    </w:p>
    <w:p w14:paraId="7679E630"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Wergeland, N.C., </w:t>
      </w:r>
      <w:proofErr w:type="spellStart"/>
      <w:r w:rsidRPr="006054DB">
        <w:rPr>
          <w:rFonts w:ascii="Arial" w:eastAsia="Arial" w:hAnsi="Arial" w:cs="Arial"/>
          <w:color w:val="222222"/>
          <w:kern w:val="0"/>
          <w:sz w:val="22"/>
          <w:szCs w:val="22"/>
          <w:lang w:eastAsia="ja-JP"/>
          <w14:ligatures w14:val="none"/>
        </w:rPr>
        <w:t>Fause</w:t>
      </w:r>
      <w:proofErr w:type="spellEnd"/>
      <w:r w:rsidRPr="006054DB">
        <w:rPr>
          <w:rFonts w:ascii="Arial" w:eastAsia="Arial" w:hAnsi="Arial" w:cs="Arial"/>
          <w:color w:val="222222"/>
          <w:kern w:val="0"/>
          <w:sz w:val="22"/>
          <w:szCs w:val="22"/>
          <w:lang w:eastAsia="ja-JP"/>
          <w14:ligatures w14:val="none"/>
        </w:rPr>
        <w:t xml:space="preserve">, Å., Weber, A.K., </w:t>
      </w:r>
      <w:proofErr w:type="spellStart"/>
      <w:r w:rsidRPr="006054DB">
        <w:rPr>
          <w:rFonts w:ascii="Arial" w:eastAsia="Arial" w:hAnsi="Arial" w:cs="Arial"/>
          <w:color w:val="222222"/>
          <w:kern w:val="0"/>
          <w:sz w:val="22"/>
          <w:szCs w:val="22"/>
          <w:lang w:eastAsia="ja-JP"/>
          <w14:ligatures w14:val="none"/>
        </w:rPr>
        <w:t>Fause</w:t>
      </w:r>
      <w:proofErr w:type="spellEnd"/>
      <w:r w:rsidRPr="006054DB">
        <w:rPr>
          <w:rFonts w:ascii="Arial" w:eastAsia="Arial" w:hAnsi="Arial" w:cs="Arial"/>
          <w:color w:val="222222"/>
          <w:kern w:val="0"/>
          <w:sz w:val="22"/>
          <w:szCs w:val="22"/>
          <w:lang w:eastAsia="ja-JP"/>
          <w14:ligatures w14:val="none"/>
        </w:rPr>
        <w:t>, A.B.O. and Riley, H. (2022) ‘Increased autonomy with capacity-based mental health legislation in Norway: a qualitative study of patient experiences of having come off a community treatment order’, B</w:t>
      </w:r>
      <w:r w:rsidRPr="006054DB">
        <w:rPr>
          <w:rFonts w:ascii="Arial" w:eastAsia="Arial" w:hAnsi="Arial" w:cs="Arial"/>
          <w:i/>
          <w:iCs/>
          <w:color w:val="222222"/>
          <w:kern w:val="0"/>
          <w:sz w:val="22"/>
          <w:szCs w:val="22"/>
          <w:lang w:eastAsia="ja-JP"/>
          <w14:ligatures w14:val="none"/>
        </w:rPr>
        <w:t>MC Health Services Research</w:t>
      </w:r>
      <w:r w:rsidRPr="006054DB">
        <w:rPr>
          <w:rFonts w:ascii="Arial" w:eastAsia="Arial" w:hAnsi="Arial" w:cs="Arial"/>
          <w:color w:val="222222"/>
          <w:kern w:val="0"/>
          <w:sz w:val="22"/>
          <w:szCs w:val="22"/>
          <w:lang w:eastAsia="ja-JP"/>
          <w14:ligatures w14:val="none"/>
        </w:rPr>
        <w:t xml:space="preserve">, 22(1), p.454. Available at: </w:t>
      </w:r>
      <w:hyperlink r:id="rId69">
        <w:r w:rsidRPr="006054DB">
          <w:rPr>
            <w:rFonts w:ascii="Arial" w:eastAsia="Arial" w:hAnsi="Arial" w:cs="Arial"/>
            <w:color w:val="467886"/>
            <w:kern w:val="0"/>
            <w:sz w:val="22"/>
            <w:szCs w:val="22"/>
            <w:u w:val="single"/>
            <w:lang w:eastAsia="ja-JP"/>
            <w14:ligatures w14:val="none"/>
          </w:rPr>
          <w:t>https://link.springer.com/article/10.1186/s12913-022-07892-9</w:t>
        </w:r>
      </w:hyperlink>
      <w:r w:rsidRPr="006054DB">
        <w:rPr>
          <w:rFonts w:ascii="Arial" w:eastAsia="Arial" w:hAnsi="Arial" w:cs="Arial"/>
          <w:color w:val="222222"/>
          <w:kern w:val="0"/>
          <w:sz w:val="22"/>
          <w:szCs w:val="22"/>
          <w:lang w:eastAsia="ja-JP"/>
          <w14:ligatures w14:val="none"/>
        </w:rPr>
        <w:t xml:space="preserve">  (Accessed: 9th October 2025).</w:t>
      </w:r>
    </w:p>
    <w:p w14:paraId="3D80A989" w14:textId="77777777" w:rsidR="005A4AED" w:rsidRPr="006054DB" w:rsidRDefault="005A4AED" w:rsidP="003C2FBD">
      <w:pPr>
        <w:spacing w:line="360" w:lineRule="auto"/>
        <w:jc w:val="both"/>
        <w:rPr>
          <w:rFonts w:ascii="Arial" w:eastAsia="Arial" w:hAnsi="Arial" w:cs="Arial"/>
          <w:color w:val="222222"/>
          <w:kern w:val="0"/>
          <w:sz w:val="22"/>
          <w:szCs w:val="22"/>
          <w:lang w:eastAsia="ja-JP"/>
          <w14:ligatures w14:val="none"/>
        </w:rPr>
      </w:pPr>
      <w:r w:rsidRPr="006054DB">
        <w:rPr>
          <w:rFonts w:ascii="Arial" w:eastAsia="Arial" w:hAnsi="Arial" w:cs="Arial"/>
          <w:color w:val="222222"/>
          <w:kern w:val="0"/>
          <w:sz w:val="22"/>
          <w:szCs w:val="22"/>
          <w:lang w:eastAsia="ja-JP"/>
          <w14:ligatures w14:val="none"/>
        </w:rPr>
        <w:t xml:space="preserve">Wilson, P. and </w:t>
      </w:r>
      <w:proofErr w:type="spellStart"/>
      <w:r w:rsidRPr="006054DB">
        <w:rPr>
          <w:rFonts w:ascii="Arial" w:eastAsia="Arial" w:hAnsi="Arial" w:cs="Arial"/>
          <w:color w:val="222222"/>
          <w:kern w:val="0"/>
          <w:sz w:val="22"/>
          <w:szCs w:val="22"/>
          <w:lang w:eastAsia="ja-JP"/>
          <w14:ligatures w14:val="none"/>
        </w:rPr>
        <w:t>Mavhandu-Mudzusi</w:t>
      </w:r>
      <w:proofErr w:type="spellEnd"/>
      <w:r w:rsidRPr="006054DB">
        <w:rPr>
          <w:rFonts w:ascii="Arial" w:eastAsia="Arial" w:hAnsi="Arial" w:cs="Arial"/>
          <w:color w:val="222222"/>
          <w:kern w:val="0"/>
          <w:sz w:val="22"/>
          <w:szCs w:val="22"/>
          <w:lang w:eastAsia="ja-JP"/>
          <w14:ligatures w14:val="none"/>
        </w:rPr>
        <w:t>, A.H. (</w:t>
      </w:r>
      <w:proofErr w:type="gramStart"/>
      <w:r w:rsidRPr="006054DB">
        <w:rPr>
          <w:rFonts w:ascii="Arial" w:eastAsia="Arial" w:hAnsi="Arial" w:cs="Arial"/>
          <w:color w:val="222222"/>
          <w:kern w:val="0"/>
          <w:sz w:val="22"/>
          <w:szCs w:val="22"/>
          <w:lang w:eastAsia="ja-JP"/>
          <w14:ligatures w14:val="none"/>
        </w:rPr>
        <w:t>2019) ‘</w:t>
      </w:r>
      <w:proofErr w:type="gramEnd"/>
      <w:r w:rsidRPr="006054DB">
        <w:rPr>
          <w:rFonts w:ascii="Arial" w:eastAsia="Arial" w:hAnsi="Arial" w:cs="Arial"/>
          <w:color w:val="222222"/>
          <w:kern w:val="0"/>
          <w:sz w:val="22"/>
          <w:szCs w:val="22"/>
          <w:lang w:eastAsia="ja-JP"/>
          <w14:ligatures w14:val="none"/>
        </w:rPr>
        <w:t xml:space="preserve">Working in partnership with communities to improve health and research outcomes. Comparisons and commonalities between the UK and South Africa’, </w:t>
      </w:r>
      <w:r w:rsidRPr="006054DB">
        <w:rPr>
          <w:rFonts w:ascii="Arial" w:eastAsia="Arial" w:hAnsi="Arial" w:cs="Arial"/>
          <w:i/>
          <w:iCs/>
          <w:color w:val="222222"/>
          <w:kern w:val="0"/>
          <w:sz w:val="22"/>
          <w:szCs w:val="22"/>
          <w:lang w:eastAsia="ja-JP"/>
          <w14:ligatures w14:val="none"/>
        </w:rPr>
        <w:t>Primary Health Care Research &amp; Development</w:t>
      </w:r>
      <w:r w:rsidRPr="006054DB">
        <w:rPr>
          <w:rFonts w:ascii="Arial" w:eastAsia="Arial" w:hAnsi="Arial" w:cs="Arial"/>
          <w:color w:val="222222"/>
          <w:kern w:val="0"/>
          <w:sz w:val="22"/>
          <w:szCs w:val="22"/>
          <w:lang w:eastAsia="ja-JP"/>
          <w14:ligatures w14:val="none"/>
        </w:rPr>
        <w:t xml:space="preserve">, </w:t>
      </w:r>
      <w:r w:rsidRPr="006054DB">
        <w:rPr>
          <w:rFonts w:ascii="Arial" w:eastAsia="Arial" w:hAnsi="Arial" w:cs="Arial"/>
          <w:i/>
          <w:iCs/>
          <w:color w:val="222222"/>
          <w:kern w:val="0"/>
          <w:sz w:val="22"/>
          <w:szCs w:val="22"/>
          <w:lang w:eastAsia="ja-JP"/>
          <w14:ligatures w14:val="none"/>
        </w:rPr>
        <w:t>20</w:t>
      </w:r>
      <w:r w:rsidRPr="006054DB">
        <w:rPr>
          <w:rFonts w:ascii="Arial" w:eastAsia="Arial" w:hAnsi="Arial" w:cs="Arial"/>
          <w:color w:val="222222"/>
          <w:kern w:val="0"/>
          <w:sz w:val="22"/>
          <w:szCs w:val="22"/>
          <w:lang w:eastAsia="ja-JP"/>
          <w14:ligatures w14:val="none"/>
        </w:rPr>
        <w:t xml:space="preserve">, p.e129. Available at: </w:t>
      </w:r>
      <w:hyperlink r:id="rId70">
        <w:r w:rsidRPr="006054DB">
          <w:rPr>
            <w:rFonts w:ascii="Arial" w:eastAsia="Arial" w:hAnsi="Arial" w:cs="Arial"/>
            <w:color w:val="467886"/>
            <w:kern w:val="0"/>
            <w:sz w:val="22"/>
            <w:szCs w:val="22"/>
            <w:u w:val="single"/>
            <w:lang w:eastAsia="ja-JP"/>
            <w14:ligatures w14:val="none"/>
          </w:rPr>
          <w:t>https://www.cambridge.org/core/journals/primary-health-care-research-and-development/article/working-in-partnership-with-communities-to-improve-health-and-research-outcomes-comparisons-and-commonalities-between-the-uk-and-south-africa/DFDC7C10CB164961A0CA83517C785C0E</w:t>
        </w:r>
      </w:hyperlink>
      <w:r w:rsidRPr="006054DB">
        <w:rPr>
          <w:rFonts w:ascii="Arial" w:eastAsia="Arial" w:hAnsi="Arial" w:cs="Arial"/>
          <w:color w:val="222222"/>
          <w:kern w:val="0"/>
          <w:sz w:val="22"/>
          <w:szCs w:val="22"/>
          <w:lang w:eastAsia="ja-JP"/>
          <w14:ligatures w14:val="none"/>
        </w:rPr>
        <w:t xml:space="preserve"> (Accessed: 10</w:t>
      </w:r>
      <w:r w:rsidRPr="006054DB">
        <w:rPr>
          <w:rFonts w:ascii="Arial" w:eastAsia="Arial" w:hAnsi="Arial" w:cs="Arial"/>
          <w:color w:val="222222"/>
          <w:kern w:val="0"/>
          <w:sz w:val="22"/>
          <w:szCs w:val="22"/>
          <w:vertAlign w:val="superscript"/>
          <w:lang w:eastAsia="ja-JP"/>
          <w14:ligatures w14:val="none"/>
        </w:rPr>
        <w:t>th</w:t>
      </w:r>
      <w:r w:rsidRPr="006054DB">
        <w:rPr>
          <w:rFonts w:ascii="Arial" w:eastAsia="Arial" w:hAnsi="Arial" w:cs="Arial"/>
          <w:color w:val="222222"/>
          <w:kern w:val="0"/>
          <w:sz w:val="22"/>
          <w:szCs w:val="22"/>
          <w:lang w:eastAsia="ja-JP"/>
          <w14:ligatures w14:val="none"/>
        </w:rPr>
        <w:t xml:space="preserve"> October 2025).</w:t>
      </w:r>
    </w:p>
    <w:p w14:paraId="0E0F25C4" w14:textId="77777777" w:rsidR="00964178" w:rsidRPr="006054DB" w:rsidRDefault="00964178" w:rsidP="003C2FBD">
      <w:pPr>
        <w:spacing w:line="360" w:lineRule="auto"/>
        <w:rPr>
          <w:rFonts w:ascii="Arial" w:hAnsi="Arial" w:cs="Arial"/>
        </w:rPr>
      </w:pPr>
    </w:p>
    <w:sectPr w:rsidR="00964178" w:rsidRPr="006054DB">
      <w:footerReference w:type="even"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3405C" w14:textId="77777777" w:rsidR="00A61DDD" w:rsidRDefault="00A61DDD" w:rsidP="005A4AED">
      <w:pPr>
        <w:spacing w:after="0" w:line="240" w:lineRule="auto"/>
      </w:pPr>
      <w:r>
        <w:separator/>
      </w:r>
    </w:p>
  </w:endnote>
  <w:endnote w:type="continuationSeparator" w:id="0">
    <w:p w14:paraId="3616287B" w14:textId="77777777" w:rsidR="00A61DDD" w:rsidRDefault="00A61DDD" w:rsidP="005A4AED">
      <w:pPr>
        <w:spacing w:after="0" w:line="240" w:lineRule="auto"/>
      </w:pPr>
      <w:r>
        <w:continuationSeparator/>
      </w:r>
    </w:p>
  </w:endnote>
  <w:endnote w:type="continuationNotice" w:id="1">
    <w:p w14:paraId="44130240" w14:textId="77777777" w:rsidR="00A61DDD" w:rsidRDefault="00A61D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8125268"/>
      <w:docPartObj>
        <w:docPartGallery w:val="Page Numbers (Bottom of Page)"/>
        <w:docPartUnique/>
      </w:docPartObj>
    </w:sdtPr>
    <w:sdtContent>
      <w:p w14:paraId="30267BFC" w14:textId="77777777" w:rsidR="00642021" w:rsidRDefault="00642021" w:rsidP="00B45CB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88374529"/>
      <w:docPartObj>
        <w:docPartGallery w:val="Page Numbers (Bottom of Page)"/>
        <w:docPartUnique/>
      </w:docPartObj>
    </w:sdtPr>
    <w:sdtContent>
      <w:p w14:paraId="4F6F323C" w14:textId="77777777" w:rsidR="00642021" w:rsidRDefault="00642021" w:rsidP="00B45CBF">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0310820"/>
      <w:docPartObj>
        <w:docPartGallery w:val="Page Numbers (Bottom of Page)"/>
        <w:docPartUnique/>
      </w:docPartObj>
    </w:sdtPr>
    <w:sdtContent>
      <w:p w14:paraId="77E710C5" w14:textId="77777777" w:rsidR="00642021" w:rsidRDefault="00642021" w:rsidP="00B45CBF">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48708463"/>
      <w:docPartObj>
        <w:docPartGallery w:val="Page Numbers (Bottom of Page)"/>
        <w:docPartUnique/>
      </w:docPartObj>
    </w:sdtPr>
    <w:sdtContent>
      <w:p w14:paraId="767B41C3" w14:textId="77777777" w:rsidR="00642021" w:rsidRDefault="00642021" w:rsidP="00B45CBF">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96BAC4" w14:textId="77777777" w:rsidR="00642021" w:rsidRDefault="00642021" w:rsidP="00B45CB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732945"/>
      <w:docPartObj>
        <w:docPartGallery w:val="Page Numbers (Bottom of Page)"/>
        <w:docPartUnique/>
      </w:docPartObj>
    </w:sdtPr>
    <w:sdtContent>
      <w:p w14:paraId="7E620A40" w14:textId="77777777" w:rsidR="00642021" w:rsidRDefault="00642021" w:rsidP="00B45CB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00642021" w14:paraId="16B3C160" w14:textId="77777777" w:rsidTr="00B45CBF">
      <w:trPr>
        <w:trHeight w:val="300"/>
      </w:trPr>
      <w:tc>
        <w:tcPr>
          <w:tcW w:w="3005" w:type="dxa"/>
        </w:tcPr>
        <w:p w14:paraId="123041C6" w14:textId="77777777" w:rsidR="00642021" w:rsidRDefault="00642021" w:rsidP="00B45CBF">
          <w:pPr>
            <w:pStyle w:val="Header"/>
            <w:ind w:left="-115" w:firstLine="360"/>
          </w:pPr>
        </w:p>
      </w:tc>
      <w:tc>
        <w:tcPr>
          <w:tcW w:w="3005" w:type="dxa"/>
        </w:tcPr>
        <w:p w14:paraId="6057FA75" w14:textId="77777777" w:rsidR="00642021" w:rsidRDefault="00642021" w:rsidP="00B45CBF">
          <w:pPr>
            <w:pStyle w:val="Header"/>
            <w:jc w:val="center"/>
          </w:pPr>
        </w:p>
      </w:tc>
      <w:tc>
        <w:tcPr>
          <w:tcW w:w="3005" w:type="dxa"/>
        </w:tcPr>
        <w:p w14:paraId="2A3036D1" w14:textId="77777777" w:rsidR="00642021" w:rsidRDefault="00642021" w:rsidP="00B45CBF">
          <w:pPr>
            <w:pStyle w:val="Header"/>
            <w:ind w:right="-115"/>
            <w:jc w:val="right"/>
          </w:pPr>
        </w:p>
      </w:tc>
    </w:tr>
  </w:tbl>
  <w:p w14:paraId="090E445D" w14:textId="77777777" w:rsidR="00642021" w:rsidRDefault="006420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698939"/>
      <w:showingPlcHdr/>
      <w:docPartObj>
        <w:docPartGallery w:val="Page Numbers (Bottom of Page)"/>
        <w:docPartUnique/>
      </w:docPartObj>
    </w:sdtPr>
    <w:sdtContent>
      <w:p w14:paraId="75F6C421" w14:textId="77777777" w:rsidR="00642021" w:rsidRDefault="00642021" w:rsidP="00B45CBF">
        <w:pPr>
          <w:pStyle w:val="Footer"/>
          <w:framePr w:wrap="none" w:vAnchor="text" w:hAnchor="margin" w:y="1"/>
          <w:rPr>
            <w:rStyle w:val="PageNumber"/>
          </w:rPr>
        </w:pPr>
        <w:r w:rsidRPr="2BEB2641">
          <w:rPr>
            <w:rStyle w:val="PageNumber"/>
          </w:rPr>
          <w:t xml:space="preserve">     </w:t>
        </w:r>
      </w:p>
    </w:sdtContent>
  </w:sdt>
  <w:p w14:paraId="16CF278B" w14:textId="77777777" w:rsidR="00642021" w:rsidRDefault="00642021" w:rsidP="00B45CBF">
    <w:pPr>
      <w:pStyle w:val="Footer"/>
      <w:ind w:firstLine="360"/>
    </w:pPr>
    <w:r>
      <w:t>2</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6951219"/>
      <w:docPartObj>
        <w:docPartGallery w:val="Page Numbers (Bottom of Page)"/>
        <w:docPartUnique/>
      </w:docPartObj>
    </w:sdtPr>
    <w:sdtContent>
      <w:p w14:paraId="445879F5" w14:textId="19EA3AAD" w:rsidR="005A4AED" w:rsidRDefault="005A4AED" w:rsidP="00B45CB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3FDF7C" w14:textId="77777777" w:rsidR="005A4AED" w:rsidRDefault="005A4AED" w:rsidP="005A4AED">
    <w:pPr>
      <w:pStyle w:val="Footer"/>
      <w:ind w:firstLine="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0775191"/>
      <w:docPartObj>
        <w:docPartGallery w:val="Page Numbers (Bottom of Page)"/>
        <w:docPartUnique/>
      </w:docPartObj>
    </w:sdtPr>
    <w:sdtContent>
      <w:p w14:paraId="54408C7E" w14:textId="2CF09ABD" w:rsidR="005A4AED" w:rsidRDefault="005A4AED" w:rsidP="00B45CB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C1E018" w14:textId="77777777" w:rsidR="005A4AED" w:rsidRDefault="005A4AED" w:rsidP="005A4AE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EA91A" w14:textId="77777777" w:rsidR="00A61DDD" w:rsidRDefault="00A61DDD" w:rsidP="005A4AED">
      <w:pPr>
        <w:spacing w:after="0" w:line="240" w:lineRule="auto"/>
      </w:pPr>
      <w:r>
        <w:separator/>
      </w:r>
    </w:p>
  </w:footnote>
  <w:footnote w:type="continuationSeparator" w:id="0">
    <w:p w14:paraId="3D2759DC" w14:textId="77777777" w:rsidR="00A61DDD" w:rsidRDefault="00A61DDD" w:rsidP="005A4AED">
      <w:pPr>
        <w:spacing w:after="0" w:line="240" w:lineRule="auto"/>
      </w:pPr>
      <w:r>
        <w:continuationSeparator/>
      </w:r>
    </w:p>
  </w:footnote>
  <w:footnote w:type="continuationNotice" w:id="1">
    <w:p w14:paraId="400A1187" w14:textId="77777777" w:rsidR="00A61DDD" w:rsidRDefault="00A61DD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642021" w14:paraId="4002E817" w14:textId="77777777" w:rsidTr="00B45CBF">
      <w:trPr>
        <w:trHeight w:val="300"/>
      </w:trPr>
      <w:tc>
        <w:tcPr>
          <w:tcW w:w="3005" w:type="dxa"/>
        </w:tcPr>
        <w:p w14:paraId="33314D2B" w14:textId="77777777" w:rsidR="00642021" w:rsidRDefault="00642021" w:rsidP="00B45CBF">
          <w:pPr>
            <w:pStyle w:val="Header"/>
            <w:ind w:left="-115"/>
          </w:pPr>
        </w:p>
      </w:tc>
      <w:tc>
        <w:tcPr>
          <w:tcW w:w="3005" w:type="dxa"/>
        </w:tcPr>
        <w:p w14:paraId="056A3242" w14:textId="77777777" w:rsidR="00642021" w:rsidRDefault="00642021" w:rsidP="00B45CBF">
          <w:pPr>
            <w:pStyle w:val="Header"/>
            <w:jc w:val="center"/>
          </w:pPr>
        </w:p>
      </w:tc>
      <w:tc>
        <w:tcPr>
          <w:tcW w:w="3005" w:type="dxa"/>
        </w:tcPr>
        <w:p w14:paraId="5616B3F7" w14:textId="77777777" w:rsidR="00642021" w:rsidRDefault="00642021" w:rsidP="00B45CBF">
          <w:pPr>
            <w:pStyle w:val="Header"/>
            <w:ind w:right="-115"/>
            <w:jc w:val="right"/>
          </w:pPr>
        </w:p>
      </w:tc>
    </w:tr>
  </w:tbl>
  <w:p w14:paraId="4A8EA0A2" w14:textId="77777777" w:rsidR="00642021" w:rsidRDefault="006420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642021" w14:paraId="2110EB17" w14:textId="77777777" w:rsidTr="00B45CBF">
      <w:trPr>
        <w:trHeight w:val="300"/>
      </w:trPr>
      <w:tc>
        <w:tcPr>
          <w:tcW w:w="3005" w:type="dxa"/>
        </w:tcPr>
        <w:p w14:paraId="487A35B8" w14:textId="77777777" w:rsidR="00642021" w:rsidRDefault="00642021" w:rsidP="00B45CBF">
          <w:pPr>
            <w:pStyle w:val="Header"/>
            <w:ind w:left="-115"/>
          </w:pPr>
        </w:p>
      </w:tc>
      <w:tc>
        <w:tcPr>
          <w:tcW w:w="3005" w:type="dxa"/>
        </w:tcPr>
        <w:p w14:paraId="136BAA64" w14:textId="77777777" w:rsidR="00642021" w:rsidRDefault="00642021" w:rsidP="00B45CBF">
          <w:pPr>
            <w:pStyle w:val="Header"/>
            <w:jc w:val="center"/>
          </w:pPr>
        </w:p>
      </w:tc>
      <w:tc>
        <w:tcPr>
          <w:tcW w:w="3005" w:type="dxa"/>
        </w:tcPr>
        <w:p w14:paraId="247469F0" w14:textId="77777777" w:rsidR="00642021" w:rsidRDefault="00642021" w:rsidP="00B45CBF">
          <w:pPr>
            <w:pStyle w:val="Header"/>
            <w:ind w:right="-115"/>
            <w:jc w:val="right"/>
          </w:pPr>
        </w:p>
      </w:tc>
    </w:tr>
  </w:tbl>
  <w:p w14:paraId="21178F19" w14:textId="77777777" w:rsidR="00642021" w:rsidRDefault="006420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C7380C"/>
    <w:multiLevelType w:val="hybridMultilevel"/>
    <w:tmpl w:val="5C1888F0"/>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DCA0EF5"/>
    <w:multiLevelType w:val="hybridMultilevel"/>
    <w:tmpl w:val="65DC0C42"/>
    <w:lvl w:ilvl="0" w:tplc="FFFFFFFF">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D0431BE"/>
    <w:multiLevelType w:val="hybridMultilevel"/>
    <w:tmpl w:val="38D24912"/>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56981797">
    <w:abstractNumId w:val="1"/>
  </w:num>
  <w:num w:numId="2" w16cid:durableId="1893269881">
    <w:abstractNumId w:val="2"/>
  </w:num>
  <w:num w:numId="3" w16cid:durableId="1417554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178"/>
    <w:rsid w:val="00143AA8"/>
    <w:rsid w:val="00152A71"/>
    <w:rsid w:val="001C7ADD"/>
    <w:rsid w:val="001E368B"/>
    <w:rsid w:val="00210E1D"/>
    <w:rsid w:val="0025346B"/>
    <w:rsid w:val="00254272"/>
    <w:rsid w:val="002A75AA"/>
    <w:rsid w:val="002D6987"/>
    <w:rsid w:val="00302F90"/>
    <w:rsid w:val="00323076"/>
    <w:rsid w:val="00330036"/>
    <w:rsid w:val="003B22FF"/>
    <w:rsid w:val="003C2FBD"/>
    <w:rsid w:val="003D4D66"/>
    <w:rsid w:val="003F7A38"/>
    <w:rsid w:val="00457D87"/>
    <w:rsid w:val="004708EB"/>
    <w:rsid w:val="0047099B"/>
    <w:rsid w:val="004A16AB"/>
    <w:rsid w:val="004F3C22"/>
    <w:rsid w:val="004F7A04"/>
    <w:rsid w:val="00543FD1"/>
    <w:rsid w:val="00582BB7"/>
    <w:rsid w:val="005A4AED"/>
    <w:rsid w:val="005E02C8"/>
    <w:rsid w:val="005E65BE"/>
    <w:rsid w:val="005F67FB"/>
    <w:rsid w:val="006054DB"/>
    <w:rsid w:val="00622F06"/>
    <w:rsid w:val="0064140B"/>
    <w:rsid w:val="00642021"/>
    <w:rsid w:val="006571E9"/>
    <w:rsid w:val="00660F1C"/>
    <w:rsid w:val="00687D7F"/>
    <w:rsid w:val="006E3FE4"/>
    <w:rsid w:val="00707646"/>
    <w:rsid w:val="00730248"/>
    <w:rsid w:val="007857B1"/>
    <w:rsid w:val="007A1FD9"/>
    <w:rsid w:val="00833023"/>
    <w:rsid w:val="00837E7E"/>
    <w:rsid w:val="008420BA"/>
    <w:rsid w:val="008E08F2"/>
    <w:rsid w:val="00907BD5"/>
    <w:rsid w:val="009223BF"/>
    <w:rsid w:val="00964178"/>
    <w:rsid w:val="009831AE"/>
    <w:rsid w:val="009D475D"/>
    <w:rsid w:val="009E23E6"/>
    <w:rsid w:val="009E36E4"/>
    <w:rsid w:val="00A0694F"/>
    <w:rsid w:val="00A33D61"/>
    <w:rsid w:val="00A61DDD"/>
    <w:rsid w:val="00A83036"/>
    <w:rsid w:val="00AC0A69"/>
    <w:rsid w:val="00B00333"/>
    <w:rsid w:val="00B45CBF"/>
    <w:rsid w:val="00B63F96"/>
    <w:rsid w:val="00B64A10"/>
    <w:rsid w:val="00B71348"/>
    <w:rsid w:val="00B76080"/>
    <w:rsid w:val="00BE0DDD"/>
    <w:rsid w:val="00C10798"/>
    <w:rsid w:val="00C32899"/>
    <w:rsid w:val="00C92C7B"/>
    <w:rsid w:val="00D63921"/>
    <w:rsid w:val="00D70FD4"/>
    <w:rsid w:val="00DE0CAF"/>
    <w:rsid w:val="00E5668E"/>
    <w:rsid w:val="00E85F01"/>
    <w:rsid w:val="00EC026D"/>
    <w:rsid w:val="00EC359E"/>
    <w:rsid w:val="00EC6585"/>
    <w:rsid w:val="00ED01E5"/>
    <w:rsid w:val="00ED7991"/>
    <w:rsid w:val="00F86E7E"/>
    <w:rsid w:val="00FA22EE"/>
    <w:rsid w:val="00FA37A0"/>
    <w:rsid w:val="06F0720F"/>
    <w:rsid w:val="1438496E"/>
    <w:rsid w:val="3DBBB35A"/>
    <w:rsid w:val="5367085D"/>
    <w:rsid w:val="60127EF7"/>
    <w:rsid w:val="6855D2D0"/>
    <w:rsid w:val="6F6D68AA"/>
    <w:rsid w:val="7E6ABF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1EA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178"/>
    <w:rPr>
      <w:rFonts w:eastAsiaTheme="majorEastAsia" w:cstheme="majorBidi"/>
      <w:color w:val="272727" w:themeColor="text1" w:themeTint="D8"/>
    </w:rPr>
  </w:style>
  <w:style w:type="paragraph" w:styleId="Title">
    <w:name w:val="Title"/>
    <w:basedOn w:val="Normal"/>
    <w:next w:val="Normal"/>
    <w:link w:val="TitleChar"/>
    <w:uiPriority w:val="10"/>
    <w:qFormat/>
    <w:rsid w:val="00964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178"/>
    <w:pPr>
      <w:spacing w:before="160"/>
      <w:jc w:val="center"/>
    </w:pPr>
    <w:rPr>
      <w:i/>
      <w:iCs/>
      <w:color w:val="404040" w:themeColor="text1" w:themeTint="BF"/>
    </w:rPr>
  </w:style>
  <w:style w:type="character" w:customStyle="1" w:styleId="QuoteChar">
    <w:name w:val="Quote Char"/>
    <w:basedOn w:val="DefaultParagraphFont"/>
    <w:link w:val="Quote"/>
    <w:uiPriority w:val="29"/>
    <w:rsid w:val="00964178"/>
    <w:rPr>
      <w:i/>
      <w:iCs/>
      <w:color w:val="404040" w:themeColor="text1" w:themeTint="BF"/>
    </w:rPr>
  </w:style>
  <w:style w:type="paragraph" w:styleId="ListParagraph">
    <w:name w:val="List Paragraph"/>
    <w:basedOn w:val="Normal"/>
    <w:uiPriority w:val="34"/>
    <w:qFormat/>
    <w:rsid w:val="00964178"/>
    <w:pPr>
      <w:ind w:left="720"/>
      <w:contextualSpacing/>
    </w:pPr>
  </w:style>
  <w:style w:type="character" w:styleId="IntenseEmphasis">
    <w:name w:val="Intense Emphasis"/>
    <w:basedOn w:val="DefaultParagraphFont"/>
    <w:uiPriority w:val="21"/>
    <w:qFormat/>
    <w:rsid w:val="00964178"/>
    <w:rPr>
      <w:i/>
      <w:iCs/>
      <w:color w:val="0F4761" w:themeColor="accent1" w:themeShade="BF"/>
    </w:rPr>
  </w:style>
  <w:style w:type="paragraph" w:styleId="IntenseQuote">
    <w:name w:val="Intense Quote"/>
    <w:basedOn w:val="Normal"/>
    <w:next w:val="Normal"/>
    <w:link w:val="IntenseQuoteChar"/>
    <w:uiPriority w:val="30"/>
    <w:qFormat/>
    <w:rsid w:val="00964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178"/>
    <w:rPr>
      <w:i/>
      <w:iCs/>
      <w:color w:val="0F4761" w:themeColor="accent1" w:themeShade="BF"/>
    </w:rPr>
  </w:style>
  <w:style w:type="character" w:styleId="IntenseReference">
    <w:name w:val="Intense Reference"/>
    <w:basedOn w:val="DefaultParagraphFont"/>
    <w:uiPriority w:val="32"/>
    <w:qFormat/>
    <w:rsid w:val="00964178"/>
    <w:rPr>
      <w:b/>
      <w:bCs/>
      <w:smallCaps/>
      <w:color w:val="0F4761" w:themeColor="accent1" w:themeShade="BF"/>
      <w:spacing w:val="5"/>
    </w:rPr>
  </w:style>
  <w:style w:type="paragraph" w:styleId="Header">
    <w:name w:val="header"/>
    <w:basedOn w:val="Normal"/>
    <w:link w:val="HeaderChar"/>
    <w:uiPriority w:val="99"/>
    <w:unhideWhenUsed/>
    <w:rsid w:val="005A4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AED"/>
  </w:style>
  <w:style w:type="paragraph" w:styleId="Footer">
    <w:name w:val="footer"/>
    <w:basedOn w:val="Normal"/>
    <w:link w:val="FooterChar"/>
    <w:uiPriority w:val="99"/>
    <w:unhideWhenUsed/>
    <w:rsid w:val="005A4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AED"/>
  </w:style>
  <w:style w:type="character" w:styleId="PageNumber">
    <w:name w:val="page number"/>
    <w:basedOn w:val="DefaultParagraphFont"/>
    <w:uiPriority w:val="99"/>
    <w:semiHidden/>
    <w:unhideWhenUsed/>
    <w:rsid w:val="005A4AED"/>
  </w:style>
  <w:style w:type="character" w:styleId="Hyperlink">
    <w:name w:val="Hyperlink"/>
    <w:basedOn w:val="DefaultParagraphFont"/>
    <w:uiPriority w:val="99"/>
    <w:unhideWhenUsed/>
    <w:rsid w:val="00C32899"/>
    <w:rPr>
      <w:color w:val="467886"/>
      <w:u w:val="single"/>
    </w:rPr>
  </w:style>
  <w:style w:type="paragraph" w:styleId="TOC1">
    <w:name w:val="toc 1"/>
    <w:basedOn w:val="Normal"/>
    <w:next w:val="Normal"/>
    <w:uiPriority w:val="39"/>
    <w:unhideWhenUsed/>
    <w:rsid w:val="00C328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content/doi/10.1108/JMHTEP-05-2017-0039/full/html" TargetMode="External"/><Relationship Id="rId21" Type="http://schemas.openxmlformats.org/officeDocument/2006/relationships/hyperlink" Target="https://www.legislation.gov.uk/id/ukpga/2014/23?utm_source=chatgpt.com" TargetMode="External"/><Relationship Id="rId42" Type="http://schemas.openxmlformats.org/officeDocument/2006/relationships/hyperlink" Target="https://www.mdpi.com/1660-4601/19/16/10294" TargetMode="External"/><Relationship Id="rId47" Type="http://schemas.openxmlformats.org/officeDocument/2006/relationships/hyperlink" Target="https://link.springer.com/article/10.1186/s12912-023-01186-z" TargetMode="External"/><Relationship Id="rId63" Type="http://schemas.openxmlformats.org/officeDocument/2006/relationships/hyperlink" Target="https://link.springer.com/article/10.1186/s12939-024-02216-1" TargetMode="External"/><Relationship Id="rId68" Type="http://schemas.openxmlformats.org/officeDocument/2006/relationships/hyperlink" Target="https://journals.sagepub.com/doi/full/10.1177/0253717620960694?utm_source=chatgpt.com" TargetMode="External"/><Relationship Id="rId2" Type="http://schemas.openxmlformats.org/officeDocument/2006/relationships/styles" Target="styles.xml"/><Relationship Id="rId16" Type="http://schemas.openxmlformats.org/officeDocument/2006/relationships/hyperlink" Target="https://www.tandfonline.com/doi/full/10.1080/15265161.2019.1665402" TargetMode="External"/><Relationship Id="rId29" Type="http://schemas.openxmlformats.org/officeDocument/2006/relationships/hyperlink" Target="https://www.sciencedirect.com/science/article/pii/S2514664524010865" TargetMode="External"/><Relationship Id="rId11" Type="http://schemas.openxmlformats.org/officeDocument/2006/relationships/footer" Target="footer3.xml"/><Relationship Id="rId24" Type="http://schemas.openxmlformats.org/officeDocument/2006/relationships/hyperlink" Target="https://link.springer.com/article/10.1007/s40737-025-00458-y" TargetMode="External"/><Relationship Id="rId32" Type="http://schemas.openxmlformats.org/officeDocument/2006/relationships/hyperlink" Target="https://journals.sagepub.com/doi/abs/10.1177/01708406221074146" TargetMode="External"/><Relationship Id="rId37" Type="http://schemas.openxmlformats.org/officeDocument/2006/relationships/hyperlink" Target="https://assets.publishing.service.gov.uk/media/6363d911e90e0705a8c35457/health-and-care-act-2022-summary-and-additional-measures-impact-assessment.pdf?utm_source=chatgpt.com" TargetMode="External"/><Relationship Id="rId40" Type="http://schemas.openxmlformats.org/officeDocument/2006/relationships/hyperlink" Target="https://www.hse.ie/eng/services/list/4/mental-health-services/advancingrecoveryireland/national-framework-for-recovery-in-mental-health/co-production-in-practice-guidance-document-2018-to-2020.pdf?utm_source=chatgpt.com" TargetMode="External"/><Relationship Id="rId45" Type="http://schemas.openxmlformats.org/officeDocument/2006/relationships/hyperlink" Target="https://www.frontiersin.org/journals/psychiatry/articles/10.3389/fpsyt.2022.946234/full" TargetMode="External"/><Relationship Id="rId53" Type="http://schemas.openxmlformats.org/officeDocument/2006/relationships/hyperlink" Target="https://bmchealthservres.biomedcentral.com/articles/10.1186/s12913-019-4748-z" TargetMode="External"/><Relationship Id="rId58" Type="http://schemas.openxmlformats.org/officeDocument/2006/relationships/hyperlink" Target="https://www.sciencedirect.com/science/article/pii/S0305750X23000037" TargetMode="External"/><Relationship Id="rId66" Type="http://schemas.openxmlformats.org/officeDocument/2006/relationships/hyperlink" Target="https://www.legislation.gov.uk/ukpga/2010/15"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skillsforcare.org.uk/Workforce-Strategy/Recommendations-and-commitments/Attract-and-retain.aspx?utm_source=chatgpt.com" TargetMode="External"/><Relationship Id="rId19" Type="http://schemas.openxmlformats.org/officeDocument/2006/relationships/hyperlink" Target="https://journals.lww.com/professionalcasemanagementjournal/fulltext/2025/05000/interprofessional_collaboration_as_a_best_practice.6.aspx?context=latestarticles" TargetMode="External"/><Relationship Id="rId14" Type="http://schemas.openxmlformats.org/officeDocument/2006/relationships/hyperlink" Target="https://ajprui.com/index.php/ajpr/article/view/96" TargetMode="External"/><Relationship Id="rId22" Type="http://schemas.openxmlformats.org/officeDocument/2006/relationships/hyperlink" Target="https://www.legislation.gov.uk/ukpga/2014/23/section/6" TargetMode="External"/><Relationship Id="rId27" Type="http://schemas.openxmlformats.org/officeDocument/2006/relationships/hyperlink" Target="https://www.sciencedirect.com/science/article/pii/S0165178120311434" TargetMode="External"/><Relationship Id="rId30" Type="http://schemas.openxmlformats.org/officeDocument/2006/relationships/hyperlink" Target="https://www.sciencedirect.com/science/article/pii/S1322769617300422" TargetMode="External"/><Relationship Id="rId35" Type="http://schemas.openxmlformats.org/officeDocument/2006/relationships/hyperlink" Target="https://link.springer.com/article/10.1007/s10597-018-0295-z" TargetMode="External"/><Relationship Id="rId43" Type="http://schemas.openxmlformats.org/officeDocument/2006/relationships/hyperlink" Target="https://onlinelibrary.wiley.com/doi/abs/10.1002/hsr2.397" TargetMode="External"/><Relationship Id="rId48" Type="http://schemas.openxmlformats.org/officeDocument/2006/relationships/hyperlink" Target="https://journals.sagepub.com/doi/abs/10.1177/17449871241281428" TargetMode="External"/><Relationship Id="rId56" Type="http://schemas.openxmlformats.org/officeDocument/2006/relationships/hyperlink" Target="https://www.tandfonline.com/doi/abs/10.1080/15265161.2020.1863507" TargetMode="External"/><Relationship Id="rId64" Type="http://schemas.openxmlformats.org/officeDocument/2006/relationships/hyperlink" Target="https://link.springer.com/article/10.1186/s12888-021-03605-4" TargetMode="External"/><Relationship Id="rId69" Type="http://schemas.openxmlformats.org/officeDocument/2006/relationships/hyperlink" Target="https://link.springer.com/article/10.1186/s12913-022-07892-9" TargetMode="External"/><Relationship Id="rId8" Type="http://schemas.openxmlformats.org/officeDocument/2006/relationships/footer" Target="footer1.xml"/><Relationship Id="rId51" Type="http://schemas.openxmlformats.org/officeDocument/2006/relationships/hyperlink" Target="https://www.tandfonline.com/doi/abs/10.3109/09540261.2010.485273" TargetMode="External"/><Relationship Id="rId72" Type="http://schemas.openxmlformats.org/officeDocument/2006/relationships/footer" Target="footer5.xml"/><Relationship Id="rId3" Type="http://schemas.openxmlformats.org/officeDocument/2006/relationships/settings" Target="settings.xml"/><Relationship Id="rId12" Type="http://schemas.openxmlformats.org/officeDocument/2006/relationships/hyperlink" Target="https://link.springer.com/article/10.1186/s12888-021-03304-0" TargetMode="External"/><Relationship Id="rId17" Type="http://schemas.openxmlformats.org/officeDocument/2006/relationships/hyperlink" Target="https://www.frontiersin.org/journals/psychiatry/articles/10.3389/fpsyt.2022.801415/full" TargetMode="External"/><Relationship Id="rId25" Type="http://schemas.openxmlformats.org/officeDocument/2006/relationships/hyperlink" Target="https://journals.sagepub.com/doi/abs/10.1177/02692155221121006" TargetMode="External"/><Relationship Id="rId33" Type="http://schemas.openxmlformats.org/officeDocument/2006/relationships/hyperlink" Target="https://muse.jhu.edu/pub/1/article/958996/summary" TargetMode="External"/><Relationship Id="rId38" Type="http://schemas.openxmlformats.org/officeDocument/2006/relationships/hyperlink" Target="https://www.frontiersin.org/articles/10.3389/fpubh.2022.960815/full" TargetMode="External"/><Relationship Id="rId46" Type="http://schemas.openxmlformats.org/officeDocument/2006/relationships/hyperlink" Target="https://onlinelibrary.wiley.com/doi/abs/10.1111/jpm.12265" TargetMode="External"/><Relationship Id="rId59" Type="http://schemas.openxmlformats.org/officeDocument/2006/relationships/hyperlink" Target="https://pubmed.ncbi.nlm.nih.gov/29650622/" TargetMode="External"/><Relationship Id="rId67" Type="http://schemas.openxmlformats.org/officeDocument/2006/relationships/hyperlink" Target="https://www.legislation.gov.uk/ukpga/1998/42" TargetMode="External"/><Relationship Id="rId20" Type="http://schemas.openxmlformats.org/officeDocument/2006/relationships/hyperlink" Target="https://doi.org/10.1111/jjns.12233" TargetMode="External"/><Relationship Id="rId41" Type="http://schemas.openxmlformats.org/officeDocument/2006/relationships/hyperlink" Target="https://pmc.ncbi.nlm.nih.gov/articles/PMC8603099/" TargetMode="External"/><Relationship Id="rId54" Type="http://schemas.openxmlformats.org/officeDocument/2006/relationships/hyperlink" Target="https://link.springer.com/article/10.1186/s12961-020-00644-3" TargetMode="External"/><Relationship Id="rId62" Type="http://schemas.openxmlformats.org/officeDocument/2006/relationships/hyperlink" Target="https://www.sciencedirect.com/science/article/pii/S1756061625000321" TargetMode="External"/><Relationship Id="rId70" Type="http://schemas.openxmlformats.org/officeDocument/2006/relationships/hyperlink" Target="https://www.cambridge.org/core/journals/primary-health-care-research-and-development/article/working-in-partnership-with-communities-to-improve-health-and-research-outcomes-comparisons-and-commonalities-between-the-uk-and-south-africa/DFDC7C10CB164961A0CA83517C785C0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abs/10.1080/03069885.2020.1755952" TargetMode="External"/><Relationship Id="rId23" Type="http://schemas.openxmlformats.org/officeDocument/2006/relationships/hyperlink" Target="https://www.cqc.org.uk/guidance-regulation/local-authorities/assessment-framework/theme2/partnerships" TargetMode="External"/><Relationship Id="rId28" Type="http://schemas.openxmlformats.org/officeDocument/2006/relationships/hyperlink" Target="https://journals.plos.org/plosone/article?id=10.1371/journal.pone.0325558" TargetMode="External"/><Relationship Id="rId36" Type="http://schemas.openxmlformats.org/officeDocument/2006/relationships/hyperlink" Target="https://www.legislation.gov.uk/ukpga/2012/7/section/13" TargetMode="External"/><Relationship Id="rId49" Type="http://schemas.openxmlformats.org/officeDocument/2006/relationships/hyperlink" Target="https://assets.publishing.service.gov.uk/media/5f6cc6138fa8f541f6763295/Mental-capacity-act-code-of-practice.pdf?utm_source=chatgpt.com" TargetMode="External"/><Relationship Id="rId57" Type="http://schemas.openxmlformats.org/officeDocument/2006/relationships/hyperlink" Target="https://onlinelibrary.wiley.com/doi/abs/10.1155/hsc/7605478" TargetMode="External"/><Relationship Id="rId10" Type="http://schemas.openxmlformats.org/officeDocument/2006/relationships/header" Target="header2.xml"/><Relationship Id="rId31" Type="http://schemas.openxmlformats.org/officeDocument/2006/relationships/hyperlink" Target="https://implementationscience.biomedcentral.com/articles/10.1186/s13012-021-01142-y?utm_source=chatgpt.com" TargetMode="External"/><Relationship Id="rId44" Type="http://schemas.openxmlformats.org/officeDocument/2006/relationships/hyperlink" Target="https://link.springer.com/article/10.1186/s12913-023-10030-8" TargetMode="External"/><Relationship Id="rId52" Type="http://schemas.openxmlformats.org/officeDocument/2006/relationships/hyperlink" Target="https://www.england.nhs.uk/long-read/commissioning-framework-for-mental-health-inpatient-services/?utm_source=chatgpt.com" TargetMode="External"/><Relationship Id="rId60" Type="http://schemas.openxmlformats.org/officeDocument/2006/relationships/hyperlink" Target="https://onlinelibrary.wiley.com/doi/abs/10.1111/hex.12640" TargetMode="External"/><Relationship Id="rId65" Type="http://schemas.openxmlformats.org/officeDocument/2006/relationships/hyperlink" Target="https://www.health.org.uk/sites/default/files/PersonCentredCareMadeSimple.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 Id="rId13" Type="http://schemas.openxmlformats.org/officeDocument/2006/relationships/hyperlink" Target="https://search.proquest.com/openview/4d6c108032c8a5cfd947a4b344c383e5/1?pq-origsite=gscholar&amp;cbl=6480378" TargetMode="External"/><Relationship Id="rId18" Type="http://schemas.openxmlformats.org/officeDocument/2006/relationships/hyperlink" Target="https://www.mdpi.com/1660-4601/20/8/5495" TargetMode="External"/><Relationship Id="rId39" Type="http://schemas.openxmlformats.org/officeDocument/2006/relationships/hyperlink" Target="https://www.tandfonline.com/doi/abs/10.1080/01612840.2023.2288181" TargetMode="External"/><Relationship Id="rId34" Type="http://schemas.openxmlformats.org/officeDocument/2006/relationships/hyperlink" Target="https://pmc.ncbi.nlm.nih.gov/articles/PMC11160395/" TargetMode="External"/><Relationship Id="rId50" Type="http://schemas.openxmlformats.org/officeDocument/2006/relationships/hyperlink" Target="https://www.tandfonline.com/doi/abs/10.1080/15487768.2017.1338045" TargetMode="External"/><Relationship Id="rId55" Type="http://schemas.openxmlformats.org/officeDocument/2006/relationships/hyperlink" Target="https://link.springer.com/article/10.1007/s40737-022-00276-6" TargetMode="External"/><Relationship Id="rId7" Type="http://schemas.openxmlformats.org/officeDocument/2006/relationships/header" Target="header1.xml"/><Relationship Id="rId71"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6307</Words>
  <Characters>35954</Characters>
  <Application>Microsoft Office Word</Application>
  <DocSecurity>0</DocSecurity>
  <Lines>299</Lines>
  <Paragraphs>84</Paragraphs>
  <ScaleCrop>false</ScaleCrop>
  <Company/>
  <LinksUpToDate>false</LinksUpToDate>
  <CharactersWithSpaces>42177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2025-11-09T14:24:00Z</dcterms:created>
  <dcterms:modified xsi:type="dcterms:W3CDTF">2025-11-09T14:24:00Z</dcterms:modified>
</cp:coreProperties>
</file>