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E87C5" w14:textId="1A14C388" w:rsidR="00FB3D72" w:rsidRDefault="00FB3D72"/>
    <w:sdt>
      <w:sdtPr>
        <w:id w:val="653415504"/>
        <w:docPartObj>
          <w:docPartGallery w:val="Cover Pages"/>
          <w:docPartUnique/>
        </w:docPartObj>
      </w:sdtPr>
      <w:sdtEndPr>
        <w:rPr>
          <w:rFonts w:ascii="Arial" w:hAnsi="Arial" w:cs="Arial"/>
        </w:rPr>
      </w:sdtEndPr>
      <w:sdtContent>
        <w:p w14:paraId="0A7D2027" w14:textId="7974CCA7" w:rsidR="002B3CEB" w:rsidRDefault="002B3CEB">
          <w:r>
            <w:rPr>
              <w:noProof/>
            </w:rPr>
            <mc:AlternateContent>
              <mc:Choice Requires="wps">
                <w:drawing>
                  <wp:anchor distT="0" distB="0" distL="114300" distR="114300" simplePos="0" relativeHeight="251660288" behindDoc="0" locked="0" layoutInCell="1" allowOverlap="1" wp14:anchorId="42FC2A96" wp14:editId="6697892D">
                    <wp:simplePos x="0" y="0"/>
                    <wp:positionH relativeFrom="page">
                      <wp:posOffset>3536950</wp:posOffset>
                    </wp:positionH>
                    <wp:positionV relativeFrom="page">
                      <wp:posOffset>355600</wp:posOffset>
                    </wp:positionV>
                    <wp:extent cx="2908300" cy="2387600"/>
                    <wp:effectExtent l="0" t="0" r="6350" b="0"/>
                    <wp:wrapNone/>
                    <wp:docPr id="467" name="Rectangle 259"/>
                    <wp:cNvGraphicFramePr/>
                    <a:graphic xmlns:a="http://schemas.openxmlformats.org/drawingml/2006/main">
                      <a:graphicData uri="http://schemas.microsoft.com/office/word/2010/wordprocessingShape">
                        <wps:wsp>
                          <wps:cNvSpPr/>
                          <wps:spPr>
                            <a:xfrm>
                              <a:off x="0" y="0"/>
                              <a:ext cx="2908300" cy="2387600"/>
                            </a:xfrm>
                            <a:prstGeom prst="rect">
                              <a:avLst/>
                            </a:prstGeom>
                            <a:solidFill>
                              <a:schemeClr val="tx2">
                                <a:lumMod val="10000"/>
                                <a:lumOff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1A4C57" w14:textId="7387E79F" w:rsidR="002B3CEB" w:rsidRDefault="002B3CEB">
                                <w:r w:rsidRPr="002B3CEB">
                                  <w:rPr>
                                    <w:noProof/>
                                  </w:rPr>
                                  <w:drawing>
                                    <wp:inline distT="0" distB="0" distL="0" distR="0" wp14:anchorId="3FCDBE5D" wp14:editId="1A3547C5">
                                      <wp:extent cx="2431161" cy="1330325"/>
                                      <wp:effectExtent l="0" t="0" r="7620" b="3175"/>
                                      <wp:docPr id="134078716"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8716" name="Picture 1" descr="A close-up of a black text&#10;&#10;Description automatically generated"/>
                                              <pic:cNvPicPr/>
                                            </pic:nvPicPr>
                                            <pic:blipFill>
                                              <a:blip r:embed="rId7"/>
                                              <a:stretch>
                                                <a:fillRect/>
                                              </a:stretch>
                                            </pic:blipFill>
                                            <pic:spPr>
                                              <a:xfrm>
                                                <a:off x="0" y="0"/>
                                                <a:ext cx="2480670" cy="1357416"/>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FC2A96" id="Rectangle 259" o:spid="_x0000_s1026" style="position:absolute;margin-left:278.5pt;margin-top:28pt;width:229pt;height:1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" fillcolor="#dceaf7 [351]" stroked="f" strokeweight="1pt">
                    <v:textbox inset="14.4pt,14.4pt,14.4pt,28.8pt">
                      <w:txbxContent>
                        <w:p w14:paraId="621A4C57" w14:textId="7387E79F" w:rsidR="002B3CEB" w:rsidRDefault="002B3CEB">
                          <w:r w:rsidRPr="002B3CEB">
                            <w:rPr>
                              <w:noProof/>
                            </w:rPr>
                            <w:drawing>
                              <wp:inline distT="0" distB="0" distL="0" distR="0" wp14:anchorId="3FCDBE5D" wp14:editId="1A3547C5">
                                <wp:extent cx="2431161" cy="1330325"/>
                                <wp:effectExtent l="0" t="0" r="7620" b="3175"/>
                                <wp:docPr id="134078716"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8716" name="Picture 1" descr="A close-up of a black text&#10;&#10;Description automatically generated"/>
                                        <pic:cNvPicPr/>
                                      </pic:nvPicPr>
                                      <pic:blipFill>
                                        <a:blip r:embed="rId7"/>
                                        <a:stretch>
                                          <a:fillRect/>
                                        </a:stretch>
                                      </pic:blipFill>
                                      <pic:spPr>
                                        <a:xfrm>
                                          <a:off x="0" y="0"/>
                                          <a:ext cx="2480670" cy="1357416"/>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7D471C0E" wp14:editId="4B5755E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50853B0" w14:textId="0485DFA9" w:rsidR="002B3CEB"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B3CEB">
                                      <w:rPr>
                                        <w:noProof/>
                                        <w:color w:val="0E2841" w:themeColor="text2"/>
                                      </w:rPr>
                                      <w:t>Chris Jones (2411533)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D471C0E"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250853B0" w14:textId="0485DFA9" w:rsidR="002B3CEB" w:rsidRDefault="002B3CEB">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Chris Jones (2411533)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DD39950" wp14:editId="46FC3E10">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7F4667" w14:textId="77777777" w:rsidR="002B3CEB" w:rsidRDefault="002B3CE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D39950"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c1e4f5 [660]" stroked="f" strokeweight="1pt">
                    <v:fill color2="#45b0e1 [1940]" rotate="t" focus="100%" type="gradient">
                      <o:fill v:ext="view" type="gradientUnscaled"/>
                    </v:fill>
                    <v:textbox inset="21.6pt,,21.6pt">
                      <w:txbxContent>
                        <w:p w14:paraId="4B7F4667" w14:textId="77777777" w:rsidR="002B3CEB" w:rsidRDefault="002B3CEB"/>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CE7BDC0" wp14:editId="71675327">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50AABE8"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3EDE84B" wp14:editId="78F5591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5DE83A9"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47B642C4" w14:textId="299DE690" w:rsidR="002B3CEB" w:rsidRDefault="00FB3D72">
          <w:pPr>
            <w:rPr>
              <w:rFonts w:ascii="Arial" w:hAnsi="Arial" w:cs="Arial"/>
            </w:rPr>
          </w:pPr>
          <w:r>
            <w:rPr>
              <w:noProof/>
            </w:rPr>
            <mc:AlternateContent>
              <mc:Choice Requires="wps">
                <w:drawing>
                  <wp:anchor distT="45720" distB="45720" distL="114300" distR="114300" simplePos="0" relativeHeight="251666432" behindDoc="0" locked="0" layoutInCell="1" allowOverlap="1" wp14:anchorId="49FA375B" wp14:editId="25B89B37">
                    <wp:simplePos x="0" y="0"/>
                    <wp:positionH relativeFrom="column">
                      <wp:posOffset>2755900</wp:posOffset>
                    </wp:positionH>
                    <wp:positionV relativeFrom="paragraph">
                      <wp:posOffset>3987165</wp:posOffset>
                    </wp:positionV>
                    <wp:extent cx="2082800" cy="9461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946150"/>
                            </a:xfrm>
                            <a:prstGeom prst="rect">
                              <a:avLst/>
                            </a:prstGeom>
                            <a:solidFill>
                              <a:srgbClr val="FFFFFF"/>
                            </a:solidFill>
                            <a:ln w="9525">
                              <a:solidFill>
                                <a:srgbClr val="000000"/>
                              </a:solidFill>
                              <a:miter lim="800000"/>
                              <a:headEnd/>
                              <a:tailEnd/>
                            </a:ln>
                          </wps:spPr>
                          <wps:txbx>
                            <w:txbxContent>
                              <w:p w14:paraId="7A77CFA2" w14:textId="77777777" w:rsidR="00FB3D72" w:rsidRPr="00FB3D72" w:rsidRDefault="00FB3D72" w:rsidP="00FB3D72">
                                <w:pPr>
                                  <w:rPr>
                                    <w:rFonts w:ascii="Arial" w:hAnsi="Arial" w:cs="Arial"/>
                                    <w:sz w:val="20"/>
                                    <w:szCs w:val="20"/>
                                  </w:rPr>
                                </w:pPr>
                                <w:r w:rsidRPr="00FB3D72">
                                  <w:rPr>
                                    <w:rFonts w:ascii="Arial" w:hAnsi="Arial" w:cs="Arial"/>
                                    <w:sz w:val="20"/>
                                    <w:szCs w:val="20"/>
                                  </w:rPr>
                                  <w:t>Module code:</w:t>
                                </w:r>
                                <w:r w:rsidRPr="00FB3D72">
                                  <w:rPr>
                                    <w:rFonts w:ascii="Arial" w:hAnsi="Arial" w:cs="Arial"/>
                                    <w:sz w:val="20"/>
                                    <w:szCs w:val="20"/>
                                  </w:rPr>
                                  <w:tab/>
                                  <w:t>BMSM4007</w:t>
                                </w:r>
                              </w:p>
                              <w:p w14:paraId="079CF934" w14:textId="5509960A" w:rsidR="00FB3D72" w:rsidRPr="00FB3D72" w:rsidRDefault="00FB3D72" w:rsidP="00FB3D72">
                                <w:pPr>
                                  <w:rPr>
                                    <w:rFonts w:ascii="Arial" w:hAnsi="Arial" w:cs="Arial"/>
                                    <w:sz w:val="20"/>
                                    <w:szCs w:val="20"/>
                                  </w:rPr>
                                </w:pPr>
                                <w:r w:rsidRPr="00FB3D72">
                                  <w:rPr>
                                    <w:rFonts w:ascii="Arial" w:hAnsi="Arial" w:cs="Arial"/>
                                    <w:sz w:val="20"/>
                                    <w:szCs w:val="20"/>
                                  </w:rPr>
                                  <w:t xml:space="preserve">Lecturer: Mark </w:t>
                                </w:r>
                                <w:proofErr w:type="spellStart"/>
                                <w:r w:rsidRPr="00FB3D72">
                                  <w:rPr>
                                    <w:rFonts w:ascii="Arial" w:hAnsi="Arial" w:cs="Arial"/>
                                    <w:sz w:val="20"/>
                                    <w:szCs w:val="20"/>
                                  </w:rPr>
                                  <w:t>Napieralla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A375B" id="Text Box 2" o:spid="_x0000_s1029" type="#_x0000_t202" style="position:absolute;margin-left:217pt;margin-top:313.95pt;width:164pt;height:7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">
                    <v:textbox>
                      <w:txbxContent>
                        <w:p w14:paraId="7A77CFA2" w14:textId="77777777" w:rsidR="00FB3D72" w:rsidRPr="00FB3D72" w:rsidRDefault="00FB3D72" w:rsidP="00FB3D72">
                          <w:pPr>
                            <w:rPr>
                              <w:rFonts w:ascii="Arial" w:hAnsi="Arial" w:cs="Arial"/>
                              <w:sz w:val="20"/>
                              <w:szCs w:val="20"/>
                            </w:rPr>
                          </w:pPr>
                          <w:r w:rsidRPr="00FB3D72">
                            <w:rPr>
                              <w:rFonts w:ascii="Arial" w:hAnsi="Arial" w:cs="Arial"/>
                              <w:sz w:val="20"/>
                              <w:szCs w:val="20"/>
                            </w:rPr>
                            <w:t>Module code:</w:t>
                          </w:r>
                          <w:r w:rsidRPr="00FB3D72">
                            <w:rPr>
                              <w:rFonts w:ascii="Arial" w:hAnsi="Arial" w:cs="Arial"/>
                              <w:sz w:val="20"/>
                              <w:szCs w:val="20"/>
                            </w:rPr>
                            <w:tab/>
                            <w:t>BMSM4007</w:t>
                          </w:r>
                        </w:p>
                        <w:p w14:paraId="079CF934" w14:textId="5509960A" w:rsidR="00FB3D72" w:rsidRPr="00FB3D72" w:rsidRDefault="00FB3D72" w:rsidP="00FB3D72">
                          <w:pPr>
                            <w:rPr>
                              <w:rFonts w:ascii="Arial" w:hAnsi="Arial" w:cs="Arial"/>
                              <w:sz w:val="20"/>
                              <w:szCs w:val="20"/>
                            </w:rPr>
                          </w:pPr>
                          <w:r w:rsidRPr="00FB3D72">
                            <w:rPr>
                              <w:rFonts w:ascii="Arial" w:hAnsi="Arial" w:cs="Arial"/>
                              <w:sz w:val="20"/>
                              <w:szCs w:val="20"/>
                            </w:rPr>
                            <w:t>Lecturer:</w:t>
                          </w:r>
                          <w:r w:rsidRPr="00FB3D72">
                            <w:rPr>
                              <w:rFonts w:ascii="Arial" w:hAnsi="Arial" w:cs="Arial"/>
                              <w:sz w:val="20"/>
                              <w:szCs w:val="20"/>
                            </w:rPr>
                            <w:t xml:space="preserve"> </w:t>
                          </w:r>
                          <w:r w:rsidRPr="00FB3D72">
                            <w:rPr>
                              <w:rFonts w:ascii="Arial" w:hAnsi="Arial" w:cs="Arial"/>
                              <w:sz w:val="20"/>
                              <w:szCs w:val="20"/>
                            </w:rPr>
                            <w:t xml:space="preserve">Mark </w:t>
                          </w:r>
                          <w:proofErr w:type="spellStart"/>
                          <w:r w:rsidRPr="00FB3D72">
                            <w:rPr>
                              <w:rFonts w:ascii="Arial" w:hAnsi="Arial" w:cs="Arial"/>
                              <w:sz w:val="20"/>
                              <w:szCs w:val="20"/>
                            </w:rPr>
                            <w:t>Napieralla</w:t>
                          </w:r>
                          <w:proofErr w:type="spellEnd"/>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7767AB02" wp14:editId="4B3A52E9">
                    <wp:simplePos x="0" y="0"/>
                    <wp:positionH relativeFrom="page">
                      <wp:posOffset>3536950</wp:posOffset>
                    </wp:positionH>
                    <wp:positionV relativeFrom="page">
                      <wp:posOffset>2990850</wp:posOffset>
                    </wp:positionV>
                    <wp:extent cx="2797810" cy="2393950"/>
                    <wp:effectExtent l="0" t="0" r="0" b="635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39395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F1DA9C" w14:textId="3B08F7D3" w:rsidR="002B3CEB" w:rsidRDefault="00FB3D72">
                                    <w:pPr>
                                      <w:spacing w:line="240" w:lineRule="auto"/>
                                      <w:rPr>
                                        <w:rFonts w:asciiTheme="majorHAnsi" w:eastAsiaTheme="majorEastAsia" w:hAnsiTheme="majorHAnsi" w:cstheme="majorBidi"/>
                                        <w:noProof/>
                                        <w:color w:val="156082" w:themeColor="accent1"/>
                                        <w:sz w:val="72"/>
                                        <w:szCs w:val="144"/>
                                      </w:rPr>
                                    </w:pPr>
                                    <w:r w:rsidRPr="00FB3D72">
                                      <w:rPr>
                                        <w:rFonts w:asciiTheme="majorHAnsi" w:eastAsiaTheme="majorEastAsia" w:hAnsiTheme="majorHAnsi" w:cstheme="majorBidi"/>
                                        <w:noProof/>
                                        <w:color w:val="156082" w:themeColor="accent1"/>
                                        <w:sz w:val="72"/>
                                        <w:szCs w:val="72"/>
                                      </w:rPr>
                                      <w:t>Sport Physical Activity and Society</w:t>
                                    </w:r>
                                  </w:p>
                                </w:sdtContent>
                              </w:sdt>
                              <w:sdt>
                                <w:sdtPr>
                                  <w:rPr>
                                    <w:rFonts w:asciiTheme="majorHAnsi" w:eastAsiaTheme="majorEastAsia" w:hAnsiTheme="majorHAnsi" w:cstheme="majorBidi"/>
                                    <w:noProof/>
                                    <w:color w:val="0E2841" w:themeColor="text2"/>
                                    <w:sz w:val="16"/>
                                    <w:szCs w:val="1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25C5030" w14:textId="12E904BA" w:rsidR="002B3CEB" w:rsidRPr="00FB3D72" w:rsidRDefault="00FB3D72" w:rsidP="00FB3D72">
                                    <w:pPr>
                                      <w:rPr>
                                        <w:rFonts w:asciiTheme="majorHAnsi" w:eastAsiaTheme="majorEastAsia" w:hAnsiTheme="majorHAnsi" w:cstheme="majorBidi"/>
                                        <w:noProof/>
                                        <w:color w:val="0E2841" w:themeColor="text2"/>
                                        <w:sz w:val="16"/>
                                        <w:szCs w:val="16"/>
                                      </w:rPr>
                                    </w:pPr>
                                    <w:r>
                                      <w:rPr>
                                        <w:rFonts w:asciiTheme="majorHAnsi" w:eastAsiaTheme="majorEastAsia" w:hAnsiTheme="majorHAnsi" w:cstheme="majorBidi"/>
                                        <w:noProof/>
                                        <w:color w:val="0E2841" w:themeColor="text2"/>
                                        <w:sz w:val="16"/>
                                        <w:szCs w:val="16"/>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7767AB02" id="Text Box 265" o:spid="_x0000_s1030" type="#_x0000_t202" style="position:absolute;margin-left:278.5pt;margin-top:235.5pt;width:220.3pt;height:188.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" filled="f" stroked="f" strokeweight=".5pt">
                    <v:textbo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F1DA9C" w14:textId="3B08F7D3" w:rsidR="002B3CEB" w:rsidRDefault="00FB3D72">
                              <w:pPr>
                                <w:spacing w:line="240" w:lineRule="auto"/>
                                <w:rPr>
                                  <w:rFonts w:asciiTheme="majorHAnsi" w:eastAsiaTheme="majorEastAsia" w:hAnsiTheme="majorHAnsi" w:cstheme="majorBidi"/>
                                  <w:noProof/>
                                  <w:color w:val="156082" w:themeColor="accent1"/>
                                  <w:sz w:val="72"/>
                                  <w:szCs w:val="144"/>
                                </w:rPr>
                              </w:pPr>
                              <w:r w:rsidRPr="00FB3D72">
                                <w:rPr>
                                  <w:rFonts w:asciiTheme="majorHAnsi" w:eastAsiaTheme="majorEastAsia" w:hAnsiTheme="majorHAnsi" w:cstheme="majorBidi"/>
                                  <w:noProof/>
                                  <w:color w:val="156082" w:themeColor="accent1"/>
                                  <w:sz w:val="72"/>
                                  <w:szCs w:val="72"/>
                                </w:rPr>
                                <w:t>Sport Physical Activity and Society</w:t>
                              </w:r>
                            </w:p>
                          </w:sdtContent>
                        </w:sdt>
                        <w:sdt>
                          <w:sdtPr>
                            <w:rPr>
                              <w:rFonts w:asciiTheme="majorHAnsi" w:eastAsiaTheme="majorEastAsia" w:hAnsiTheme="majorHAnsi" w:cstheme="majorBidi"/>
                              <w:noProof/>
                              <w:color w:val="0E2841" w:themeColor="text2"/>
                              <w:sz w:val="16"/>
                              <w:szCs w:val="1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25C5030" w14:textId="12E904BA" w:rsidR="002B3CEB" w:rsidRPr="00FB3D72" w:rsidRDefault="00FB3D72" w:rsidP="00FB3D72">
                              <w:pPr>
                                <w:rPr>
                                  <w:rFonts w:asciiTheme="majorHAnsi" w:eastAsiaTheme="majorEastAsia" w:hAnsiTheme="majorHAnsi" w:cstheme="majorBidi"/>
                                  <w:noProof/>
                                  <w:color w:val="0E2841" w:themeColor="text2"/>
                                  <w:sz w:val="16"/>
                                  <w:szCs w:val="16"/>
                                </w:rPr>
                              </w:pPr>
                              <w:r>
                                <w:rPr>
                                  <w:rFonts w:asciiTheme="majorHAnsi" w:eastAsiaTheme="majorEastAsia" w:hAnsiTheme="majorHAnsi" w:cstheme="majorBidi"/>
                                  <w:noProof/>
                                  <w:color w:val="0E2841" w:themeColor="text2"/>
                                  <w:sz w:val="16"/>
                                  <w:szCs w:val="16"/>
                                </w:rPr>
                                <w:t xml:space="preserve">     </w:t>
                              </w:r>
                            </w:p>
                          </w:sdtContent>
                        </w:sdt>
                      </w:txbxContent>
                    </v:textbox>
                    <w10:wrap type="square" anchorx="page" anchory="page"/>
                  </v:shape>
                </w:pict>
              </mc:Fallback>
            </mc:AlternateContent>
          </w:r>
          <w:r w:rsidR="002B3CEB">
            <w:rPr>
              <w:rFonts w:ascii="Arial" w:hAnsi="Arial" w:cs="Arial"/>
            </w:rPr>
            <w:br w:type="page"/>
          </w:r>
        </w:p>
      </w:sdtContent>
    </w:sdt>
    <w:p w14:paraId="0200B4AC" w14:textId="77777777" w:rsidR="009F0DBE" w:rsidRPr="009F0DBE" w:rsidRDefault="009F0DBE" w:rsidP="009F0DBE">
      <w:pPr>
        <w:spacing w:line="360" w:lineRule="auto"/>
        <w:jc w:val="both"/>
        <w:rPr>
          <w:rFonts w:ascii="Arial" w:hAnsi="Arial" w:cs="Arial"/>
          <w:sz w:val="40"/>
          <w:szCs w:val="40"/>
          <w:u w:val="single"/>
        </w:rPr>
      </w:pPr>
      <w:r w:rsidRPr="009F0DBE">
        <w:rPr>
          <w:rFonts w:ascii="Arial" w:hAnsi="Arial" w:cs="Arial"/>
          <w:sz w:val="40"/>
          <w:szCs w:val="40"/>
          <w:u w:val="single"/>
        </w:rPr>
        <w:lastRenderedPageBreak/>
        <w:t>Context Page</w:t>
      </w:r>
    </w:p>
    <w:p w14:paraId="701FEE24" w14:textId="77777777" w:rsidR="009F0DBE" w:rsidRPr="009F0DBE" w:rsidRDefault="009F0DBE" w:rsidP="009F0DBE">
      <w:pPr>
        <w:spacing w:line="360" w:lineRule="auto"/>
        <w:jc w:val="both"/>
        <w:rPr>
          <w:rFonts w:ascii="Arial" w:hAnsi="Arial" w:cs="Arial"/>
          <w:sz w:val="40"/>
          <w:szCs w:val="40"/>
        </w:rPr>
      </w:pPr>
    </w:p>
    <w:p w14:paraId="13FFDC1C" w14:textId="77777777" w:rsidR="009F0DBE" w:rsidRPr="009F0DBE" w:rsidRDefault="009F0DBE" w:rsidP="009F0DBE">
      <w:pPr>
        <w:spacing w:line="360" w:lineRule="auto"/>
        <w:jc w:val="both"/>
        <w:rPr>
          <w:rFonts w:ascii="Arial" w:hAnsi="Arial" w:cs="Arial"/>
          <w:sz w:val="40"/>
          <w:szCs w:val="40"/>
        </w:rPr>
      </w:pPr>
      <w:r w:rsidRPr="009F0DBE">
        <w:rPr>
          <w:rFonts w:ascii="Arial" w:hAnsi="Arial" w:cs="Arial"/>
          <w:sz w:val="40"/>
          <w:szCs w:val="40"/>
        </w:rPr>
        <w:t>Section One: Pages 2-6</w:t>
      </w:r>
    </w:p>
    <w:p w14:paraId="59ABE07B" w14:textId="77777777" w:rsidR="009F0DBE" w:rsidRPr="009F0DBE" w:rsidRDefault="009F0DBE" w:rsidP="009F0DBE">
      <w:pPr>
        <w:spacing w:line="360" w:lineRule="auto"/>
        <w:jc w:val="both"/>
        <w:rPr>
          <w:rFonts w:ascii="Arial" w:hAnsi="Arial" w:cs="Arial"/>
          <w:sz w:val="40"/>
          <w:szCs w:val="40"/>
        </w:rPr>
      </w:pPr>
    </w:p>
    <w:p w14:paraId="31CFC55F" w14:textId="77777777" w:rsidR="009F0DBE" w:rsidRPr="009F0DBE" w:rsidRDefault="009F0DBE" w:rsidP="009F0DBE">
      <w:pPr>
        <w:spacing w:line="360" w:lineRule="auto"/>
        <w:jc w:val="both"/>
        <w:rPr>
          <w:rFonts w:ascii="Arial" w:hAnsi="Arial" w:cs="Arial"/>
          <w:sz w:val="40"/>
          <w:szCs w:val="40"/>
        </w:rPr>
      </w:pPr>
      <w:r w:rsidRPr="009F0DBE">
        <w:rPr>
          <w:rFonts w:ascii="Arial" w:hAnsi="Arial" w:cs="Arial"/>
          <w:sz w:val="40"/>
          <w:szCs w:val="40"/>
        </w:rPr>
        <w:t>Section Two: Pages 7-10</w:t>
      </w:r>
    </w:p>
    <w:p w14:paraId="0AD39C91" w14:textId="77777777" w:rsidR="009F0DBE" w:rsidRPr="009F0DBE" w:rsidRDefault="009F0DBE" w:rsidP="009F0DBE">
      <w:pPr>
        <w:spacing w:line="360" w:lineRule="auto"/>
        <w:jc w:val="both"/>
        <w:rPr>
          <w:rFonts w:ascii="Arial" w:hAnsi="Arial" w:cs="Arial"/>
          <w:sz w:val="40"/>
          <w:szCs w:val="40"/>
        </w:rPr>
      </w:pPr>
    </w:p>
    <w:p w14:paraId="1C2240F2" w14:textId="732A0BFD" w:rsidR="00612DC1" w:rsidRPr="009F0DBE" w:rsidRDefault="009F0DBE" w:rsidP="009F0DBE">
      <w:pPr>
        <w:spacing w:line="360" w:lineRule="auto"/>
        <w:jc w:val="both"/>
        <w:rPr>
          <w:rFonts w:ascii="Arial" w:hAnsi="Arial" w:cs="Arial"/>
          <w:sz w:val="40"/>
          <w:szCs w:val="40"/>
        </w:rPr>
      </w:pPr>
      <w:r w:rsidRPr="009F0DBE">
        <w:rPr>
          <w:rFonts w:ascii="Arial" w:hAnsi="Arial" w:cs="Arial"/>
          <w:sz w:val="40"/>
          <w:szCs w:val="40"/>
        </w:rPr>
        <w:t>Reference List: Pages 11-12</w:t>
      </w:r>
    </w:p>
    <w:p w14:paraId="64C17A50" w14:textId="77777777" w:rsidR="00612DC1" w:rsidRDefault="00612DC1" w:rsidP="00612DC1">
      <w:pPr>
        <w:spacing w:line="360" w:lineRule="auto"/>
        <w:jc w:val="both"/>
        <w:rPr>
          <w:rFonts w:ascii="Arial" w:hAnsi="Arial" w:cs="Arial"/>
        </w:rPr>
      </w:pPr>
    </w:p>
    <w:p w14:paraId="1D2789C1" w14:textId="77777777" w:rsidR="00612DC1" w:rsidRDefault="00612DC1" w:rsidP="00612DC1">
      <w:pPr>
        <w:spacing w:line="360" w:lineRule="auto"/>
        <w:jc w:val="both"/>
        <w:rPr>
          <w:rFonts w:ascii="Arial" w:hAnsi="Arial" w:cs="Arial"/>
        </w:rPr>
      </w:pPr>
    </w:p>
    <w:p w14:paraId="74E5E5AD" w14:textId="77777777" w:rsidR="00612DC1" w:rsidRDefault="00612DC1" w:rsidP="00612DC1">
      <w:pPr>
        <w:spacing w:line="360" w:lineRule="auto"/>
        <w:jc w:val="both"/>
        <w:rPr>
          <w:rFonts w:ascii="Arial" w:hAnsi="Arial" w:cs="Arial"/>
        </w:rPr>
      </w:pPr>
    </w:p>
    <w:p w14:paraId="1B3DBE21" w14:textId="77777777" w:rsidR="00612DC1" w:rsidRDefault="00612DC1" w:rsidP="00612DC1">
      <w:pPr>
        <w:spacing w:line="360" w:lineRule="auto"/>
        <w:jc w:val="both"/>
        <w:rPr>
          <w:rFonts w:ascii="Arial" w:hAnsi="Arial" w:cs="Arial"/>
        </w:rPr>
      </w:pPr>
    </w:p>
    <w:p w14:paraId="4CA2C4EC" w14:textId="77777777" w:rsidR="00612DC1" w:rsidRDefault="00612DC1" w:rsidP="00612DC1">
      <w:pPr>
        <w:spacing w:line="360" w:lineRule="auto"/>
        <w:jc w:val="both"/>
        <w:rPr>
          <w:rFonts w:ascii="Arial" w:hAnsi="Arial" w:cs="Arial"/>
        </w:rPr>
      </w:pPr>
    </w:p>
    <w:p w14:paraId="39BD70A1" w14:textId="77777777" w:rsidR="00612DC1" w:rsidRDefault="00612DC1" w:rsidP="00612DC1">
      <w:pPr>
        <w:spacing w:line="360" w:lineRule="auto"/>
        <w:jc w:val="both"/>
        <w:rPr>
          <w:rFonts w:ascii="Arial" w:hAnsi="Arial" w:cs="Arial"/>
        </w:rPr>
      </w:pPr>
    </w:p>
    <w:p w14:paraId="375BBB51" w14:textId="77777777" w:rsidR="00612DC1" w:rsidRDefault="00612DC1" w:rsidP="00612DC1">
      <w:pPr>
        <w:spacing w:line="360" w:lineRule="auto"/>
        <w:jc w:val="both"/>
        <w:rPr>
          <w:rFonts w:ascii="Arial" w:hAnsi="Arial" w:cs="Arial"/>
        </w:rPr>
      </w:pPr>
    </w:p>
    <w:p w14:paraId="5BB4368F" w14:textId="77777777" w:rsidR="00612DC1" w:rsidRDefault="00612DC1" w:rsidP="00612DC1">
      <w:pPr>
        <w:spacing w:line="360" w:lineRule="auto"/>
        <w:jc w:val="both"/>
        <w:rPr>
          <w:rFonts w:ascii="Arial" w:hAnsi="Arial" w:cs="Arial"/>
        </w:rPr>
      </w:pPr>
    </w:p>
    <w:p w14:paraId="63F56302" w14:textId="77777777" w:rsidR="00612DC1" w:rsidRDefault="00612DC1" w:rsidP="00612DC1">
      <w:pPr>
        <w:spacing w:line="360" w:lineRule="auto"/>
        <w:jc w:val="both"/>
        <w:rPr>
          <w:rFonts w:ascii="Arial" w:hAnsi="Arial" w:cs="Arial"/>
        </w:rPr>
      </w:pPr>
    </w:p>
    <w:p w14:paraId="69E6C073" w14:textId="77777777" w:rsidR="00612DC1" w:rsidRDefault="00612DC1" w:rsidP="00612DC1">
      <w:pPr>
        <w:spacing w:line="360" w:lineRule="auto"/>
        <w:jc w:val="both"/>
        <w:rPr>
          <w:rFonts w:ascii="Arial" w:hAnsi="Arial" w:cs="Arial"/>
        </w:rPr>
      </w:pPr>
    </w:p>
    <w:p w14:paraId="342A3A5D" w14:textId="77777777" w:rsidR="00612DC1" w:rsidRDefault="00612DC1" w:rsidP="00612DC1">
      <w:pPr>
        <w:spacing w:line="360" w:lineRule="auto"/>
        <w:jc w:val="both"/>
        <w:rPr>
          <w:rFonts w:ascii="Arial" w:hAnsi="Arial" w:cs="Arial"/>
        </w:rPr>
      </w:pPr>
    </w:p>
    <w:p w14:paraId="19C808C4" w14:textId="77777777" w:rsidR="009F0DBE" w:rsidRDefault="009F0DBE" w:rsidP="00612DC1">
      <w:pPr>
        <w:spacing w:line="360" w:lineRule="auto"/>
        <w:jc w:val="both"/>
        <w:rPr>
          <w:rFonts w:ascii="Arial" w:hAnsi="Arial" w:cs="Arial"/>
        </w:rPr>
      </w:pPr>
    </w:p>
    <w:p w14:paraId="6533896B" w14:textId="4BEB37C9" w:rsidR="00BE4DDB" w:rsidRPr="00612DC1" w:rsidRDefault="00BE4DDB" w:rsidP="00612DC1">
      <w:pPr>
        <w:spacing w:line="360" w:lineRule="auto"/>
        <w:jc w:val="both"/>
        <w:rPr>
          <w:rFonts w:ascii="Arial" w:hAnsi="Arial" w:cs="Arial"/>
        </w:rPr>
      </w:pPr>
      <w:r w:rsidRPr="00612DC1">
        <w:rPr>
          <w:rFonts w:ascii="Arial" w:hAnsi="Arial" w:cs="Arial"/>
        </w:rPr>
        <w:lastRenderedPageBreak/>
        <w:t xml:space="preserve">PART ONE </w:t>
      </w:r>
    </w:p>
    <w:p w14:paraId="6F945AC4" w14:textId="536F0584" w:rsidR="00BE4DDB" w:rsidRPr="00612DC1" w:rsidRDefault="00BE4DDB" w:rsidP="00612DC1">
      <w:pPr>
        <w:spacing w:line="360" w:lineRule="auto"/>
        <w:jc w:val="both"/>
        <w:rPr>
          <w:rFonts w:ascii="Arial" w:hAnsi="Arial" w:cs="Arial"/>
        </w:rPr>
      </w:pPr>
      <w:r w:rsidRPr="00612DC1">
        <w:rPr>
          <w:rFonts w:ascii="Arial" w:hAnsi="Arial" w:cs="Arial"/>
        </w:rPr>
        <w:t>The This Girl Can campaign, launched by Sport England in 2015, has had a significant impact on promoting physical activity among women, particularly focusing on breaking down the barriers that traditionally deter female participation in sport and exercise. The campaign targeted not only physical activity but also the psychological and social obstacles that women face. At its core, This Girl Can aims to redefine the way women engage with physical activity, challenging the cultural norms that associate sport with masculinity and a narrow set of body ideals. The campaign’s success lies in its ability to make exercise feel inclusive, encouraging women from diverse backgrounds and with varying levels of fitness to become active in a manner that fits their own lifestyles and bodies. It promotes a message of empowerment and self-acceptance, directly addressing the stigmas women often face when participating in physical activities in public spaces, such as gyms or sports clubs.</w:t>
      </w:r>
    </w:p>
    <w:p w14:paraId="296B0D36" w14:textId="77777777" w:rsidR="00BE4DDB" w:rsidRPr="00612DC1" w:rsidRDefault="00BE4DDB" w:rsidP="00612DC1">
      <w:pPr>
        <w:spacing w:line="360" w:lineRule="auto"/>
        <w:jc w:val="both"/>
        <w:rPr>
          <w:rFonts w:ascii="Arial" w:hAnsi="Arial" w:cs="Arial"/>
        </w:rPr>
      </w:pPr>
    </w:p>
    <w:p w14:paraId="0AE69BC6" w14:textId="77777777" w:rsidR="00BE4DDB" w:rsidRPr="00612DC1" w:rsidRDefault="00BE4DDB" w:rsidP="00612DC1">
      <w:pPr>
        <w:spacing w:line="360" w:lineRule="auto"/>
        <w:jc w:val="both"/>
        <w:rPr>
          <w:rFonts w:ascii="Arial" w:hAnsi="Arial" w:cs="Arial"/>
        </w:rPr>
      </w:pPr>
      <w:r w:rsidRPr="00612DC1">
        <w:rPr>
          <w:rFonts w:ascii="Arial" w:hAnsi="Arial" w:cs="Arial"/>
        </w:rPr>
        <w:t xml:space="preserve">Physical activity, as defined by the World Health Organization, encompasses a broad range of movements including walking, cycling, and any other bodily movements that expend energy (WHO, 2018). This includes, but is not limited to, exercise, which is generally considered a structured and repetitive form of physical activity aimed at improving or maintaining physical fitness. Sport, on the other hand, refers to organized, competitive activities with formal rules (Caspersen et al., 1985). In the context of This Girl Can, however, the term ‘physical activity’ is emphasized over ‘sport,’ reflecting the campaign's broader goal of normalizing movement and exercise, even in informal or non-competitive contexts. By shifting the narrative away from a traditional understanding of sport, This Girl Can </w:t>
      </w:r>
      <w:proofErr w:type="gramStart"/>
      <w:r w:rsidRPr="00612DC1">
        <w:rPr>
          <w:rFonts w:ascii="Arial" w:hAnsi="Arial" w:cs="Arial"/>
        </w:rPr>
        <w:t>opens up</w:t>
      </w:r>
      <w:proofErr w:type="gramEnd"/>
      <w:r w:rsidRPr="00612DC1">
        <w:rPr>
          <w:rFonts w:ascii="Arial" w:hAnsi="Arial" w:cs="Arial"/>
        </w:rPr>
        <w:t xml:space="preserve"> new possibilities for women to engage with physical activity in ways that are less intimidating and more integrated into their daily lives.</w:t>
      </w:r>
    </w:p>
    <w:p w14:paraId="4BF2B586" w14:textId="77777777" w:rsidR="00BE4DDB" w:rsidRPr="00612DC1" w:rsidRDefault="00BE4DDB" w:rsidP="00612DC1">
      <w:pPr>
        <w:spacing w:line="360" w:lineRule="auto"/>
        <w:jc w:val="both"/>
        <w:rPr>
          <w:rFonts w:ascii="Arial" w:hAnsi="Arial" w:cs="Arial"/>
        </w:rPr>
      </w:pPr>
    </w:p>
    <w:p w14:paraId="392AB12B" w14:textId="77777777" w:rsidR="00BE4DDB" w:rsidRPr="00612DC1" w:rsidRDefault="00BE4DDB" w:rsidP="00612DC1">
      <w:pPr>
        <w:spacing w:line="360" w:lineRule="auto"/>
        <w:jc w:val="both"/>
        <w:rPr>
          <w:rFonts w:ascii="Arial" w:hAnsi="Arial" w:cs="Arial"/>
        </w:rPr>
      </w:pPr>
      <w:r w:rsidRPr="00612DC1">
        <w:rPr>
          <w:rFonts w:ascii="Arial" w:hAnsi="Arial" w:cs="Arial"/>
        </w:rPr>
        <w:t xml:space="preserve">At the heart of the campaign is its effort to counteract the pervasive social stigma women experience when engaging in physical activity. Erving Goffman’s (1963) theory of stigma provides a lens through which we can understand how societal expectations of femininity </w:t>
      </w:r>
      <w:r w:rsidRPr="00612DC1">
        <w:rPr>
          <w:rFonts w:ascii="Arial" w:hAnsi="Arial" w:cs="Arial"/>
        </w:rPr>
        <w:lastRenderedPageBreak/>
        <w:t>and body image often prevent women from participating in physical activities. According to Goffman, individuals with stigmatized identities—those who deviate from social norms—are more likely to be marginalized or feel self-conscious in public spaces. For many women, the fear of judgment while exercising, whether in a gym or while running in public, stems from a societal emphasis on physical appearance rather than capability. The This Girl Can campaign directly challenges these norms by showcasing women of all shapes, sizes, and ethnicities engaged in various forms of exercise, celebrating their strength and perseverance rather than focusing solely on their appearance. By doing so, it normalizes the notion that physical activity can be about feeling good and improving health, rather than conforming to a particular body image ideal.</w:t>
      </w:r>
    </w:p>
    <w:p w14:paraId="35DB9025" w14:textId="77777777" w:rsidR="00BE4DDB" w:rsidRPr="00612DC1" w:rsidRDefault="00BE4DDB" w:rsidP="00612DC1">
      <w:pPr>
        <w:spacing w:line="360" w:lineRule="auto"/>
        <w:jc w:val="both"/>
        <w:rPr>
          <w:rFonts w:ascii="Arial" w:hAnsi="Arial" w:cs="Arial"/>
        </w:rPr>
      </w:pPr>
    </w:p>
    <w:p w14:paraId="4335A6E5" w14:textId="77777777" w:rsidR="00BE4DDB" w:rsidRPr="00612DC1" w:rsidRDefault="00BE4DDB" w:rsidP="00612DC1">
      <w:pPr>
        <w:spacing w:line="360" w:lineRule="auto"/>
        <w:jc w:val="both"/>
        <w:rPr>
          <w:rFonts w:ascii="Arial" w:hAnsi="Arial" w:cs="Arial"/>
        </w:rPr>
      </w:pPr>
      <w:r w:rsidRPr="00612DC1">
        <w:rPr>
          <w:rFonts w:ascii="Arial" w:hAnsi="Arial" w:cs="Arial"/>
        </w:rPr>
        <w:t>The campaign also draws on sociological theories of gender, particularly Bourdieu’s concept of cultural capital, which explains how social class and cultural knowledge influence an individual’s access to and engagement in various activities (Bourdieu, 1986). Women from lower socio-economic backgrounds often face additional barriers to engaging in physical activity, including lack of access to facilities, time constraints, and a lack of cultural capital related to sport. For many women, physical activity may not be seen as an attainable or desirable pursuit due to limited exposure to it in childhood, or because it is not culturally valued in their communities. In this context, This Girl Can serves to democratize sport and exercise, making it accessible to women from a variety of backgrounds by framing physical activity as something enjoyable and achievable, rather than a privilege reserved for the middle class or athletic elites. By portraying women of diverse backgrounds engaging in everyday forms of physical activity, the campaign works to break down these cultural barriers and normalize physical activity for all.</w:t>
      </w:r>
    </w:p>
    <w:p w14:paraId="7C5075A8" w14:textId="77777777" w:rsidR="00BE4DDB" w:rsidRPr="00612DC1" w:rsidRDefault="00BE4DDB" w:rsidP="00612DC1">
      <w:pPr>
        <w:spacing w:line="360" w:lineRule="auto"/>
        <w:jc w:val="both"/>
        <w:rPr>
          <w:rFonts w:ascii="Arial" w:hAnsi="Arial" w:cs="Arial"/>
        </w:rPr>
      </w:pPr>
    </w:p>
    <w:p w14:paraId="35BE9F66" w14:textId="77777777" w:rsidR="00BE4DDB" w:rsidRPr="00612DC1" w:rsidRDefault="00BE4DDB" w:rsidP="00612DC1">
      <w:pPr>
        <w:spacing w:line="360" w:lineRule="auto"/>
        <w:jc w:val="both"/>
        <w:rPr>
          <w:rFonts w:ascii="Arial" w:hAnsi="Arial" w:cs="Arial"/>
        </w:rPr>
      </w:pPr>
      <w:r w:rsidRPr="00612DC1">
        <w:rPr>
          <w:rFonts w:ascii="Arial" w:hAnsi="Arial" w:cs="Arial"/>
        </w:rPr>
        <w:t xml:space="preserve">Moreover, the campaign can be understood through the lens of Albert Bandura’s (1986) Social Cognitive Theory, which highlights the role of observational learning in behavior change. According to Bandura, people are more likely to engage in an activity when they see others, particularly those they identify with, succeeding in it. By showcasing women of various ages, body types, and ethnicities participating in a range of physical activities, </w:t>
      </w:r>
      <w:r w:rsidRPr="00612DC1">
        <w:rPr>
          <w:rFonts w:ascii="Arial" w:hAnsi="Arial" w:cs="Arial"/>
        </w:rPr>
        <w:lastRenderedPageBreak/>
        <w:t>This Girl Can provides positive role models that women can relate to, reinforcing the idea that physical activity is not only possible but can be enjoyable for everyone. This approach also promotes self-efficacy, or the belief in one’s ability to succeed, which is a crucial factor in encouraging people to take up new activities or stick with them over time (Bandura, 1986). For women who might have previously felt excluded from traditional sports environments, seeing others like them engage in exercise can inspire confidence and motivation to participate themselves.</w:t>
      </w:r>
    </w:p>
    <w:p w14:paraId="6CF5DF26" w14:textId="77777777" w:rsidR="00BE4DDB" w:rsidRPr="00612DC1" w:rsidRDefault="00BE4DDB" w:rsidP="00612DC1">
      <w:pPr>
        <w:spacing w:line="360" w:lineRule="auto"/>
        <w:jc w:val="both"/>
        <w:rPr>
          <w:rFonts w:ascii="Arial" w:hAnsi="Arial" w:cs="Arial"/>
        </w:rPr>
      </w:pPr>
    </w:p>
    <w:p w14:paraId="2F7E9F81" w14:textId="0CA64E9D" w:rsidR="00BE4DDB" w:rsidRPr="00612DC1" w:rsidRDefault="00BE4DDB" w:rsidP="00612DC1">
      <w:pPr>
        <w:spacing w:line="360" w:lineRule="auto"/>
        <w:jc w:val="both"/>
        <w:rPr>
          <w:rFonts w:ascii="Arial" w:hAnsi="Arial" w:cs="Arial"/>
        </w:rPr>
      </w:pPr>
      <w:r w:rsidRPr="00612DC1">
        <w:rPr>
          <w:rFonts w:ascii="Arial" w:hAnsi="Arial" w:cs="Arial"/>
        </w:rPr>
        <w:t xml:space="preserve">Another key theoretical framework that underpins the This Girl Can campaign is Self-Determination Theory (SDT), developed by Deci and Ryan (2000). SDT posits that individuals are more likely to engage in activities when they feel a sense of autonomy, competence, and relatedness. The This Girl Can campaign promotes these principles by </w:t>
      </w:r>
      <w:r w:rsidR="00A5465A" w:rsidRPr="00612DC1">
        <w:rPr>
          <w:rFonts w:ascii="Arial" w:hAnsi="Arial" w:cs="Arial"/>
        </w:rPr>
        <w:t>highlighting</w:t>
      </w:r>
      <w:r w:rsidRPr="00612DC1">
        <w:rPr>
          <w:rFonts w:ascii="Arial" w:hAnsi="Arial" w:cs="Arial"/>
        </w:rPr>
        <w:t xml:space="preserve"> the intrinsic benefits of physical activity, such as enjoyment, stress relief, and self-expression, rather than extrinsic rewards like weight loss or competition. By framing exercise as a personal, self-care activity rather than a means to an end, the campaign encourages women to engage in physical activity on their own terms, which aligns with the SDT’s focus on intrinsic motivation. This emphasis on intrinsic rewards is crucial for sustaining long-term engagement with physical activity, as it shifts the focus from external pressures to the personal benefits of exercise.</w:t>
      </w:r>
    </w:p>
    <w:p w14:paraId="27B9E484" w14:textId="77777777" w:rsidR="00BE4DDB" w:rsidRPr="00612DC1" w:rsidRDefault="00BE4DDB" w:rsidP="00612DC1">
      <w:pPr>
        <w:spacing w:line="360" w:lineRule="auto"/>
        <w:jc w:val="both"/>
        <w:rPr>
          <w:rFonts w:ascii="Arial" w:hAnsi="Arial" w:cs="Arial"/>
        </w:rPr>
      </w:pPr>
    </w:p>
    <w:p w14:paraId="21806ED3" w14:textId="77777777" w:rsidR="00BE4DDB" w:rsidRPr="00612DC1" w:rsidRDefault="00BE4DDB" w:rsidP="00612DC1">
      <w:pPr>
        <w:spacing w:line="360" w:lineRule="auto"/>
        <w:jc w:val="both"/>
        <w:rPr>
          <w:rFonts w:ascii="Arial" w:hAnsi="Arial" w:cs="Arial"/>
        </w:rPr>
      </w:pPr>
      <w:r w:rsidRPr="00612DC1">
        <w:rPr>
          <w:rFonts w:ascii="Arial" w:hAnsi="Arial" w:cs="Arial"/>
        </w:rPr>
        <w:t xml:space="preserve">The This Girl Can campaign also has strong feminist underpinnings, particularly in its challenge to the social construction of femininity and the role of women’s bodies in public life. Feminist theorists like Susan Bordo (1993) have explored how societal norms often regulate women’s bodies, promoting ideals that can lead to body dissatisfaction and mental health issues. The This Girl Can campaign confronts these societal pressures by celebrating women’s bodies for their strength and capability, rather than focusing on traditional notions of beauty or thinness. This feminist approach not only empowers women to embrace their bodies as they are but also works to disrupt the male gaze that has historically defined how women’s bodies should appear in public spaces. The </w:t>
      </w:r>
      <w:r w:rsidRPr="00612DC1">
        <w:rPr>
          <w:rFonts w:ascii="Arial" w:hAnsi="Arial" w:cs="Arial"/>
        </w:rPr>
        <w:lastRenderedPageBreak/>
        <w:t>campaign's representation of diverse bodies and its emphasis on joy rather than perfection resonates with feminist ideals of body positivity and autonomy.</w:t>
      </w:r>
    </w:p>
    <w:p w14:paraId="57286A72" w14:textId="77777777" w:rsidR="00BE4DDB" w:rsidRPr="00612DC1" w:rsidRDefault="00BE4DDB" w:rsidP="00612DC1">
      <w:pPr>
        <w:spacing w:line="360" w:lineRule="auto"/>
        <w:jc w:val="both"/>
        <w:rPr>
          <w:rFonts w:ascii="Arial" w:hAnsi="Arial" w:cs="Arial"/>
        </w:rPr>
      </w:pPr>
    </w:p>
    <w:p w14:paraId="4488706E" w14:textId="249825BB" w:rsidR="00BE4DDB" w:rsidRPr="00612DC1" w:rsidRDefault="00BE4DDB" w:rsidP="00612DC1">
      <w:pPr>
        <w:spacing w:line="360" w:lineRule="auto"/>
        <w:jc w:val="both"/>
        <w:rPr>
          <w:rFonts w:ascii="Arial" w:hAnsi="Arial" w:cs="Arial"/>
        </w:rPr>
      </w:pPr>
      <w:r w:rsidRPr="00612DC1">
        <w:rPr>
          <w:rFonts w:ascii="Arial" w:hAnsi="Arial" w:cs="Arial"/>
        </w:rPr>
        <w:t>In terms of the campaign’s impact, This Girl Can has led to measurable increases in physical activity among women. According to Sport England’s Active Lives Survey (2020), the campaign contributed to a 2% rise in female participation in physical activity, with particularly positive results among younger women and those from lower socio-economic backgrounds. These outcomes suggest that the campaign has been successful in addressing some of the psychological and cultural barriers that typically discourage women from being active. However, challenges remain, particularly in reaching older women and ethnic minorities. Research by Mansfield et al. (2018) suggests that intersecting barriers</w:t>
      </w:r>
      <w:r w:rsidR="00146AB5">
        <w:rPr>
          <w:rFonts w:ascii="Arial" w:hAnsi="Arial" w:cs="Arial"/>
        </w:rPr>
        <w:t xml:space="preserve"> </w:t>
      </w:r>
      <w:r w:rsidRPr="00612DC1">
        <w:rPr>
          <w:rFonts w:ascii="Arial" w:hAnsi="Arial" w:cs="Arial"/>
        </w:rPr>
        <w:t>such as cultural expectations, lack of community support, and financial constraints</w:t>
      </w:r>
      <w:r w:rsidR="00146AB5">
        <w:rPr>
          <w:rFonts w:ascii="Arial" w:hAnsi="Arial" w:cs="Arial"/>
        </w:rPr>
        <w:t xml:space="preserve"> </w:t>
      </w:r>
      <w:r w:rsidRPr="00612DC1">
        <w:rPr>
          <w:rFonts w:ascii="Arial" w:hAnsi="Arial" w:cs="Arial"/>
        </w:rPr>
        <w:t>may prevent these groups from fully benefiting from the campaign. Furthermore, the digital-first nature of the campaign may exclude women who lack access to the internet or are less engaged with social media (Dixon, 2018).</w:t>
      </w:r>
    </w:p>
    <w:p w14:paraId="414DFDB5" w14:textId="77777777" w:rsidR="00BE4DDB" w:rsidRPr="00612DC1" w:rsidRDefault="00BE4DDB" w:rsidP="00612DC1">
      <w:pPr>
        <w:spacing w:line="360" w:lineRule="auto"/>
        <w:jc w:val="both"/>
        <w:rPr>
          <w:rFonts w:ascii="Arial" w:hAnsi="Arial" w:cs="Arial"/>
        </w:rPr>
      </w:pPr>
    </w:p>
    <w:p w14:paraId="680AE91C" w14:textId="41FC0F09" w:rsidR="00BE4DDB" w:rsidRPr="00612DC1" w:rsidRDefault="00BE4DDB" w:rsidP="00612DC1">
      <w:pPr>
        <w:spacing w:line="360" w:lineRule="auto"/>
        <w:jc w:val="both"/>
        <w:rPr>
          <w:rFonts w:ascii="Arial" w:hAnsi="Arial" w:cs="Arial"/>
        </w:rPr>
      </w:pPr>
      <w:r w:rsidRPr="00612DC1">
        <w:rPr>
          <w:rFonts w:ascii="Arial" w:hAnsi="Arial" w:cs="Arial"/>
        </w:rPr>
        <w:t xml:space="preserve">To enhance the effectiveness of This Girl Can, several recommendations can be made. First, the campaign could better target older women by promoting physical activities that are low-impact and accessible, such as walking groups or chair-based exercises, which could also foster social connections and support. Second, for women from ethnic minority backgrounds, the campaign could incorporate culturally tailored messages and engage with local community leaders to ensure that the initiative resonates with these groups. Additionally, offering women-only spaces for physical activity, which can provide a safer and more supportive environment, may be particularly beneficial for women who face cultural barriers to participating in mixed-gender settings. Community-based interventions, as suggested by </w:t>
      </w:r>
      <w:proofErr w:type="spellStart"/>
      <w:r w:rsidRPr="00612DC1">
        <w:rPr>
          <w:rFonts w:ascii="Arial" w:hAnsi="Arial" w:cs="Arial"/>
        </w:rPr>
        <w:t>Eime</w:t>
      </w:r>
      <w:proofErr w:type="spellEnd"/>
      <w:r w:rsidRPr="00612DC1">
        <w:rPr>
          <w:rFonts w:ascii="Arial" w:hAnsi="Arial" w:cs="Arial"/>
        </w:rPr>
        <w:t xml:space="preserve"> et al. (2013), have been shown to be more effective than mass media campaigns in encouraging sustained behavior change, and This Girl Can could benefit from integrating more </w:t>
      </w:r>
      <w:r w:rsidR="00146AB5" w:rsidRPr="00612DC1">
        <w:rPr>
          <w:rFonts w:ascii="Arial" w:hAnsi="Arial" w:cs="Arial"/>
        </w:rPr>
        <w:t>locali</w:t>
      </w:r>
      <w:r w:rsidR="00146AB5">
        <w:rPr>
          <w:rFonts w:ascii="Arial" w:hAnsi="Arial" w:cs="Arial"/>
        </w:rPr>
        <w:t>z</w:t>
      </w:r>
      <w:r w:rsidR="00146AB5" w:rsidRPr="00612DC1">
        <w:rPr>
          <w:rFonts w:ascii="Arial" w:hAnsi="Arial" w:cs="Arial"/>
        </w:rPr>
        <w:t>ed</w:t>
      </w:r>
      <w:r w:rsidRPr="00612DC1">
        <w:rPr>
          <w:rFonts w:ascii="Arial" w:hAnsi="Arial" w:cs="Arial"/>
        </w:rPr>
        <w:t xml:space="preserve">, grassroots efforts into its overall strategy. Finally, addressing economic barriers to physical activity by providing subsidies for gym </w:t>
      </w:r>
      <w:r w:rsidRPr="00612DC1">
        <w:rPr>
          <w:rFonts w:ascii="Arial" w:hAnsi="Arial" w:cs="Arial"/>
        </w:rPr>
        <w:lastRenderedPageBreak/>
        <w:t>memberships or organizing free outdoor events could help to make exercise more accessible to women facing financial constraints.</w:t>
      </w:r>
    </w:p>
    <w:p w14:paraId="059DC7A5" w14:textId="77777777" w:rsidR="00BE4DDB" w:rsidRPr="00612DC1" w:rsidRDefault="00BE4DDB" w:rsidP="00612DC1">
      <w:pPr>
        <w:spacing w:line="360" w:lineRule="auto"/>
        <w:jc w:val="both"/>
        <w:rPr>
          <w:rFonts w:ascii="Arial" w:hAnsi="Arial" w:cs="Arial"/>
        </w:rPr>
      </w:pPr>
    </w:p>
    <w:p w14:paraId="1100AAB5" w14:textId="77777777" w:rsidR="00BE4DDB" w:rsidRPr="00612DC1" w:rsidRDefault="00BE4DDB" w:rsidP="00612DC1">
      <w:pPr>
        <w:spacing w:line="360" w:lineRule="auto"/>
        <w:jc w:val="both"/>
        <w:rPr>
          <w:rFonts w:ascii="Arial" w:hAnsi="Arial" w:cs="Arial"/>
        </w:rPr>
      </w:pPr>
      <w:r w:rsidRPr="00612DC1">
        <w:rPr>
          <w:rFonts w:ascii="Arial" w:hAnsi="Arial" w:cs="Arial"/>
        </w:rPr>
        <w:t xml:space="preserve">In conclusion, This Girl Can has made a significant contribution to increasing female participation in physical activity by challenging societal norms and promoting inclusivity. By drawing on various sociological and psychological frameworks, the campaign has addressed multiple layers of barriers to female participation, from social stigma to cultural capital. However, further efforts are needed to ensure that the campaign reaches all women, particularly those who are older, from ethnic minorities, or economically disadvantaged. By continuing to evolve and incorporate targeted strategies, This Girl Can </w:t>
      </w:r>
      <w:proofErr w:type="spellStart"/>
      <w:r w:rsidRPr="00612DC1">
        <w:rPr>
          <w:rFonts w:ascii="Arial" w:hAnsi="Arial" w:cs="Arial"/>
        </w:rPr>
        <w:t>can</w:t>
      </w:r>
      <w:proofErr w:type="spellEnd"/>
      <w:r w:rsidRPr="00612DC1">
        <w:rPr>
          <w:rFonts w:ascii="Arial" w:hAnsi="Arial" w:cs="Arial"/>
        </w:rPr>
        <w:t xml:space="preserve"> ensure that physical activity remains accessible and empowering for all women.</w:t>
      </w:r>
    </w:p>
    <w:p w14:paraId="61A1AA35" w14:textId="77777777" w:rsidR="00BE4DDB" w:rsidRPr="00612DC1" w:rsidRDefault="00BE4DDB" w:rsidP="00612DC1">
      <w:pPr>
        <w:spacing w:line="360" w:lineRule="auto"/>
        <w:jc w:val="both"/>
        <w:rPr>
          <w:rFonts w:ascii="Arial" w:hAnsi="Arial" w:cs="Arial"/>
        </w:rPr>
      </w:pPr>
    </w:p>
    <w:p w14:paraId="7A7F783D" w14:textId="77777777" w:rsidR="00BE4DDB" w:rsidRPr="00612DC1" w:rsidRDefault="00BE4DDB" w:rsidP="00612DC1">
      <w:pPr>
        <w:spacing w:line="360" w:lineRule="auto"/>
        <w:jc w:val="both"/>
        <w:rPr>
          <w:rFonts w:ascii="Arial" w:hAnsi="Arial" w:cs="Arial"/>
        </w:rPr>
      </w:pPr>
    </w:p>
    <w:p w14:paraId="0B22C505" w14:textId="77777777" w:rsidR="00BE4DDB" w:rsidRPr="00612DC1" w:rsidRDefault="00BE4DDB" w:rsidP="00612DC1">
      <w:pPr>
        <w:spacing w:line="360" w:lineRule="auto"/>
        <w:jc w:val="both"/>
        <w:rPr>
          <w:rFonts w:ascii="Arial" w:hAnsi="Arial" w:cs="Arial"/>
        </w:rPr>
      </w:pPr>
    </w:p>
    <w:p w14:paraId="519CB07F" w14:textId="77777777" w:rsidR="00BE4DDB" w:rsidRPr="00612DC1" w:rsidRDefault="00BE4DDB" w:rsidP="00612DC1">
      <w:pPr>
        <w:spacing w:line="360" w:lineRule="auto"/>
        <w:jc w:val="both"/>
        <w:rPr>
          <w:rFonts w:ascii="Arial" w:hAnsi="Arial" w:cs="Arial"/>
        </w:rPr>
      </w:pPr>
    </w:p>
    <w:p w14:paraId="44AD03C6" w14:textId="77777777" w:rsidR="00BE4DDB" w:rsidRPr="00612DC1" w:rsidRDefault="00BE4DDB" w:rsidP="00612DC1">
      <w:pPr>
        <w:spacing w:line="360" w:lineRule="auto"/>
        <w:jc w:val="both"/>
        <w:rPr>
          <w:rFonts w:ascii="Arial" w:hAnsi="Arial" w:cs="Arial"/>
        </w:rPr>
      </w:pPr>
    </w:p>
    <w:p w14:paraId="2EF8A844" w14:textId="77777777" w:rsidR="00BE4DDB" w:rsidRPr="00612DC1" w:rsidRDefault="00BE4DDB" w:rsidP="00612DC1">
      <w:pPr>
        <w:spacing w:line="360" w:lineRule="auto"/>
        <w:jc w:val="both"/>
        <w:rPr>
          <w:rFonts w:ascii="Arial" w:hAnsi="Arial" w:cs="Arial"/>
        </w:rPr>
      </w:pPr>
    </w:p>
    <w:p w14:paraId="2A37BC11" w14:textId="77777777" w:rsidR="00BE4DDB" w:rsidRPr="00612DC1" w:rsidRDefault="00BE4DDB" w:rsidP="00612DC1">
      <w:pPr>
        <w:spacing w:line="360" w:lineRule="auto"/>
        <w:jc w:val="both"/>
        <w:rPr>
          <w:rFonts w:ascii="Arial" w:hAnsi="Arial" w:cs="Arial"/>
        </w:rPr>
      </w:pPr>
    </w:p>
    <w:p w14:paraId="479A5DA9" w14:textId="77777777" w:rsidR="00BE4DDB" w:rsidRPr="00612DC1" w:rsidRDefault="00BE4DDB" w:rsidP="00612DC1">
      <w:pPr>
        <w:spacing w:line="360" w:lineRule="auto"/>
        <w:jc w:val="both"/>
        <w:rPr>
          <w:rFonts w:ascii="Arial" w:hAnsi="Arial" w:cs="Arial"/>
        </w:rPr>
      </w:pPr>
    </w:p>
    <w:p w14:paraId="34F1284C" w14:textId="77777777" w:rsidR="00BE4DDB" w:rsidRPr="00612DC1" w:rsidRDefault="00BE4DDB" w:rsidP="00612DC1">
      <w:pPr>
        <w:spacing w:line="360" w:lineRule="auto"/>
        <w:jc w:val="both"/>
        <w:rPr>
          <w:rFonts w:ascii="Arial" w:hAnsi="Arial" w:cs="Arial"/>
        </w:rPr>
      </w:pPr>
    </w:p>
    <w:p w14:paraId="0547062A" w14:textId="77777777" w:rsidR="00FB3D72" w:rsidRDefault="00FB3D72" w:rsidP="00612DC1">
      <w:pPr>
        <w:spacing w:line="360" w:lineRule="auto"/>
        <w:jc w:val="both"/>
        <w:rPr>
          <w:rFonts w:ascii="Arial" w:hAnsi="Arial" w:cs="Arial"/>
          <w:b/>
          <w:bCs/>
        </w:rPr>
      </w:pPr>
    </w:p>
    <w:p w14:paraId="531CE123" w14:textId="77777777" w:rsidR="00FB3D72" w:rsidRDefault="00FB3D72" w:rsidP="00612DC1">
      <w:pPr>
        <w:spacing w:line="360" w:lineRule="auto"/>
        <w:jc w:val="both"/>
        <w:rPr>
          <w:rFonts w:ascii="Arial" w:hAnsi="Arial" w:cs="Arial"/>
          <w:b/>
          <w:bCs/>
        </w:rPr>
      </w:pPr>
    </w:p>
    <w:p w14:paraId="15252235" w14:textId="77777777" w:rsidR="00FB3D72" w:rsidRDefault="00FB3D72" w:rsidP="00612DC1">
      <w:pPr>
        <w:spacing w:line="360" w:lineRule="auto"/>
        <w:jc w:val="both"/>
        <w:rPr>
          <w:rFonts w:ascii="Arial" w:hAnsi="Arial" w:cs="Arial"/>
          <w:b/>
          <w:bCs/>
        </w:rPr>
      </w:pPr>
    </w:p>
    <w:p w14:paraId="644D9D16" w14:textId="77777777" w:rsidR="00FB3D72" w:rsidRDefault="00FB3D72" w:rsidP="00612DC1">
      <w:pPr>
        <w:spacing w:line="360" w:lineRule="auto"/>
        <w:jc w:val="both"/>
        <w:rPr>
          <w:rFonts w:ascii="Arial" w:hAnsi="Arial" w:cs="Arial"/>
          <w:b/>
          <w:bCs/>
        </w:rPr>
      </w:pPr>
    </w:p>
    <w:p w14:paraId="1EBDD81B" w14:textId="77777777" w:rsidR="009F0DBE" w:rsidRDefault="009F0DBE" w:rsidP="00612DC1">
      <w:pPr>
        <w:spacing w:line="360" w:lineRule="auto"/>
        <w:jc w:val="both"/>
        <w:rPr>
          <w:rFonts w:ascii="Arial" w:hAnsi="Arial" w:cs="Arial"/>
          <w:b/>
          <w:bCs/>
        </w:rPr>
      </w:pPr>
    </w:p>
    <w:p w14:paraId="7E1472E1" w14:textId="2A050C83" w:rsidR="00BE4DDB" w:rsidRPr="00612DC1" w:rsidRDefault="00BE4DDB" w:rsidP="00612DC1">
      <w:pPr>
        <w:spacing w:line="360" w:lineRule="auto"/>
        <w:jc w:val="both"/>
        <w:rPr>
          <w:rFonts w:ascii="Arial" w:hAnsi="Arial" w:cs="Arial"/>
          <w:b/>
          <w:bCs/>
        </w:rPr>
      </w:pPr>
      <w:r w:rsidRPr="00612DC1">
        <w:rPr>
          <w:rFonts w:ascii="Arial" w:hAnsi="Arial" w:cs="Arial"/>
          <w:b/>
          <w:bCs/>
        </w:rPr>
        <w:lastRenderedPageBreak/>
        <w:t>Part two</w:t>
      </w:r>
    </w:p>
    <w:p w14:paraId="7A360103" w14:textId="5823832F" w:rsidR="00612DC1" w:rsidRPr="00612DC1" w:rsidRDefault="00612DC1" w:rsidP="00612DC1">
      <w:pPr>
        <w:spacing w:line="360" w:lineRule="auto"/>
        <w:jc w:val="both"/>
        <w:rPr>
          <w:rFonts w:ascii="Arial" w:hAnsi="Arial" w:cs="Arial"/>
        </w:rPr>
      </w:pPr>
      <w:r w:rsidRPr="00612DC1">
        <w:rPr>
          <w:rFonts w:ascii="Arial" w:hAnsi="Arial" w:cs="Arial"/>
        </w:rPr>
        <w:t>The government has prioritized improving the physical and mental well-being of the population through various exercise initiatives. These priorities aim to reduce preventable diseases, improve quality of life, and support mental health. Understanding the distinction between sport, physical activity, and exercise is crucial when considering their respective benefits.</w:t>
      </w:r>
    </w:p>
    <w:p w14:paraId="04D1D3F8" w14:textId="77777777" w:rsidR="00612DC1" w:rsidRPr="00612DC1" w:rsidRDefault="00612DC1" w:rsidP="00612DC1">
      <w:pPr>
        <w:spacing w:line="360" w:lineRule="auto"/>
        <w:jc w:val="both"/>
        <w:rPr>
          <w:rFonts w:ascii="Arial" w:hAnsi="Arial" w:cs="Arial"/>
        </w:rPr>
      </w:pPr>
    </w:p>
    <w:p w14:paraId="00BD7896" w14:textId="77777777" w:rsidR="00612DC1" w:rsidRPr="00612DC1" w:rsidRDefault="00612DC1" w:rsidP="00612DC1">
      <w:pPr>
        <w:spacing w:line="360" w:lineRule="auto"/>
        <w:jc w:val="both"/>
        <w:rPr>
          <w:rFonts w:ascii="Arial" w:hAnsi="Arial" w:cs="Arial"/>
        </w:rPr>
      </w:pPr>
      <w:r w:rsidRPr="00612DC1">
        <w:rPr>
          <w:rFonts w:ascii="Arial" w:hAnsi="Arial" w:cs="Arial"/>
        </w:rPr>
        <w:t>Sport is typically defined as organized, competitive activity with rules, such as football, rugby, or tennis. Physical activity, on the other hand, refers to any bodily movement that requires energy expenditure, including walking, climbing stairs, or performing household tasks. Exercise is a structured form of physical activity designed to improve fitness or health, such as aerobic activities, strength training, or flexibility exercises. While sport often requires specialized skills, physical activity and exercise can be more accessible, with benefits for individuals of all ages and abilities.</w:t>
      </w:r>
    </w:p>
    <w:p w14:paraId="7FC7BB66" w14:textId="77777777" w:rsidR="00612DC1" w:rsidRPr="00612DC1" w:rsidRDefault="00612DC1" w:rsidP="00612DC1">
      <w:pPr>
        <w:spacing w:line="360" w:lineRule="auto"/>
        <w:jc w:val="both"/>
        <w:rPr>
          <w:rFonts w:ascii="Arial" w:hAnsi="Arial" w:cs="Arial"/>
        </w:rPr>
      </w:pPr>
    </w:p>
    <w:p w14:paraId="2C6D3F01" w14:textId="77777777" w:rsidR="00612DC1" w:rsidRPr="00612DC1" w:rsidRDefault="00612DC1" w:rsidP="00612DC1">
      <w:pPr>
        <w:spacing w:line="360" w:lineRule="auto"/>
        <w:jc w:val="both"/>
        <w:rPr>
          <w:rFonts w:ascii="Arial" w:hAnsi="Arial" w:cs="Arial"/>
        </w:rPr>
      </w:pPr>
      <w:r w:rsidRPr="00612DC1">
        <w:rPr>
          <w:rFonts w:ascii="Arial" w:hAnsi="Arial" w:cs="Arial"/>
        </w:rPr>
        <w:t>Physical activity is closely linked to improved physical and mental well-being. Regular exercise supports cardiovascular health, enhances muscle strength, reduces the risk of chronic conditions like diabetes and obesity, and improves overall longevity. Studies consistently show that physical activity has a positive effect on mental health, helping to reduce anxiety, depression, and stress (Biddle &amp; Asare, 2011). Exercise stimulates the release of endorphins, chemicals in the brain that promote a sense of happiness and well-being, which helps combat low moods and stress. Furthermore, mind-body exercises like yoga and meditation offer holistic benefits, promoting relaxation and mindfulness while reducing mental fatigue (Field, 2011).</w:t>
      </w:r>
    </w:p>
    <w:p w14:paraId="7616CD9F" w14:textId="77777777" w:rsidR="00612DC1" w:rsidRPr="00612DC1" w:rsidRDefault="00612DC1" w:rsidP="00612DC1">
      <w:pPr>
        <w:spacing w:line="360" w:lineRule="auto"/>
        <w:jc w:val="both"/>
        <w:rPr>
          <w:rFonts w:ascii="Arial" w:hAnsi="Arial" w:cs="Arial"/>
        </w:rPr>
      </w:pPr>
    </w:p>
    <w:p w14:paraId="63DB38CE" w14:textId="77777777" w:rsidR="00612DC1" w:rsidRPr="00612DC1" w:rsidRDefault="00612DC1" w:rsidP="00612DC1">
      <w:pPr>
        <w:spacing w:line="360" w:lineRule="auto"/>
        <w:jc w:val="both"/>
        <w:rPr>
          <w:rFonts w:ascii="Arial" w:hAnsi="Arial" w:cs="Arial"/>
        </w:rPr>
      </w:pPr>
      <w:r w:rsidRPr="00612DC1">
        <w:rPr>
          <w:rFonts w:ascii="Arial" w:hAnsi="Arial" w:cs="Arial"/>
        </w:rPr>
        <w:t xml:space="preserve">The government’s priorities around health and well-being are reflected in initiatives aimed at increasing physical activity among the general population. For instance, the Active 10 program encourages adults to aim for 10 minutes of brisk walking each day. The Physical </w:t>
      </w:r>
      <w:r w:rsidRPr="00612DC1">
        <w:rPr>
          <w:rFonts w:ascii="Arial" w:hAnsi="Arial" w:cs="Arial"/>
        </w:rPr>
        <w:lastRenderedPageBreak/>
        <w:t>Activity Guidelines set by the Department of Health advocate for at least 150 minutes of moderate activity or 75 minutes of vigorous activity each week (Department of Health and Social Care, 2019). These guidelines focus on addressing the burden of preventable diseases, such as heart disease, type 2 diabetes, and obesity, which are all linked to a lack of physical activity. As physical inactivity contributes significantly to these health problems, promoting exercise through accessible interventions can help reduce both the incidence of chronic diseases and healthcare costs (</w:t>
      </w:r>
      <w:proofErr w:type="spellStart"/>
      <w:r w:rsidRPr="00612DC1">
        <w:rPr>
          <w:rFonts w:ascii="Arial" w:hAnsi="Arial" w:cs="Arial"/>
        </w:rPr>
        <w:t>Guthold</w:t>
      </w:r>
      <w:proofErr w:type="spellEnd"/>
      <w:r w:rsidRPr="00612DC1">
        <w:rPr>
          <w:rFonts w:ascii="Arial" w:hAnsi="Arial" w:cs="Arial"/>
        </w:rPr>
        <w:t xml:space="preserve"> et al., 2018).</w:t>
      </w:r>
    </w:p>
    <w:p w14:paraId="6C1F3457" w14:textId="77777777" w:rsidR="00612DC1" w:rsidRPr="00612DC1" w:rsidRDefault="00612DC1" w:rsidP="00612DC1">
      <w:pPr>
        <w:spacing w:line="360" w:lineRule="auto"/>
        <w:jc w:val="both"/>
        <w:rPr>
          <w:rFonts w:ascii="Arial" w:hAnsi="Arial" w:cs="Arial"/>
        </w:rPr>
      </w:pPr>
    </w:p>
    <w:p w14:paraId="0427D0F7" w14:textId="77777777" w:rsidR="00612DC1" w:rsidRPr="00612DC1" w:rsidRDefault="00612DC1" w:rsidP="00612DC1">
      <w:pPr>
        <w:spacing w:line="360" w:lineRule="auto"/>
        <w:jc w:val="both"/>
        <w:rPr>
          <w:rFonts w:ascii="Arial" w:hAnsi="Arial" w:cs="Arial"/>
        </w:rPr>
      </w:pPr>
      <w:r w:rsidRPr="00612DC1">
        <w:rPr>
          <w:rFonts w:ascii="Arial" w:hAnsi="Arial" w:cs="Arial"/>
        </w:rPr>
        <w:t>The social benefits of exercise also play a significant role in the government’s priorities. Participation in physical activity fosters social inclusion, reduces isolation, and builds community cohesion. For example, group sports and fitness activities offer opportunities for social interaction, making them especially valuable for individuals at risk of social isolation, such as older adults. Similarly, physical activity provides an avenue for individuals to improve their self-esteem and body image, particularly through campaigns like This Girl Can, which aims to empower women to engage in exercise without fear of judgment (Sport England, 2015). The campaign’s focus on real women of various body types, ethnicities, and fitness levels challenges traditional norms about who can participate in physical activity, demonstrating how exercise can be a tool for social change and empowerment.</w:t>
      </w:r>
    </w:p>
    <w:p w14:paraId="068841D1" w14:textId="77777777" w:rsidR="00612DC1" w:rsidRPr="00612DC1" w:rsidRDefault="00612DC1" w:rsidP="00612DC1">
      <w:pPr>
        <w:spacing w:line="360" w:lineRule="auto"/>
        <w:jc w:val="both"/>
        <w:rPr>
          <w:rFonts w:ascii="Arial" w:hAnsi="Arial" w:cs="Arial"/>
        </w:rPr>
      </w:pPr>
    </w:p>
    <w:p w14:paraId="3451973D" w14:textId="77777777" w:rsidR="00612DC1" w:rsidRPr="00612DC1" w:rsidRDefault="00612DC1" w:rsidP="00612DC1">
      <w:pPr>
        <w:spacing w:line="360" w:lineRule="auto"/>
        <w:jc w:val="both"/>
        <w:rPr>
          <w:rFonts w:ascii="Arial" w:hAnsi="Arial" w:cs="Arial"/>
        </w:rPr>
      </w:pPr>
      <w:r w:rsidRPr="00612DC1">
        <w:rPr>
          <w:rFonts w:ascii="Arial" w:hAnsi="Arial" w:cs="Arial"/>
        </w:rPr>
        <w:t xml:space="preserve">The government’s efforts to increase physical activity must also account for socio-economic factors that impact participation. People from lower socio-economic backgrounds often experience barriers to engaging in physical activity, such as lack of time, financial constraints, and limited access to facilities (Bauman et al., 2012). Furthermore, individuals with disabilities or from minority ethnic backgrounds may face additional barriers related to cultural norms, access to tailored programs, or perceptions of exclusion in mainstream sports and exercise settings. By considering these social factors, policymakers can better target interventions that address the unique needs of underrepresented groups. Initiatives that provide low-cost or free exercise programs, as </w:t>
      </w:r>
      <w:r w:rsidRPr="00612DC1">
        <w:rPr>
          <w:rFonts w:ascii="Arial" w:hAnsi="Arial" w:cs="Arial"/>
        </w:rPr>
        <w:lastRenderedPageBreak/>
        <w:t>well as community-based activities, can help overcome these barriers and encourage participation among these populations (</w:t>
      </w:r>
      <w:proofErr w:type="spellStart"/>
      <w:r w:rsidRPr="00612DC1">
        <w:rPr>
          <w:rFonts w:ascii="Arial" w:hAnsi="Arial" w:cs="Arial"/>
        </w:rPr>
        <w:t>Eime</w:t>
      </w:r>
      <w:proofErr w:type="spellEnd"/>
      <w:r w:rsidRPr="00612DC1">
        <w:rPr>
          <w:rFonts w:ascii="Arial" w:hAnsi="Arial" w:cs="Arial"/>
        </w:rPr>
        <w:t xml:space="preserve"> et al., 2013).</w:t>
      </w:r>
    </w:p>
    <w:p w14:paraId="3923CE5C" w14:textId="77777777" w:rsidR="00612DC1" w:rsidRPr="00612DC1" w:rsidRDefault="00612DC1" w:rsidP="00612DC1">
      <w:pPr>
        <w:spacing w:line="360" w:lineRule="auto"/>
        <w:jc w:val="both"/>
        <w:rPr>
          <w:rFonts w:ascii="Arial" w:hAnsi="Arial" w:cs="Arial"/>
        </w:rPr>
      </w:pPr>
    </w:p>
    <w:p w14:paraId="2DB0790A" w14:textId="77777777" w:rsidR="00612DC1" w:rsidRPr="00612DC1" w:rsidRDefault="00612DC1" w:rsidP="00612DC1">
      <w:pPr>
        <w:spacing w:line="360" w:lineRule="auto"/>
        <w:jc w:val="both"/>
        <w:rPr>
          <w:rFonts w:ascii="Arial" w:hAnsi="Arial" w:cs="Arial"/>
        </w:rPr>
      </w:pPr>
      <w:r w:rsidRPr="00612DC1">
        <w:rPr>
          <w:rFonts w:ascii="Arial" w:hAnsi="Arial" w:cs="Arial"/>
        </w:rPr>
        <w:t xml:space="preserve">The concept of </w:t>
      </w:r>
      <w:proofErr w:type="gramStart"/>
      <w:r w:rsidRPr="00612DC1">
        <w:rPr>
          <w:rFonts w:ascii="Arial" w:hAnsi="Arial" w:cs="Arial"/>
        </w:rPr>
        <w:t>the sociological</w:t>
      </w:r>
      <w:proofErr w:type="gramEnd"/>
      <w:r w:rsidRPr="00612DC1">
        <w:rPr>
          <w:rFonts w:ascii="Arial" w:hAnsi="Arial" w:cs="Arial"/>
        </w:rPr>
        <w:t xml:space="preserve"> imagination helps frame how broader social factors influence individual engagement with exercise. As C. Wright Mills (1959) noted, personal experiences are shaped by larger societal structures, including institutional and cultural norms. For many women, societal expectations about appearance and gender roles may discourage participation in traditional sports or fitness activities, reinforcing feelings of self-consciousness or inadequacy. Programs like This Girl Can challenge these expectations, creating a more inclusive environment where women feel empowered to engage in physical activity on their own terms. This reflects the sociological imagination by recognizing the connection between individual behavior and institutionalized gender norms.</w:t>
      </w:r>
    </w:p>
    <w:p w14:paraId="66203166" w14:textId="77777777" w:rsidR="00612DC1" w:rsidRPr="00612DC1" w:rsidRDefault="00612DC1" w:rsidP="00612DC1">
      <w:pPr>
        <w:spacing w:line="360" w:lineRule="auto"/>
        <w:jc w:val="both"/>
        <w:rPr>
          <w:rFonts w:ascii="Arial" w:hAnsi="Arial" w:cs="Arial"/>
        </w:rPr>
      </w:pPr>
    </w:p>
    <w:p w14:paraId="7C13FBCE" w14:textId="77777777" w:rsidR="00612DC1" w:rsidRPr="00612DC1" w:rsidRDefault="00612DC1" w:rsidP="00612DC1">
      <w:pPr>
        <w:spacing w:line="360" w:lineRule="auto"/>
        <w:jc w:val="both"/>
        <w:rPr>
          <w:rFonts w:ascii="Arial" w:hAnsi="Arial" w:cs="Arial"/>
        </w:rPr>
      </w:pPr>
      <w:r w:rsidRPr="00612DC1">
        <w:rPr>
          <w:rFonts w:ascii="Arial" w:hAnsi="Arial" w:cs="Arial"/>
        </w:rPr>
        <w:t>Evaluating the efficacy of recent interventions shows promising results, but challenges remain. The This Girl Can campaign has led to an increase in female participation in physical activity, with a 2% rise in engagement among women, particularly younger women and those from lower socio-economic backgrounds (Sport England, 2020). However, some demographic groups, such as ethnic minorities and older women, have seen less impact from these interventions (Mansfield et al., 2018). To improve inclusivity, targeted strategies are needed. For example, offering culturally appropriate exercise options and programs tailored for older adults or those with disabilities could increase participation in these groups. Additionally, addressing economic barriers through subsidized programs or providing more free community-based activities would further improve accessibility.</w:t>
      </w:r>
    </w:p>
    <w:p w14:paraId="25B0014D" w14:textId="77777777" w:rsidR="00612DC1" w:rsidRPr="00612DC1" w:rsidRDefault="00612DC1" w:rsidP="00612DC1">
      <w:pPr>
        <w:spacing w:line="360" w:lineRule="auto"/>
        <w:jc w:val="both"/>
        <w:rPr>
          <w:rFonts w:ascii="Arial" w:hAnsi="Arial" w:cs="Arial"/>
        </w:rPr>
      </w:pPr>
    </w:p>
    <w:p w14:paraId="6758402B" w14:textId="6C2EBD5D" w:rsidR="00612DC1" w:rsidRPr="00612DC1" w:rsidRDefault="00612DC1" w:rsidP="00612DC1">
      <w:pPr>
        <w:spacing w:line="360" w:lineRule="auto"/>
        <w:jc w:val="both"/>
        <w:rPr>
          <w:rFonts w:ascii="Arial" w:hAnsi="Arial" w:cs="Arial"/>
        </w:rPr>
      </w:pPr>
      <w:r w:rsidRPr="00612DC1">
        <w:rPr>
          <w:rFonts w:ascii="Arial" w:hAnsi="Arial" w:cs="Arial"/>
        </w:rPr>
        <w:t xml:space="preserve">Government policies and programs that focus on promoting exercise can have a significant positive impact on public health. These interventions are crucial for reducing the social and economic burden of chronic diseases while enhancing mental and physical </w:t>
      </w:r>
      <w:r w:rsidRPr="00612DC1">
        <w:rPr>
          <w:rFonts w:ascii="Arial" w:hAnsi="Arial" w:cs="Arial"/>
        </w:rPr>
        <w:lastRenderedPageBreak/>
        <w:t>well-being. By prioritizing inclusive, accessible, and culturally sensitive approaches, governments can foster a more active society, ultimately improving the health and well-being of the nation.</w:t>
      </w:r>
    </w:p>
    <w:p w14:paraId="0D731657" w14:textId="77777777" w:rsidR="00612DC1" w:rsidRDefault="00612DC1" w:rsidP="00BE4DDB"/>
    <w:p w14:paraId="353D2FDF" w14:textId="77777777" w:rsidR="00612DC1" w:rsidRDefault="00612DC1" w:rsidP="00BE4DDB"/>
    <w:p w14:paraId="62751C01" w14:textId="77777777" w:rsidR="00612DC1" w:rsidRDefault="00612DC1" w:rsidP="00BE4DDB"/>
    <w:p w14:paraId="06DF3C60" w14:textId="77777777" w:rsidR="00612DC1" w:rsidRDefault="00612DC1" w:rsidP="00BE4DDB"/>
    <w:p w14:paraId="4C307329" w14:textId="77777777" w:rsidR="00FB3D72" w:rsidRDefault="00FB3D72" w:rsidP="00BE4DDB"/>
    <w:p w14:paraId="29974DBC" w14:textId="77777777" w:rsidR="00FB3D72" w:rsidRDefault="00FB3D72" w:rsidP="00BE4DDB"/>
    <w:p w14:paraId="5AF55C41" w14:textId="77777777" w:rsidR="00FB3D72" w:rsidRDefault="00FB3D72" w:rsidP="00BE4DDB"/>
    <w:p w14:paraId="7FEC8F35" w14:textId="77777777" w:rsidR="00FB3D72" w:rsidRDefault="00FB3D72" w:rsidP="00BE4DDB"/>
    <w:p w14:paraId="52BE460C" w14:textId="77777777" w:rsidR="00FB3D72" w:rsidRDefault="00FB3D72" w:rsidP="00BE4DDB"/>
    <w:p w14:paraId="46BEDE78" w14:textId="77777777" w:rsidR="00FB3D72" w:rsidRDefault="00FB3D72" w:rsidP="00BE4DDB"/>
    <w:p w14:paraId="1E0221E8" w14:textId="77777777" w:rsidR="00FB3D72" w:rsidRDefault="00FB3D72" w:rsidP="00BE4DDB"/>
    <w:p w14:paraId="4BE97C4E" w14:textId="77777777" w:rsidR="00FB3D72" w:rsidRDefault="00FB3D72" w:rsidP="00BE4DDB"/>
    <w:p w14:paraId="19A24821" w14:textId="77777777" w:rsidR="00FB3D72" w:rsidRDefault="00FB3D72" w:rsidP="00BE4DDB"/>
    <w:p w14:paraId="398C1DE4" w14:textId="77777777" w:rsidR="00FB3D72" w:rsidRDefault="00FB3D72" w:rsidP="00BE4DDB"/>
    <w:p w14:paraId="37BAB341" w14:textId="77777777" w:rsidR="00FB3D72" w:rsidRDefault="00FB3D72" w:rsidP="00BE4DDB"/>
    <w:p w14:paraId="72F048FF" w14:textId="77777777" w:rsidR="00FB3D72" w:rsidRDefault="00FB3D72" w:rsidP="00BE4DDB"/>
    <w:p w14:paraId="0F2CFCCF" w14:textId="77777777" w:rsidR="009F0DBE" w:rsidRDefault="009F0DBE" w:rsidP="00FB3D72"/>
    <w:p w14:paraId="627AA141" w14:textId="77777777" w:rsidR="009F0DBE" w:rsidRDefault="009F0DBE" w:rsidP="00FB3D72">
      <w:pPr>
        <w:rPr>
          <w:rFonts w:ascii="Arial" w:hAnsi="Arial" w:cs="Arial"/>
          <w:b/>
          <w:bCs/>
        </w:rPr>
      </w:pPr>
    </w:p>
    <w:p w14:paraId="4B6BC390" w14:textId="77777777" w:rsidR="009F0DBE" w:rsidRDefault="009F0DBE" w:rsidP="00FB3D72">
      <w:pPr>
        <w:rPr>
          <w:rFonts w:ascii="Arial" w:hAnsi="Arial" w:cs="Arial"/>
          <w:b/>
          <w:bCs/>
        </w:rPr>
      </w:pPr>
    </w:p>
    <w:p w14:paraId="59DFD3C8" w14:textId="77777777" w:rsidR="009F0DBE" w:rsidRDefault="009F0DBE" w:rsidP="00FB3D72">
      <w:pPr>
        <w:rPr>
          <w:rFonts w:ascii="Arial" w:hAnsi="Arial" w:cs="Arial"/>
          <w:b/>
          <w:bCs/>
        </w:rPr>
      </w:pPr>
    </w:p>
    <w:p w14:paraId="1482B8FD" w14:textId="77777777" w:rsidR="009F0DBE" w:rsidRDefault="009F0DBE" w:rsidP="00FB3D72">
      <w:pPr>
        <w:rPr>
          <w:rFonts w:ascii="Arial" w:hAnsi="Arial" w:cs="Arial"/>
          <w:b/>
          <w:bCs/>
        </w:rPr>
      </w:pPr>
    </w:p>
    <w:p w14:paraId="6310B69A" w14:textId="77777777" w:rsidR="009F0DBE" w:rsidRDefault="009F0DBE" w:rsidP="00FB3D72">
      <w:pPr>
        <w:rPr>
          <w:rFonts w:ascii="Arial" w:hAnsi="Arial" w:cs="Arial"/>
          <w:b/>
          <w:bCs/>
        </w:rPr>
      </w:pPr>
    </w:p>
    <w:p w14:paraId="384CC861" w14:textId="77777777" w:rsidR="009F0DBE" w:rsidRDefault="009F0DBE" w:rsidP="00FB3D72">
      <w:pPr>
        <w:rPr>
          <w:rFonts w:ascii="Arial" w:hAnsi="Arial" w:cs="Arial"/>
          <w:b/>
          <w:bCs/>
        </w:rPr>
      </w:pPr>
    </w:p>
    <w:p w14:paraId="609E15EE" w14:textId="133A2291" w:rsidR="00FB3D72" w:rsidRPr="00FB3D72" w:rsidRDefault="002B3CEB" w:rsidP="00FB3D72">
      <w:pPr>
        <w:rPr>
          <w:rFonts w:ascii="Arial" w:hAnsi="Arial" w:cs="Arial"/>
          <w:b/>
          <w:bCs/>
        </w:rPr>
      </w:pPr>
      <w:r w:rsidRPr="002B3CEB">
        <w:rPr>
          <w:rFonts w:ascii="Arial" w:hAnsi="Arial" w:cs="Arial"/>
          <w:b/>
          <w:bCs/>
        </w:rPr>
        <w:lastRenderedPageBreak/>
        <w:t>References</w:t>
      </w:r>
    </w:p>
    <w:p w14:paraId="7CC93428" w14:textId="77777777" w:rsidR="00832760" w:rsidRDefault="00832760" w:rsidP="00832760">
      <w:pPr>
        <w:jc w:val="both"/>
      </w:pPr>
      <w:r>
        <w:t xml:space="preserve">Bauman, A. E., </w:t>
      </w:r>
      <w:proofErr w:type="spellStart"/>
      <w:r>
        <w:t>Phongsavan</w:t>
      </w:r>
      <w:proofErr w:type="spellEnd"/>
      <w:r>
        <w:t xml:space="preserve">, P., </w:t>
      </w:r>
      <w:proofErr w:type="spellStart"/>
      <w:r>
        <w:t>Schoeppe</w:t>
      </w:r>
      <w:proofErr w:type="spellEnd"/>
      <w:r>
        <w:t>, S., &amp; Owen, N. (2012). Physical activity in low-income populations. American Journal of Preventive Medicine, 43(6), 649-653.</w:t>
      </w:r>
    </w:p>
    <w:p w14:paraId="13692053" w14:textId="77777777" w:rsidR="00832760" w:rsidRDefault="00832760" w:rsidP="00832760">
      <w:pPr>
        <w:jc w:val="both"/>
      </w:pPr>
      <w:r>
        <w:t>Biddle, S. J. H., &amp; Asare, M. (2011). Physical activity and mental health in children and adolescents: A review of reviews. British Journal of Sports Medicine, 45(11), 886-895.</w:t>
      </w:r>
    </w:p>
    <w:p w14:paraId="68E4E62F" w14:textId="77777777" w:rsidR="00832760" w:rsidRDefault="00832760" w:rsidP="00832760">
      <w:pPr>
        <w:jc w:val="both"/>
      </w:pPr>
      <w:r>
        <w:t>Deci, E. L., &amp; Ryan, R. M. (2000). Self-determination theory and the facilitation of intrinsic motivation, social development, and well-being. American Psychologist, 55(1), 68-78.</w:t>
      </w:r>
    </w:p>
    <w:p w14:paraId="5BC20A68" w14:textId="4D439091" w:rsidR="00832760" w:rsidRDefault="00832760" w:rsidP="00832760">
      <w:pPr>
        <w:jc w:val="both"/>
      </w:pPr>
      <w:r>
        <w:t xml:space="preserve">Department of Health and Social Care. (2019). UK Physical Activity Guidelines. Retrieved from </w:t>
      </w:r>
      <w:hyperlink r:id="rId8" w:history="1">
        <w:r w:rsidRPr="00E66B51">
          <w:rPr>
            <w:rStyle w:val="Hyperlink"/>
          </w:rPr>
          <w:t>https://www.gov.uk/government/publications/physical-activity-guidelines</w:t>
        </w:r>
      </w:hyperlink>
    </w:p>
    <w:p w14:paraId="72AE4FE7" w14:textId="77777777" w:rsidR="00832760" w:rsidRDefault="00832760" w:rsidP="00832760">
      <w:pPr>
        <w:jc w:val="both"/>
      </w:pPr>
      <w:r>
        <w:t>Dixon, J. (2018). Understanding cultural barriers in physical activity participation. Journal of Physical Activity Studies, 15(3), 222-234.</w:t>
      </w:r>
    </w:p>
    <w:p w14:paraId="350471D8" w14:textId="77777777" w:rsidR="00832760" w:rsidRDefault="00832760" w:rsidP="00832760">
      <w:pPr>
        <w:jc w:val="both"/>
      </w:pPr>
      <w:proofErr w:type="spellStart"/>
      <w:r>
        <w:t>Eime</w:t>
      </w:r>
      <w:proofErr w:type="spellEnd"/>
      <w:r>
        <w:t>, R. M., Young, J. A., Harvey, J. T., Charity, M. J., &amp; Payne, W. R. (2013). A systematic review of the psychological and social benefits of participation in sport for adults. International Journal of Behavioral Nutrition and Physical Activity, 10(98), 1-14.</w:t>
      </w:r>
    </w:p>
    <w:p w14:paraId="6874D139" w14:textId="77777777" w:rsidR="00832760" w:rsidRDefault="00832760" w:rsidP="00832760">
      <w:pPr>
        <w:jc w:val="both"/>
      </w:pPr>
      <w:r>
        <w:t>Field, T. (2011). Yoga research review. Complementary Therapies in Clinical Practice, 17(2), 1-7.</w:t>
      </w:r>
    </w:p>
    <w:p w14:paraId="51090AEB" w14:textId="77777777" w:rsidR="00832760" w:rsidRDefault="00832760" w:rsidP="00832760">
      <w:pPr>
        <w:jc w:val="both"/>
      </w:pPr>
      <w:r>
        <w:t>Goffman, E. (1963). Stigma: Notes on the management of spoiled identity. Prentice-Hall.</w:t>
      </w:r>
    </w:p>
    <w:p w14:paraId="5FAE9A3F" w14:textId="77777777" w:rsidR="00832760" w:rsidRDefault="00832760" w:rsidP="00832760">
      <w:pPr>
        <w:jc w:val="both"/>
      </w:pPr>
      <w:proofErr w:type="spellStart"/>
      <w:r>
        <w:t>Guthold</w:t>
      </w:r>
      <w:proofErr w:type="spellEnd"/>
      <w:r>
        <w:t>, R., Stevens, M. R., Riley, L. M., &amp; Bull, F. C. (2018). Worldwide trends in insufficient physical activity from 2001 to 2016: A pooled analysis of 358 population-based surveys with 1.9 million participants. The Lancet, 392(10156), 1-15.</w:t>
      </w:r>
    </w:p>
    <w:p w14:paraId="3084CC0B" w14:textId="77777777" w:rsidR="00832760" w:rsidRDefault="00832760" w:rsidP="00832760">
      <w:pPr>
        <w:jc w:val="both"/>
      </w:pPr>
      <w:r>
        <w:t>Mansfield, L., Kay, T., &amp; Green, B. (2018). The gendered impact of sport policies. Sociology of Sport Journal, 35(1), 15-29.</w:t>
      </w:r>
    </w:p>
    <w:p w14:paraId="6B736633" w14:textId="77777777" w:rsidR="00832760" w:rsidRDefault="00832760" w:rsidP="00832760">
      <w:pPr>
        <w:jc w:val="both"/>
      </w:pPr>
      <w:r>
        <w:t>Mills, C. W. (1959). The sociological imagination. Oxford University Press.</w:t>
      </w:r>
    </w:p>
    <w:p w14:paraId="289C67B4" w14:textId="77777777" w:rsidR="00832760" w:rsidRDefault="00832760" w:rsidP="00832760">
      <w:pPr>
        <w:jc w:val="both"/>
      </w:pPr>
      <w:r>
        <w:t>Putnam, R. D. (2000). Bowling alone: The collapse and revival of American community. Simon &amp; Schuster.</w:t>
      </w:r>
    </w:p>
    <w:p w14:paraId="144A1F88" w14:textId="394CB0DC" w:rsidR="00832760" w:rsidRDefault="00832760" w:rsidP="00832760">
      <w:pPr>
        <w:jc w:val="both"/>
      </w:pPr>
      <w:r>
        <w:t xml:space="preserve">Sport England. (2015). This Girl Can Campaign Report. Retrieved from </w:t>
      </w:r>
      <w:hyperlink r:id="rId9" w:history="1">
        <w:r w:rsidRPr="00E66B51">
          <w:rPr>
            <w:rStyle w:val="Hyperlink"/>
          </w:rPr>
          <w:t>https://www.sportengland.org/this-girl-can</w:t>
        </w:r>
      </w:hyperlink>
    </w:p>
    <w:p w14:paraId="715D0A6B" w14:textId="77777777" w:rsidR="00832760" w:rsidRDefault="00832760" w:rsidP="00832760">
      <w:pPr>
        <w:jc w:val="both"/>
      </w:pPr>
    </w:p>
    <w:p w14:paraId="577B9D87" w14:textId="77777777" w:rsidR="00832760" w:rsidRDefault="00832760" w:rsidP="00832760">
      <w:pPr>
        <w:jc w:val="both"/>
      </w:pPr>
      <w:r>
        <w:t xml:space="preserve">Sport England. (2020). Active Lives Survey: Adult Report. Retrieved from </w:t>
      </w:r>
      <w:hyperlink r:id="rId10" w:history="1">
        <w:r w:rsidRPr="00E66B51">
          <w:rPr>
            <w:rStyle w:val="Hyperlink"/>
          </w:rPr>
          <w:t>https://www.sportengland.org/research/active-lives</w:t>
        </w:r>
      </w:hyperlink>
    </w:p>
    <w:p w14:paraId="52155860" w14:textId="3C06446B" w:rsidR="00FB3D72" w:rsidRDefault="00832760" w:rsidP="00832760">
      <w:pPr>
        <w:jc w:val="both"/>
      </w:pPr>
      <w:r>
        <w:lastRenderedPageBreak/>
        <w:t xml:space="preserve">World Health Organization (WHO). (2018). Physical activity. Retrieved from </w:t>
      </w:r>
      <w:hyperlink r:id="rId11" w:history="1">
        <w:r w:rsidRPr="00E66B51">
          <w:rPr>
            <w:rStyle w:val="Hyperlink"/>
          </w:rPr>
          <w:t>https://www.who.int/news-room/fact-sheets/detail/physical-activity</w:t>
        </w:r>
      </w:hyperlink>
    </w:p>
    <w:p w14:paraId="4C11DAB4" w14:textId="77777777" w:rsidR="00832760" w:rsidRDefault="00832760" w:rsidP="00832760">
      <w:pPr>
        <w:jc w:val="both"/>
      </w:pPr>
    </w:p>
    <w:p w14:paraId="43280AD3" w14:textId="77777777" w:rsidR="00612DC1" w:rsidRDefault="00612DC1" w:rsidP="00BE4DDB"/>
    <w:p w14:paraId="53F784CC" w14:textId="77777777" w:rsidR="00612DC1" w:rsidRDefault="00612DC1" w:rsidP="00BE4DDB"/>
    <w:p w14:paraId="143EA0F3" w14:textId="77777777" w:rsidR="00612DC1" w:rsidRDefault="00612DC1" w:rsidP="00BE4DDB"/>
    <w:p w14:paraId="47FCA263" w14:textId="77777777" w:rsidR="00612DC1" w:rsidRDefault="00612DC1" w:rsidP="00BE4DDB"/>
    <w:p w14:paraId="7917DF43" w14:textId="77777777" w:rsidR="00612DC1" w:rsidRDefault="00612DC1" w:rsidP="00BE4DDB"/>
    <w:p w14:paraId="6F8EBF92" w14:textId="77777777" w:rsidR="00612DC1" w:rsidRDefault="00612DC1" w:rsidP="00BE4DDB"/>
    <w:p w14:paraId="64D936AB" w14:textId="5114254A" w:rsidR="00854682" w:rsidRDefault="00854682" w:rsidP="00612DC1"/>
    <w:sectPr w:rsidR="00854682" w:rsidSect="002B3CEB">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CCE96" w14:textId="77777777" w:rsidR="00BF0437" w:rsidRDefault="00BF0437" w:rsidP="00612DC1">
      <w:pPr>
        <w:spacing w:after="0" w:line="240" w:lineRule="auto"/>
      </w:pPr>
      <w:r>
        <w:separator/>
      </w:r>
    </w:p>
  </w:endnote>
  <w:endnote w:type="continuationSeparator" w:id="0">
    <w:p w14:paraId="58E07556" w14:textId="77777777" w:rsidR="00BF0437" w:rsidRDefault="00BF0437" w:rsidP="0061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1718000"/>
      <w:docPartObj>
        <w:docPartGallery w:val="Page Numbers (Bottom of Page)"/>
        <w:docPartUnique/>
      </w:docPartObj>
    </w:sdtPr>
    <w:sdtEndPr>
      <w:rPr>
        <w:noProof/>
      </w:rPr>
    </w:sdtEndPr>
    <w:sdtContent>
      <w:p w14:paraId="0B8CFBC5" w14:textId="2B9BAB7F" w:rsidR="00612DC1" w:rsidRDefault="00612D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D5120" w14:textId="77777777" w:rsidR="00612DC1" w:rsidRDefault="00612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D2208" w14:textId="77777777" w:rsidR="00BF0437" w:rsidRDefault="00BF0437" w:rsidP="00612DC1">
      <w:pPr>
        <w:spacing w:after="0" w:line="240" w:lineRule="auto"/>
      </w:pPr>
      <w:r>
        <w:separator/>
      </w:r>
    </w:p>
  </w:footnote>
  <w:footnote w:type="continuationSeparator" w:id="0">
    <w:p w14:paraId="7A201A96" w14:textId="77777777" w:rsidR="00BF0437" w:rsidRDefault="00BF0437" w:rsidP="00612D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856DA8"/>
    <w:rsid w:val="00146AB5"/>
    <w:rsid w:val="00272E42"/>
    <w:rsid w:val="002B3CEB"/>
    <w:rsid w:val="0048656C"/>
    <w:rsid w:val="00612DC1"/>
    <w:rsid w:val="00743717"/>
    <w:rsid w:val="007B614B"/>
    <w:rsid w:val="007E14B3"/>
    <w:rsid w:val="00832760"/>
    <w:rsid w:val="00854682"/>
    <w:rsid w:val="009F0DBE"/>
    <w:rsid w:val="00A52F08"/>
    <w:rsid w:val="00A5465A"/>
    <w:rsid w:val="00BB21DE"/>
    <w:rsid w:val="00BE4DDB"/>
    <w:rsid w:val="00BF0437"/>
    <w:rsid w:val="00CE3BDF"/>
    <w:rsid w:val="00FB3D72"/>
    <w:rsid w:val="58AC6B5A"/>
    <w:rsid w:val="5D856DA8"/>
    <w:rsid w:val="63660CB8"/>
    <w:rsid w:val="63DDA3A1"/>
    <w:rsid w:val="7DCD4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6DA8"/>
  <w15:chartTrackingRefBased/>
  <w15:docId w15:val="{EA9F107A-21AE-405B-9F70-888954CD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BE4DDB"/>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BE4DDB"/>
    <w:rPr>
      <w:sz w:val="22"/>
      <w:szCs w:val="22"/>
      <w:lang w:eastAsia="en-US"/>
    </w:rPr>
  </w:style>
  <w:style w:type="paragraph" w:styleId="Header">
    <w:name w:val="header"/>
    <w:basedOn w:val="Normal"/>
    <w:link w:val="HeaderChar"/>
    <w:uiPriority w:val="99"/>
    <w:unhideWhenUsed/>
    <w:rsid w:val="00612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DC1"/>
  </w:style>
  <w:style w:type="paragraph" w:styleId="Footer">
    <w:name w:val="footer"/>
    <w:basedOn w:val="Normal"/>
    <w:link w:val="FooterChar"/>
    <w:uiPriority w:val="99"/>
    <w:unhideWhenUsed/>
    <w:rsid w:val="00612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DC1"/>
  </w:style>
  <w:style w:type="character" w:styleId="Hyperlink">
    <w:name w:val="Hyperlink"/>
    <w:basedOn w:val="DefaultParagraphFont"/>
    <w:uiPriority w:val="99"/>
    <w:unhideWhenUsed/>
    <w:rsid w:val="00FB3D72"/>
    <w:rPr>
      <w:color w:val="467886" w:themeColor="hyperlink"/>
      <w:u w:val="single"/>
    </w:rPr>
  </w:style>
  <w:style w:type="character" w:styleId="UnresolvedMention">
    <w:name w:val="Unresolved Mention"/>
    <w:basedOn w:val="DefaultParagraphFont"/>
    <w:uiPriority w:val="99"/>
    <w:semiHidden/>
    <w:unhideWhenUsed/>
    <w:rsid w:val="00FB3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hysical-activity-guidelin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o.int/news-room/fact-sheets/detail/physical-activity" TargetMode="External"/><Relationship Id="rId5" Type="http://schemas.openxmlformats.org/officeDocument/2006/relationships/footnotes" Target="footnotes.xml"/><Relationship Id="rId10" Type="http://schemas.openxmlformats.org/officeDocument/2006/relationships/hyperlink" Target="https://www.sportengland.org/research/active-lives" TargetMode="External"/><Relationship Id="rId4" Type="http://schemas.openxmlformats.org/officeDocument/2006/relationships/webSettings" Target="webSettings.xml"/><Relationship Id="rId9" Type="http://schemas.openxmlformats.org/officeDocument/2006/relationships/hyperlink" Target="https://www.sportengland.org/this-girl-c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2867</Words>
  <Characters>16347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Sport Physical Activity and Society</vt:lpstr>
    </vt:vector>
  </TitlesOfParts>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Sport Physical Activity and Society</dc:title>
  <dc:subject/>
  <dc:creator>Chris Jones (2411533)</dc:creator>
  <cp:keywords/>
  <dc:description/>
  <cp:lastModifiedBy>Ceri Jones (1806930)</cp:lastModifiedBy>
  <cp:revision>3</cp:revision>
  <dcterms:created xsi:type="dcterms:W3CDTF">2024-11-15T19:51:00Z</dcterms:created>
  <dcterms:modified xsi:type="dcterms:W3CDTF">2024-11-15T19:59:00Z</dcterms:modified>
</cp:coreProperties>
</file>