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7EBDCF" wp14:paraId="5E5787A5" wp14:textId="2F57FF5E">
      <w:pPr>
        <w:pStyle w:val="Normal"/>
      </w:pPr>
      <w:r w:rsidR="6E7F1ACF">
        <w:drawing>
          <wp:inline xmlns:wp14="http://schemas.microsoft.com/office/word/2010/wordprocessingDrawing" wp14:editId="4053C5D4" wp14:anchorId="437E57E1">
            <wp:extent cx="2619375" cy="1162050"/>
            <wp:effectExtent l="0" t="0" r="0" b="0"/>
            <wp:docPr id="9536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36608" name="Picture 9536608"/>
                    <pic:cNvPicPr/>
                  </pic:nvPicPr>
                  <pic:blipFill>
                    <a:blip xmlns:r="http://schemas.openxmlformats.org/officeDocument/2006/relationships" r:embed="rId1453180111">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6E7F1ACF" w:rsidP="62494E30" w:rsidRDefault="6E7F1ACF" w14:paraId="7696D74D" w14:textId="310120F4">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62494E30" w:rsidR="34213C2A">
        <w:rPr>
          <w:rFonts w:ascii="Arial" w:hAnsi="Arial" w:eastAsia="Arial" w:cs="Arial"/>
          <w:b w:val="1"/>
          <w:bCs w:val="1"/>
          <w:i w:val="0"/>
          <w:iCs w:val="0"/>
          <w:caps w:val="0"/>
          <w:smallCaps w:val="0"/>
          <w:noProof w:val="0"/>
          <w:color w:val="000000" w:themeColor="text1" w:themeTint="FF" w:themeShade="FF"/>
          <w:sz w:val="32"/>
          <w:szCs w:val="32"/>
          <w:lang w:val="en-GB"/>
        </w:rPr>
        <w:t>Name: Razwana Iftkhar</w:t>
      </w:r>
    </w:p>
    <w:p w:rsidR="6E7F1ACF" w:rsidP="62494E30" w:rsidRDefault="6E7F1ACF" w14:paraId="0C4E8923" w14:textId="4F85758C">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62494E30"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Student ID:2511282 </w:t>
      </w:r>
    </w:p>
    <w:p w:rsidR="6E7F1ACF" w:rsidP="62494E30" w:rsidRDefault="6E7F1ACF" w14:paraId="7946EA62" w14:textId="5DB89F82">
      <w:pPr>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62494E30" w:rsidR="34213C2A">
        <w:rPr>
          <w:rFonts w:ascii="Arial" w:hAnsi="Arial" w:eastAsia="Arial" w:cs="Arial"/>
          <w:b w:val="1"/>
          <w:bCs w:val="1"/>
          <w:i w:val="0"/>
          <w:iCs w:val="0"/>
          <w:caps w:val="0"/>
          <w:smallCaps w:val="0"/>
          <w:noProof w:val="0"/>
          <w:color w:val="000000" w:themeColor="text1" w:themeTint="FF" w:themeShade="FF"/>
          <w:sz w:val="32"/>
          <w:szCs w:val="32"/>
          <w:lang w:val="en-GB"/>
        </w:rPr>
        <w:t>Module Code: BMHP</w:t>
      </w:r>
      <w:r w:rsidRPr="62494E30" w:rsidR="2852EBA6">
        <w:rPr>
          <w:rFonts w:ascii="Arial" w:hAnsi="Arial" w:eastAsia="Arial" w:cs="Arial"/>
          <w:b w:val="1"/>
          <w:bCs w:val="1"/>
          <w:i w:val="0"/>
          <w:iCs w:val="0"/>
          <w:caps w:val="0"/>
          <w:smallCaps w:val="0"/>
          <w:noProof w:val="0"/>
          <w:color w:val="000000" w:themeColor="text1" w:themeTint="FF" w:themeShade="FF"/>
          <w:sz w:val="32"/>
          <w:szCs w:val="32"/>
          <w:lang w:val="en-GB"/>
        </w:rPr>
        <w:t xml:space="preserve"> 5023</w:t>
      </w:r>
    </w:p>
    <w:p w:rsidR="6E7F1ACF" w:rsidP="62494E30" w:rsidRDefault="6E7F1ACF" w14:paraId="64DBD499" w14:textId="34AFB7B0">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62494E30"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Module Name: </w:t>
      </w:r>
      <w:r w:rsidRPr="62494E30" w:rsidR="7636046A">
        <w:rPr>
          <w:rFonts w:ascii="Arial" w:hAnsi="Arial" w:eastAsia="Arial" w:cs="Arial"/>
          <w:b w:val="1"/>
          <w:bCs w:val="1"/>
          <w:i w:val="0"/>
          <w:iCs w:val="0"/>
          <w:caps w:val="0"/>
          <w:smallCaps w:val="0"/>
          <w:noProof w:val="0"/>
          <w:color w:val="000000" w:themeColor="text1" w:themeTint="FF" w:themeShade="FF"/>
          <w:sz w:val="32"/>
          <w:szCs w:val="32"/>
          <w:lang w:val="en-GB"/>
        </w:rPr>
        <w:t>Introduction to Physiology</w:t>
      </w:r>
    </w:p>
    <w:p w:rsidR="6E7F1ACF" w:rsidP="62494E30" w:rsidRDefault="6E7F1ACF" w14:paraId="7BBD3D4A" w14:textId="5F4D7174">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62494E30"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Lecturer: Mr </w:t>
      </w:r>
      <w:r w:rsidRPr="62494E30" w:rsidR="1B635D18">
        <w:rPr>
          <w:rFonts w:ascii="Arial" w:hAnsi="Arial" w:eastAsia="Arial" w:cs="Arial"/>
          <w:b w:val="1"/>
          <w:bCs w:val="1"/>
          <w:i w:val="0"/>
          <w:iCs w:val="0"/>
          <w:caps w:val="0"/>
          <w:smallCaps w:val="0"/>
          <w:noProof w:val="0"/>
          <w:color w:val="000000" w:themeColor="text1" w:themeTint="FF" w:themeShade="FF"/>
          <w:sz w:val="32"/>
          <w:szCs w:val="32"/>
          <w:lang w:val="en-GB"/>
        </w:rPr>
        <w:t>Robert Nartowski</w:t>
      </w:r>
    </w:p>
    <w:p w:rsidR="6E7F1ACF" w:rsidP="15A36B5D" w:rsidRDefault="6E7F1ACF" w14:paraId="3E58F415" w14:textId="5B7A889C">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5A36B5D" w:rsidR="6A296A6A">
        <w:rPr>
          <w:rFonts w:ascii="Arial" w:hAnsi="Arial" w:eastAsia="Arial" w:cs="Arial"/>
          <w:b w:val="1"/>
          <w:bCs w:val="1"/>
          <w:i w:val="0"/>
          <w:iCs w:val="0"/>
          <w:caps w:val="0"/>
          <w:smallCaps w:val="0"/>
          <w:noProof w:val="0"/>
          <w:color w:val="000000" w:themeColor="text1" w:themeTint="FF" w:themeShade="FF"/>
          <w:sz w:val="32"/>
          <w:szCs w:val="32"/>
          <w:lang w:val="en-GB"/>
        </w:rPr>
        <w:t xml:space="preserve">Assignment: </w:t>
      </w:r>
      <w:r w:rsidRPr="15A36B5D" w:rsidR="6A296A6A">
        <w:rPr>
          <w:rFonts w:ascii="Arial" w:hAnsi="Arial" w:eastAsia="Arial" w:cs="Arial"/>
          <w:b w:val="1"/>
          <w:bCs w:val="1"/>
          <w:i w:val="0"/>
          <w:iCs w:val="0"/>
          <w:caps w:val="0"/>
          <w:smallCaps w:val="0"/>
          <w:noProof w:val="0"/>
          <w:color w:val="000000" w:themeColor="text1" w:themeTint="FF" w:themeShade="FF"/>
          <w:sz w:val="32"/>
          <w:szCs w:val="32"/>
          <w:lang w:val="en-GB"/>
        </w:rPr>
        <w:t>Component</w:t>
      </w:r>
      <w:r w:rsidRPr="15A36B5D" w:rsidR="6A296A6A">
        <w:rPr>
          <w:rFonts w:ascii="Arial" w:hAnsi="Arial" w:eastAsia="Arial" w:cs="Arial"/>
          <w:b w:val="1"/>
          <w:bCs w:val="1"/>
          <w:i w:val="0"/>
          <w:iCs w:val="0"/>
          <w:caps w:val="0"/>
          <w:smallCaps w:val="0"/>
          <w:noProof w:val="0"/>
          <w:color w:val="000000" w:themeColor="text1" w:themeTint="FF" w:themeShade="FF"/>
          <w:sz w:val="32"/>
          <w:szCs w:val="32"/>
          <w:lang w:val="en-GB"/>
        </w:rPr>
        <w:t xml:space="preserve"> 1 </w:t>
      </w:r>
      <w:r w:rsidRPr="15A36B5D" w:rsidR="656BEDE6">
        <w:rPr>
          <w:rFonts w:ascii="Arial" w:hAnsi="Arial" w:eastAsia="Arial" w:cs="Arial"/>
          <w:b w:val="1"/>
          <w:bCs w:val="1"/>
          <w:i w:val="0"/>
          <w:iCs w:val="0"/>
          <w:caps w:val="0"/>
          <w:smallCaps w:val="0"/>
          <w:noProof w:val="0"/>
          <w:color w:val="000000" w:themeColor="text1" w:themeTint="FF" w:themeShade="FF"/>
          <w:sz w:val="32"/>
          <w:szCs w:val="32"/>
          <w:lang w:val="en-GB"/>
        </w:rPr>
        <w:t>( Report)</w:t>
      </w:r>
    </w:p>
    <w:p w:rsidR="547EBDCF" w:rsidP="62494E30" w:rsidRDefault="547EBDCF" w14:paraId="7D234888" w14:textId="451E1E4E">
      <w:pPr>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47EBDCF" w:rsidP="62494E30" w:rsidRDefault="547EBDCF" w14:paraId="43755384" w14:textId="4D0FDB89">
      <w:pPr>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47EBDCF" w:rsidP="62494E30" w:rsidRDefault="547EBDCF" w14:paraId="150F39C2" w14:textId="448921AE">
      <w:pPr>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47EBDCF" w:rsidP="62494E30" w:rsidRDefault="547EBDCF" w14:paraId="2B801847" w14:textId="51829B95">
      <w:pPr>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47EBDCF" w:rsidP="62494E30" w:rsidRDefault="547EBDCF" w14:paraId="38CF4B09" w14:textId="12E899F7">
      <w:pPr>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6E7F1ACF" w:rsidP="62494E30" w:rsidRDefault="6E7F1ACF" w14:paraId="28DA3EA6" w14:textId="004B1F91">
      <w:pPr>
        <w:rPr>
          <w:rFonts w:ascii="Arial" w:hAnsi="Arial" w:eastAsia="Arial" w:cs="Arial"/>
          <w:b w:val="1"/>
          <w:bCs w:val="1"/>
          <w:i w:val="0"/>
          <w:iCs w:val="0"/>
          <w:caps w:val="0"/>
          <w:smallCaps w:val="0"/>
          <w:noProof w:val="0"/>
          <w:color w:val="000000" w:themeColor="text1" w:themeTint="FF" w:themeShade="FF"/>
          <w:sz w:val="32"/>
          <w:szCs w:val="32"/>
          <w:lang w:val="en-GB"/>
        </w:rPr>
      </w:pPr>
      <w:r w:rsidRPr="62494E30" w:rsidR="4755C597">
        <w:rPr>
          <w:rFonts w:ascii="Arial" w:hAnsi="Arial" w:eastAsia="Arial" w:cs="Arial"/>
          <w:b w:val="1"/>
          <w:bCs w:val="1"/>
          <w:i w:val="0"/>
          <w:iCs w:val="0"/>
          <w:caps w:val="0"/>
          <w:smallCaps w:val="0"/>
          <w:noProof w:val="0"/>
          <w:color w:val="000000" w:themeColor="text1" w:themeTint="FF" w:themeShade="FF"/>
          <w:sz w:val="32"/>
          <w:szCs w:val="32"/>
          <w:lang w:val="en-GB"/>
        </w:rPr>
        <w:t>Submitted on:</w:t>
      </w:r>
    </w:p>
    <w:p w:rsidR="34BBF79D" w:rsidP="34BBF79D" w:rsidRDefault="34BBF79D" w14:paraId="1D427909" w14:textId="274B78F6">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5EB75CDA" w14:textId="55F12F0D">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1DD3CCFE" w14:textId="2BD253A4">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57B8A466" w14:textId="21F6BC1A">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4B0D110A" w14:textId="79C8BE08">
      <w:pPr>
        <w:rPr>
          <w:rFonts w:ascii="Arial" w:hAnsi="Arial" w:eastAsia="Arial" w:cs="Arial"/>
          <w:b w:val="1"/>
          <w:bCs w:val="1"/>
          <w:i w:val="0"/>
          <w:iCs w:val="0"/>
          <w:caps w:val="0"/>
          <w:smallCaps w:val="0"/>
          <w:noProof w:val="0"/>
          <w:color w:val="000000" w:themeColor="text1" w:themeTint="FF" w:themeShade="FF"/>
          <w:sz w:val="40"/>
          <w:szCs w:val="40"/>
          <w:lang w:val="en-GB"/>
        </w:rPr>
      </w:pPr>
    </w:p>
    <w:p w:rsidR="62494E30" w:rsidP="62494E30" w:rsidRDefault="62494E30" w14:paraId="732A0803" w14:textId="3C6B233B">
      <w:pPr>
        <w:rPr>
          <w:rFonts w:ascii="Arial" w:hAnsi="Arial" w:eastAsia="Arial" w:cs="Arial"/>
          <w:b w:val="1"/>
          <w:bCs w:val="1"/>
          <w:i w:val="0"/>
          <w:iCs w:val="0"/>
          <w:caps w:val="0"/>
          <w:smallCaps w:val="0"/>
          <w:noProof w:val="0"/>
          <w:color w:val="000000" w:themeColor="text1" w:themeTint="FF" w:themeShade="FF"/>
          <w:sz w:val="40"/>
          <w:szCs w:val="40"/>
          <w:lang w:val="en-GB"/>
        </w:rPr>
      </w:pPr>
    </w:p>
    <w:p w:rsidR="62494E30" w:rsidP="62494E30" w:rsidRDefault="62494E30" w14:paraId="21F04E31" w14:textId="741748C6">
      <w:pPr>
        <w:rPr>
          <w:rFonts w:ascii="Arial" w:hAnsi="Arial" w:eastAsia="Arial" w:cs="Arial"/>
          <w:b w:val="1"/>
          <w:bCs w:val="1"/>
          <w:i w:val="0"/>
          <w:iCs w:val="0"/>
          <w:caps w:val="0"/>
          <w:smallCaps w:val="0"/>
          <w:noProof w:val="0"/>
          <w:color w:val="000000" w:themeColor="text1" w:themeTint="FF" w:themeShade="FF"/>
          <w:sz w:val="40"/>
          <w:szCs w:val="40"/>
          <w:lang w:val="en-GB"/>
        </w:rPr>
      </w:pPr>
    </w:p>
    <w:p w:rsidR="0B2FEF0A" w:rsidP="62494E30" w:rsidRDefault="0B2FEF0A" w14:paraId="0ECEA2A8" w14:textId="02779E57">
      <w:pPr>
        <w:rPr>
          <w:rFonts w:ascii="Arial" w:hAnsi="Arial" w:eastAsia="Arial" w:cs="Arial"/>
          <w:b w:val="1"/>
          <w:bCs w:val="1"/>
          <w:i w:val="0"/>
          <w:iCs w:val="0"/>
          <w:caps w:val="0"/>
          <w:smallCaps w:val="0"/>
          <w:noProof w:val="0"/>
          <w:color w:val="000000" w:themeColor="text1" w:themeTint="FF" w:themeShade="FF"/>
          <w:sz w:val="32"/>
          <w:szCs w:val="32"/>
          <w:lang w:val="en-GB"/>
        </w:rPr>
      </w:pPr>
      <w:r w:rsidRPr="15A36B5D" w:rsidR="703E4E7B">
        <w:rPr>
          <w:rFonts w:ascii="Arial" w:hAnsi="Arial" w:eastAsia="Arial" w:cs="Arial"/>
          <w:b w:val="1"/>
          <w:bCs w:val="1"/>
          <w:i w:val="0"/>
          <w:iCs w:val="0"/>
          <w:caps w:val="0"/>
          <w:smallCaps w:val="0"/>
          <w:noProof w:val="0"/>
          <w:color w:val="000000" w:themeColor="text1" w:themeTint="FF" w:themeShade="FF"/>
          <w:sz w:val="32"/>
          <w:szCs w:val="32"/>
          <w:lang w:val="en-GB"/>
        </w:rPr>
        <w:t>Table of content:</w:t>
      </w:r>
    </w:p>
    <w:sdt>
      <w:sdtPr>
        <w:id w:val="213756152"/>
        <w:docPartObj>
          <w:docPartGallery w:val="Table of Contents"/>
          <w:docPartUnique/>
        </w:docPartObj>
      </w:sdtPr>
      <w:sdtContent>
        <w:p w:rsidR="15A36B5D" w:rsidP="15A36B5D" w:rsidRDefault="15A36B5D" w14:paraId="664D1CB3" w14:textId="5D787921">
          <w:pPr>
            <w:pStyle w:val="TOC1"/>
            <w:tabs>
              <w:tab w:val="right" w:leader="dot" w:pos="9015"/>
            </w:tabs>
            <w:bidi w:val="0"/>
          </w:pPr>
          <w:r>
            <w:fldChar w:fldCharType="begin"/>
          </w:r>
          <w:r>
            <w:instrText xml:space="preserve">TOC \o \z \u \h</w:instrText>
          </w:r>
          <w:r>
            <w:fldChar w:fldCharType="separate"/>
          </w:r>
          <w:r>
            <w:fldChar w:fldCharType="begin"/>
          </w:r>
          <w:r>
            <w:instrText xml:space="preserve">HYPERLINK  \l  "_Toc285294228" </w:instrText>
          </w:r>
          <w:r>
            <w:fldChar w:fldCharType="separate"/>
          </w:r>
          <w:r w:rsidR="15A36B5D">
            <w:rPr/>
            <w:t>Introduction</w:t>
          </w:r>
          <w:r>
            <w:tab/>
          </w:r>
          <w:r>
            <w:fldChar w:fldCharType="begin"/>
          </w:r>
          <w:r>
            <w:instrText xml:space="preserve">PAGEREF _Toc285294228 \h</w:instrText>
          </w:r>
          <w:r>
            <w:fldChar w:fldCharType="separate"/>
          </w:r>
          <w:r w:rsidR="15A36B5D">
            <w:rPr/>
            <w:t>3</w:t>
          </w:r>
          <w:r>
            <w:fldChar w:fldCharType="end"/>
          </w:r>
          <w:r>
            <w:fldChar w:fldCharType="end"/>
          </w:r>
        </w:p>
        <w:p w:rsidR="15A36B5D" w:rsidP="15A36B5D" w:rsidRDefault="15A36B5D" w14:paraId="37385160" w14:textId="321D1AE6">
          <w:pPr>
            <w:pStyle w:val="TOC1"/>
            <w:tabs>
              <w:tab w:val="right" w:leader="dot" w:pos="9015"/>
            </w:tabs>
            <w:bidi w:val="0"/>
          </w:pPr>
          <w:r>
            <w:fldChar w:fldCharType="begin"/>
          </w:r>
          <w:r>
            <w:instrText xml:space="preserve">HYPERLINK  \l  "_Toc49763124" </w:instrText>
          </w:r>
          <w:r>
            <w:fldChar w:fldCharType="separate"/>
          </w:r>
          <w:r w:rsidR="15A36B5D">
            <w:rPr/>
            <w:t>Section 1: Anatomy &amp; Physiology</w:t>
          </w:r>
          <w:r>
            <w:tab/>
          </w:r>
          <w:r>
            <w:fldChar w:fldCharType="begin"/>
          </w:r>
          <w:r>
            <w:instrText xml:space="preserve">PAGEREF _Toc49763124 \h</w:instrText>
          </w:r>
          <w:r>
            <w:fldChar w:fldCharType="separate"/>
          </w:r>
          <w:r w:rsidR="15A36B5D">
            <w:rPr/>
            <w:t>3</w:t>
          </w:r>
          <w:r>
            <w:fldChar w:fldCharType="end"/>
          </w:r>
          <w:r>
            <w:fldChar w:fldCharType="end"/>
          </w:r>
        </w:p>
        <w:p w:rsidR="15A36B5D" w:rsidP="15A36B5D" w:rsidRDefault="15A36B5D" w14:paraId="2E3FD4B6" w14:textId="63C28C4B">
          <w:pPr>
            <w:pStyle w:val="TOC2"/>
            <w:tabs>
              <w:tab w:val="right" w:leader="dot" w:pos="9015"/>
            </w:tabs>
            <w:bidi w:val="0"/>
          </w:pPr>
          <w:r>
            <w:fldChar w:fldCharType="begin"/>
          </w:r>
          <w:r>
            <w:instrText xml:space="preserve">HYPERLINK  \l  "_Toc1738362774" </w:instrText>
          </w:r>
          <w:r>
            <w:fldChar w:fldCharType="separate"/>
          </w:r>
          <w:r w:rsidR="15A36B5D">
            <w:rPr/>
            <w:t>Blood Sugar Regulation</w:t>
          </w:r>
          <w:r>
            <w:tab/>
          </w:r>
          <w:r>
            <w:fldChar w:fldCharType="begin"/>
          </w:r>
          <w:r>
            <w:instrText xml:space="preserve">PAGEREF _Toc1738362774 \h</w:instrText>
          </w:r>
          <w:r>
            <w:fldChar w:fldCharType="separate"/>
          </w:r>
          <w:r w:rsidR="15A36B5D">
            <w:rPr/>
            <w:t>3</w:t>
          </w:r>
          <w:r>
            <w:fldChar w:fldCharType="end"/>
          </w:r>
          <w:r>
            <w:fldChar w:fldCharType="end"/>
          </w:r>
        </w:p>
        <w:p w:rsidR="15A36B5D" w:rsidP="15A36B5D" w:rsidRDefault="15A36B5D" w14:paraId="075477B5" w14:textId="6AC941E8">
          <w:pPr>
            <w:pStyle w:val="TOC2"/>
            <w:tabs>
              <w:tab w:val="right" w:leader="dot" w:pos="9015"/>
            </w:tabs>
            <w:bidi w:val="0"/>
          </w:pPr>
          <w:r>
            <w:fldChar w:fldCharType="begin"/>
          </w:r>
          <w:r>
            <w:instrText xml:space="preserve">HYPERLINK  \l  "_Toc916383348" </w:instrText>
          </w:r>
          <w:r>
            <w:fldChar w:fldCharType="separate"/>
          </w:r>
          <w:r w:rsidR="15A36B5D">
            <w:rPr/>
            <w:t>Cell Metabolism</w:t>
          </w:r>
          <w:r>
            <w:tab/>
          </w:r>
          <w:r>
            <w:fldChar w:fldCharType="begin"/>
          </w:r>
          <w:r>
            <w:instrText xml:space="preserve">PAGEREF _Toc916383348 \h</w:instrText>
          </w:r>
          <w:r>
            <w:fldChar w:fldCharType="separate"/>
          </w:r>
          <w:r w:rsidR="15A36B5D">
            <w:rPr/>
            <w:t>4</w:t>
          </w:r>
          <w:r>
            <w:fldChar w:fldCharType="end"/>
          </w:r>
          <w:r>
            <w:fldChar w:fldCharType="end"/>
          </w:r>
        </w:p>
        <w:p w:rsidR="15A36B5D" w:rsidP="15A36B5D" w:rsidRDefault="15A36B5D" w14:paraId="7E7E6841" w14:textId="02FE1060">
          <w:pPr>
            <w:pStyle w:val="TOC1"/>
            <w:tabs>
              <w:tab w:val="right" w:leader="dot" w:pos="9015"/>
            </w:tabs>
            <w:bidi w:val="0"/>
          </w:pPr>
          <w:r>
            <w:fldChar w:fldCharType="begin"/>
          </w:r>
          <w:r>
            <w:instrText xml:space="preserve">HYPERLINK  \l  "_Toc967670685" </w:instrText>
          </w:r>
          <w:r>
            <w:fldChar w:fldCharType="separate"/>
          </w:r>
          <w:r w:rsidR="15A36B5D">
            <w:rPr/>
            <w:t>Section 2: Pathophysiology &amp; Impact</w:t>
          </w:r>
          <w:r>
            <w:tab/>
          </w:r>
          <w:r>
            <w:fldChar w:fldCharType="begin"/>
          </w:r>
          <w:r>
            <w:instrText xml:space="preserve">PAGEREF _Toc967670685 \h</w:instrText>
          </w:r>
          <w:r>
            <w:fldChar w:fldCharType="separate"/>
          </w:r>
          <w:r w:rsidR="15A36B5D">
            <w:rPr/>
            <w:t>6</w:t>
          </w:r>
          <w:r>
            <w:fldChar w:fldCharType="end"/>
          </w:r>
          <w:r>
            <w:fldChar w:fldCharType="end"/>
          </w:r>
        </w:p>
        <w:p w:rsidR="15A36B5D" w:rsidP="15A36B5D" w:rsidRDefault="15A36B5D" w14:paraId="200AA914" w14:textId="63695E1C">
          <w:pPr>
            <w:pStyle w:val="TOC2"/>
            <w:tabs>
              <w:tab w:val="right" w:leader="dot" w:pos="9015"/>
            </w:tabs>
            <w:bidi w:val="0"/>
          </w:pPr>
          <w:r>
            <w:fldChar w:fldCharType="begin"/>
          </w:r>
          <w:r>
            <w:instrText xml:space="preserve">HYPERLINK  \l  "_Toc1151514018" </w:instrText>
          </w:r>
          <w:r>
            <w:fldChar w:fldCharType="separate"/>
          </w:r>
          <w:r w:rsidR="15A36B5D">
            <w:rPr/>
            <w:t>Failure of Blood Sugar Regulation</w:t>
          </w:r>
          <w:r>
            <w:tab/>
          </w:r>
          <w:r>
            <w:fldChar w:fldCharType="begin"/>
          </w:r>
          <w:r>
            <w:instrText xml:space="preserve">PAGEREF _Toc1151514018 \h</w:instrText>
          </w:r>
          <w:r>
            <w:fldChar w:fldCharType="separate"/>
          </w:r>
          <w:r w:rsidR="15A36B5D">
            <w:rPr/>
            <w:t>6</w:t>
          </w:r>
          <w:r>
            <w:fldChar w:fldCharType="end"/>
          </w:r>
          <w:r>
            <w:fldChar w:fldCharType="end"/>
          </w:r>
        </w:p>
        <w:p w:rsidR="15A36B5D" w:rsidP="15A36B5D" w:rsidRDefault="15A36B5D" w14:paraId="25CD2126" w14:textId="21DC1094">
          <w:pPr>
            <w:pStyle w:val="TOC2"/>
            <w:tabs>
              <w:tab w:val="right" w:leader="dot" w:pos="9015"/>
            </w:tabs>
            <w:bidi w:val="0"/>
          </w:pPr>
          <w:r>
            <w:fldChar w:fldCharType="begin"/>
          </w:r>
          <w:r>
            <w:instrText xml:space="preserve">HYPERLINK  \l  "_Toc309965457" </w:instrText>
          </w:r>
          <w:r>
            <w:fldChar w:fldCharType="separate"/>
          </w:r>
          <w:r w:rsidR="15A36B5D">
            <w:rPr/>
            <w:t>Impact of Lifestyle Factors on Glucose Control</w:t>
          </w:r>
          <w:r>
            <w:tab/>
          </w:r>
          <w:r>
            <w:fldChar w:fldCharType="begin"/>
          </w:r>
          <w:r>
            <w:instrText xml:space="preserve">PAGEREF _Toc309965457 \h</w:instrText>
          </w:r>
          <w:r>
            <w:fldChar w:fldCharType="separate"/>
          </w:r>
          <w:r w:rsidR="15A36B5D">
            <w:rPr/>
            <w:t>6</w:t>
          </w:r>
          <w:r>
            <w:fldChar w:fldCharType="end"/>
          </w:r>
          <w:r>
            <w:fldChar w:fldCharType="end"/>
          </w:r>
        </w:p>
        <w:p w:rsidR="15A36B5D" w:rsidP="15A36B5D" w:rsidRDefault="15A36B5D" w14:paraId="54DE1AB7" w14:textId="44228973">
          <w:pPr>
            <w:pStyle w:val="TOC1"/>
            <w:tabs>
              <w:tab w:val="right" w:leader="dot" w:pos="9015"/>
            </w:tabs>
            <w:bidi w:val="0"/>
          </w:pPr>
          <w:r>
            <w:fldChar w:fldCharType="begin"/>
          </w:r>
          <w:r>
            <w:instrText xml:space="preserve">HYPERLINK  \l  "_Toc501535989" </w:instrText>
          </w:r>
          <w:r>
            <w:fldChar w:fldCharType="separate"/>
          </w:r>
          <w:r w:rsidR="15A36B5D">
            <w:rPr/>
            <w:t>Section 3: Monitoring &amp; Data Use</w:t>
          </w:r>
          <w:r>
            <w:tab/>
          </w:r>
          <w:r>
            <w:fldChar w:fldCharType="begin"/>
          </w:r>
          <w:r>
            <w:instrText xml:space="preserve">PAGEREF _Toc501535989 \h</w:instrText>
          </w:r>
          <w:r>
            <w:fldChar w:fldCharType="separate"/>
          </w:r>
          <w:r w:rsidR="15A36B5D">
            <w:rPr/>
            <w:t>7</w:t>
          </w:r>
          <w:r>
            <w:fldChar w:fldCharType="end"/>
          </w:r>
          <w:r>
            <w:fldChar w:fldCharType="end"/>
          </w:r>
        </w:p>
        <w:p w:rsidR="15A36B5D" w:rsidP="15A36B5D" w:rsidRDefault="15A36B5D" w14:paraId="4B8E575E" w14:textId="3D436A68">
          <w:pPr>
            <w:pStyle w:val="TOC2"/>
            <w:tabs>
              <w:tab w:val="right" w:leader="dot" w:pos="9015"/>
            </w:tabs>
            <w:bidi w:val="0"/>
          </w:pPr>
          <w:r>
            <w:fldChar w:fldCharType="begin"/>
          </w:r>
          <w:r>
            <w:instrText xml:space="preserve">HYPERLINK  \l  "_Toc39082432" </w:instrText>
          </w:r>
          <w:r>
            <w:fldChar w:fldCharType="separate"/>
          </w:r>
          <w:r w:rsidR="15A36B5D">
            <w:rPr/>
            <w:t>Importance of Tracking Health Data</w:t>
          </w:r>
          <w:r>
            <w:tab/>
          </w:r>
          <w:r>
            <w:fldChar w:fldCharType="begin"/>
          </w:r>
          <w:r>
            <w:instrText xml:space="preserve">PAGEREF _Toc39082432 \h</w:instrText>
          </w:r>
          <w:r>
            <w:fldChar w:fldCharType="separate"/>
          </w:r>
          <w:r w:rsidR="15A36B5D">
            <w:rPr/>
            <w:t>7</w:t>
          </w:r>
          <w:r>
            <w:fldChar w:fldCharType="end"/>
          </w:r>
          <w:r>
            <w:fldChar w:fldCharType="end"/>
          </w:r>
        </w:p>
        <w:p w:rsidR="15A36B5D" w:rsidP="15A36B5D" w:rsidRDefault="15A36B5D" w14:paraId="0B73F7C1" w14:textId="7231C819">
          <w:pPr>
            <w:pStyle w:val="TOC2"/>
            <w:tabs>
              <w:tab w:val="right" w:leader="dot" w:pos="9015"/>
            </w:tabs>
            <w:bidi w:val="0"/>
          </w:pPr>
          <w:r>
            <w:fldChar w:fldCharType="begin"/>
          </w:r>
          <w:r>
            <w:instrText xml:space="preserve">HYPERLINK  \l  "_Toc1780556714" </w:instrText>
          </w:r>
          <w:r>
            <w:fldChar w:fldCharType="separate"/>
          </w:r>
          <w:r w:rsidR="15A36B5D">
            <w:rPr/>
            <w:t>How Routine Data Helps Manage the Condition</w:t>
          </w:r>
          <w:r>
            <w:tab/>
          </w:r>
          <w:r>
            <w:fldChar w:fldCharType="begin"/>
          </w:r>
          <w:r>
            <w:instrText xml:space="preserve">PAGEREF _Toc1780556714 \h</w:instrText>
          </w:r>
          <w:r>
            <w:fldChar w:fldCharType="separate"/>
          </w:r>
          <w:r w:rsidR="15A36B5D">
            <w:rPr/>
            <w:t>7</w:t>
          </w:r>
          <w:r>
            <w:fldChar w:fldCharType="end"/>
          </w:r>
          <w:r>
            <w:fldChar w:fldCharType="end"/>
          </w:r>
        </w:p>
        <w:p w:rsidR="15A36B5D" w:rsidP="15A36B5D" w:rsidRDefault="15A36B5D" w14:paraId="6DB6936C" w14:textId="3386229F">
          <w:pPr>
            <w:pStyle w:val="TOC1"/>
            <w:tabs>
              <w:tab w:val="right" w:leader="dot" w:pos="9015"/>
            </w:tabs>
            <w:bidi w:val="0"/>
          </w:pPr>
          <w:r>
            <w:fldChar w:fldCharType="begin"/>
          </w:r>
          <w:r>
            <w:instrText xml:space="preserve">HYPERLINK  \l  "_Toc636742331" </w:instrText>
          </w:r>
          <w:r>
            <w:fldChar w:fldCharType="separate"/>
          </w:r>
          <w:r w:rsidR="15A36B5D">
            <w:rPr/>
            <w:t>Section 4: Evidence-Based Lifestyle Recommendations</w:t>
          </w:r>
          <w:r>
            <w:tab/>
          </w:r>
          <w:r>
            <w:fldChar w:fldCharType="begin"/>
          </w:r>
          <w:r>
            <w:instrText xml:space="preserve">PAGEREF _Toc636742331 \h</w:instrText>
          </w:r>
          <w:r>
            <w:fldChar w:fldCharType="separate"/>
          </w:r>
          <w:r w:rsidR="15A36B5D">
            <w:rPr/>
            <w:t>8</w:t>
          </w:r>
          <w:r>
            <w:fldChar w:fldCharType="end"/>
          </w:r>
          <w:r>
            <w:fldChar w:fldCharType="end"/>
          </w:r>
        </w:p>
        <w:p w:rsidR="15A36B5D" w:rsidP="15A36B5D" w:rsidRDefault="15A36B5D" w14:paraId="363FED27" w14:textId="3DA42F50">
          <w:pPr>
            <w:pStyle w:val="TOC2"/>
            <w:tabs>
              <w:tab w:val="right" w:leader="dot" w:pos="9015"/>
            </w:tabs>
            <w:bidi w:val="0"/>
          </w:pPr>
          <w:r>
            <w:fldChar w:fldCharType="begin"/>
          </w:r>
          <w:r>
            <w:instrText xml:space="preserve">HYPERLINK  \l  "_Toc289628669" </w:instrText>
          </w:r>
          <w:r>
            <w:fldChar w:fldCharType="separate"/>
          </w:r>
          <w:r w:rsidR="15A36B5D">
            <w:rPr/>
            <w:t>Realistic Lifestyle Changes and Supporting Research</w:t>
          </w:r>
          <w:r>
            <w:tab/>
          </w:r>
          <w:r>
            <w:fldChar w:fldCharType="begin"/>
          </w:r>
          <w:r>
            <w:instrText xml:space="preserve">PAGEREF _Toc289628669 \h</w:instrText>
          </w:r>
          <w:r>
            <w:fldChar w:fldCharType="separate"/>
          </w:r>
          <w:r w:rsidR="15A36B5D">
            <w:rPr/>
            <w:t>8</w:t>
          </w:r>
          <w:r>
            <w:fldChar w:fldCharType="end"/>
          </w:r>
          <w:r>
            <w:fldChar w:fldCharType="end"/>
          </w:r>
        </w:p>
        <w:p w:rsidR="15A36B5D" w:rsidP="15A36B5D" w:rsidRDefault="15A36B5D" w14:paraId="1B07B727" w14:textId="4D9AE1C3">
          <w:pPr>
            <w:pStyle w:val="TOC2"/>
            <w:tabs>
              <w:tab w:val="right" w:leader="dot" w:pos="9015"/>
            </w:tabs>
            <w:bidi w:val="0"/>
          </w:pPr>
          <w:r>
            <w:fldChar w:fldCharType="begin"/>
          </w:r>
          <w:r>
            <w:instrText xml:space="preserve">HYPERLINK  \l  "_Toc924969153" </w:instrText>
          </w:r>
          <w:r>
            <w:fldChar w:fldCharType="separate"/>
          </w:r>
          <w:r w:rsidR="15A36B5D">
            <w:rPr/>
            <w:t>Physiological Improvements from Lifestyle Changes</w:t>
          </w:r>
          <w:r>
            <w:tab/>
          </w:r>
          <w:r>
            <w:fldChar w:fldCharType="begin"/>
          </w:r>
          <w:r>
            <w:instrText xml:space="preserve">PAGEREF _Toc924969153 \h</w:instrText>
          </w:r>
          <w:r>
            <w:fldChar w:fldCharType="separate"/>
          </w:r>
          <w:r w:rsidR="15A36B5D">
            <w:rPr/>
            <w:t>9</w:t>
          </w:r>
          <w:r>
            <w:fldChar w:fldCharType="end"/>
          </w:r>
          <w:r>
            <w:fldChar w:fldCharType="end"/>
          </w:r>
        </w:p>
        <w:p w:rsidR="15A36B5D" w:rsidP="15A36B5D" w:rsidRDefault="15A36B5D" w14:paraId="5A1BC109" w14:textId="1539DCFE">
          <w:pPr>
            <w:pStyle w:val="TOC1"/>
            <w:tabs>
              <w:tab w:val="right" w:leader="dot" w:pos="9015"/>
            </w:tabs>
            <w:bidi w:val="0"/>
          </w:pPr>
          <w:r>
            <w:fldChar w:fldCharType="begin"/>
          </w:r>
          <w:r>
            <w:instrText xml:space="preserve">HYPERLINK  \l  "_Toc832243365" </w:instrText>
          </w:r>
          <w:r>
            <w:fldChar w:fldCharType="separate"/>
          </w:r>
          <w:r w:rsidR="15A36B5D">
            <w:rPr/>
            <w:t>Conclusion</w:t>
          </w:r>
          <w:r>
            <w:tab/>
          </w:r>
          <w:r>
            <w:fldChar w:fldCharType="begin"/>
          </w:r>
          <w:r>
            <w:instrText xml:space="preserve">PAGEREF _Toc832243365 \h</w:instrText>
          </w:r>
          <w:r>
            <w:fldChar w:fldCharType="separate"/>
          </w:r>
          <w:r w:rsidR="15A36B5D">
            <w:rPr/>
            <w:t>9</w:t>
          </w:r>
          <w:r>
            <w:fldChar w:fldCharType="end"/>
          </w:r>
          <w:r>
            <w:fldChar w:fldCharType="end"/>
          </w:r>
        </w:p>
        <w:p w:rsidR="15A36B5D" w:rsidP="15A36B5D" w:rsidRDefault="15A36B5D" w14:paraId="7A0A08A7" w14:textId="0B214ABE">
          <w:pPr>
            <w:pStyle w:val="TOC1"/>
            <w:tabs>
              <w:tab w:val="right" w:leader="dot" w:pos="9015"/>
            </w:tabs>
            <w:bidi w:val="0"/>
          </w:pPr>
          <w:r>
            <w:fldChar w:fldCharType="begin"/>
          </w:r>
          <w:r>
            <w:instrText xml:space="preserve">HYPERLINK  \l  "_Toc2072432314" </w:instrText>
          </w:r>
          <w:r>
            <w:fldChar w:fldCharType="separate"/>
          </w:r>
          <w:r w:rsidR="15A36B5D">
            <w:rPr/>
            <w:t>References:</w:t>
          </w:r>
          <w:r>
            <w:tab/>
          </w:r>
          <w:r>
            <w:fldChar w:fldCharType="begin"/>
          </w:r>
          <w:r>
            <w:instrText xml:space="preserve">PAGEREF _Toc2072432314 \h</w:instrText>
          </w:r>
          <w:r>
            <w:fldChar w:fldCharType="separate"/>
          </w:r>
          <w:r w:rsidR="15A36B5D">
            <w:rPr/>
            <w:t>10</w:t>
          </w:r>
          <w:r>
            <w:fldChar w:fldCharType="end"/>
          </w:r>
          <w:r>
            <w:fldChar w:fldCharType="end"/>
          </w:r>
        </w:p>
        <w:p w:rsidR="15A36B5D" w:rsidRDefault="15A36B5D" w14:paraId="7DFB0F65" w14:textId="13DF8D6C">
          <w:r>
            <w:fldChar w:fldCharType="end"/>
          </w:r>
        </w:p>
      </w:sdtContent>
    </w:sdt>
    <w:p w:rsidR="34BBF79D" w:rsidP="34BBF79D" w:rsidRDefault="34BBF79D" w14:paraId="3239AF1A" w14:textId="646AB930">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60D29D66" w14:textId="2C0CD4F4">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08292912" w14:textId="7BA6F80F">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21BED31B" w14:textId="1CFBDA0F">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6BF66804" w14:textId="4880E8CD">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217C13DD" w14:textId="6612F1BC">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71DBEEEF" w14:textId="7D33CB2A">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3B175D83" w14:textId="263979C9">
      <w:pPr>
        <w:rPr>
          <w:rFonts w:ascii="Arial" w:hAnsi="Arial" w:eastAsia="Arial" w:cs="Arial"/>
          <w:b w:val="1"/>
          <w:bCs w:val="1"/>
          <w:i w:val="0"/>
          <w:iCs w:val="0"/>
          <w:caps w:val="0"/>
          <w:smallCaps w:val="0"/>
          <w:noProof w:val="0"/>
          <w:color w:val="000000" w:themeColor="text1" w:themeTint="FF" w:themeShade="FF"/>
          <w:sz w:val="40"/>
          <w:szCs w:val="40"/>
          <w:lang w:val="en-GB"/>
        </w:rPr>
      </w:pPr>
    </w:p>
    <w:p w:rsidR="15A36B5D" w:rsidP="15A36B5D" w:rsidRDefault="15A36B5D" w14:paraId="51A6C255" w14:textId="702853F9">
      <w:pPr>
        <w:pStyle w:val="Normal"/>
        <w:rPr>
          <w:rStyle w:val="TitleChar"/>
          <w:noProof w:val="0"/>
          <w:sz w:val="40"/>
          <w:szCs w:val="40"/>
          <w:lang w:val="en-GB"/>
        </w:rPr>
      </w:pPr>
    </w:p>
    <w:p w:rsidR="34BBF79D" w:rsidP="15A36B5D" w:rsidRDefault="34BBF79D" w14:paraId="3121E12D" w14:textId="4F10EF32">
      <w:pPr>
        <w:pStyle w:val="Normal"/>
        <w:spacing w:line="360"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15A36B5D" w:rsidR="0FBE99C8">
        <w:rPr>
          <w:rStyle w:val="TitleChar"/>
          <w:noProof w:val="0"/>
          <w:sz w:val="40"/>
          <w:szCs w:val="40"/>
          <w:lang w:val="en-GB"/>
        </w:rPr>
        <w:t xml:space="preserve">          </w:t>
      </w:r>
      <w:r w:rsidRPr="15A36B5D" w:rsidR="1244F237">
        <w:rPr>
          <w:rStyle w:val="TitleChar"/>
          <w:noProof w:val="0"/>
          <w:sz w:val="40"/>
          <w:szCs w:val="40"/>
          <w:lang w:val="en-GB"/>
        </w:rPr>
        <w:t>Managing Type 2 Diabetes in Primary Care</w:t>
      </w:r>
    </w:p>
    <w:p w:rsidR="34BBF79D" w:rsidP="15A36B5D" w:rsidRDefault="34BBF79D" w14:paraId="12F9BA24" w14:textId="2326DDF2">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85294228" w:id="1579401635"/>
      <w:r w:rsidRPr="15A36B5D" w:rsidR="1244F237">
        <w:rPr>
          <w:noProof w:val="0"/>
          <w:lang w:val="en-GB"/>
        </w:rPr>
        <w:t>I</w:t>
      </w:r>
      <w:r w:rsidRPr="15A36B5D" w:rsidR="1244F237">
        <w:rPr>
          <w:noProof w:val="0"/>
          <w:lang w:val="en-GB"/>
        </w:rPr>
        <w:t>ntroduction</w:t>
      </w:r>
      <w:bookmarkEnd w:id="1579401635"/>
    </w:p>
    <w:p w:rsidR="547EBDCF" w:rsidP="577E0829" w:rsidRDefault="547EBDCF" w14:paraId="52298DF1" w14:textId="73DF9C8F">
      <w:pPr>
        <w:pStyle w:val="Normal"/>
        <w:spacing w:line="360" w:lineRule="auto"/>
        <w:jc w:val="both"/>
        <w:rPr>
          <w:rFonts w:ascii="Arial" w:hAnsi="Arial" w:eastAsia="Arial" w:cs="Arial"/>
          <w:noProof w:val="0"/>
          <w:sz w:val="22"/>
          <w:szCs w:val="22"/>
          <w:lang w:val="en-GB"/>
        </w:rPr>
      </w:pPr>
      <w:r w:rsidRPr="577E0829" w:rsidR="6D436ADE">
        <w:rPr>
          <w:rFonts w:ascii="Arial" w:hAnsi="Arial" w:eastAsia="Arial" w:cs="Arial"/>
          <w:noProof w:val="0"/>
          <w:sz w:val="22"/>
          <w:szCs w:val="22"/>
          <w:lang w:val="en-GB"/>
        </w:rPr>
        <w:t xml:space="preserve">Peripheral insulin resistance and increasing pancreatic beta-cell failure combine to cause type 2 diabetes mellitus, a chronic metabolic disease marked by persistent </w:t>
      </w:r>
      <w:r w:rsidRPr="577E0829" w:rsidR="505BDFDF">
        <w:rPr>
          <w:rFonts w:ascii="Arial" w:hAnsi="Arial" w:eastAsia="Arial" w:cs="Arial"/>
          <w:noProof w:val="0"/>
          <w:sz w:val="22"/>
          <w:szCs w:val="22"/>
          <w:lang w:val="en-GB"/>
        </w:rPr>
        <w:t>hyperglycaemia</w:t>
      </w:r>
      <w:r w:rsidRPr="577E0829" w:rsidR="6D436ADE">
        <w:rPr>
          <w:rFonts w:ascii="Arial" w:hAnsi="Arial" w:eastAsia="Arial" w:cs="Arial"/>
          <w:noProof w:val="0"/>
          <w:sz w:val="22"/>
          <w:szCs w:val="22"/>
          <w:lang w:val="en-GB"/>
        </w:rPr>
        <w:t xml:space="preserve"> (World Health Organization, 2023). Type 2 diabetes usually develops gradually, supported by intricate interactions between genetic predisposition, ageing, and environmental factors, in contrast to type 1 diabetes, which is caused by autoimmune destruction of insulin-producing cells (International Diabetes Federation, 2023).</w:t>
      </w:r>
      <w:r w:rsidRPr="577E0829" w:rsidR="6804EE87">
        <w:rPr>
          <w:rFonts w:ascii="Arial" w:hAnsi="Arial" w:eastAsia="Arial" w:cs="Arial"/>
          <w:noProof w:val="0"/>
          <w:sz w:val="22"/>
          <w:szCs w:val="22"/>
          <w:lang w:val="en-GB"/>
        </w:rPr>
        <w:t xml:space="preserve">Sustained positive energy balance leading to obesity, physical inactivity, poor dietary patterns high in refined carbohydrates and saturated fats, and ethnic background (with South Asian, African-Caribbean, and Black African populations facing significantly higher susceptibility) are important risk factors contributing to the rising prevalence of type 2 diabetes (Chatterjee, </w:t>
      </w:r>
      <w:r w:rsidRPr="577E0829" w:rsidR="6804EE87">
        <w:rPr>
          <w:rFonts w:ascii="Arial" w:hAnsi="Arial" w:eastAsia="Arial" w:cs="Arial"/>
          <w:noProof w:val="0"/>
          <w:sz w:val="22"/>
          <w:szCs w:val="22"/>
          <w:lang w:val="en-GB"/>
        </w:rPr>
        <w:t>Khunti</w:t>
      </w:r>
      <w:r w:rsidRPr="577E0829" w:rsidR="6804EE87">
        <w:rPr>
          <w:rFonts w:ascii="Arial" w:hAnsi="Arial" w:eastAsia="Arial" w:cs="Arial"/>
          <w:noProof w:val="0"/>
          <w:sz w:val="22"/>
          <w:szCs w:val="22"/>
          <w:lang w:val="en-GB"/>
        </w:rPr>
        <w:t>, and Davies, 2017). Additionally, an individual's risk is significantly increased by growing older and having a positive family history of type 2 diabetes.</w:t>
      </w:r>
    </w:p>
    <w:p w:rsidR="24E3EEDD" w:rsidP="577E0829" w:rsidRDefault="24E3EEDD" w14:paraId="1C4DD411" w14:textId="3BE7CF0C">
      <w:pPr>
        <w:pStyle w:val="Normal"/>
        <w:spacing w:line="360" w:lineRule="auto"/>
        <w:jc w:val="both"/>
        <w:rPr>
          <w:rFonts w:ascii="Arial" w:hAnsi="Arial" w:eastAsia="Arial" w:cs="Arial"/>
          <w:noProof w:val="0"/>
          <w:sz w:val="22"/>
          <w:szCs w:val="22"/>
          <w:lang w:val="en-GB"/>
        </w:rPr>
      </w:pPr>
      <w:r w:rsidRPr="577E0829" w:rsidR="0DD6DDD1">
        <w:rPr>
          <w:rFonts w:ascii="Arial" w:hAnsi="Arial" w:eastAsia="Arial" w:cs="Arial"/>
          <w:noProof w:val="0"/>
          <w:sz w:val="22"/>
          <w:szCs w:val="22"/>
          <w:lang w:val="en-GB"/>
        </w:rPr>
        <w:t>This report's main goal is to give practicing nurses working in primary care a thorough, evidence-based educational resource. This report seeks to provide healthcare professionals with the knowledge necessary to assist patients in comprehending their diagnosis, recognising the vital significance of self-monitoring, and implementing practical lifestyle changes to safely and effectively manage their blood sugar levels by converting intricate physiological concepts into easily understood guidelines (Public Health England, 2021).</w:t>
      </w:r>
    </w:p>
    <w:p w:rsidR="24E3EEDD" w:rsidP="15A36B5D" w:rsidRDefault="24E3EEDD" w14:paraId="4D66FC9E" w14:textId="35F70BDC">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9763124" w:id="1499461778"/>
      <w:r w:rsidRPr="15A36B5D" w:rsidR="106215C0">
        <w:rPr>
          <w:noProof w:val="0"/>
          <w:lang w:val="en-GB"/>
        </w:rPr>
        <w:t>Section 1: Anatomy &amp; Physiology</w:t>
      </w:r>
      <w:bookmarkEnd w:id="1499461778"/>
    </w:p>
    <w:p w:rsidR="24E3EEDD" w:rsidP="15A36B5D" w:rsidRDefault="24E3EEDD" w14:paraId="52042E9C" w14:textId="239369E8">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738362774" w:id="1428539322"/>
      <w:r w:rsidRPr="15A36B5D" w:rsidR="106215C0">
        <w:rPr>
          <w:noProof w:val="0"/>
          <w:lang w:val="en-GB"/>
        </w:rPr>
        <w:t>Blood Sugar Regulation</w:t>
      </w:r>
      <w:bookmarkEnd w:id="1428539322"/>
    </w:p>
    <w:p w:rsidR="744C1C75" w:rsidP="577E0829" w:rsidRDefault="744C1C75" w14:paraId="45FC80D9" w14:textId="42377547">
      <w:pPr>
        <w:pStyle w:val="Normal"/>
        <w:spacing w:line="360" w:lineRule="auto"/>
        <w:jc w:val="both"/>
        <w:rPr>
          <w:rFonts w:ascii="Arial" w:hAnsi="Arial" w:eastAsia="Arial" w:cs="Arial"/>
          <w:noProof w:val="0"/>
          <w:sz w:val="22"/>
          <w:szCs w:val="22"/>
          <w:lang w:val="en-GB"/>
        </w:rPr>
      </w:pPr>
      <w:r w:rsidRPr="577E0829" w:rsidR="00E0FCDD">
        <w:rPr>
          <w:rFonts w:ascii="Arial" w:hAnsi="Arial" w:eastAsia="Arial" w:cs="Arial"/>
          <w:noProof w:val="0"/>
          <w:sz w:val="22"/>
          <w:szCs w:val="22"/>
          <w:lang w:val="en-GB"/>
        </w:rPr>
        <w:t xml:space="preserve">The endocrine pancreas is principally responsible for the tightly regulated physiological loop that controls blood glucose homeostasis. Blood glucose levels are normally kept within a specific physiological range, usually between 4.0 to 5.9 mmol/L during fasting (Kahn, Cooper, </w:t>
      </w:r>
      <w:r w:rsidRPr="577E0829" w:rsidR="088488E4">
        <w:rPr>
          <w:rFonts w:ascii="Arial" w:hAnsi="Arial" w:eastAsia="Arial" w:cs="Arial"/>
          <w:noProof w:val="0"/>
          <w:sz w:val="22"/>
          <w:szCs w:val="22"/>
          <w:lang w:val="en-GB"/>
        </w:rPr>
        <w:t>and Del</w:t>
      </w:r>
      <w:r w:rsidRPr="577E0829" w:rsidR="00E0FCDD">
        <w:rPr>
          <w:rFonts w:ascii="Arial" w:hAnsi="Arial" w:eastAsia="Arial" w:cs="Arial"/>
          <w:noProof w:val="0"/>
          <w:sz w:val="22"/>
          <w:szCs w:val="22"/>
          <w:lang w:val="en-GB"/>
        </w:rPr>
        <w:t xml:space="preserve"> Prato, 2014). After consuming carbs, food is converted into simple sugars, </w:t>
      </w:r>
      <w:r w:rsidRPr="577E0829" w:rsidR="00E0FCDD">
        <w:rPr>
          <w:rFonts w:ascii="Arial" w:hAnsi="Arial" w:eastAsia="Arial" w:cs="Arial"/>
          <w:noProof w:val="0"/>
          <w:sz w:val="22"/>
          <w:szCs w:val="22"/>
          <w:lang w:val="en-GB"/>
        </w:rPr>
        <w:t>mainly glucose</w:t>
      </w:r>
      <w:r w:rsidRPr="577E0829" w:rsidR="00E0FCDD">
        <w:rPr>
          <w:rFonts w:ascii="Arial" w:hAnsi="Arial" w:eastAsia="Arial" w:cs="Arial"/>
          <w:noProof w:val="0"/>
          <w:sz w:val="22"/>
          <w:szCs w:val="22"/>
          <w:lang w:val="en-GB"/>
        </w:rPr>
        <w:t>, which passes through the small intestine and into the bloodstream.</w:t>
      </w:r>
    </w:p>
    <w:p w:rsidR="12B6DFF9" w:rsidP="577E0829" w:rsidRDefault="12B6DFF9" w14:paraId="625E38D3" w14:textId="03B502D2">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 xml:space="preserve">Specialized endocrine cells in the pancreatic islets of Langerhans, particularly the beta cells, sense an increase in blood glucose levels and release the peptide hormone insulin straight into the bloodstream. According to Savage et al. (2007), insulin functions as a molecular "key" that attaches to </w:t>
      </w:r>
      <w:r w:rsidRPr="577E0829" w:rsidR="775E0D90">
        <w:rPr>
          <w:rFonts w:ascii="Arial" w:hAnsi="Arial" w:eastAsia="Arial" w:cs="Arial"/>
          <w:noProof w:val="0"/>
          <w:sz w:val="22"/>
          <w:szCs w:val="22"/>
          <w:lang w:val="en-GB"/>
        </w:rPr>
        <w:t>cell-surface</w:t>
      </w:r>
      <w:r w:rsidRPr="577E0829" w:rsidR="25A462FB">
        <w:rPr>
          <w:rFonts w:ascii="Arial" w:hAnsi="Arial" w:eastAsia="Arial" w:cs="Arial"/>
          <w:noProof w:val="0"/>
          <w:sz w:val="22"/>
          <w:szCs w:val="22"/>
          <w:lang w:val="en-GB"/>
        </w:rPr>
        <w:t xml:space="preserve"> receptors on target tissues, primarily skeletal muscle, adipose (fat) tissue, and the </w:t>
      </w:r>
      <w:r w:rsidRPr="577E0829" w:rsidR="6B7CC80B">
        <w:rPr>
          <w:rFonts w:ascii="Arial" w:hAnsi="Arial" w:eastAsia="Arial" w:cs="Arial"/>
          <w:noProof w:val="0"/>
          <w:sz w:val="22"/>
          <w:szCs w:val="22"/>
          <w:lang w:val="en-GB"/>
        </w:rPr>
        <w:t>live. The</w:t>
      </w:r>
      <w:r w:rsidRPr="577E0829" w:rsidR="25A462FB">
        <w:rPr>
          <w:rFonts w:ascii="Arial" w:hAnsi="Arial" w:eastAsia="Arial" w:cs="Arial"/>
          <w:noProof w:val="0"/>
          <w:sz w:val="22"/>
          <w:szCs w:val="22"/>
          <w:lang w:val="en-GB"/>
        </w:rPr>
        <w:t xml:space="preserve"> islets of Langerhans are specialized cell clusters found in the endocrine pancreas that include beta cells that secrete insulin and alpha cells that secrete glucagon, which </w:t>
      </w:r>
      <w:r w:rsidRPr="577E0829" w:rsidR="767B0874">
        <w:rPr>
          <w:rFonts w:ascii="Arial" w:hAnsi="Arial" w:eastAsia="Arial" w:cs="Arial"/>
          <w:noProof w:val="0"/>
          <w:sz w:val="22"/>
          <w:szCs w:val="22"/>
          <w:lang w:val="en-GB"/>
        </w:rPr>
        <w:t>oversee</w:t>
      </w:r>
      <w:r w:rsidRPr="577E0829" w:rsidR="25A462FB">
        <w:rPr>
          <w:rFonts w:ascii="Arial" w:hAnsi="Arial" w:eastAsia="Arial" w:cs="Arial"/>
          <w:noProof w:val="0"/>
          <w:sz w:val="22"/>
          <w:szCs w:val="22"/>
          <w:lang w:val="en-GB"/>
        </w:rPr>
        <w:t xml:space="preserve"> regulating hormones </w:t>
      </w:r>
      <w:r w:rsidRPr="577E0829" w:rsidR="32EBF707">
        <w:rPr>
          <w:rFonts w:ascii="Arial" w:hAnsi="Arial" w:eastAsia="Arial" w:cs="Arial"/>
          <w:noProof w:val="0"/>
          <w:sz w:val="22"/>
          <w:szCs w:val="22"/>
          <w:lang w:val="en-GB"/>
        </w:rPr>
        <w:t>(Waugh and Grant, 2018).</w:t>
      </w:r>
    </w:p>
    <w:p w:rsidR="25A462FB" w:rsidP="577E0829" w:rsidRDefault="25A462FB" w14:paraId="488AAFBA" w14:textId="737EDEB9">
      <w:pPr>
        <w:pStyle w:val="Normal"/>
        <w:spacing w:line="360" w:lineRule="auto"/>
        <w:jc w:val="both"/>
      </w:pPr>
      <w:r w:rsidRPr="577E0829" w:rsidR="25A462FB">
        <w:rPr>
          <w:rFonts w:ascii="Arial" w:hAnsi="Arial" w:eastAsia="Arial" w:cs="Arial"/>
          <w:noProof w:val="0"/>
          <w:sz w:val="22"/>
          <w:szCs w:val="22"/>
          <w:lang w:val="en-GB"/>
        </w:rPr>
        <w:t xml:space="preserve">The translocation of glucose transporter type 4 (GLUT4) vesicles to the cell membrane is triggered by a series of intracellular </w:t>
      </w:r>
      <w:r w:rsidRPr="577E0829" w:rsidR="50023F41">
        <w:rPr>
          <w:rFonts w:ascii="Arial" w:hAnsi="Arial" w:eastAsia="Arial" w:cs="Arial"/>
          <w:noProof w:val="0"/>
          <w:sz w:val="22"/>
          <w:szCs w:val="22"/>
          <w:lang w:val="en-GB"/>
        </w:rPr>
        <w:t>signalling</w:t>
      </w:r>
      <w:r w:rsidRPr="577E0829" w:rsidR="25A462FB">
        <w:rPr>
          <w:rFonts w:ascii="Arial" w:hAnsi="Arial" w:eastAsia="Arial" w:cs="Arial"/>
          <w:noProof w:val="0"/>
          <w:sz w:val="22"/>
          <w:szCs w:val="22"/>
          <w:lang w:val="en-GB"/>
        </w:rPr>
        <w:t xml:space="preserve"> events following interaction. Through this process, circulating glucose can reach cells along its concentration gradient and either be used right away for cellular energy or stored as glycogen (glycogenesis) in the skeletal muscles and liver. On the other hand, pancreatic alpha cells produce glucagon when blood glucose falls during fasting, which stimulates hepatic glycogenolysis and gluconeogenesis to restore normoglycemia (</w:t>
      </w:r>
      <w:r w:rsidRPr="577E0829" w:rsidR="25A462FB">
        <w:rPr>
          <w:rFonts w:ascii="Arial" w:hAnsi="Arial" w:eastAsia="Arial" w:cs="Arial"/>
          <w:noProof w:val="0"/>
          <w:sz w:val="22"/>
          <w:szCs w:val="22"/>
          <w:lang w:val="en-GB"/>
        </w:rPr>
        <w:t>Inzucchi</w:t>
      </w:r>
      <w:r w:rsidRPr="577E0829" w:rsidR="25A462FB">
        <w:rPr>
          <w:rFonts w:ascii="Arial" w:hAnsi="Arial" w:eastAsia="Arial" w:cs="Arial"/>
          <w:noProof w:val="0"/>
          <w:sz w:val="22"/>
          <w:szCs w:val="22"/>
          <w:lang w:val="en-GB"/>
        </w:rPr>
        <w:t xml:space="preserve"> et al., 2015).</w:t>
      </w:r>
    </w:p>
    <w:p w:rsidR="25A462FB" w:rsidP="15A36B5D" w:rsidRDefault="25A462FB" w14:paraId="564C3713" w14:textId="63A72E9D">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916383348" w:id="914932600"/>
      <w:r w:rsidRPr="15A36B5D" w:rsidR="76456DCE">
        <w:rPr>
          <w:noProof w:val="0"/>
          <w:lang w:val="en-GB"/>
        </w:rPr>
        <w:t>Cell Metabolism</w:t>
      </w:r>
      <w:bookmarkEnd w:id="914932600"/>
    </w:p>
    <w:p w:rsidR="12B6DFF9" w:rsidP="577E0829" w:rsidRDefault="12B6DFF9" w14:paraId="2F53DA4A" w14:textId="5110FB91">
      <w:pPr>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 xml:space="preserve">Cellular respiration, the metabolic process by which living cells obtain chemical energy in the form of adenosine triphosphate (ATP), uses glucose as its main substrate at the cellular level. Glycolysis and aerobic cellular respiration are the two primary stages of this multi-step enzymatic process. </w:t>
      </w:r>
    </w:p>
    <w:p w:rsidR="12B6DFF9" w:rsidP="15A36B5D" w:rsidRDefault="12B6DFF9" w14:paraId="2B9A5799" w14:textId="7DC9E18C">
      <w:pPr>
        <w:pStyle w:val="Normal"/>
        <w:rPr>
          <w:rFonts w:ascii="Arial" w:hAnsi="Arial" w:eastAsia="Arial" w:cs="Arial"/>
          <w:noProof w:val="0"/>
          <w:sz w:val="22"/>
          <w:szCs w:val="22"/>
          <w:lang w:val="en-GB"/>
        </w:rPr>
      </w:pPr>
      <w:r w:rsidRPr="15A36B5D" w:rsidR="76456DCE">
        <w:rPr>
          <w:noProof w:val="0"/>
          <w:lang w:val="en-GB"/>
        </w:rPr>
        <w:t>Glycolysis:</w:t>
      </w:r>
      <w:r w:rsidRPr="15A36B5D" w:rsidR="76456DCE">
        <w:rPr>
          <w:noProof w:val="0"/>
          <w:lang w:val="en-GB"/>
        </w:rPr>
        <w:t xml:space="preserve"> </w:t>
      </w:r>
      <w:r w:rsidRPr="15A36B5D" w:rsidR="76456DCE">
        <w:rPr>
          <w:noProof w:val="0"/>
          <w:lang w:val="en-GB"/>
        </w:rPr>
        <w:t xml:space="preserve">This process, which takes place in the cytoplasm of cells, divides one glucose molecule into two pyruvate molecules, producing two ATP molecules and reduced coenzymes (NADH). This stage </w:t>
      </w:r>
      <w:r w:rsidRPr="15A36B5D" w:rsidR="76456DCE">
        <w:rPr>
          <w:noProof w:val="0"/>
          <w:lang w:val="en-GB"/>
        </w:rPr>
        <w:t>doesn't</w:t>
      </w:r>
      <w:r w:rsidRPr="15A36B5D" w:rsidR="76456DCE">
        <w:rPr>
          <w:noProof w:val="0"/>
          <w:lang w:val="en-GB"/>
        </w:rPr>
        <w:t xml:space="preserve"> need oxygen. </w:t>
      </w:r>
    </w:p>
    <w:p w:rsidR="12B6DFF9" w:rsidP="577E0829" w:rsidRDefault="12B6DFF9" w14:paraId="3A982E11" w14:textId="674FEC91">
      <w:pPr>
        <w:pStyle w:val="Normal"/>
        <w:spacing w:line="360" w:lineRule="auto"/>
        <w:jc w:val="both"/>
        <w:rPr>
          <w:rFonts w:ascii="Arial" w:hAnsi="Arial" w:eastAsia="Arial" w:cs="Arial"/>
          <w:noProof w:val="0"/>
          <w:sz w:val="22"/>
          <w:szCs w:val="22"/>
          <w:lang w:val="en-GB"/>
        </w:rPr>
      </w:pPr>
    </w:p>
    <w:p w:rsidR="12B6DFF9" w:rsidP="577E0829" w:rsidRDefault="12B6DFF9" w14:paraId="725FC188" w14:textId="00EB3D92">
      <w:pPr>
        <w:pStyle w:val="Normal"/>
        <w:spacing w:line="360" w:lineRule="auto"/>
        <w:jc w:val="both"/>
      </w:pPr>
      <w:r w:rsidR="3ED6151F">
        <w:drawing>
          <wp:inline wp14:editId="0FD5B9D4" wp14:anchorId="13D67754">
            <wp:extent cx="5772649" cy="2620827"/>
            <wp:effectExtent l="0" t="0" r="0" b="0"/>
            <wp:docPr id="15448521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4852130" name="Picture 1544852130"/>
                    <pic:cNvPicPr/>
                  </pic:nvPicPr>
                  <pic:blipFill>
                    <a:blip xmlns:r="http://schemas.openxmlformats.org/officeDocument/2006/relationships" r:embed="rId1008335720">
                      <a:extLst>
                        <a:ext uri="{28A0092B-C50C-407E-A947-70E740481C1C}">
                          <a14:useLocalDpi xmlns:a14="http://schemas.microsoft.com/office/drawing/2010/main"/>
                        </a:ext>
                      </a:extLst>
                    </a:blip>
                    <a:stretch>
                      <a:fillRect/>
                    </a:stretch>
                  </pic:blipFill>
                  <pic:spPr>
                    <a:xfrm rot="0">
                      <a:off x="0" y="0"/>
                      <a:ext cx="5772649" cy="2620827"/>
                    </a:xfrm>
                    <a:prstGeom prst="rect">
                      <a:avLst/>
                    </a:prstGeom>
                  </pic:spPr>
                </pic:pic>
              </a:graphicData>
            </a:graphic>
          </wp:inline>
        </w:drawing>
      </w:r>
      <w:r w:rsidRPr="577E0829" w:rsidR="5E610ECF">
        <w:rPr>
          <w:rFonts w:ascii="Arial" w:hAnsi="Arial" w:eastAsia="Arial" w:cs="Arial"/>
          <w:b w:val="1"/>
          <w:bCs w:val="1"/>
          <w:noProof w:val="0"/>
          <w:sz w:val="22"/>
          <w:szCs w:val="22"/>
          <w:lang w:val="en-GB"/>
        </w:rPr>
        <w:t>Figure 1:</w:t>
      </w:r>
      <w:r w:rsidRPr="577E0829" w:rsidR="5E610ECF">
        <w:rPr>
          <w:rFonts w:ascii="Arial" w:hAnsi="Arial" w:eastAsia="Arial" w:cs="Arial"/>
          <w:noProof w:val="0"/>
          <w:sz w:val="22"/>
          <w:szCs w:val="22"/>
          <w:lang w:val="en-GB"/>
        </w:rPr>
        <w:t xml:space="preserve"> Summary of the glycolysis metabolic pathway (Source: Sabatier et al., 2021, adapted from OpenStax </w:t>
      </w:r>
      <w:r w:rsidRPr="577E0829" w:rsidR="5E610ECF">
        <w:rPr>
          <w:rFonts w:ascii="Arial" w:hAnsi="Arial" w:eastAsia="Arial" w:cs="Arial"/>
          <w:i w:val="1"/>
          <w:iCs w:val="1"/>
          <w:noProof w:val="0"/>
          <w:sz w:val="22"/>
          <w:szCs w:val="22"/>
          <w:lang w:val="en-GB"/>
        </w:rPr>
        <w:t>Biology 2e</w:t>
      </w:r>
      <w:r w:rsidRPr="577E0829" w:rsidR="5E610ECF">
        <w:rPr>
          <w:rFonts w:ascii="Arial" w:hAnsi="Arial" w:eastAsia="Arial" w:cs="Arial"/>
          <w:noProof w:val="0"/>
          <w:sz w:val="22"/>
          <w:szCs w:val="22"/>
          <w:lang w:val="en-GB"/>
        </w:rPr>
        <w:t>).</w:t>
      </w:r>
    </w:p>
    <w:p w:rsidR="12B6DFF9" w:rsidP="15A36B5D" w:rsidRDefault="12B6DFF9" w14:paraId="0809691B" w14:textId="5122ECCF">
      <w:pPr>
        <w:pStyle w:val="Normal"/>
        <w:rPr>
          <w:rFonts w:ascii="Arial" w:hAnsi="Arial" w:eastAsia="Arial" w:cs="Arial"/>
          <w:noProof w:val="0"/>
          <w:sz w:val="22"/>
          <w:szCs w:val="22"/>
          <w:lang w:val="en-GB"/>
        </w:rPr>
      </w:pPr>
      <w:r w:rsidRPr="15A36B5D" w:rsidR="76456DCE">
        <w:rPr>
          <w:noProof w:val="0"/>
          <w:lang w:val="en-GB"/>
        </w:rPr>
        <w:t>Aerobic Respiration:</w:t>
      </w:r>
      <w:r w:rsidRPr="15A36B5D" w:rsidR="76456DCE">
        <w:rPr>
          <w:noProof w:val="0"/>
          <w:lang w:val="en-GB"/>
        </w:rPr>
        <w:t xml:space="preserve"> </w:t>
      </w:r>
      <w:r w:rsidRPr="15A36B5D" w:rsidR="76456DCE">
        <w:rPr>
          <w:noProof w:val="0"/>
          <w:lang w:val="en-GB"/>
        </w:rPr>
        <w:t>Pyruvate is carried into the mitochondria when there is enough oxygen (O2). Here, it goes through oxidative phosphorylation through the electron transport chain and the Krebs cycle (also known as the citric acid cycle). As the last electron acceptor, oxygen enables the greatest extraction of energy.</w:t>
      </w:r>
    </w:p>
    <w:p w:rsidR="05AA4B97" w:rsidP="577E0829" w:rsidRDefault="05AA4B97" w14:paraId="3DC3491B" w14:textId="142562B9">
      <w:pPr>
        <w:pStyle w:val="Normal"/>
        <w:spacing w:line="360" w:lineRule="auto"/>
        <w:jc w:val="both"/>
        <w:rPr>
          <w:rFonts w:ascii="Arial" w:hAnsi="Arial" w:eastAsia="Arial" w:cs="Arial"/>
          <w:sz w:val="22"/>
          <w:szCs w:val="22"/>
        </w:rPr>
      </w:pPr>
      <w:r w:rsidR="05AA4B97">
        <w:drawing>
          <wp:inline wp14:editId="1F091595" wp14:anchorId="05DF26E6">
            <wp:extent cx="5895975" cy="3039122"/>
            <wp:effectExtent l="0" t="0" r="0" b="0"/>
            <wp:docPr id="7427636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2763600" name="Picture 742763600"/>
                    <pic:cNvPicPr/>
                  </pic:nvPicPr>
                  <pic:blipFill>
                    <a:blip xmlns:r="http://schemas.openxmlformats.org/officeDocument/2006/relationships" r:embed="rId1258838358">
                      <a:extLst>
                        <a:ext uri="{28A0092B-C50C-407E-A947-70E740481C1C}">
                          <a14:useLocalDpi xmlns:a14="http://schemas.microsoft.com/office/drawing/2010/main"/>
                        </a:ext>
                      </a:extLst>
                    </a:blip>
                    <a:stretch>
                      <a:fillRect/>
                    </a:stretch>
                  </pic:blipFill>
                  <pic:spPr>
                    <a:xfrm rot="0">
                      <a:off x="0" y="0"/>
                      <a:ext cx="5895975" cy="3039122"/>
                    </a:xfrm>
                    <a:prstGeom prst="rect">
                      <a:avLst/>
                    </a:prstGeom>
                  </pic:spPr>
                </pic:pic>
              </a:graphicData>
            </a:graphic>
          </wp:inline>
        </w:drawing>
      </w:r>
    </w:p>
    <w:p w:rsidR="784317A1" w:rsidP="577E0829" w:rsidRDefault="784317A1" w14:paraId="42A26E83" w14:textId="34FA3833">
      <w:pPr>
        <w:pStyle w:val="Normal"/>
        <w:spacing w:line="360" w:lineRule="auto"/>
        <w:jc w:val="both"/>
        <w:rPr>
          <w:rFonts w:ascii="Arial" w:hAnsi="Arial" w:eastAsia="Arial" w:cs="Arial"/>
          <w:noProof w:val="0"/>
          <w:sz w:val="22"/>
          <w:szCs w:val="22"/>
          <w:lang w:val="en-GB"/>
        </w:rPr>
      </w:pPr>
      <w:r w:rsidRPr="577E0829" w:rsidR="784317A1">
        <w:rPr>
          <w:rFonts w:ascii="Arial" w:hAnsi="Arial" w:eastAsia="Arial" w:cs="Arial"/>
          <w:b w:val="1"/>
          <w:bCs w:val="1"/>
          <w:noProof w:val="0"/>
          <w:sz w:val="22"/>
          <w:szCs w:val="22"/>
          <w:lang w:val="en-GB"/>
        </w:rPr>
        <w:t>Figure 2:</w:t>
      </w:r>
      <w:r w:rsidRPr="577E0829" w:rsidR="784317A1">
        <w:rPr>
          <w:rFonts w:ascii="Arial" w:hAnsi="Arial" w:eastAsia="Arial" w:cs="Arial"/>
          <w:noProof w:val="0"/>
          <w:sz w:val="22"/>
          <w:szCs w:val="22"/>
          <w:lang w:val="en-GB"/>
        </w:rPr>
        <w:t xml:space="preserve"> The glycolysis metabolic pathway (Source: News-Medical, 2023).</w:t>
      </w:r>
    </w:p>
    <w:p w:rsidR="577E0829" w:rsidP="577E0829" w:rsidRDefault="577E0829" w14:paraId="7671F255" w14:textId="7140C009">
      <w:pPr>
        <w:pStyle w:val="Normal"/>
        <w:spacing w:line="360" w:lineRule="auto"/>
        <w:jc w:val="both"/>
        <w:rPr>
          <w:rFonts w:ascii="Arial" w:hAnsi="Arial" w:eastAsia="Arial" w:cs="Arial"/>
          <w:noProof w:val="0"/>
          <w:sz w:val="22"/>
          <w:szCs w:val="22"/>
          <w:lang w:val="en-GB"/>
        </w:rPr>
      </w:pPr>
    </w:p>
    <w:p w:rsidR="12B6DFF9" w:rsidP="577E0829" w:rsidRDefault="12B6DFF9" w14:paraId="547C0BEA" w14:textId="4CE75CD9">
      <w:p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The overall chemical equation for cellular respiration can be represented as:</w:t>
      </w:r>
    </w:p>
    <w:p w:rsidR="12B6DFF9" w:rsidP="577E0829" w:rsidRDefault="12B6DFF9" w14:paraId="1EAFC82B" w14:textId="27D4BBFC">
      <w:p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Glucose (C</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 xml:space="preserve">6 </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H</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12</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6</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 +6O</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7E0829" w:rsidR="25A462FB">
        <w:rPr>
          <w:rFonts w:ascii="Arial" w:hAnsi="Arial" w:eastAsia="Arial" w:cs="Arial"/>
          <w:b w:val="1"/>
          <w:bCs w:val="1"/>
          <w:i w:val="0"/>
          <w:iCs w:val="0"/>
          <w:caps w:val="0"/>
          <w:smallCaps w:val="0"/>
          <w:noProof w:val="0"/>
          <w:color w:val="0A0A0A"/>
          <w:sz w:val="22"/>
          <w:szCs w:val="22"/>
          <w:lang w:val="en-GB"/>
        </w:rPr>
        <w:t>→</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6CO</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+6H</w:t>
      </w:r>
      <w:r w:rsidRPr="577E0829"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77E0829" w:rsidR="25A462FB">
        <w:rPr>
          <w:rFonts w:ascii="Arial" w:hAnsi="Arial" w:eastAsia="Arial" w:cs="Arial"/>
          <w:b w:val="0"/>
          <w:bCs w:val="0"/>
          <w:i w:val="0"/>
          <w:iCs w:val="0"/>
          <w:caps w:val="0"/>
          <w:smallCaps w:val="0"/>
          <w:noProof w:val="0"/>
          <w:color w:val="000000" w:themeColor="text1" w:themeTint="FF" w:themeShade="FF"/>
          <w:sz w:val="22"/>
          <w:szCs w:val="22"/>
          <w:lang w:val="en-GB"/>
        </w:rPr>
        <w:t>O +ATP(Energy)</w:t>
      </w:r>
    </w:p>
    <w:p w:rsidR="12B6DFF9" w:rsidP="577E0829" w:rsidRDefault="12B6DFF9" w14:paraId="34CF05E7" w14:textId="7CAE6E86">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Almost all</w:t>
      </w:r>
      <w:r w:rsidRPr="577E0829" w:rsidR="25A462FB">
        <w:rPr>
          <w:rFonts w:ascii="Arial" w:hAnsi="Arial" w:eastAsia="Arial" w:cs="Arial"/>
          <w:noProof w:val="0"/>
          <w:sz w:val="22"/>
          <w:szCs w:val="22"/>
          <w:lang w:val="en-GB"/>
        </w:rPr>
        <w:t xml:space="preserve"> cellular processes, such as muscular contraction, active transport across membranes, and protein synthesis, depend on the produced ATP. Cellular energy production is hampered in the absence of a steady supply of glucose entering the cell through insulin-mediated pathways, compromising normal tissue function (Samson et al., 2023</w:t>
      </w:r>
      <w:r w:rsidRPr="577E0829" w:rsidR="665D38FB">
        <w:rPr>
          <w:rFonts w:ascii="Arial" w:hAnsi="Arial" w:eastAsia="Arial" w:cs="Arial"/>
          <w:noProof w:val="0"/>
          <w:sz w:val="22"/>
          <w:szCs w:val="22"/>
          <w:lang w:val="en-GB"/>
        </w:rPr>
        <w:t>). By</w:t>
      </w:r>
      <w:r w:rsidRPr="577E0829" w:rsidR="25A462FB">
        <w:rPr>
          <w:rFonts w:ascii="Arial" w:hAnsi="Arial" w:eastAsia="Arial" w:cs="Arial"/>
          <w:noProof w:val="0"/>
          <w:sz w:val="22"/>
          <w:szCs w:val="22"/>
          <w:lang w:val="en-GB"/>
        </w:rPr>
        <w:t xml:space="preserve"> binding to </w:t>
      </w:r>
      <w:r w:rsidRPr="577E0829" w:rsidR="109AA942">
        <w:rPr>
          <w:rFonts w:ascii="Arial" w:hAnsi="Arial" w:eastAsia="Arial" w:cs="Arial"/>
          <w:noProof w:val="0"/>
          <w:sz w:val="22"/>
          <w:szCs w:val="22"/>
          <w:lang w:val="en-GB"/>
        </w:rPr>
        <w:t>membrane</w:t>
      </w:r>
      <w:r w:rsidRPr="577E0829" w:rsidR="25A462FB">
        <w:rPr>
          <w:rFonts w:ascii="Arial" w:hAnsi="Arial" w:eastAsia="Arial" w:cs="Arial"/>
          <w:noProof w:val="0"/>
          <w:sz w:val="22"/>
          <w:szCs w:val="22"/>
          <w:lang w:val="en-GB"/>
        </w:rPr>
        <w:t xml:space="preserve"> receptors on target cells, insulin functions as a crucial molecular key that </w:t>
      </w:r>
      <w:r w:rsidRPr="577E0829" w:rsidR="25A462FB">
        <w:rPr>
          <w:rFonts w:ascii="Arial" w:hAnsi="Arial" w:eastAsia="Arial" w:cs="Arial"/>
          <w:noProof w:val="0"/>
          <w:sz w:val="22"/>
          <w:szCs w:val="22"/>
          <w:lang w:val="en-GB"/>
        </w:rPr>
        <w:t>initiates</w:t>
      </w:r>
      <w:r w:rsidRPr="577E0829" w:rsidR="25A462FB">
        <w:rPr>
          <w:rFonts w:ascii="Arial" w:hAnsi="Arial" w:eastAsia="Arial" w:cs="Arial"/>
          <w:noProof w:val="0"/>
          <w:sz w:val="22"/>
          <w:szCs w:val="22"/>
          <w:lang w:val="en-GB"/>
        </w:rPr>
        <w:t xml:space="preserve"> intracellular </w:t>
      </w:r>
      <w:r w:rsidRPr="577E0829" w:rsidR="3AAC7B18">
        <w:rPr>
          <w:rFonts w:ascii="Arial" w:hAnsi="Arial" w:eastAsia="Arial" w:cs="Arial"/>
          <w:noProof w:val="0"/>
          <w:sz w:val="22"/>
          <w:szCs w:val="22"/>
          <w:lang w:val="en-GB"/>
        </w:rPr>
        <w:t>signalling</w:t>
      </w:r>
      <w:r w:rsidRPr="577E0829" w:rsidR="25A462FB">
        <w:rPr>
          <w:rFonts w:ascii="Arial" w:hAnsi="Arial" w:eastAsia="Arial" w:cs="Arial"/>
          <w:noProof w:val="0"/>
          <w:sz w:val="22"/>
          <w:szCs w:val="22"/>
          <w:lang w:val="en-GB"/>
        </w:rPr>
        <w:t xml:space="preserve"> pathways that </w:t>
      </w:r>
      <w:r w:rsidRPr="577E0829" w:rsidR="25A462FB">
        <w:rPr>
          <w:rFonts w:ascii="Arial" w:hAnsi="Arial" w:eastAsia="Arial" w:cs="Arial"/>
          <w:noProof w:val="0"/>
          <w:sz w:val="22"/>
          <w:szCs w:val="22"/>
          <w:lang w:val="en-GB"/>
        </w:rPr>
        <w:t>permit</w:t>
      </w:r>
      <w:r w:rsidRPr="577E0829" w:rsidR="25A462FB">
        <w:rPr>
          <w:rFonts w:ascii="Arial" w:hAnsi="Arial" w:eastAsia="Arial" w:cs="Arial"/>
          <w:noProof w:val="0"/>
          <w:sz w:val="22"/>
          <w:szCs w:val="22"/>
          <w:lang w:val="en-GB"/>
        </w:rPr>
        <w:t xml:space="preserve"> glucose to enter and be used for cellular energy production </w:t>
      </w:r>
      <w:r w:rsidRPr="577E0829" w:rsidR="5631FBB7">
        <w:rPr>
          <w:rFonts w:ascii="Arial" w:hAnsi="Arial" w:eastAsia="Arial" w:cs="Arial"/>
          <w:noProof w:val="0"/>
          <w:sz w:val="22"/>
          <w:szCs w:val="22"/>
          <w:lang w:val="en-GB"/>
        </w:rPr>
        <w:t xml:space="preserve">(Colbert </w:t>
      </w:r>
      <w:r w:rsidRPr="577E0829" w:rsidR="5631FBB7">
        <w:rPr>
          <w:rFonts w:ascii="Arial" w:hAnsi="Arial" w:eastAsia="Arial" w:cs="Arial"/>
          <w:i w:val="1"/>
          <w:iCs w:val="1"/>
          <w:noProof w:val="0"/>
          <w:sz w:val="22"/>
          <w:szCs w:val="22"/>
          <w:lang w:val="en-GB"/>
        </w:rPr>
        <w:t>et al.</w:t>
      </w:r>
      <w:r w:rsidRPr="577E0829" w:rsidR="5631FBB7">
        <w:rPr>
          <w:rFonts w:ascii="Arial" w:hAnsi="Arial" w:eastAsia="Arial" w:cs="Arial"/>
          <w:noProof w:val="0"/>
          <w:sz w:val="22"/>
          <w:szCs w:val="22"/>
          <w:lang w:val="en-GB"/>
        </w:rPr>
        <w:t>, 2012)</w:t>
      </w:r>
      <w:r w:rsidRPr="577E0829" w:rsidR="6A8FE0E0">
        <w:rPr>
          <w:rFonts w:ascii="Arial" w:hAnsi="Arial" w:eastAsia="Arial" w:cs="Arial"/>
          <w:noProof w:val="0"/>
          <w:sz w:val="22"/>
          <w:szCs w:val="22"/>
          <w:lang w:val="en-GB"/>
        </w:rPr>
        <w:t>.</w:t>
      </w:r>
    </w:p>
    <w:p w:rsidR="12B6DFF9" w:rsidP="15A36B5D" w:rsidRDefault="12B6DFF9" w14:paraId="67153411" w14:textId="52A6AB10">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67670685" w:id="923521647"/>
      <w:r w:rsidRPr="15A36B5D" w:rsidR="76456DCE">
        <w:rPr>
          <w:noProof w:val="0"/>
          <w:lang w:val="en-GB"/>
        </w:rPr>
        <w:t>Section 2: Pathophysiology &amp; Impact</w:t>
      </w:r>
      <w:bookmarkEnd w:id="923521647"/>
    </w:p>
    <w:p w:rsidR="12B6DFF9" w:rsidP="15A36B5D" w:rsidRDefault="12B6DFF9" w14:paraId="5B4D00B2" w14:textId="4DFACD50">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151514018" w:id="1699347991"/>
      <w:r w:rsidRPr="15A36B5D" w:rsidR="76456DCE">
        <w:rPr>
          <w:noProof w:val="0"/>
          <w:lang w:val="en-GB"/>
        </w:rPr>
        <w:t>Failure of Blood Sugar Regulation</w:t>
      </w:r>
      <w:bookmarkEnd w:id="1699347991"/>
    </w:p>
    <w:p w:rsidR="12B6DFF9" w:rsidP="577E0829" w:rsidRDefault="12B6DFF9" w14:paraId="3466F172" w14:textId="534AA15D">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Insulin resistance and relative insulin shortage are two interrelated pathophysiological events that cause blood sugar homeostasis to fail in type 2 diabetes (Savage, Petersen, &amp; Shulman, 2007). Skeletal muscle and liver cells are examples of peripheral target tissues that initially do not react well to normal circulating insulin concentrations. Despite elevated insulin levels (hyperinsulinemia), this insulin resistance causes the GLUT4 transporters to be ineffectively recruited to the cell surface, trapping glucose in the circulation (Kahn, Cooper, and Del Prato, 2014).</w:t>
      </w:r>
    </w:p>
    <w:p w:rsidR="12B6DFF9" w:rsidP="577E0829" w:rsidRDefault="12B6DFF9" w14:paraId="5CA49767" w14:textId="3D28E675">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The pancreatic beta cells first produce more insulin to make up for peripheral resistance. But over time, this persistent overworking causes structural damage (</w:t>
      </w:r>
      <w:r w:rsidRPr="577E0829" w:rsidR="25A462FB">
        <w:rPr>
          <w:rFonts w:ascii="Arial" w:hAnsi="Arial" w:eastAsia="Arial" w:cs="Arial"/>
          <w:noProof w:val="0"/>
          <w:sz w:val="22"/>
          <w:szCs w:val="22"/>
          <w:lang w:val="en-GB"/>
        </w:rPr>
        <w:t>lipotoxicity</w:t>
      </w:r>
      <w:r w:rsidRPr="577E0829" w:rsidR="25A462FB">
        <w:rPr>
          <w:rFonts w:ascii="Arial" w:hAnsi="Arial" w:eastAsia="Arial" w:cs="Arial"/>
          <w:noProof w:val="0"/>
          <w:sz w:val="22"/>
          <w:szCs w:val="22"/>
          <w:lang w:val="en-GB"/>
        </w:rPr>
        <w:t xml:space="preserve"> and glucotoxicity) and beta-cell depletion (Taylor, Al-</w:t>
      </w:r>
      <w:r w:rsidRPr="577E0829" w:rsidR="25A462FB">
        <w:rPr>
          <w:rFonts w:ascii="Arial" w:hAnsi="Arial" w:eastAsia="Arial" w:cs="Arial"/>
          <w:noProof w:val="0"/>
          <w:sz w:val="22"/>
          <w:szCs w:val="22"/>
          <w:lang w:val="en-GB"/>
        </w:rPr>
        <w:t>Mrabeh</w:t>
      </w:r>
      <w:r w:rsidRPr="577E0829" w:rsidR="25A462FB">
        <w:rPr>
          <w:rFonts w:ascii="Arial" w:hAnsi="Arial" w:eastAsia="Arial" w:cs="Arial"/>
          <w:noProof w:val="0"/>
          <w:sz w:val="22"/>
          <w:szCs w:val="22"/>
          <w:lang w:val="en-GB"/>
        </w:rPr>
        <w:t xml:space="preserve">, and Sattar, 2019). As a result, insulin output decreases, leading to persistent </w:t>
      </w:r>
      <w:r w:rsidRPr="577E0829" w:rsidR="40D6ADEB">
        <w:rPr>
          <w:rFonts w:ascii="Arial" w:hAnsi="Arial" w:eastAsia="Arial" w:cs="Arial"/>
          <w:noProof w:val="0"/>
          <w:sz w:val="22"/>
          <w:szCs w:val="22"/>
          <w:lang w:val="en-GB"/>
        </w:rPr>
        <w:t>hyperglycaemia</w:t>
      </w:r>
      <w:r w:rsidRPr="577E0829" w:rsidR="25A462FB">
        <w:rPr>
          <w:rFonts w:ascii="Arial" w:hAnsi="Arial" w:eastAsia="Arial" w:cs="Arial"/>
          <w:noProof w:val="0"/>
          <w:sz w:val="22"/>
          <w:szCs w:val="22"/>
          <w:lang w:val="en-GB"/>
        </w:rPr>
        <w:t>. By encouraging endothelial dysfunction, oxidative stress, and the buildup of advanced glycation end products (AGEs), persistently high blood glucose damages the body and leads to microvascular and macrovascular problems.</w:t>
      </w:r>
    </w:p>
    <w:p w:rsidR="12B6DFF9" w:rsidP="15A36B5D" w:rsidRDefault="12B6DFF9" w14:paraId="26572F9F" w14:textId="49A87C16">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309965457" w:id="2036033670"/>
      <w:r w:rsidRPr="15A36B5D" w:rsidR="76456DCE">
        <w:rPr>
          <w:noProof w:val="0"/>
          <w:lang w:val="en-GB"/>
        </w:rPr>
        <w:t>Impact of Lifestyle Factors on Glucose Control</w:t>
      </w:r>
      <w:bookmarkEnd w:id="2036033670"/>
    </w:p>
    <w:p w:rsidR="12B6DFF9" w:rsidP="577E0829" w:rsidRDefault="12B6DFF9" w14:paraId="730ECE3A" w14:textId="56FDD738">
      <w:pPr>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 xml:space="preserve">This pathophysiological cascade can be either exacerbated or mitigated by lifestyle factors: </w:t>
      </w:r>
    </w:p>
    <w:p w:rsidR="12B6DFF9" w:rsidP="577E0829" w:rsidRDefault="12B6DFF9" w14:paraId="4E696ECD" w14:textId="23C66209">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b w:val="1"/>
          <w:bCs w:val="1"/>
          <w:noProof w:val="0"/>
          <w:sz w:val="22"/>
          <w:szCs w:val="22"/>
          <w:lang w:val="en-GB"/>
        </w:rPr>
        <w:t xml:space="preserve">Diet: </w:t>
      </w:r>
      <w:r w:rsidRPr="577E0829" w:rsidR="25A462FB">
        <w:rPr>
          <w:rFonts w:ascii="Arial" w:hAnsi="Arial" w:eastAsia="Arial" w:cs="Arial"/>
          <w:noProof w:val="0"/>
          <w:sz w:val="22"/>
          <w:szCs w:val="22"/>
          <w:lang w:val="en-GB"/>
        </w:rPr>
        <w:t xml:space="preserve">Postprandial blood glucose increases are caused by diets heavy in simple carbs and refined sugars. According to the Scientific Advisory Committee on Nutrition (SACN, 2015), drinking high-sugar beverages raises the risk of type 2 diabetes by causing weight gain, increased energy consumption, and metabolic strain. SACN </w:t>
      </w:r>
      <w:r w:rsidRPr="577E0829" w:rsidR="25A462FB">
        <w:rPr>
          <w:rFonts w:ascii="Arial" w:hAnsi="Arial" w:eastAsia="Arial" w:cs="Arial"/>
          <w:noProof w:val="0"/>
          <w:sz w:val="22"/>
          <w:szCs w:val="22"/>
          <w:lang w:val="en-GB"/>
        </w:rPr>
        <w:t>advised</w:t>
      </w:r>
      <w:r w:rsidRPr="577E0829" w:rsidR="25A462FB">
        <w:rPr>
          <w:rFonts w:ascii="Arial" w:hAnsi="Arial" w:eastAsia="Arial" w:cs="Arial"/>
          <w:noProof w:val="0"/>
          <w:sz w:val="22"/>
          <w:szCs w:val="22"/>
          <w:lang w:val="en-GB"/>
        </w:rPr>
        <w:t xml:space="preserve"> limiting free sugars to no more than 5% of daily dietary energy intake and minimizing sugar-sweetened beverages </w:t>
      </w:r>
      <w:r w:rsidRPr="577E0829" w:rsidR="5BE4DAD0">
        <w:rPr>
          <w:rFonts w:ascii="Arial" w:hAnsi="Arial" w:eastAsia="Arial" w:cs="Arial"/>
          <w:noProof w:val="0"/>
          <w:sz w:val="22"/>
          <w:szCs w:val="22"/>
          <w:lang w:val="en-GB"/>
        </w:rPr>
        <w:t>to</w:t>
      </w:r>
      <w:r w:rsidRPr="577E0829" w:rsidR="25A462FB">
        <w:rPr>
          <w:rFonts w:ascii="Arial" w:hAnsi="Arial" w:eastAsia="Arial" w:cs="Arial"/>
          <w:noProof w:val="0"/>
          <w:sz w:val="22"/>
          <w:szCs w:val="22"/>
          <w:lang w:val="en-GB"/>
        </w:rPr>
        <w:t xml:space="preserve"> reduce this risk and support blood glucose regulation. </w:t>
      </w:r>
      <w:r w:rsidRPr="577E0829" w:rsidR="25A462FB">
        <w:rPr>
          <w:rFonts w:ascii="Arial" w:hAnsi="Arial" w:eastAsia="Arial" w:cs="Arial"/>
          <w:noProof w:val="0"/>
          <w:sz w:val="22"/>
          <w:szCs w:val="22"/>
          <w:lang w:val="en-GB"/>
        </w:rPr>
        <w:t xml:space="preserve">Smoking: Nicotine and other components of </w:t>
      </w:r>
      <w:r w:rsidRPr="577E0829" w:rsidR="566CB76B">
        <w:rPr>
          <w:rFonts w:ascii="Arial" w:hAnsi="Arial" w:eastAsia="Arial" w:cs="Arial"/>
          <w:noProof w:val="0"/>
          <w:sz w:val="22"/>
          <w:szCs w:val="22"/>
          <w:lang w:val="en-GB"/>
        </w:rPr>
        <w:t>cigarette</w:t>
      </w:r>
      <w:r w:rsidRPr="577E0829" w:rsidR="25A462FB">
        <w:rPr>
          <w:rFonts w:ascii="Arial" w:hAnsi="Arial" w:eastAsia="Arial" w:cs="Arial"/>
          <w:noProof w:val="0"/>
          <w:sz w:val="22"/>
          <w:szCs w:val="22"/>
          <w:lang w:val="en-GB"/>
        </w:rPr>
        <w:t xml:space="preserve"> smoke worsen endothelial function, raise oxidative stress, and cause systemic inflammation. Exposure to nicotine has been </w:t>
      </w:r>
      <w:r w:rsidRPr="577E0829" w:rsidR="25A462FB">
        <w:rPr>
          <w:rFonts w:ascii="Arial" w:hAnsi="Arial" w:eastAsia="Arial" w:cs="Arial"/>
          <w:noProof w:val="0"/>
          <w:sz w:val="22"/>
          <w:szCs w:val="22"/>
          <w:lang w:val="en-GB"/>
        </w:rPr>
        <w:t>demonstrated</w:t>
      </w:r>
      <w:r w:rsidRPr="577E0829" w:rsidR="25A462FB">
        <w:rPr>
          <w:rFonts w:ascii="Arial" w:hAnsi="Arial" w:eastAsia="Arial" w:cs="Arial"/>
          <w:noProof w:val="0"/>
          <w:sz w:val="22"/>
          <w:szCs w:val="22"/>
          <w:lang w:val="en-GB"/>
        </w:rPr>
        <w:t xml:space="preserve"> to directly disrupt insulin </w:t>
      </w:r>
      <w:r w:rsidRPr="577E0829" w:rsidR="31C9CD7C">
        <w:rPr>
          <w:rFonts w:ascii="Arial" w:hAnsi="Arial" w:eastAsia="Arial" w:cs="Arial"/>
          <w:noProof w:val="0"/>
          <w:sz w:val="22"/>
          <w:szCs w:val="22"/>
          <w:lang w:val="en-GB"/>
        </w:rPr>
        <w:t>signalling</w:t>
      </w:r>
      <w:r w:rsidRPr="577E0829" w:rsidR="25A462FB">
        <w:rPr>
          <w:rFonts w:ascii="Arial" w:hAnsi="Arial" w:eastAsia="Arial" w:cs="Arial"/>
          <w:noProof w:val="0"/>
          <w:sz w:val="22"/>
          <w:szCs w:val="22"/>
          <w:lang w:val="en-GB"/>
        </w:rPr>
        <w:t xml:space="preserve"> pathways in skeletal muscle, </w:t>
      </w:r>
      <w:r w:rsidRPr="577E0829" w:rsidR="25A462FB">
        <w:rPr>
          <w:rFonts w:ascii="Arial" w:hAnsi="Arial" w:eastAsia="Arial" w:cs="Arial"/>
          <w:noProof w:val="0"/>
          <w:sz w:val="22"/>
          <w:szCs w:val="22"/>
          <w:lang w:val="en-GB"/>
        </w:rPr>
        <w:t>exacerbating</w:t>
      </w:r>
      <w:r w:rsidRPr="577E0829" w:rsidR="25A462FB">
        <w:rPr>
          <w:rFonts w:ascii="Arial" w:hAnsi="Arial" w:eastAsia="Arial" w:cs="Arial"/>
          <w:noProof w:val="0"/>
          <w:sz w:val="22"/>
          <w:szCs w:val="22"/>
          <w:lang w:val="en-GB"/>
        </w:rPr>
        <w:t xml:space="preserve"> insulin </w:t>
      </w:r>
      <w:r w:rsidRPr="577E0829" w:rsidR="25A462FB">
        <w:rPr>
          <w:rFonts w:ascii="Arial" w:hAnsi="Arial" w:eastAsia="Arial" w:cs="Arial"/>
          <w:noProof w:val="0"/>
          <w:sz w:val="22"/>
          <w:szCs w:val="22"/>
          <w:lang w:val="en-GB"/>
        </w:rPr>
        <w:t>resistance</w:t>
      </w:r>
      <w:r w:rsidRPr="577E0829" w:rsidR="25A462FB">
        <w:rPr>
          <w:rFonts w:ascii="Arial" w:hAnsi="Arial" w:eastAsia="Arial" w:cs="Arial"/>
          <w:noProof w:val="0"/>
          <w:sz w:val="22"/>
          <w:szCs w:val="22"/>
          <w:lang w:val="en-GB"/>
        </w:rPr>
        <w:t xml:space="preserve"> and </w:t>
      </w:r>
      <w:r w:rsidRPr="577E0829" w:rsidR="25A462FB">
        <w:rPr>
          <w:rFonts w:ascii="Arial" w:hAnsi="Arial" w:eastAsia="Arial" w:cs="Arial"/>
          <w:noProof w:val="0"/>
          <w:sz w:val="22"/>
          <w:szCs w:val="22"/>
          <w:lang w:val="en-GB"/>
        </w:rPr>
        <w:t>greatly increasing</w:t>
      </w:r>
      <w:r w:rsidRPr="577E0829" w:rsidR="25A462FB">
        <w:rPr>
          <w:rFonts w:ascii="Arial" w:hAnsi="Arial" w:eastAsia="Arial" w:cs="Arial"/>
          <w:noProof w:val="0"/>
          <w:sz w:val="22"/>
          <w:szCs w:val="22"/>
          <w:lang w:val="en-GB"/>
        </w:rPr>
        <w:t xml:space="preserve"> the risk of cardiovascular problems in individuals with diabetes (Public Health England, 2021). </w:t>
      </w:r>
    </w:p>
    <w:p w:rsidR="19838A64" w:rsidP="577E0829" w:rsidRDefault="19838A64" w14:paraId="57C65986" w14:textId="17F90ABF">
      <w:pPr>
        <w:spacing w:line="360" w:lineRule="auto"/>
        <w:jc w:val="both"/>
        <w:rPr>
          <w:rFonts w:ascii="Arial" w:hAnsi="Arial" w:eastAsia="Arial" w:cs="Arial"/>
          <w:sz w:val="22"/>
          <w:szCs w:val="22"/>
        </w:rPr>
      </w:pPr>
    </w:p>
    <w:p w:rsidR="12B6DFF9" w:rsidP="577E0829" w:rsidRDefault="12B6DFF9" w14:paraId="13D4DEAC" w14:textId="7ABFF031">
      <w:pPr>
        <w:spacing w:line="360" w:lineRule="auto"/>
        <w:jc w:val="both"/>
        <w:rPr>
          <w:rFonts w:ascii="Arial" w:hAnsi="Arial" w:eastAsia="Arial" w:cs="Arial"/>
          <w:noProof w:val="0"/>
          <w:sz w:val="22"/>
          <w:szCs w:val="22"/>
          <w:lang w:val="en-GB"/>
        </w:rPr>
      </w:pPr>
      <w:r w:rsidRPr="577E0829" w:rsidR="25A462FB">
        <w:rPr>
          <w:rFonts w:ascii="Arial" w:hAnsi="Arial" w:eastAsia="Arial" w:cs="Arial"/>
          <w:b w:val="1"/>
          <w:bCs w:val="1"/>
          <w:noProof w:val="0"/>
          <w:sz w:val="22"/>
          <w:szCs w:val="22"/>
          <w:lang w:val="en-GB"/>
        </w:rPr>
        <w:t>Exercise:</w:t>
      </w:r>
      <w:r w:rsidRPr="577E0829" w:rsidR="25A462FB">
        <w:rPr>
          <w:rFonts w:ascii="Arial" w:hAnsi="Arial" w:eastAsia="Arial" w:cs="Arial"/>
          <w:noProof w:val="0"/>
          <w:sz w:val="22"/>
          <w:szCs w:val="22"/>
          <w:lang w:val="en-GB"/>
        </w:rPr>
        <w:t xml:space="preserve"> Since muscle is the main location of insulin-mediated glucose clearance, inactivity encourages the loss of muscle </w:t>
      </w:r>
      <w:r w:rsidRPr="577E0829" w:rsidR="25A462FB">
        <w:rPr>
          <w:rFonts w:ascii="Arial" w:hAnsi="Arial" w:eastAsia="Arial" w:cs="Arial"/>
          <w:noProof w:val="0"/>
          <w:sz w:val="22"/>
          <w:szCs w:val="22"/>
          <w:lang w:val="en-GB"/>
        </w:rPr>
        <w:t>mass.On</w:t>
      </w:r>
      <w:r w:rsidRPr="577E0829" w:rsidR="25A462FB">
        <w:rPr>
          <w:rFonts w:ascii="Arial" w:hAnsi="Arial" w:eastAsia="Arial" w:cs="Arial"/>
          <w:noProof w:val="0"/>
          <w:sz w:val="22"/>
          <w:szCs w:val="22"/>
          <w:lang w:val="en-GB"/>
        </w:rPr>
        <w:t xml:space="preserve"> the other hand, an insulin-independent mechanism for glucose uptake is stimulated by muscular contraction during exercise, which moves GLUT4 transporters to the cell membrane through different </w:t>
      </w:r>
      <w:r w:rsidRPr="577E0829" w:rsidR="44789928">
        <w:rPr>
          <w:rFonts w:ascii="Arial" w:hAnsi="Arial" w:eastAsia="Arial" w:cs="Arial"/>
          <w:noProof w:val="0"/>
          <w:sz w:val="22"/>
          <w:szCs w:val="22"/>
          <w:lang w:val="en-GB"/>
        </w:rPr>
        <w:t>signalling</w:t>
      </w:r>
      <w:r w:rsidRPr="577E0829" w:rsidR="25A462FB">
        <w:rPr>
          <w:rFonts w:ascii="Arial" w:hAnsi="Arial" w:eastAsia="Arial" w:cs="Arial"/>
          <w:noProof w:val="0"/>
          <w:sz w:val="22"/>
          <w:szCs w:val="22"/>
          <w:lang w:val="en-GB"/>
        </w:rPr>
        <w:t xml:space="preserve"> cascades. For up to 48 hours after exercise, this enhances overall insulin sensitivity and momentarily decreases blood glucose (Colberg et al., 2016). </w:t>
      </w:r>
    </w:p>
    <w:p w:rsidR="12B6DFF9" w:rsidP="15A36B5D" w:rsidRDefault="12B6DFF9" w14:paraId="5EC676FF" w14:textId="12BB6849">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01535989" w:id="1568462544"/>
      <w:r w:rsidRPr="15A36B5D" w:rsidR="76456DCE">
        <w:rPr>
          <w:noProof w:val="0"/>
          <w:lang w:val="en-GB"/>
        </w:rPr>
        <w:t>Section 3: Monitoring &amp; Data Use</w:t>
      </w:r>
      <w:bookmarkEnd w:id="1568462544"/>
    </w:p>
    <w:p w:rsidR="12B6DFF9" w:rsidP="15A36B5D" w:rsidRDefault="12B6DFF9" w14:paraId="2724E8CF" w14:textId="081FA29C">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39082432" w:id="213002326"/>
      <w:r w:rsidRPr="15A36B5D" w:rsidR="76456DCE">
        <w:rPr>
          <w:noProof w:val="0"/>
          <w:lang w:val="en-GB"/>
        </w:rPr>
        <w:t>Importance of Tracking Health Data</w:t>
      </w:r>
      <w:bookmarkEnd w:id="213002326"/>
    </w:p>
    <w:p w:rsidR="12B6DFF9" w:rsidP="577E0829" w:rsidRDefault="12B6DFF9" w14:paraId="2D0A2F4F" w14:textId="406E0992">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 xml:space="preserve">The foundation of successful diabetic self-management is self-monitoring blood glucose (SMBG) and tracking associated metrics (such as HbA1c, blood pressure, and body weight) (National Institute for Health and Care Excellence, 2022). Monitoring health data gives patients and medical professionals a chronological, objective record of </w:t>
      </w:r>
      <w:r w:rsidRPr="577E0829" w:rsidR="1ADF29C6">
        <w:rPr>
          <w:rFonts w:ascii="Arial" w:hAnsi="Arial" w:eastAsia="Arial" w:cs="Arial"/>
          <w:noProof w:val="0"/>
          <w:sz w:val="22"/>
          <w:szCs w:val="22"/>
          <w:lang w:val="en-GB"/>
        </w:rPr>
        <w:t>glycaemic</w:t>
      </w:r>
      <w:r w:rsidRPr="577E0829" w:rsidR="25A462FB">
        <w:rPr>
          <w:rFonts w:ascii="Arial" w:hAnsi="Arial" w:eastAsia="Arial" w:cs="Arial"/>
          <w:noProof w:val="0"/>
          <w:sz w:val="22"/>
          <w:szCs w:val="22"/>
          <w:lang w:val="en-GB"/>
        </w:rPr>
        <w:t xml:space="preserve"> control. </w:t>
      </w:r>
      <w:r w:rsidRPr="577E0829" w:rsidR="25A462FB">
        <w:rPr>
          <w:rFonts w:ascii="Arial" w:hAnsi="Arial" w:eastAsia="Arial" w:cs="Arial"/>
          <w:noProof w:val="0"/>
          <w:sz w:val="22"/>
          <w:szCs w:val="22"/>
          <w:lang w:val="en-GB"/>
        </w:rPr>
        <w:t xml:space="preserve">Patients can discover </w:t>
      </w:r>
      <w:r w:rsidRPr="577E0829" w:rsidR="2216C6AC">
        <w:rPr>
          <w:rFonts w:ascii="Arial" w:hAnsi="Arial" w:eastAsia="Arial" w:cs="Arial"/>
          <w:noProof w:val="0"/>
          <w:sz w:val="22"/>
          <w:szCs w:val="22"/>
          <w:lang w:val="en-GB"/>
        </w:rPr>
        <w:t>patterns</w:t>
      </w:r>
      <w:r w:rsidRPr="577E0829" w:rsidR="25A462FB">
        <w:rPr>
          <w:rFonts w:ascii="Arial" w:hAnsi="Arial" w:eastAsia="Arial" w:cs="Arial"/>
          <w:noProof w:val="0"/>
          <w:sz w:val="22"/>
          <w:szCs w:val="22"/>
          <w:lang w:val="en-GB"/>
        </w:rPr>
        <w:t xml:space="preserve">, such as how particular diets, physical activities, stress levels, or drugs directly affect their glucose levels, by methodically </w:t>
      </w:r>
      <w:r w:rsidRPr="577E0829" w:rsidR="25A462FB">
        <w:rPr>
          <w:rFonts w:ascii="Arial" w:hAnsi="Arial" w:eastAsia="Arial" w:cs="Arial"/>
          <w:noProof w:val="0"/>
          <w:sz w:val="22"/>
          <w:szCs w:val="22"/>
          <w:lang w:val="en-GB"/>
        </w:rPr>
        <w:t>monitoring</w:t>
      </w:r>
      <w:r w:rsidRPr="577E0829" w:rsidR="25A462FB">
        <w:rPr>
          <w:rFonts w:ascii="Arial" w:hAnsi="Arial" w:eastAsia="Arial" w:cs="Arial"/>
          <w:noProof w:val="0"/>
          <w:sz w:val="22"/>
          <w:szCs w:val="22"/>
          <w:lang w:val="en-GB"/>
        </w:rPr>
        <w:t xml:space="preserve"> their blood sugar levels. By converting intangible therapeutic goals into concrete everyday insights, this feedback loop enables patients to make well-informed, in-the-moment regular modifications (Buse et al., 2020). </w:t>
      </w:r>
    </w:p>
    <w:p w:rsidR="12B6DFF9" w:rsidP="15A36B5D" w:rsidRDefault="12B6DFF9" w14:paraId="315862D2" w14:textId="51A08D30">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780556714" w:id="1664319537"/>
      <w:r w:rsidRPr="15A36B5D" w:rsidR="76456DCE">
        <w:rPr>
          <w:noProof w:val="0"/>
          <w:lang w:val="en-GB"/>
        </w:rPr>
        <w:t>How Routine Data Helps Manage the Condition</w:t>
      </w:r>
      <w:bookmarkEnd w:id="1664319537"/>
    </w:p>
    <w:p w:rsidR="442A3BCD" w:rsidP="577E0829" w:rsidRDefault="442A3BCD" w14:paraId="16A61A7F" w14:textId="74B1A5C5">
      <w:pPr>
        <w:spacing w:before="240" w:beforeAutospacing="off" w:after="240" w:afterAutospacing="off" w:line="360" w:lineRule="auto"/>
        <w:jc w:val="both"/>
        <w:rPr>
          <w:rFonts w:ascii="Arial" w:hAnsi="Arial" w:eastAsia="Arial" w:cs="Arial"/>
          <w:noProof w:val="0"/>
          <w:sz w:val="22"/>
          <w:szCs w:val="22"/>
          <w:lang w:val="en-GB"/>
        </w:rPr>
      </w:pPr>
      <w:r w:rsidRPr="577E0829" w:rsidR="21E5D9D1">
        <w:rPr>
          <w:rFonts w:ascii="Arial" w:hAnsi="Arial" w:eastAsia="Arial" w:cs="Arial"/>
          <w:noProof w:val="0"/>
          <w:sz w:val="22"/>
          <w:szCs w:val="22"/>
          <w:lang w:val="en-GB"/>
        </w:rPr>
        <w:t>Within primary care, routine data collection serves vital clinical and psychological functions.</w:t>
      </w:r>
    </w:p>
    <w:p w:rsidR="19838A64" w:rsidP="577E0829" w:rsidRDefault="19838A64" w14:paraId="251BD041" w14:textId="4D4A1B36">
      <w:pPr>
        <w:pStyle w:val="Normal"/>
        <w:spacing w:before="240" w:beforeAutospacing="off" w:after="240" w:afterAutospacing="off" w:line="360" w:lineRule="auto"/>
        <w:jc w:val="both"/>
        <w:rPr>
          <w:rFonts w:ascii="Arial" w:hAnsi="Arial" w:eastAsia="Arial" w:cs="Arial"/>
          <w:noProof w:val="0"/>
          <w:sz w:val="22"/>
          <w:szCs w:val="22"/>
          <w:lang w:val="en-GB"/>
        </w:rPr>
      </w:pPr>
      <w:r w:rsidRPr="577E0829" w:rsidR="74317487">
        <w:rPr>
          <w:rFonts w:ascii="Arial" w:hAnsi="Arial" w:eastAsia="Arial" w:cs="Arial"/>
          <w:noProof w:val="0"/>
          <w:sz w:val="22"/>
          <w:szCs w:val="22"/>
          <w:lang w:val="en-GB"/>
        </w:rPr>
        <w:t xml:space="preserve">First, </w:t>
      </w:r>
      <w:r w:rsidRPr="577E0829" w:rsidR="74317487">
        <w:rPr>
          <w:rFonts w:ascii="Arial" w:hAnsi="Arial" w:eastAsia="Arial" w:cs="Arial"/>
          <w:noProof w:val="0"/>
          <w:sz w:val="22"/>
          <w:szCs w:val="22"/>
          <w:lang w:val="en-GB"/>
        </w:rPr>
        <w:t>it's</w:t>
      </w:r>
      <w:r w:rsidRPr="577E0829" w:rsidR="74317487">
        <w:rPr>
          <w:rFonts w:ascii="Arial" w:hAnsi="Arial" w:eastAsia="Arial" w:cs="Arial"/>
          <w:noProof w:val="0"/>
          <w:sz w:val="22"/>
          <w:szCs w:val="22"/>
          <w:lang w:val="en-GB"/>
        </w:rPr>
        <w:t xml:space="preserve"> critical to </w:t>
      </w:r>
      <w:r w:rsidRPr="577E0829" w:rsidR="74317487">
        <w:rPr>
          <w:rFonts w:ascii="Arial" w:hAnsi="Arial" w:eastAsia="Arial" w:cs="Arial"/>
          <w:noProof w:val="0"/>
          <w:sz w:val="22"/>
          <w:szCs w:val="22"/>
          <w:lang w:val="en-GB"/>
        </w:rPr>
        <w:t>identify</w:t>
      </w:r>
      <w:r w:rsidRPr="577E0829" w:rsidR="74317487">
        <w:rPr>
          <w:rFonts w:ascii="Arial" w:hAnsi="Arial" w:eastAsia="Arial" w:cs="Arial"/>
          <w:noProof w:val="0"/>
          <w:sz w:val="22"/>
          <w:szCs w:val="22"/>
          <w:lang w:val="en-GB"/>
        </w:rPr>
        <w:t xml:space="preserve"> trends early. Regular monitoring enables patients and practicing nurses to </w:t>
      </w:r>
      <w:r w:rsidRPr="577E0829" w:rsidR="74317487">
        <w:rPr>
          <w:rFonts w:ascii="Arial" w:hAnsi="Arial" w:eastAsia="Arial" w:cs="Arial"/>
          <w:noProof w:val="0"/>
          <w:sz w:val="22"/>
          <w:szCs w:val="22"/>
          <w:lang w:val="en-GB"/>
        </w:rPr>
        <w:t>identify</w:t>
      </w:r>
      <w:r w:rsidRPr="577E0829" w:rsidR="74317487">
        <w:rPr>
          <w:rFonts w:ascii="Arial" w:hAnsi="Arial" w:eastAsia="Arial" w:cs="Arial"/>
          <w:noProof w:val="0"/>
          <w:sz w:val="22"/>
          <w:szCs w:val="22"/>
          <w:lang w:val="en-GB"/>
        </w:rPr>
        <w:t xml:space="preserve"> episodes of persistent </w:t>
      </w:r>
      <w:r w:rsidRPr="577E0829" w:rsidR="74317487">
        <w:rPr>
          <w:rFonts w:ascii="Arial" w:hAnsi="Arial" w:eastAsia="Arial" w:cs="Arial"/>
          <w:noProof w:val="0"/>
          <w:sz w:val="22"/>
          <w:szCs w:val="22"/>
          <w:lang w:val="en-GB"/>
        </w:rPr>
        <w:t>hyperglycaemia</w:t>
      </w:r>
      <w:r w:rsidRPr="577E0829" w:rsidR="74317487">
        <w:rPr>
          <w:rFonts w:ascii="Arial" w:hAnsi="Arial" w:eastAsia="Arial" w:cs="Arial"/>
          <w:noProof w:val="0"/>
          <w:sz w:val="22"/>
          <w:szCs w:val="22"/>
          <w:lang w:val="en-GB"/>
        </w:rPr>
        <w:t xml:space="preserve"> or severe hypoglycaemia before they become acute medical problems (American Diabetes Association, 2024). Additionally, healthcare professionals use longitudinal data to make evidence-based therapeutic decisions that enable them to </w:t>
      </w:r>
      <w:r w:rsidRPr="577E0829" w:rsidR="74317487">
        <w:rPr>
          <w:rFonts w:ascii="Arial" w:hAnsi="Arial" w:eastAsia="Arial" w:cs="Arial"/>
          <w:noProof w:val="0"/>
          <w:sz w:val="22"/>
          <w:szCs w:val="22"/>
          <w:lang w:val="en-GB"/>
        </w:rPr>
        <w:t>modify</w:t>
      </w:r>
      <w:r w:rsidRPr="577E0829" w:rsidR="74317487">
        <w:rPr>
          <w:rFonts w:ascii="Arial" w:hAnsi="Arial" w:eastAsia="Arial" w:cs="Arial"/>
          <w:noProof w:val="0"/>
          <w:sz w:val="22"/>
          <w:szCs w:val="22"/>
          <w:lang w:val="en-GB"/>
        </w:rPr>
        <w:t xml:space="preserve"> insulin regimes, </w:t>
      </w:r>
      <w:r w:rsidRPr="577E0829" w:rsidR="74317487">
        <w:rPr>
          <w:rFonts w:ascii="Arial" w:hAnsi="Arial" w:eastAsia="Arial" w:cs="Arial"/>
          <w:noProof w:val="0"/>
          <w:sz w:val="22"/>
          <w:szCs w:val="22"/>
          <w:lang w:val="en-GB"/>
        </w:rPr>
        <w:t>optimize</w:t>
      </w:r>
      <w:r w:rsidRPr="577E0829" w:rsidR="74317487">
        <w:rPr>
          <w:rFonts w:ascii="Arial" w:hAnsi="Arial" w:eastAsia="Arial" w:cs="Arial"/>
          <w:noProof w:val="0"/>
          <w:sz w:val="22"/>
          <w:szCs w:val="22"/>
          <w:lang w:val="en-GB"/>
        </w:rPr>
        <w:t xml:space="preserve"> medications, or assess the continued effectiveness of ongoing care initiatives (Davies et al., 2022).</w:t>
      </w:r>
    </w:p>
    <w:p w:rsidR="19838A64" w:rsidP="577E0829" w:rsidRDefault="19838A64" w14:paraId="6FF38526" w14:textId="4688615F">
      <w:pPr>
        <w:pStyle w:val="Normal"/>
        <w:spacing w:line="360" w:lineRule="auto"/>
        <w:jc w:val="both"/>
        <w:rPr>
          <w:rFonts w:ascii="Arial" w:hAnsi="Arial" w:eastAsia="Arial" w:cs="Arial"/>
          <w:noProof w:val="0"/>
          <w:sz w:val="22"/>
          <w:szCs w:val="22"/>
          <w:lang w:val="en-GB"/>
        </w:rPr>
      </w:pPr>
      <w:r w:rsidRPr="577E0829" w:rsidR="74317487">
        <w:rPr>
          <w:rFonts w:ascii="Arial" w:hAnsi="Arial" w:eastAsia="Arial" w:cs="Arial"/>
          <w:noProof w:val="0"/>
          <w:sz w:val="22"/>
          <w:szCs w:val="22"/>
          <w:lang w:val="en-GB"/>
        </w:rPr>
        <w:t xml:space="preserve">Second, regular tracking encourages better patient participation and motivation. When tangible numbers improve over time, positive lifestyle choices are strongly </w:t>
      </w:r>
      <w:r w:rsidRPr="577E0829" w:rsidR="74317487">
        <w:rPr>
          <w:rFonts w:ascii="Arial" w:hAnsi="Arial" w:eastAsia="Arial" w:cs="Arial"/>
          <w:noProof w:val="0"/>
          <w:sz w:val="22"/>
          <w:szCs w:val="22"/>
          <w:lang w:val="en-GB"/>
        </w:rPr>
        <w:t>reinforced,</w:t>
      </w:r>
      <w:r w:rsidRPr="577E0829" w:rsidR="74317487">
        <w:rPr>
          <w:rFonts w:ascii="Arial" w:hAnsi="Arial" w:eastAsia="Arial" w:cs="Arial"/>
          <w:noProof w:val="0"/>
          <w:sz w:val="22"/>
          <w:szCs w:val="22"/>
          <w:lang w:val="en-GB"/>
        </w:rPr>
        <w:t xml:space="preserve"> and </w:t>
      </w:r>
      <w:r w:rsidRPr="577E0829" w:rsidR="74317487">
        <w:rPr>
          <w:rFonts w:ascii="Arial" w:hAnsi="Arial" w:eastAsia="Arial" w:cs="Arial"/>
          <w:noProof w:val="0"/>
          <w:sz w:val="22"/>
          <w:szCs w:val="22"/>
          <w:lang w:val="en-GB"/>
        </w:rPr>
        <w:t>a strong sense</w:t>
      </w:r>
      <w:r w:rsidRPr="577E0829" w:rsidR="74317487">
        <w:rPr>
          <w:rFonts w:ascii="Arial" w:hAnsi="Arial" w:eastAsia="Arial" w:cs="Arial"/>
          <w:noProof w:val="0"/>
          <w:sz w:val="22"/>
          <w:szCs w:val="22"/>
          <w:lang w:val="en-GB"/>
        </w:rPr>
        <w:t xml:space="preserve"> of personal agency and control is fostered. On the other hand, increasing bad trends serve as an early warning system that prompts fast clinical intervention and focused patient education (Public Health England, 2021). In the end, regular data collection ensures safer, more effective long-term management of type 2 diabetes by bridging the gap between professional clinical oversight and daily self-care.</w:t>
      </w:r>
    </w:p>
    <w:p w:rsidR="12B6DFF9" w:rsidP="15A36B5D" w:rsidRDefault="12B6DFF9" w14:paraId="58A65DB5" w14:textId="0A507447">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36742331" w:id="1511910824"/>
      <w:r w:rsidRPr="15A36B5D" w:rsidR="76456DCE">
        <w:rPr>
          <w:noProof w:val="0"/>
          <w:lang w:val="en-GB"/>
        </w:rPr>
        <w:t>Section 4: Evidence-Based Lifestyle Recommendations</w:t>
      </w:r>
      <w:bookmarkEnd w:id="1511910824"/>
      <w:r w:rsidRPr="15A36B5D" w:rsidR="769091FE">
        <w:rPr>
          <w:noProof w:val="0"/>
          <w:lang w:val="en-GB"/>
        </w:rPr>
        <w:t xml:space="preserve"> </w:t>
      </w:r>
    </w:p>
    <w:p w:rsidR="530D84FB" w:rsidP="15A36B5D" w:rsidRDefault="530D84FB" w14:paraId="1A817BE9" w14:textId="21757B99">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89628669" w:id="1259290570"/>
      <w:r w:rsidRPr="15A36B5D" w:rsidR="769091FE">
        <w:rPr>
          <w:noProof w:val="0"/>
          <w:lang w:val="en-GB"/>
        </w:rPr>
        <w:t>Realistic Lifestyle Changes and Supporting Research</w:t>
      </w:r>
      <w:bookmarkEnd w:id="1259290570"/>
    </w:p>
    <w:p w:rsidR="6C33B3B8" w:rsidP="577E0829" w:rsidRDefault="6C33B3B8" w14:paraId="608E9E29" w14:textId="07C3F8EF">
      <w:pPr>
        <w:pStyle w:val="Normal"/>
        <w:spacing w:line="360" w:lineRule="auto"/>
        <w:jc w:val="both"/>
        <w:rPr>
          <w:rFonts w:ascii="Arial" w:hAnsi="Arial" w:eastAsia="Arial" w:cs="Arial"/>
          <w:noProof w:val="0"/>
          <w:sz w:val="22"/>
          <w:szCs w:val="22"/>
          <w:lang w:val="en-GB"/>
        </w:rPr>
      </w:pPr>
      <w:r w:rsidRPr="577E0829" w:rsidR="47B56945">
        <w:rPr>
          <w:rFonts w:ascii="Arial" w:hAnsi="Arial" w:eastAsia="Arial" w:cs="Arial"/>
          <w:noProof w:val="0"/>
          <w:sz w:val="22"/>
          <w:szCs w:val="22"/>
          <w:lang w:val="en-GB"/>
        </w:rPr>
        <w:t xml:space="preserve">Evidence-based guidelines, such as those from the National Institute for Health and Care Excellence (2022), </w:t>
      </w:r>
      <w:r w:rsidRPr="577E0829" w:rsidR="47B56945">
        <w:rPr>
          <w:rFonts w:ascii="Arial" w:hAnsi="Arial" w:eastAsia="Arial" w:cs="Arial"/>
          <w:noProof w:val="0"/>
          <w:sz w:val="22"/>
          <w:szCs w:val="22"/>
          <w:lang w:val="en-GB"/>
        </w:rPr>
        <w:t>establish</w:t>
      </w:r>
      <w:r w:rsidRPr="577E0829" w:rsidR="47B56945">
        <w:rPr>
          <w:rFonts w:ascii="Arial" w:hAnsi="Arial" w:eastAsia="Arial" w:cs="Arial"/>
          <w:noProof w:val="0"/>
          <w:sz w:val="22"/>
          <w:szCs w:val="22"/>
          <w:lang w:val="en-GB"/>
        </w:rPr>
        <w:t xml:space="preserve"> lifestyle modification as the absolute cornerstone of effective type 2 diabetes management. To successfully alter disease trajectories, healthcare frameworks emphasize three pivotal lifestyle pillars: dietary modification, structured physical activity, and smoking cessation.</w:t>
      </w:r>
    </w:p>
    <w:p w:rsidR="6C33B3B8" w:rsidP="577E0829" w:rsidRDefault="6C33B3B8" w14:paraId="3F5E207D" w14:textId="75B4EF30">
      <w:pPr>
        <w:spacing w:before="240" w:beforeAutospacing="off" w:after="240" w:afterAutospacing="off" w:line="360" w:lineRule="auto"/>
        <w:jc w:val="both"/>
        <w:rPr>
          <w:rFonts w:ascii="Arial" w:hAnsi="Arial" w:eastAsia="Arial" w:cs="Arial"/>
          <w:noProof w:val="0"/>
          <w:sz w:val="22"/>
          <w:szCs w:val="22"/>
          <w:lang w:val="en-GB"/>
        </w:rPr>
      </w:pPr>
      <w:r w:rsidRPr="577E0829" w:rsidR="5A5B881A">
        <w:rPr>
          <w:rFonts w:ascii="Arial" w:hAnsi="Arial" w:eastAsia="Arial" w:cs="Arial"/>
          <w:noProof w:val="0"/>
          <w:sz w:val="22"/>
          <w:szCs w:val="22"/>
          <w:lang w:val="en-GB"/>
        </w:rPr>
        <w:t xml:space="preserve">Lifestyle change is the unquestionable cornerstone of successful type 2 diabetes therapy, according to evidence-based guidelines like those from the National Institute for Health and Care Excellence (2022). Healthcare frameworks highlight three critical lifestyle pillars—dietary adjustment, structured physical exercise, and quitting smoking—to effectively change disease trajectories. </w:t>
      </w:r>
    </w:p>
    <w:p w:rsidR="6C33B3B8" w:rsidP="577E0829" w:rsidRDefault="6C33B3B8" w14:paraId="5988C202" w14:textId="1A1EF4A9">
      <w:pPr>
        <w:pStyle w:val="Normal"/>
        <w:spacing w:before="240" w:beforeAutospacing="off" w:after="240" w:afterAutospacing="off" w:line="360" w:lineRule="auto"/>
        <w:jc w:val="both"/>
        <w:rPr>
          <w:rFonts w:ascii="Arial" w:hAnsi="Arial" w:eastAsia="Arial" w:cs="Arial"/>
          <w:noProof w:val="0"/>
          <w:sz w:val="22"/>
          <w:szCs w:val="22"/>
          <w:lang w:val="en-GB"/>
        </w:rPr>
      </w:pPr>
      <w:r w:rsidRPr="577E0829" w:rsidR="5A5B881A">
        <w:rPr>
          <w:rFonts w:ascii="Arial" w:hAnsi="Arial" w:eastAsia="Arial" w:cs="Arial"/>
          <w:noProof w:val="0"/>
          <w:sz w:val="22"/>
          <w:szCs w:val="22"/>
          <w:lang w:val="en-GB"/>
        </w:rPr>
        <w:t xml:space="preserve">Adopting balanced eating habits, like the Mediterranean diet, is the first goal of dietary intervention. This strategy severely limits ultra-processed meals and free sugars while emphasizing whole grains, lean meats, healthy fats, and dietary fibre (Evert et al., 2019). According to clinical research, losing 5% to 15% of body weight can significantly improve cellular insulin sensitivity and, in individuals who qualify, lead to total remission of type 2 diabetes </w:t>
      </w:r>
      <w:r w:rsidRPr="577E0829" w:rsidR="47B56945">
        <w:rPr>
          <w:rFonts w:ascii="Arial" w:hAnsi="Arial" w:eastAsia="Arial" w:cs="Arial"/>
          <w:noProof w:val="0"/>
          <w:sz w:val="22"/>
          <w:szCs w:val="22"/>
          <w:lang w:val="en-GB"/>
        </w:rPr>
        <w:t>(National Institute for Health and Care Excellence, 2022; Taylor, Al-</w:t>
      </w:r>
      <w:r w:rsidRPr="577E0829" w:rsidR="47B56945">
        <w:rPr>
          <w:rFonts w:ascii="Arial" w:hAnsi="Arial" w:eastAsia="Arial" w:cs="Arial"/>
          <w:noProof w:val="0"/>
          <w:sz w:val="22"/>
          <w:szCs w:val="22"/>
          <w:lang w:val="en-GB"/>
        </w:rPr>
        <w:t>Mrabeh</w:t>
      </w:r>
      <w:r w:rsidRPr="577E0829" w:rsidR="47B56945">
        <w:rPr>
          <w:rFonts w:ascii="Arial" w:hAnsi="Arial" w:eastAsia="Arial" w:cs="Arial"/>
          <w:noProof w:val="0"/>
          <w:sz w:val="22"/>
          <w:szCs w:val="22"/>
          <w:lang w:val="en-GB"/>
        </w:rPr>
        <w:t>, and Sattar, 2019).</w:t>
      </w:r>
    </w:p>
    <w:p w:rsidR="6C33B3B8" w:rsidP="577E0829" w:rsidRDefault="6C33B3B8" w14:paraId="7BADBD3D" w14:textId="740AA764">
      <w:pPr>
        <w:spacing w:before="240" w:beforeAutospacing="off" w:after="240" w:afterAutospacing="off" w:line="360" w:lineRule="auto"/>
        <w:jc w:val="both"/>
        <w:rPr>
          <w:rFonts w:ascii="Arial" w:hAnsi="Arial" w:eastAsia="Arial" w:cs="Arial"/>
          <w:noProof w:val="0"/>
          <w:sz w:val="22"/>
          <w:szCs w:val="22"/>
          <w:lang w:val="en-GB"/>
        </w:rPr>
      </w:pPr>
      <w:r w:rsidRPr="577E0829" w:rsidR="243C16BB">
        <w:rPr>
          <w:rFonts w:ascii="Arial" w:hAnsi="Arial" w:eastAsia="Arial" w:cs="Arial"/>
          <w:noProof w:val="0"/>
          <w:sz w:val="22"/>
          <w:szCs w:val="22"/>
          <w:lang w:val="en-GB"/>
        </w:rPr>
        <w:t xml:space="preserve">Enhancing metabolic profiles requires regular exercise. According to guidelines, resistance training sessions should be combined with at least 150 minutes of moderate-intensity aerobic activity each week, such as swimming, cycling, or brisk walking, on two or more days per week (Colberg et al., 2016). This dual exercise method produces significant reductions in glycated haemoglobin (HbA1c) levels, according to extensive clinical data. </w:t>
      </w:r>
    </w:p>
    <w:p w:rsidR="6C33B3B8" w:rsidP="577E0829" w:rsidRDefault="6C33B3B8" w14:paraId="61D20E93" w14:textId="161F011E">
      <w:pPr>
        <w:pStyle w:val="Normal"/>
        <w:spacing w:before="240" w:beforeAutospacing="off" w:after="240" w:afterAutospacing="off" w:line="360" w:lineRule="auto"/>
        <w:jc w:val="both"/>
        <w:rPr>
          <w:rFonts w:ascii="Arial" w:hAnsi="Arial" w:eastAsia="Arial" w:cs="Arial"/>
          <w:noProof w:val="0"/>
          <w:sz w:val="22"/>
          <w:szCs w:val="22"/>
          <w:lang w:val="en-GB"/>
        </w:rPr>
      </w:pPr>
      <w:r w:rsidRPr="577E0829" w:rsidR="243C16BB">
        <w:rPr>
          <w:rFonts w:ascii="Arial" w:hAnsi="Arial" w:eastAsia="Arial" w:cs="Arial"/>
          <w:noProof w:val="0"/>
          <w:sz w:val="22"/>
          <w:szCs w:val="22"/>
          <w:lang w:val="en-GB"/>
        </w:rPr>
        <w:t xml:space="preserve">Lastly, quitting smoking is essential. Byproducts from cigarette smoke and nicotine worsen endothelial function, increase systemic inflammation, and interfere with muscle insulin signalling pathways. Nicotine replacement treatment effectively reduces these risks by lowering cardiovascular vulnerability and improving general metabolic health when used with structured stop-smoking </w:t>
      </w:r>
      <w:r w:rsidRPr="577E0829" w:rsidR="243C16BB">
        <w:rPr>
          <w:rFonts w:ascii="Arial" w:hAnsi="Arial" w:eastAsia="Arial" w:cs="Arial"/>
          <w:noProof w:val="0"/>
          <w:sz w:val="22"/>
          <w:szCs w:val="22"/>
          <w:lang w:val="en-GB"/>
        </w:rPr>
        <w:t>assistance</w:t>
      </w:r>
      <w:r w:rsidRPr="577E0829" w:rsidR="243C16BB">
        <w:rPr>
          <w:rFonts w:ascii="Arial" w:hAnsi="Arial" w:eastAsia="Arial" w:cs="Arial"/>
          <w:noProof w:val="0"/>
          <w:sz w:val="22"/>
          <w:szCs w:val="22"/>
          <w:lang w:val="en-GB"/>
        </w:rPr>
        <w:t xml:space="preserve"> programs </w:t>
      </w:r>
      <w:r w:rsidRPr="577E0829" w:rsidR="47B56945">
        <w:rPr>
          <w:rFonts w:ascii="Arial" w:hAnsi="Arial" w:eastAsia="Arial" w:cs="Arial"/>
          <w:noProof w:val="0"/>
          <w:sz w:val="22"/>
          <w:szCs w:val="22"/>
          <w:lang w:val="en-GB"/>
        </w:rPr>
        <w:t>(Public Health England, 2021).</w:t>
      </w:r>
    </w:p>
    <w:p w:rsidR="12B6DFF9" w:rsidP="15A36B5D" w:rsidRDefault="12B6DFF9" w14:paraId="4F455087" w14:textId="0C8B630D">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924969153" w:id="139365963"/>
      <w:r w:rsidRPr="15A36B5D" w:rsidR="76456DCE">
        <w:rPr>
          <w:noProof w:val="0"/>
          <w:lang w:val="en-GB"/>
        </w:rPr>
        <w:t>Physiological Improvements from Lifestyle Changes</w:t>
      </w:r>
      <w:bookmarkEnd w:id="139365963"/>
    </w:p>
    <w:p w:rsidR="12B6DFF9" w:rsidP="577E0829" w:rsidRDefault="12B6DFF9" w14:paraId="1351207C" w14:textId="6E1CFBF1">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noProof w:val="0"/>
          <w:sz w:val="22"/>
          <w:szCs w:val="22"/>
          <w:lang w:val="en-GB"/>
        </w:rPr>
        <w:t xml:space="preserve">Positive physiological adaptations are triggered by putting these evidence-based recommendations into practice: </w:t>
      </w:r>
    </w:p>
    <w:p w:rsidR="12B6DFF9" w:rsidP="577E0829" w:rsidRDefault="12B6DFF9" w14:paraId="7D8E0EA2" w14:textId="21F785DA">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b w:val="1"/>
          <w:bCs w:val="1"/>
          <w:noProof w:val="0"/>
          <w:sz w:val="22"/>
          <w:szCs w:val="22"/>
          <w:lang w:val="en-GB"/>
        </w:rPr>
        <w:t>Enhanced Insulin Sensitivity</w:t>
      </w:r>
      <w:r w:rsidRPr="577E0829" w:rsidR="25A462FB">
        <w:rPr>
          <w:rFonts w:ascii="Arial" w:hAnsi="Arial" w:eastAsia="Arial" w:cs="Arial"/>
          <w:noProof w:val="0"/>
          <w:sz w:val="22"/>
          <w:szCs w:val="22"/>
          <w:lang w:val="en-GB"/>
        </w:rPr>
        <w:t xml:space="preserve">: Losing weight restores the effectiveness of intracellular insulin receptor </w:t>
      </w:r>
      <w:r w:rsidRPr="577E0829" w:rsidR="188F4DAB">
        <w:rPr>
          <w:rFonts w:ascii="Arial" w:hAnsi="Arial" w:eastAsia="Arial" w:cs="Arial"/>
          <w:noProof w:val="0"/>
          <w:sz w:val="22"/>
          <w:szCs w:val="22"/>
          <w:lang w:val="en-GB"/>
        </w:rPr>
        <w:t>signalling</w:t>
      </w:r>
      <w:r w:rsidRPr="577E0829" w:rsidR="25A462FB">
        <w:rPr>
          <w:rFonts w:ascii="Arial" w:hAnsi="Arial" w:eastAsia="Arial" w:cs="Arial"/>
          <w:noProof w:val="0"/>
          <w:sz w:val="22"/>
          <w:szCs w:val="22"/>
          <w:lang w:val="en-GB"/>
        </w:rPr>
        <w:t xml:space="preserve"> cascades by lessening the load of ectopic fat deposition in the liver and skeletal muscle (Taylor, Al-</w:t>
      </w:r>
      <w:r w:rsidRPr="577E0829" w:rsidR="25A462FB">
        <w:rPr>
          <w:rFonts w:ascii="Arial" w:hAnsi="Arial" w:eastAsia="Arial" w:cs="Arial"/>
          <w:noProof w:val="0"/>
          <w:sz w:val="22"/>
          <w:szCs w:val="22"/>
          <w:lang w:val="en-GB"/>
        </w:rPr>
        <w:t>Mrabeh</w:t>
      </w:r>
      <w:r w:rsidRPr="577E0829" w:rsidR="25A462FB">
        <w:rPr>
          <w:rFonts w:ascii="Arial" w:hAnsi="Arial" w:eastAsia="Arial" w:cs="Arial"/>
          <w:noProof w:val="0"/>
          <w:sz w:val="22"/>
          <w:szCs w:val="22"/>
          <w:lang w:val="en-GB"/>
        </w:rPr>
        <w:t xml:space="preserve">, and Sattar, 2019). </w:t>
      </w:r>
    </w:p>
    <w:p w:rsidR="12B6DFF9" w:rsidP="577E0829" w:rsidRDefault="12B6DFF9" w14:paraId="0B078E9F" w14:textId="42BE7536">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b w:val="1"/>
          <w:bCs w:val="1"/>
          <w:noProof w:val="0"/>
          <w:sz w:val="22"/>
          <w:szCs w:val="22"/>
          <w:lang w:val="en-GB"/>
        </w:rPr>
        <w:t xml:space="preserve">Improved Glucose Clearance: </w:t>
      </w:r>
      <w:r w:rsidRPr="577E0829" w:rsidR="25A462FB">
        <w:rPr>
          <w:rFonts w:ascii="Arial" w:hAnsi="Arial" w:eastAsia="Arial" w:cs="Arial"/>
          <w:noProof w:val="0"/>
          <w:sz w:val="22"/>
          <w:szCs w:val="22"/>
          <w:lang w:val="en-GB"/>
        </w:rPr>
        <w:t xml:space="preserve">Independent of insulin, muscle contractions during exercise boost the production and translocation of GLUT4 transporters, improving plasma glucose absorption and reducing systemic blood sugar levels (Colberg et al., 2016). </w:t>
      </w:r>
    </w:p>
    <w:p w:rsidR="12B6DFF9" w:rsidP="577E0829" w:rsidRDefault="12B6DFF9" w14:paraId="0CDAE32B" w14:textId="5FAFE01A">
      <w:pPr>
        <w:pStyle w:val="Normal"/>
        <w:spacing w:line="360" w:lineRule="auto"/>
        <w:jc w:val="both"/>
        <w:rPr>
          <w:rFonts w:ascii="Arial" w:hAnsi="Arial" w:eastAsia="Arial" w:cs="Arial"/>
          <w:noProof w:val="0"/>
          <w:sz w:val="22"/>
          <w:szCs w:val="22"/>
          <w:lang w:val="en-GB"/>
        </w:rPr>
      </w:pPr>
      <w:r w:rsidRPr="577E0829" w:rsidR="25A462FB">
        <w:rPr>
          <w:rFonts w:ascii="Arial" w:hAnsi="Arial" w:eastAsia="Arial" w:cs="Arial"/>
          <w:b w:val="1"/>
          <w:bCs w:val="1"/>
          <w:noProof w:val="0"/>
          <w:sz w:val="22"/>
          <w:szCs w:val="22"/>
          <w:lang w:val="en-GB"/>
        </w:rPr>
        <w:t>Decreased Cardiovascular Risk:</w:t>
      </w:r>
      <w:r w:rsidRPr="577E0829" w:rsidR="25A462FB">
        <w:rPr>
          <w:rFonts w:ascii="Arial" w:hAnsi="Arial" w:eastAsia="Arial" w:cs="Arial"/>
          <w:noProof w:val="0"/>
          <w:sz w:val="22"/>
          <w:szCs w:val="22"/>
          <w:lang w:val="en-GB"/>
        </w:rPr>
        <w:t xml:space="preserve"> Better eating habits and more exercise lower systemic blood pressure, lower atherogenic lipids (triglycerides and low-density lipoproteins), and lower systemic inflammatory markers, preventing long-term harm to the </w:t>
      </w:r>
      <w:r w:rsidRPr="577E0829" w:rsidR="51A8EAC0">
        <w:rPr>
          <w:rFonts w:ascii="Arial" w:hAnsi="Arial" w:eastAsia="Arial" w:cs="Arial"/>
          <w:noProof w:val="0"/>
          <w:sz w:val="22"/>
          <w:szCs w:val="22"/>
          <w:lang w:val="en-GB"/>
        </w:rPr>
        <w:t>microvasculature</w:t>
      </w:r>
      <w:r w:rsidRPr="577E0829" w:rsidR="25A462FB">
        <w:rPr>
          <w:rFonts w:ascii="Arial" w:hAnsi="Arial" w:eastAsia="Arial" w:cs="Arial"/>
          <w:noProof w:val="0"/>
          <w:sz w:val="22"/>
          <w:szCs w:val="22"/>
          <w:lang w:val="en-GB"/>
        </w:rPr>
        <w:t xml:space="preserve"> and microvasculature (Samson et al., 2023). </w:t>
      </w:r>
    </w:p>
    <w:p w:rsidR="4A9AF5F0" w:rsidP="577E0829" w:rsidRDefault="4A9AF5F0" w14:paraId="69FEF6E1" w14:textId="070D3476">
      <w:pPr>
        <w:pStyle w:val="Normal"/>
        <w:spacing w:line="360" w:lineRule="auto"/>
        <w:jc w:val="both"/>
        <w:rPr>
          <w:rFonts w:ascii="Arial" w:hAnsi="Arial" w:eastAsia="Arial" w:cs="Arial"/>
          <w:noProof w:val="0"/>
          <w:sz w:val="22"/>
          <w:szCs w:val="22"/>
          <w:lang w:val="en-GB"/>
        </w:rPr>
      </w:pPr>
      <w:r w:rsidRPr="15A36B5D" w:rsidR="7AF8F58A">
        <w:rPr>
          <w:rFonts w:ascii="Arial" w:hAnsi="Arial" w:eastAsia="Arial" w:cs="Arial"/>
          <w:noProof w:val="0"/>
          <w:sz w:val="22"/>
          <w:szCs w:val="22"/>
          <w:lang w:val="en-GB"/>
        </w:rPr>
        <w:t xml:space="preserve">Peripheral insulin resistance, in which target tissues do not respond appropriately to circulating </w:t>
      </w:r>
      <w:r w:rsidRPr="15A36B5D" w:rsidR="0E7AFD03">
        <w:rPr>
          <w:rFonts w:ascii="Arial" w:hAnsi="Arial" w:eastAsia="Arial" w:cs="Arial"/>
          <w:noProof w:val="0"/>
          <w:sz w:val="22"/>
          <w:szCs w:val="22"/>
          <w:lang w:val="en-GB"/>
        </w:rPr>
        <w:t>insulin and</w:t>
      </w:r>
      <w:r w:rsidRPr="15A36B5D" w:rsidR="7AF8F58A">
        <w:rPr>
          <w:rFonts w:ascii="Arial" w:hAnsi="Arial" w:eastAsia="Arial" w:cs="Arial"/>
          <w:noProof w:val="0"/>
          <w:sz w:val="22"/>
          <w:szCs w:val="22"/>
          <w:lang w:val="en-GB"/>
        </w:rPr>
        <w:t xml:space="preserve"> increasing failure of pancreatic beta cells are the essential characteristics of type 2 diabetes mellitus (Watson, 2018).</w:t>
      </w:r>
    </w:p>
    <w:p w:rsidR="15A36B5D" w:rsidP="15A36B5D" w:rsidRDefault="15A36B5D" w14:paraId="5BE1E8DB" w14:textId="11241B90">
      <w:p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A9AF5F0" w:rsidP="15A36B5D" w:rsidRDefault="4A9AF5F0" w14:paraId="78CB4870" w14:textId="07D6BF3D">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832243365" w:id="2143275375"/>
      <w:r w:rsidRPr="15A36B5D" w:rsidR="7AF8F58A">
        <w:rPr>
          <w:noProof w:val="0"/>
          <w:lang w:val="en-GB"/>
        </w:rPr>
        <w:t>Conclusion</w:t>
      </w:r>
      <w:bookmarkEnd w:id="2143275375"/>
    </w:p>
    <w:p w:rsidR="19838A64" w:rsidP="577E0829" w:rsidRDefault="19838A64" w14:paraId="06887CD3" w14:textId="67B2670C">
      <w:pPr>
        <w:pStyle w:val="Normal"/>
        <w:spacing w:before="240" w:beforeAutospacing="off" w:after="240" w:afterAutospacing="off" w:line="360" w:lineRule="auto"/>
        <w:jc w:val="both"/>
        <w:rPr>
          <w:rFonts w:ascii="Arial" w:hAnsi="Arial" w:eastAsia="Arial" w:cs="Arial"/>
          <w:noProof w:val="0"/>
          <w:sz w:val="22"/>
          <w:szCs w:val="22"/>
          <w:lang w:val="en-GB"/>
        </w:rPr>
      </w:pPr>
      <w:r w:rsidRPr="577E0829" w:rsidR="73D322B1">
        <w:rPr>
          <w:rFonts w:ascii="Arial" w:hAnsi="Arial" w:eastAsia="Arial" w:cs="Arial"/>
          <w:noProof w:val="0"/>
          <w:sz w:val="22"/>
          <w:szCs w:val="22"/>
          <w:lang w:val="en-GB"/>
        </w:rPr>
        <w:t xml:space="preserve">Progressive peripheral insulin resistance and a relative lack of pancreatic beta-cell function are the main causes of type 2 diabetes, a complicated metabolic disorder with many </w:t>
      </w:r>
      <w:r w:rsidRPr="577E0829" w:rsidR="73D322B1">
        <w:rPr>
          <w:rFonts w:ascii="Arial" w:hAnsi="Arial" w:eastAsia="Arial" w:cs="Arial"/>
          <w:noProof w:val="0"/>
          <w:sz w:val="22"/>
          <w:szCs w:val="22"/>
          <w:lang w:val="en-GB"/>
        </w:rPr>
        <w:t>facets</w:t>
      </w:r>
      <w:r w:rsidRPr="577E0829" w:rsidR="73D322B1">
        <w:rPr>
          <w:rFonts w:ascii="Arial" w:hAnsi="Arial" w:eastAsia="Arial" w:cs="Arial"/>
          <w:noProof w:val="0"/>
          <w:sz w:val="22"/>
          <w:szCs w:val="22"/>
          <w:lang w:val="en-GB"/>
        </w:rPr>
        <w:t xml:space="preserve">. The development of the disease is </w:t>
      </w:r>
      <w:r w:rsidRPr="577E0829" w:rsidR="73D322B1">
        <w:rPr>
          <w:rFonts w:ascii="Arial" w:hAnsi="Arial" w:eastAsia="Arial" w:cs="Arial"/>
          <w:noProof w:val="0"/>
          <w:sz w:val="22"/>
          <w:szCs w:val="22"/>
          <w:lang w:val="en-GB"/>
        </w:rPr>
        <w:t>closely linked</w:t>
      </w:r>
      <w:r w:rsidRPr="577E0829" w:rsidR="73D322B1">
        <w:rPr>
          <w:rFonts w:ascii="Arial" w:hAnsi="Arial" w:eastAsia="Arial" w:cs="Arial"/>
          <w:noProof w:val="0"/>
          <w:sz w:val="22"/>
          <w:szCs w:val="22"/>
          <w:lang w:val="en-GB"/>
        </w:rPr>
        <w:t xml:space="preserve"> to modern lifestyle factors, genetic predispositions, and environmental factors, as discussed throughout this paper. Healthcare practitioners can gain a crucial clinical basis by </w:t>
      </w:r>
      <w:r w:rsidRPr="577E0829" w:rsidR="73D322B1">
        <w:rPr>
          <w:rFonts w:ascii="Arial" w:hAnsi="Arial" w:eastAsia="Arial" w:cs="Arial"/>
          <w:noProof w:val="0"/>
          <w:sz w:val="22"/>
          <w:szCs w:val="22"/>
          <w:lang w:val="en-GB"/>
        </w:rPr>
        <w:t>comprehending</w:t>
      </w:r>
      <w:r w:rsidRPr="577E0829" w:rsidR="73D322B1">
        <w:rPr>
          <w:rFonts w:ascii="Arial" w:hAnsi="Arial" w:eastAsia="Arial" w:cs="Arial"/>
          <w:noProof w:val="0"/>
          <w:sz w:val="22"/>
          <w:szCs w:val="22"/>
          <w:lang w:val="en-GB"/>
        </w:rPr>
        <w:t xml:space="preserve"> the underlying physiological mechanisms, which range from cellular glucose uptake via insulin-mediated pathways and pancreatic hormone release to the fundamental disturbance of cellular energy metabolism. Converting complex biological ideas into understandable, practical knowledge is necessary to enable patients to effectively manage their disease. People are much more able to achieve long-lasting behavioural changes when they have a comprehensive understanding of how their daily routines, such as food choices, tobacco use, and physical activity, directly affect their internal physiology. Additionally, a crucial feedback loop in this process is regular health monitoring. Self-monitoring allows patients and physicians to </w:t>
      </w:r>
      <w:r w:rsidRPr="577E0829" w:rsidR="73D322B1">
        <w:rPr>
          <w:rFonts w:ascii="Arial" w:hAnsi="Arial" w:eastAsia="Arial" w:cs="Arial"/>
          <w:noProof w:val="0"/>
          <w:sz w:val="22"/>
          <w:szCs w:val="22"/>
          <w:lang w:val="en-GB"/>
        </w:rPr>
        <w:t>monitor</w:t>
      </w:r>
      <w:r w:rsidRPr="577E0829" w:rsidR="73D322B1">
        <w:rPr>
          <w:rFonts w:ascii="Arial" w:hAnsi="Arial" w:eastAsia="Arial" w:cs="Arial"/>
          <w:noProof w:val="0"/>
          <w:sz w:val="22"/>
          <w:szCs w:val="22"/>
          <w:lang w:val="en-GB"/>
        </w:rPr>
        <w:t xml:space="preserve"> glycaemic trends, spot </w:t>
      </w:r>
      <w:r w:rsidRPr="577E0829" w:rsidR="73D322B1">
        <w:rPr>
          <w:rFonts w:ascii="Arial" w:hAnsi="Arial" w:eastAsia="Arial" w:cs="Arial"/>
          <w:noProof w:val="0"/>
          <w:sz w:val="22"/>
          <w:szCs w:val="22"/>
          <w:lang w:val="en-GB"/>
        </w:rPr>
        <w:t>possible dangers</w:t>
      </w:r>
      <w:r w:rsidRPr="577E0829" w:rsidR="73D322B1">
        <w:rPr>
          <w:rFonts w:ascii="Arial" w:hAnsi="Arial" w:eastAsia="Arial" w:cs="Arial"/>
          <w:noProof w:val="0"/>
          <w:sz w:val="22"/>
          <w:szCs w:val="22"/>
          <w:lang w:val="en-GB"/>
        </w:rPr>
        <w:t xml:space="preserve"> early, and make well-informed changes to treatment plans by converting unprocessed physiological data into practical everyday </w:t>
      </w:r>
      <w:r w:rsidRPr="577E0829" w:rsidR="73D322B1">
        <w:rPr>
          <w:rFonts w:ascii="Arial" w:hAnsi="Arial" w:eastAsia="Arial" w:cs="Arial"/>
          <w:noProof w:val="0"/>
          <w:sz w:val="22"/>
          <w:szCs w:val="22"/>
          <w:lang w:val="en-GB"/>
        </w:rPr>
        <w:t>insights. Effective</w:t>
      </w:r>
      <w:r w:rsidRPr="577E0829" w:rsidR="73D322B1">
        <w:rPr>
          <w:rFonts w:ascii="Arial" w:hAnsi="Arial" w:eastAsia="Arial" w:cs="Arial"/>
          <w:noProof w:val="0"/>
          <w:sz w:val="22"/>
          <w:szCs w:val="22"/>
          <w:lang w:val="en-GB"/>
        </w:rPr>
        <w:t xml:space="preserve"> healthcare delivery still depends heavily on patient education, especially for practicing nurses working in primary care. When it comes to bridging the gap between intricate clinical recommendations and practical implementation, nurses have a particularly powerful position. Healthcare providers can promote genuine patient agency and self-efficacy by providing sympathetic, culturally aware, and useful advice. In the end, preventing long-term vascular problems, improving overall clinical outcomes, and </w:t>
      </w:r>
      <w:r w:rsidRPr="577E0829" w:rsidR="73D322B1">
        <w:rPr>
          <w:rFonts w:ascii="Arial" w:hAnsi="Arial" w:eastAsia="Arial" w:cs="Arial"/>
          <w:noProof w:val="0"/>
          <w:sz w:val="22"/>
          <w:szCs w:val="22"/>
          <w:lang w:val="en-GB"/>
        </w:rPr>
        <w:t>greatly increasing</w:t>
      </w:r>
      <w:r w:rsidRPr="577E0829" w:rsidR="73D322B1">
        <w:rPr>
          <w:rFonts w:ascii="Arial" w:hAnsi="Arial" w:eastAsia="Arial" w:cs="Arial"/>
          <w:noProof w:val="0"/>
          <w:sz w:val="22"/>
          <w:szCs w:val="22"/>
          <w:lang w:val="en-GB"/>
        </w:rPr>
        <w:t xml:space="preserve"> the quality of life for people with type 2 diabetes all depend on providing patients with evidence-based lifestyle therapies and ongoing education.</w:t>
      </w:r>
    </w:p>
    <w:p w:rsidR="19838A64" w:rsidP="19838A64" w:rsidRDefault="19838A64" w14:paraId="14D4C27D" w14:textId="2E6C4D3D">
      <w:pPr>
        <w:pStyle w:val="Normal"/>
        <w:rPr>
          <w:rFonts w:ascii="Aptos" w:hAnsi="Aptos" w:eastAsia="Aptos" w:cs="Aptos"/>
          <w:noProof w:val="0"/>
          <w:sz w:val="24"/>
          <w:szCs w:val="24"/>
          <w:lang w:val="en-GB"/>
        </w:rPr>
      </w:pPr>
    </w:p>
    <w:p w:rsidR="19838A64" w:rsidP="19838A64" w:rsidRDefault="19838A64" w14:paraId="7D198A18" w14:textId="11AD3A4A">
      <w:pPr>
        <w:pStyle w:val="Normal"/>
        <w:rPr>
          <w:rFonts w:ascii="Aptos" w:hAnsi="Aptos" w:eastAsia="Aptos" w:cs="Aptos"/>
          <w:noProof w:val="0"/>
          <w:sz w:val="24"/>
          <w:szCs w:val="24"/>
          <w:lang w:val="en-GB"/>
        </w:rPr>
      </w:pPr>
    </w:p>
    <w:p w:rsidR="19838A64" w:rsidP="19838A64" w:rsidRDefault="19838A64" w14:paraId="4E91F205" w14:textId="34483E4D">
      <w:pPr>
        <w:pStyle w:val="Normal"/>
        <w:rPr>
          <w:rFonts w:ascii="Aptos" w:hAnsi="Aptos" w:eastAsia="Aptos" w:cs="Aptos"/>
          <w:b w:val="1"/>
          <w:bCs w:val="1"/>
          <w:noProof w:val="0"/>
          <w:sz w:val="24"/>
          <w:szCs w:val="24"/>
          <w:lang w:val="en-GB"/>
        </w:rPr>
      </w:pPr>
    </w:p>
    <w:p w:rsidR="577E0829" w:rsidP="577E0829" w:rsidRDefault="577E0829" w14:paraId="34FD3340" w14:textId="1DF21441">
      <w:pPr>
        <w:pStyle w:val="Normal"/>
        <w:rPr>
          <w:rFonts w:ascii="Aptos" w:hAnsi="Aptos" w:eastAsia="Aptos" w:cs="Aptos"/>
          <w:b w:val="1"/>
          <w:bCs w:val="1"/>
          <w:noProof w:val="0"/>
          <w:sz w:val="24"/>
          <w:szCs w:val="24"/>
          <w:lang w:val="en-GB"/>
        </w:rPr>
      </w:pPr>
    </w:p>
    <w:p w:rsidR="577E0829" w:rsidP="577E0829" w:rsidRDefault="577E0829" w14:paraId="6619AC31" w14:textId="7D7EBA26">
      <w:pPr>
        <w:pStyle w:val="Normal"/>
        <w:rPr>
          <w:rFonts w:ascii="Aptos" w:hAnsi="Aptos" w:eastAsia="Aptos" w:cs="Aptos"/>
          <w:b w:val="1"/>
          <w:bCs w:val="1"/>
          <w:noProof w:val="0"/>
          <w:sz w:val="24"/>
          <w:szCs w:val="24"/>
          <w:lang w:val="en-GB"/>
        </w:rPr>
      </w:pPr>
    </w:p>
    <w:p w:rsidR="577E0829" w:rsidP="577E0829" w:rsidRDefault="577E0829" w14:paraId="38AE6481" w14:textId="2D859D32">
      <w:pPr>
        <w:pStyle w:val="Normal"/>
        <w:rPr>
          <w:rFonts w:ascii="Aptos" w:hAnsi="Aptos" w:eastAsia="Aptos" w:cs="Aptos"/>
          <w:b w:val="1"/>
          <w:bCs w:val="1"/>
          <w:noProof w:val="0"/>
          <w:sz w:val="24"/>
          <w:szCs w:val="24"/>
          <w:lang w:val="en-GB"/>
        </w:rPr>
      </w:pPr>
    </w:p>
    <w:p w:rsidR="577E0829" w:rsidP="577E0829" w:rsidRDefault="577E0829" w14:paraId="61563511" w14:textId="4C861583">
      <w:pPr>
        <w:pStyle w:val="Normal"/>
        <w:rPr>
          <w:rFonts w:ascii="Aptos" w:hAnsi="Aptos" w:eastAsia="Aptos" w:cs="Aptos"/>
          <w:b w:val="1"/>
          <w:bCs w:val="1"/>
          <w:noProof w:val="0"/>
          <w:sz w:val="24"/>
          <w:szCs w:val="24"/>
          <w:lang w:val="en-GB"/>
        </w:rPr>
      </w:pPr>
    </w:p>
    <w:p w:rsidR="740121D0" w:rsidP="15A36B5D" w:rsidRDefault="740121D0" w14:paraId="4A67894A" w14:textId="03F0C113">
      <w:pPr>
        <w:pStyle w:val="Heading1"/>
        <w:rPr>
          <w:noProof w:val="0"/>
          <w:lang w:val="en-GB"/>
        </w:rPr>
      </w:pPr>
    </w:p>
    <w:p w:rsidR="740121D0" w:rsidP="15A36B5D" w:rsidRDefault="740121D0" w14:paraId="523E62A5" w14:textId="5E736112">
      <w:pPr>
        <w:pStyle w:val="Heading1"/>
        <w:rPr>
          <w:noProof w:val="0"/>
          <w:lang w:val="en-GB"/>
        </w:rPr>
      </w:pPr>
    </w:p>
    <w:p w:rsidR="740121D0" w:rsidP="15A36B5D" w:rsidRDefault="740121D0" w14:paraId="40158A85" w14:textId="4AF055B4">
      <w:pPr>
        <w:pStyle w:val="Heading1"/>
        <w:rPr>
          <w:noProof w:val="0"/>
          <w:lang w:val="en-GB"/>
        </w:rPr>
      </w:pPr>
    </w:p>
    <w:p w:rsidR="740121D0" w:rsidP="15A36B5D" w:rsidRDefault="740121D0" w14:paraId="412C69D1" w14:textId="70C114FF">
      <w:pPr>
        <w:pStyle w:val="Heading1"/>
        <w:rPr>
          <w:rFonts w:ascii="Aptos" w:hAnsi="Aptos" w:eastAsia="Aptos" w:cs="Aptos"/>
          <w:b w:val="1"/>
          <w:bCs w:val="1"/>
          <w:noProof w:val="0"/>
          <w:sz w:val="22"/>
          <w:szCs w:val="22"/>
          <w:lang w:val="en-GB"/>
        </w:rPr>
      </w:pPr>
      <w:bookmarkStart w:name="_Toc2072432314" w:id="1156540827"/>
      <w:r w:rsidRPr="15A36B5D" w:rsidR="148691FD">
        <w:rPr>
          <w:noProof w:val="0"/>
          <w:lang w:val="en-GB"/>
        </w:rPr>
        <w:t>References:</w:t>
      </w:r>
      <w:bookmarkEnd w:id="1156540827"/>
    </w:p>
    <w:p w:rsidR="16433751" w:rsidP="577E0829" w:rsidRDefault="16433751" w14:paraId="0047D898" w14:textId="221F836A">
      <w:pPr>
        <w:pStyle w:val="Normal"/>
        <w:spacing w:line="360" w:lineRule="auto"/>
        <w:jc w:val="both"/>
        <w:rPr>
          <w:rFonts w:ascii="Aptos" w:hAnsi="Aptos" w:eastAsia="Aptos" w:cs="Aptos"/>
          <w:noProof w:val="0"/>
          <w:sz w:val="22"/>
          <w:szCs w:val="22"/>
          <w:lang w:val="en-GB"/>
        </w:rPr>
      </w:pPr>
      <w:r w:rsidRPr="577E0829" w:rsidR="407E5D57">
        <w:rPr>
          <w:rFonts w:ascii="Aptos" w:hAnsi="Aptos" w:eastAsia="Aptos" w:cs="Aptos"/>
          <w:noProof w:val="0"/>
          <w:sz w:val="22"/>
          <w:szCs w:val="22"/>
          <w:lang w:val="en-GB"/>
        </w:rPr>
        <w:t xml:space="preserve">American Diabetes Association (2024) 'Standards of Care in Diabetes—2024', </w:t>
      </w:r>
      <w:r w:rsidRPr="577E0829" w:rsidR="407E5D57">
        <w:rPr>
          <w:rFonts w:ascii="Aptos" w:hAnsi="Aptos" w:eastAsia="Aptos" w:cs="Aptos"/>
          <w:i w:val="1"/>
          <w:iCs w:val="1"/>
          <w:noProof w:val="0"/>
          <w:sz w:val="22"/>
          <w:szCs w:val="22"/>
          <w:lang w:val="en-GB"/>
        </w:rPr>
        <w:t>Diabetes Care</w:t>
      </w:r>
      <w:r w:rsidRPr="577E0829" w:rsidR="407E5D57">
        <w:rPr>
          <w:rFonts w:ascii="Aptos" w:hAnsi="Aptos" w:eastAsia="Aptos" w:cs="Aptos"/>
          <w:noProof w:val="0"/>
          <w:sz w:val="22"/>
          <w:szCs w:val="22"/>
          <w:lang w:val="en-GB"/>
        </w:rPr>
        <w:t xml:space="preserve">, 47(Suppl. 1), pp. S1–S343. Available at: </w:t>
      </w:r>
      <w:hyperlink r:id="R2ddaeacea6924013">
        <w:r w:rsidRPr="577E0829" w:rsidR="407E5D57">
          <w:rPr>
            <w:rStyle w:val="Hyperlink"/>
            <w:noProof w:val="0"/>
            <w:sz w:val="22"/>
            <w:szCs w:val="22"/>
            <w:lang w:val="en-GB"/>
          </w:rPr>
          <w:t>https://doi.org/10.2337/dc24-SINT</w:t>
        </w:r>
      </w:hyperlink>
      <w:r w:rsidRPr="577E0829" w:rsidR="407E5D57">
        <w:rPr>
          <w:rFonts w:ascii="Aptos" w:hAnsi="Aptos" w:eastAsia="Aptos" w:cs="Aptos"/>
          <w:noProof w:val="0"/>
          <w:sz w:val="22"/>
          <w:szCs w:val="22"/>
          <w:lang w:val="en-GB"/>
        </w:rPr>
        <w:t xml:space="preserve"> (Accessed: 5 October 2026).</w:t>
      </w:r>
    </w:p>
    <w:p w:rsidR="0972A748" w:rsidP="577E0829" w:rsidRDefault="0972A748" w14:paraId="5EAD992F" w14:textId="1130CE1A">
      <w:pPr>
        <w:spacing w:before="0" w:beforeAutospacing="off" w:after="240" w:afterAutospacing="off" w:line="360" w:lineRule="auto"/>
        <w:ind w:left="0"/>
        <w:jc w:val="both"/>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77E0829"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Colberg, S.R., Sigal, R.J., Yardley, J.E., Riddell, M.C., Dunstan, D.W., Dempsey, P.C., Horton, E.S., Castorino, K. and Tate, D.F., 2016. Physical activity/exercise and type 2 diabetes: a position statement of the American Diabetes Association. </w:t>
      </w:r>
      <w:r w:rsidRPr="577E0829" w:rsidR="424A1C30">
        <w:rPr>
          <w:rFonts w:ascii="sans-serif" w:hAnsi="sans-serif" w:eastAsia="sans-serif" w:cs="sans-serif"/>
          <w:b w:val="0"/>
          <w:bCs w:val="0"/>
          <w:i w:val="1"/>
          <w:iCs w:val="1"/>
          <w:caps w:val="0"/>
          <w:smallCaps w:val="0"/>
          <w:noProof w:val="0"/>
          <w:color w:val="000000" w:themeColor="text1" w:themeTint="FF" w:themeShade="FF"/>
          <w:sz w:val="22"/>
          <w:szCs w:val="22"/>
          <w:lang w:val="en-GB"/>
        </w:rPr>
        <w:t>Diabetes Care</w:t>
      </w:r>
      <w:r w:rsidRPr="577E0829"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39(11), pp. 2065-2079. Available at: </w:t>
      </w:r>
      <w:hyperlink r:id="R71e5a2c7598d4db3">
        <w:r w:rsidRPr="577E0829" w:rsidR="424A1C30">
          <w:rPr>
            <w:rStyle w:val="Hyperlink"/>
            <w:b w:val="0"/>
            <w:bCs w:val="0"/>
            <w:i w:val="0"/>
            <w:iCs w:val="0"/>
            <w:caps w:val="0"/>
            <w:smallCaps w:val="0"/>
            <w:strike w:val="0"/>
            <w:dstrike w:val="0"/>
            <w:noProof w:val="0"/>
            <w:sz w:val="22"/>
            <w:szCs w:val="22"/>
            <w:lang w:val="en-GB"/>
          </w:rPr>
          <w:t>https://doi.org/10.2337/dc16-1728</w:t>
        </w:r>
      </w:hyperlink>
      <w:r w:rsidRPr="577E0829"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[Accessed 23 September 2026].</w:t>
      </w:r>
    </w:p>
    <w:p w:rsidR="7CF41A8F" w:rsidP="577E0829" w:rsidRDefault="7CF41A8F" w14:paraId="36EED2AC" w14:textId="61D59B30">
      <w:pPr>
        <w:spacing w:before="0" w:beforeAutospacing="off" w:after="240" w:afterAutospacing="off" w:line="360" w:lineRule="auto"/>
        <w:ind w:left="0"/>
        <w:jc w:val="both"/>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77E0829"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Davies, M.J., Aroda, V.R., Collins, B.S., Gabbay, R.A., Green, J., Maruthur, N.M., Rosas, S.E., Del Prato, S., Davies, M.J. and Buse, J.B., 2022. Management of hyperglycemia in type 2 diabetes, 2022. A consensus report by the American Diabetes Association (ADA) and the European Association for the Study of Diabetes (EASD). </w:t>
      </w:r>
      <w:r w:rsidRPr="577E0829" w:rsidR="46F98475">
        <w:rPr>
          <w:rFonts w:ascii="sans-serif" w:hAnsi="sans-serif" w:eastAsia="sans-serif" w:cs="sans-serif"/>
          <w:b w:val="0"/>
          <w:bCs w:val="0"/>
          <w:i w:val="1"/>
          <w:iCs w:val="1"/>
          <w:caps w:val="0"/>
          <w:smallCaps w:val="0"/>
          <w:noProof w:val="0"/>
          <w:color w:val="000000" w:themeColor="text1" w:themeTint="FF" w:themeShade="FF"/>
          <w:sz w:val="22"/>
          <w:szCs w:val="22"/>
          <w:lang w:val="en-GB"/>
        </w:rPr>
        <w:t>Diabetes Care</w:t>
      </w:r>
      <w:r w:rsidRPr="577E0829"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45(11), pp. 2753-2786. Available at: </w:t>
      </w:r>
      <w:hyperlink r:id="Re84dbc179177475c">
        <w:r w:rsidRPr="577E0829" w:rsidR="46F98475">
          <w:rPr>
            <w:rStyle w:val="Hyperlink"/>
            <w:b w:val="0"/>
            <w:bCs w:val="0"/>
            <w:i w:val="0"/>
            <w:iCs w:val="0"/>
            <w:caps w:val="0"/>
            <w:smallCaps w:val="0"/>
            <w:strike w:val="0"/>
            <w:dstrike w:val="0"/>
            <w:noProof w:val="0"/>
            <w:sz w:val="22"/>
            <w:szCs w:val="22"/>
            <w:lang w:val="en-GB"/>
          </w:rPr>
          <w:t>https://doi.org/10.2337/dci22-0034</w:t>
        </w:r>
      </w:hyperlink>
      <w:r w:rsidRPr="577E0829"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[Accessed 23 September 2026].</w:t>
      </w:r>
    </w:p>
    <w:p w:rsidR="3ABB6768" w:rsidP="577E0829" w:rsidRDefault="3ABB6768" w14:paraId="6B7869B5" w14:textId="7EEFCEC0">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0B68B9CF">
        <w:rPr>
          <w:rFonts w:ascii="Aptos" w:hAnsi="Aptos" w:eastAsia="Aptos" w:cs="Aptos"/>
          <w:b w:val="0"/>
          <w:bCs w:val="0"/>
          <w:i w:val="0"/>
          <w:iCs w:val="0"/>
          <w:caps w:val="0"/>
          <w:smallCaps w:val="0"/>
          <w:noProof w:val="0"/>
          <w:color w:val="000000" w:themeColor="text1" w:themeTint="FF" w:themeShade="FF"/>
          <w:sz w:val="22"/>
          <w:szCs w:val="22"/>
          <w:lang w:val="en-GB"/>
        </w:rPr>
        <w:t xml:space="preserve">Colbert, B., Ankney, J., Lee, K., Steggall, M. and Dingle, M. (eds.) (2012) </w:t>
      </w:r>
      <w:r w:rsidRPr="577E0829" w:rsidR="0B68B9CF">
        <w:rPr>
          <w:rFonts w:ascii="Aptos" w:hAnsi="Aptos" w:eastAsia="Aptos" w:cs="Aptos"/>
          <w:b w:val="0"/>
          <w:bCs w:val="0"/>
          <w:i w:val="1"/>
          <w:iCs w:val="1"/>
          <w:caps w:val="0"/>
          <w:smallCaps w:val="0"/>
          <w:noProof w:val="0"/>
          <w:color w:val="000000" w:themeColor="text1" w:themeTint="FF" w:themeShade="FF"/>
          <w:sz w:val="22"/>
          <w:szCs w:val="22"/>
          <w:lang w:val="en-GB"/>
        </w:rPr>
        <w:t>Anatomy and Physiology for Nursing and Healthcare Professionals</w:t>
      </w:r>
      <w:r w:rsidRPr="577E0829" w:rsidR="0B68B9CF">
        <w:rPr>
          <w:rFonts w:ascii="Aptos" w:hAnsi="Aptos" w:eastAsia="Aptos" w:cs="Aptos"/>
          <w:b w:val="0"/>
          <w:bCs w:val="0"/>
          <w:i w:val="0"/>
          <w:iCs w:val="0"/>
          <w:caps w:val="0"/>
          <w:smallCaps w:val="0"/>
          <w:noProof w:val="0"/>
          <w:color w:val="000000" w:themeColor="text1" w:themeTint="FF" w:themeShade="FF"/>
          <w:sz w:val="22"/>
          <w:szCs w:val="22"/>
          <w:lang w:val="en-GB"/>
        </w:rPr>
        <w:t xml:space="preserve">. Harlow: Pearson. Available at: </w:t>
      </w:r>
      <w:hyperlink r:id="R8a5ba91669514d13">
        <w:r w:rsidRPr="577E0829" w:rsidR="0B68B9CF">
          <w:rPr>
            <w:rStyle w:val="Hyperlink"/>
            <w:b w:val="0"/>
            <w:bCs w:val="0"/>
            <w:i w:val="0"/>
            <w:iCs w:val="0"/>
            <w:caps w:val="0"/>
            <w:smallCaps w:val="0"/>
            <w:strike w:val="0"/>
            <w:dstrike w:val="0"/>
            <w:noProof w:val="0"/>
            <w:sz w:val="22"/>
            <w:szCs w:val="22"/>
            <w:lang w:val="en-GB"/>
          </w:rPr>
          <w:t>University of South Wales Research Repository</w:t>
        </w:r>
      </w:hyperlink>
      <w:r w:rsidRPr="577E0829" w:rsidR="0B68B9CF">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October 2026).</w:t>
      </w:r>
      <w:r w:rsidRPr="577E0829" w:rsidR="2278EC9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740121D0" w:rsidP="577E0829" w:rsidRDefault="740121D0" w14:paraId="2BF90AEE" w14:textId="098DF48B">
      <w:pPr>
        <w:pStyle w:val="Normal"/>
        <w:spacing w:before="0" w:beforeAutospacing="off" w:after="240" w:afterAutospacing="off" w:line="360" w:lineRule="auto"/>
        <w:ind/>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Chatterjee, S., </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Khunti</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K. and Davies, M.J., 2017. Type 2 diabetes. </w:t>
      </w:r>
      <w:r w:rsidRPr="577E0829"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389(10085), pp. 2239-2251. Available at: </w:t>
      </w:r>
      <w:hyperlink r:id="R4804bdb92a7143ba">
        <w:r w:rsidRPr="577E0829" w:rsidR="6C8A1CB2">
          <w:rPr>
            <w:rStyle w:val="Hyperlink"/>
            <w:b w:val="0"/>
            <w:bCs w:val="0"/>
            <w:i w:val="0"/>
            <w:iCs w:val="0"/>
            <w:caps w:val="0"/>
            <w:smallCaps w:val="0"/>
            <w:strike w:val="0"/>
            <w:dstrike w:val="0"/>
            <w:noProof w:val="0"/>
            <w:sz w:val="22"/>
            <w:szCs w:val="22"/>
            <w:lang w:val="en-GB"/>
          </w:rPr>
          <w:t>https://pubmed.ncbi.nlm.nih.gov/28190580/</w:t>
        </w:r>
      </w:hyperlink>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w:t>
      </w:r>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25 November 2026).</w:t>
      </w:r>
    </w:p>
    <w:p w:rsidR="77FF18A0" w:rsidP="577E0829" w:rsidRDefault="77FF18A0" w14:paraId="69E9D378" w14:textId="25469D80">
      <w:pPr>
        <w:pStyle w:val="Normal"/>
        <w:spacing w:before="0" w:beforeAutospacing="off" w:after="240" w:afterAutospacing="off" w:line="360" w:lineRule="auto"/>
        <w:ind w:left="0"/>
        <w:jc w:val="both"/>
        <w:rPr>
          <w:rFonts w:ascii="Aptos" w:hAnsi="Aptos" w:eastAsia="Aptos" w:cs="Aptos"/>
          <w:noProof w:val="0"/>
          <w:sz w:val="22"/>
          <w:szCs w:val="22"/>
          <w:lang w:val="en-GB"/>
        </w:rPr>
      </w:pPr>
      <w:r w:rsidRPr="577E0829" w:rsidR="0C4F5CD4">
        <w:rPr>
          <w:rFonts w:ascii="Aptos" w:hAnsi="Aptos" w:eastAsia="Aptos" w:cs="Aptos"/>
          <w:noProof w:val="0"/>
          <w:sz w:val="22"/>
          <w:szCs w:val="22"/>
          <w:lang w:val="en-GB"/>
        </w:rPr>
        <w:t xml:space="preserve">Evert, A.B., Dennison, M., Gardner, C.D., Garvey, W.T., Lau, K.H.K., MacLeod, J., Mitri, J., Pereira, R.F., Rawlings, K., Robinson, S., Saslow, L., Uelmen, S., Urbanski, P.B. and Yancy, W.S. (2019) 'Nutrition Therapy for Adults </w:t>
      </w:r>
      <w:r w:rsidRPr="577E0829" w:rsidR="699E31CE">
        <w:rPr>
          <w:rFonts w:ascii="Aptos" w:hAnsi="Aptos" w:eastAsia="Aptos" w:cs="Aptos"/>
          <w:noProof w:val="0"/>
          <w:sz w:val="22"/>
          <w:szCs w:val="22"/>
          <w:lang w:val="en-GB"/>
        </w:rPr>
        <w:t>with</w:t>
      </w:r>
      <w:r w:rsidRPr="577E0829" w:rsidR="0C4F5CD4">
        <w:rPr>
          <w:rFonts w:ascii="Aptos" w:hAnsi="Aptos" w:eastAsia="Aptos" w:cs="Aptos"/>
          <w:noProof w:val="0"/>
          <w:sz w:val="22"/>
          <w:szCs w:val="22"/>
          <w:lang w:val="en-GB"/>
        </w:rPr>
        <w:t xml:space="preserve"> Diabetes or Prediabetes: A Consensus Report', </w:t>
      </w:r>
      <w:r w:rsidRPr="577E0829" w:rsidR="0C4F5CD4">
        <w:rPr>
          <w:rFonts w:ascii="Aptos" w:hAnsi="Aptos" w:eastAsia="Aptos" w:cs="Aptos"/>
          <w:i w:val="1"/>
          <w:iCs w:val="1"/>
          <w:noProof w:val="0"/>
          <w:sz w:val="22"/>
          <w:szCs w:val="22"/>
          <w:lang w:val="en-GB"/>
        </w:rPr>
        <w:t>Diabetes Care</w:t>
      </w:r>
      <w:r w:rsidRPr="577E0829" w:rsidR="0C4F5CD4">
        <w:rPr>
          <w:rFonts w:ascii="Aptos" w:hAnsi="Aptos" w:eastAsia="Aptos" w:cs="Aptos"/>
          <w:noProof w:val="0"/>
          <w:sz w:val="22"/>
          <w:szCs w:val="22"/>
          <w:lang w:val="en-GB"/>
        </w:rPr>
        <w:t xml:space="preserve">, 42(5), pp. 731–754. Available at: </w:t>
      </w:r>
      <w:hyperlink r:id="R0ae0c40b3ec948b8">
        <w:r w:rsidRPr="577E0829" w:rsidR="0C4F5CD4">
          <w:rPr>
            <w:rStyle w:val="Hyperlink"/>
            <w:noProof w:val="0"/>
            <w:sz w:val="22"/>
            <w:szCs w:val="22"/>
            <w:lang w:val="en-GB"/>
          </w:rPr>
          <w:t>https://doi.org/10.2337/dci19-0014</w:t>
        </w:r>
      </w:hyperlink>
      <w:r w:rsidRPr="577E0829" w:rsidR="0C4F5CD4">
        <w:rPr>
          <w:rFonts w:ascii="Aptos" w:hAnsi="Aptos" w:eastAsia="Aptos" w:cs="Aptos"/>
          <w:noProof w:val="0"/>
          <w:sz w:val="22"/>
          <w:szCs w:val="22"/>
          <w:lang w:val="en-GB"/>
        </w:rPr>
        <w:t xml:space="preserve"> (Accessed: 5 October 2026). Cited </w:t>
      </w:r>
      <w:r w:rsidRPr="577E0829" w:rsidR="268311CD">
        <w:rPr>
          <w:rFonts w:ascii="Aptos" w:hAnsi="Aptos" w:eastAsia="Aptos" w:cs="Aptos"/>
          <w:noProof w:val="0"/>
          <w:sz w:val="22"/>
          <w:szCs w:val="22"/>
          <w:lang w:val="en-GB"/>
        </w:rPr>
        <w:t>by</w:t>
      </w:r>
      <w:r w:rsidRPr="577E0829" w:rsidR="0C4F5CD4">
        <w:rPr>
          <w:rFonts w:ascii="Aptos" w:hAnsi="Aptos" w:eastAsia="Aptos" w:cs="Aptos"/>
          <w:noProof w:val="0"/>
          <w:sz w:val="22"/>
          <w:szCs w:val="22"/>
          <w:lang w:val="en-GB"/>
        </w:rPr>
        <w:t xml:space="preserve"> 2248</w:t>
      </w:r>
    </w:p>
    <w:p w:rsidR="634DE7FD" w:rsidP="577E0829" w:rsidRDefault="634DE7FD" w14:paraId="4ADC6B26" w14:textId="4CBAF2D2">
      <w:pPr>
        <w:pStyle w:val="Normal"/>
        <w:spacing w:line="360" w:lineRule="auto"/>
        <w:jc w:val="both"/>
        <w:rPr>
          <w:rFonts w:ascii="Aptos" w:hAnsi="Aptos" w:eastAsia="Aptos" w:cs="Aptos"/>
          <w:noProof w:val="0"/>
          <w:sz w:val="22"/>
          <w:szCs w:val="22"/>
          <w:lang w:val="en-GB"/>
        </w:rPr>
      </w:pPr>
      <w:r w:rsidRPr="577E0829" w:rsidR="1DD3725B">
        <w:rPr>
          <w:rFonts w:ascii="Aptos" w:hAnsi="Aptos" w:eastAsia="Aptos" w:cs="Aptos"/>
          <w:noProof w:val="0"/>
          <w:sz w:val="22"/>
          <w:szCs w:val="22"/>
          <w:lang w:val="en-GB"/>
        </w:rPr>
        <w:t>Inzucchi</w:t>
      </w:r>
      <w:r w:rsidRPr="577E0829" w:rsidR="1DD3725B">
        <w:rPr>
          <w:rFonts w:ascii="Aptos" w:hAnsi="Aptos" w:eastAsia="Aptos" w:cs="Aptos"/>
          <w:noProof w:val="0"/>
          <w:sz w:val="22"/>
          <w:szCs w:val="22"/>
          <w:lang w:val="en-GB"/>
        </w:rPr>
        <w:t xml:space="preserve">, S.E., </w:t>
      </w:r>
      <w:r w:rsidRPr="577E0829" w:rsidR="1DD3725B">
        <w:rPr>
          <w:rFonts w:ascii="Aptos" w:hAnsi="Aptos" w:eastAsia="Aptos" w:cs="Aptos"/>
          <w:noProof w:val="0"/>
          <w:sz w:val="22"/>
          <w:szCs w:val="22"/>
          <w:lang w:val="en-GB"/>
        </w:rPr>
        <w:t>Bergenstal</w:t>
      </w:r>
      <w:r w:rsidRPr="577E0829" w:rsidR="1DD3725B">
        <w:rPr>
          <w:rFonts w:ascii="Aptos" w:hAnsi="Aptos" w:eastAsia="Aptos" w:cs="Aptos"/>
          <w:noProof w:val="0"/>
          <w:sz w:val="22"/>
          <w:szCs w:val="22"/>
          <w:lang w:val="en-GB"/>
        </w:rPr>
        <w:t xml:space="preserve">, R.M., Buse, J.B., Diamant, M., </w:t>
      </w:r>
      <w:r w:rsidRPr="577E0829" w:rsidR="1DD3725B">
        <w:rPr>
          <w:rFonts w:ascii="Aptos" w:hAnsi="Aptos" w:eastAsia="Aptos" w:cs="Aptos"/>
          <w:noProof w:val="0"/>
          <w:sz w:val="22"/>
          <w:szCs w:val="22"/>
          <w:lang w:val="en-GB"/>
        </w:rPr>
        <w:t>Ferrannini</w:t>
      </w:r>
      <w:r w:rsidRPr="577E0829" w:rsidR="1DD3725B">
        <w:rPr>
          <w:rFonts w:ascii="Aptos" w:hAnsi="Aptos" w:eastAsia="Aptos" w:cs="Aptos"/>
          <w:noProof w:val="0"/>
          <w:sz w:val="22"/>
          <w:szCs w:val="22"/>
          <w:lang w:val="en-GB"/>
        </w:rPr>
        <w:t xml:space="preserve">, E., Nauck, M., Peters, A.L., </w:t>
      </w:r>
      <w:r w:rsidRPr="577E0829" w:rsidR="1DD3725B">
        <w:rPr>
          <w:rFonts w:ascii="Aptos" w:hAnsi="Aptos" w:eastAsia="Aptos" w:cs="Aptos"/>
          <w:noProof w:val="0"/>
          <w:sz w:val="22"/>
          <w:szCs w:val="22"/>
          <w:lang w:val="en-GB"/>
        </w:rPr>
        <w:t>Wiernsperger</w:t>
      </w:r>
      <w:r w:rsidRPr="577E0829" w:rsidR="1DD3725B">
        <w:rPr>
          <w:rFonts w:ascii="Aptos" w:hAnsi="Aptos" w:eastAsia="Aptos" w:cs="Aptos"/>
          <w:noProof w:val="0"/>
          <w:sz w:val="22"/>
          <w:szCs w:val="22"/>
          <w:lang w:val="en-GB"/>
        </w:rPr>
        <w:t>, A. and Matthews, D.R. (2015) 'Management of hyperglycaemia in type 2 diabetes, 2015: a patient-</w:t>
      </w:r>
      <w:r w:rsidRPr="577E0829" w:rsidR="1DD3725B">
        <w:rPr>
          <w:rFonts w:ascii="Aptos" w:hAnsi="Aptos" w:eastAsia="Aptos" w:cs="Aptos"/>
          <w:noProof w:val="0"/>
          <w:sz w:val="22"/>
          <w:szCs w:val="22"/>
          <w:lang w:val="en-GB"/>
        </w:rPr>
        <w:t>centred</w:t>
      </w:r>
      <w:r w:rsidRPr="577E0829" w:rsidR="1DD3725B">
        <w:rPr>
          <w:rFonts w:ascii="Aptos" w:hAnsi="Aptos" w:eastAsia="Aptos" w:cs="Aptos"/>
          <w:noProof w:val="0"/>
          <w:sz w:val="22"/>
          <w:szCs w:val="22"/>
          <w:lang w:val="en-GB"/>
        </w:rPr>
        <w:t xml:space="preserve"> approach: update to a position statement of the American Diabetes Association and the European Association for the Study of Diabetes', </w:t>
      </w:r>
      <w:r w:rsidRPr="577E0829" w:rsidR="1DD3725B">
        <w:rPr>
          <w:rFonts w:ascii="Aptos" w:hAnsi="Aptos" w:eastAsia="Aptos" w:cs="Aptos"/>
          <w:i w:val="1"/>
          <w:iCs w:val="1"/>
          <w:noProof w:val="0"/>
          <w:sz w:val="22"/>
          <w:szCs w:val="22"/>
          <w:lang w:val="en-GB"/>
        </w:rPr>
        <w:t>Diabetes Care</w:t>
      </w:r>
      <w:r w:rsidRPr="577E0829" w:rsidR="1DD3725B">
        <w:rPr>
          <w:rFonts w:ascii="Aptos" w:hAnsi="Aptos" w:eastAsia="Aptos" w:cs="Aptos"/>
          <w:noProof w:val="0"/>
          <w:sz w:val="22"/>
          <w:szCs w:val="22"/>
          <w:lang w:val="en-GB"/>
        </w:rPr>
        <w:t xml:space="preserve">, 38(1), pp. 140–149. Available at: </w:t>
      </w:r>
      <w:hyperlink r:id="R51e18ccef9e44c95">
        <w:r w:rsidRPr="577E0829" w:rsidR="1DD3725B">
          <w:rPr>
            <w:rStyle w:val="Hyperlink"/>
            <w:noProof w:val="0"/>
            <w:sz w:val="22"/>
            <w:szCs w:val="22"/>
            <w:lang w:val="en-GB"/>
          </w:rPr>
          <w:t>https://pubmed.ncbi.nlm.nih.gov/25538310/</w:t>
        </w:r>
      </w:hyperlink>
      <w:r w:rsidRPr="577E0829" w:rsidR="1DD3725B">
        <w:rPr>
          <w:rFonts w:ascii="Aptos" w:hAnsi="Aptos" w:eastAsia="Aptos" w:cs="Aptos"/>
          <w:noProof w:val="0"/>
          <w:sz w:val="22"/>
          <w:szCs w:val="22"/>
          <w:lang w:val="en-GB"/>
        </w:rPr>
        <w:t xml:space="preserve"> (Accessed: 5 October 2026).</w:t>
      </w:r>
    </w:p>
    <w:p w:rsidR="740121D0" w:rsidP="577E0829" w:rsidRDefault="740121D0" w14:paraId="438A289B" w14:textId="4BDCD719">
      <w:pPr>
        <w:spacing w:before="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International Diabetes Federation, 2023. </w:t>
      </w:r>
      <w:r w:rsidRPr="577E0829"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IDF Diabetes Atlas</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11th ed. Brussels: International Diabetes Federation. Available at: </w:t>
      </w:r>
      <w:hyperlink r:id="Rce3b653c05974a46">
        <w:r w:rsidRPr="577E0829" w:rsidR="6C8A1CB2">
          <w:rPr>
            <w:rStyle w:val="Hyperlink"/>
            <w:b w:val="0"/>
            <w:bCs w:val="0"/>
            <w:i w:val="0"/>
            <w:iCs w:val="0"/>
            <w:caps w:val="0"/>
            <w:smallCaps w:val="0"/>
            <w:strike w:val="0"/>
            <w:dstrike w:val="0"/>
            <w:noProof w:val="0"/>
            <w:sz w:val="22"/>
            <w:szCs w:val="22"/>
            <w:lang w:val="en-GB"/>
          </w:rPr>
          <w:t>https://www.ncbi.nlm.nih.gov/books/NBK618743/#chapter-1.2</w:t>
        </w:r>
      </w:hyperlink>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24 November 2026).</w:t>
      </w:r>
    </w:p>
    <w:p w:rsidR="740121D0" w:rsidP="577E0829" w:rsidRDefault="740121D0" w14:paraId="5CA5FB89" w14:textId="1A6A4DB5">
      <w:pPr>
        <w:spacing w:before="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Kahn, S.E., Cooper, M.E. and Del Prato, S., 2014. Pathophysiology and treatment of type 2 diabetes: perspectives on the past, present, and future. </w:t>
      </w:r>
      <w:r w:rsidRPr="577E0829"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383(9922), pp. 1068-1083. Available at: </w:t>
      </w:r>
      <w:hyperlink r:id="R07a34100c78a4c3e">
        <w:r w:rsidRPr="577E0829" w:rsidR="6C8A1CB2">
          <w:rPr>
            <w:rStyle w:val="Hyperlink"/>
            <w:b w:val="0"/>
            <w:bCs w:val="0"/>
            <w:i w:val="0"/>
            <w:iCs w:val="0"/>
            <w:caps w:val="0"/>
            <w:smallCaps w:val="0"/>
            <w:strike w:val="0"/>
            <w:dstrike w:val="0"/>
            <w:noProof w:val="0"/>
            <w:sz w:val="22"/>
            <w:szCs w:val="22"/>
            <w:lang w:val="en-GB"/>
          </w:rPr>
          <w:t>https://pubmed.ncbi.nlm.nih.gov/24315620/</w:t>
        </w:r>
      </w:hyperlink>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24 </w:t>
      </w:r>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September 2026).</w:t>
      </w:r>
    </w:p>
    <w:p w:rsidR="740121D0" w:rsidP="577E0829" w:rsidRDefault="740121D0" w14:paraId="44E61688" w14:textId="4B2828F2">
      <w:pPr>
        <w:spacing w:before="0" w:beforeAutospacing="off" w:after="240" w:afterAutospacing="off" w:line="360" w:lineRule="auto"/>
        <w:ind w:left="0"/>
        <w:jc w:val="both"/>
        <w:rPr>
          <w:rFonts w:ascii="Aptos" w:hAnsi="Aptos" w:eastAsia="Aptos" w:cs="Aptos"/>
          <w:noProof w:val="0"/>
          <w:sz w:val="22"/>
          <w:szCs w:val="22"/>
          <w:lang w:val="en-GB"/>
        </w:rPr>
      </w:pPr>
      <w:r w:rsidRPr="577E0829" w:rsidR="793E2990">
        <w:rPr>
          <w:rFonts w:ascii="Aptos" w:hAnsi="Aptos" w:eastAsia="Aptos" w:cs="Aptos"/>
          <w:noProof w:val="0"/>
          <w:sz w:val="22"/>
          <w:szCs w:val="22"/>
          <w:lang w:val="en-GB"/>
        </w:rPr>
        <w:t xml:space="preserve">News-Medical (2023) </w:t>
      </w:r>
      <w:r w:rsidRPr="577E0829" w:rsidR="793E2990">
        <w:rPr>
          <w:rFonts w:ascii="Aptos" w:hAnsi="Aptos" w:eastAsia="Aptos" w:cs="Aptos"/>
          <w:i w:val="1"/>
          <w:iCs w:val="1"/>
          <w:noProof w:val="0"/>
          <w:sz w:val="22"/>
          <w:szCs w:val="22"/>
          <w:lang w:val="en-GB"/>
        </w:rPr>
        <w:t>Glycolysis metabolic pathway</w:t>
      </w:r>
      <w:r w:rsidRPr="577E0829" w:rsidR="793E2990">
        <w:rPr>
          <w:rFonts w:ascii="Aptos" w:hAnsi="Aptos" w:eastAsia="Aptos" w:cs="Aptos"/>
          <w:noProof w:val="0"/>
          <w:sz w:val="22"/>
          <w:szCs w:val="22"/>
          <w:lang w:val="en-GB"/>
        </w:rPr>
        <w:t xml:space="preserve">. Available at: </w:t>
      </w:r>
      <w:hyperlink r:id="R33515388125a42f5">
        <w:r w:rsidRPr="577E0829" w:rsidR="793E2990">
          <w:rPr>
            <w:rStyle w:val="Hyperlink"/>
            <w:noProof w:val="0"/>
            <w:sz w:val="22"/>
            <w:szCs w:val="22"/>
            <w:lang w:val="en-GB"/>
          </w:rPr>
          <w:t>https://www.news-medical.net/health/Glycolysis-Metabolic-Pathway.aspx</w:t>
        </w:r>
      </w:hyperlink>
      <w:r w:rsidRPr="577E0829" w:rsidR="793E2990">
        <w:rPr>
          <w:rFonts w:ascii="Aptos" w:hAnsi="Aptos" w:eastAsia="Aptos" w:cs="Aptos"/>
          <w:noProof w:val="0"/>
          <w:sz w:val="22"/>
          <w:szCs w:val="22"/>
          <w:lang w:val="en-GB"/>
        </w:rPr>
        <w:t xml:space="preserve"> (Accessed: 5 October 2026).</w:t>
      </w:r>
    </w:p>
    <w:p w:rsidR="740121D0" w:rsidP="577E0829" w:rsidRDefault="740121D0" w14:paraId="45B50EAF" w14:textId="3053D7D2">
      <w:pPr>
        <w:pStyle w:val="Normal"/>
        <w:spacing w:before="0" w:beforeAutospacing="off" w:after="240" w:afterAutospacing="off" w:line="360" w:lineRule="auto"/>
        <w:ind w:left="0"/>
        <w:jc w:val="both"/>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Public Health England, 2021. </w:t>
      </w:r>
      <w:r w:rsidRPr="577E0829"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Health matters: preventing type 2 diabetes</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London: GOV.UK. Available</w:t>
      </w:r>
      <w:r w:rsidRPr="577E0829" w:rsidR="11E7E04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at:</w:t>
      </w:r>
      <w:hyperlink r:id="Rfc17a5fbec8d4430">
        <w:r w:rsidRPr="577E0829" w:rsidR="3E8A7E43">
          <w:rPr>
            <w:rStyle w:val="Hyperlink"/>
            <w:noProof w:val="0"/>
            <w:lang w:val="en-GB"/>
          </w:rPr>
          <w:t>https://www.gov.uk/government/publications/health-matters-preventing-type-2-d</w:t>
        </w:r>
      </w:hyperlink>
      <w:r w:rsidRPr="577E0829" w:rsidR="3E8A7E43">
        <w:rPr>
          <w:rFonts w:ascii="sans-serif" w:hAnsi="sans-serif" w:eastAsia="sans-serif" w:cs="sans-serif"/>
          <w:noProof w:val="0"/>
          <w:sz w:val="22"/>
          <w:szCs w:val="22"/>
          <w:lang w:val="en-GB"/>
        </w:rPr>
        <w:t xml:space="preserve"> </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77E0829" w:rsidR="7770E8F8">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Accessed 23 September 2026</w:t>
      </w:r>
      <w:r w:rsidRPr="577E0829" w:rsidR="6331ADCF">
        <w:rPr>
          <w:rFonts w:ascii="sans-serif" w:hAnsi="sans-serif" w:eastAsia="sans-serif" w:cs="sans-serif"/>
          <w:b w:val="0"/>
          <w:bCs w:val="0"/>
          <w:i w:val="0"/>
          <w:iCs w:val="0"/>
          <w:caps w:val="0"/>
          <w:smallCaps w:val="0"/>
          <w:noProof w:val="0"/>
          <w:color w:val="000000" w:themeColor="text1" w:themeTint="FF" w:themeShade="FF"/>
          <w:sz w:val="22"/>
          <w:szCs w:val="22"/>
          <w:lang w:val="en-GB"/>
        </w:rPr>
        <w:t>).</w:t>
      </w:r>
    </w:p>
    <w:p w:rsidR="740121D0" w:rsidP="577E0829" w:rsidRDefault="740121D0" w14:paraId="11157E13" w14:textId="0AF73407">
      <w:pPr>
        <w:spacing w:before="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Savage, D.B., Petersen, K.F. and Shulman, G.I. (2007) 'Disordered lipid metabolism and the pathogenesis of insulin resistance', </w:t>
      </w:r>
      <w:r w:rsidRPr="577E0829" w:rsidR="6C8A1CB2">
        <w:rPr>
          <w:rFonts w:ascii="Aptos" w:hAnsi="Aptos" w:eastAsia="Aptos" w:cs="Aptos"/>
          <w:b w:val="0"/>
          <w:bCs w:val="0"/>
          <w:i w:val="1"/>
          <w:iCs w:val="1"/>
          <w:caps w:val="0"/>
          <w:smallCaps w:val="0"/>
          <w:noProof w:val="0"/>
          <w:color w:val="000000" w:themeColor="text1" w:themeTint="FF" w:themeShade="FF"/>
          <w:sz w:val="22"/>
          <w:szCs w:val="22"/>
          <w:lang w:val="en-GB"/>
        </w:rPr>
        <w:t>Physiological Reviews</w:t>
      </w:r>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87(2), pp. 507–560.Available at:</w:t>
      </w:r>
      <w:hyperlink r:id="R06a92d1437004507">
        <w:r w:rsidRPr="577E0829" w:rsidR="6C8A1CB2">
          <w:rPr>
            <w:rStyle w:val="Hyperlink"/>
            <w:b w:val="0"/>
            <w:bCs w:val="0"/>
            <w:i w:val="0"/>
            <w:iCs w:val="0"/>
            <w:caps w:val="0"/>
            <w:smallCaps w:val="0"/>
            <w:strike w:val="0"/>
            <w:dstrike w:val="0"/>
            <w:noProof w:val="0"/>
            <w:sz w:val="22"/>
            <w:szCs w:val="22"/>
            <w:lang w:val="en-GB"/>
          </w:rPr>
          <w:t>https://pubmed.ncbi.nlm.nih.gov/17429039/</w:t>
        </w:r>
      </w:hyperlink>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25 </w:t>
      </w:r>
      <w:r w:rsidRPr="577E0829" w:rsidR="6C8A1CB2">
        <w:rPr>
          <w:rFonts w:ascii="Aptos" w:hAnsi="Aptos" w:eastAsia="Aptos" w:cs="Aptos"/>
          <w:b w:val="0"/>
          <w:bCs w:val="0"/>
          <w:i w:val="0"/>
          <w:iCs w:val="0"/>
          <w:caps w:val="0"/>
          <w:smallCaps w:val="0"/>
          <w:noProof w:val="0"/>
          <w:color w:val="000000" w:themeColor="text1" w:themeTint="FF" w:themeShade="FF"/>
          <w:sz w:val="22"/>
          <w:szCs w:val="22"/>
          <w:lang w:val="en-GB"/>
        </w:rPr>
        <w:t>September 2026).</w:t>
      </w:r>
    </w:p>
    <w:p w:rsidR="39AE4AB3" w:rsidP="577E0829" w:rsidRDefault="39AE4AB3" w14:paraId="50C58F78" w14:textId="2AC60A86">
      <w:pPr>
        <w:spacing w:before="0" w:beforeAutospacing="off" w:after="240" w:afterAutospacing="off" w:line="360" w:lineRule="auto"/>
        <w:ind w:left="0"/>
        <w:jc w:val="both"/>
        <w:rPr>
          <w:noProof w:val="0"/>
          <w:sz w:val="22"/>
          <w:szCs w:val="22"/>
          <w:lang w:val="en-GB"/>
        </w:rPr>
      </w:pPr>
      <w:r w:rsidRPr="577E0829"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Samson, S. L., Vellanki, P., Blonde, L., Christofides, E. A., Galindo, R. J., Hirsch, I. B., Isaacs, S. D., Izuora, K., Low Wang, C. C., Twining, C. L., Umpierrez, G. E., &amp; Valencia, W. M. (2023). American Association of Clinical Endocrinology consensus statement: Comprehensive type 2 diabetes management algorithm – 2023 update. </w:t>
      </w:r>
      <w:r w:rsidRPr="577E0829" w:rsidR="4694C237">
        <w:rPr>
          <w:rFonts w:ascii="Aptos" w:hAnsi="Aptos" w:eastAsia="Aptos" w:cs="Aptos"/>
          <w:b w:val="0"/>
          <w:bCs w:val="0"/>
          <w:i w:val="1"/>
          <w:iCs w:val="1"/>
          <w:caps w:val="0"/>
          <w:smallCaps w:val="0"/>
          <w:noProof w:val="0"/>
          <w:color w:val="000000" w:themeColor="text1" w:themeTint="FF" w:themeShade="FF"/>
          <w:sz w:val="22"/>
          <w:szCs w:val="22"/>
          <w:lang w:val="en-GB"/>
        </w:rPr>
        <w:t>Endocrine Practice</w:t>
      </w:r>
      <w:r w:rsidRPr="577E0829"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7E0829" w:rsidR="4694C237">
        <w:rPr>
          <w:rFonts w:ascii="Aptos" w:hAnsi="Aptos" w:eastAsia="Aptos" w:cs="Aptos"/>
          <w:b w:val="0"/>
          <w:bCs w:val="0"/>
          <w:i w:val="1"/>
          <w:iCs w:val="1"/>
          <w:caps w:val="0"/>
          <w:smallCaps w:val="0"/>
          <w:noProof w:val="0"/>
          <w:color w:val="000000" w:themeColor="text1" w:themeTint="FF" w:themeShade="FF"/>
          <w:sz w:val="22"/>
          <w:szCs w:val="22"/>
          <w:lang w:val="en-GB"/>
        </w:rPr>
        <w:t>29</w:t>
      </w:r>
      <w:r w:rsidRPr="577E0829"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(5), 305–340. </w:t>
      </w:r>
      <w:hyperlink r:id="R260f099e947f4231">
        <w:r w:rsidRPr="577E0829" w:rsidR="4694C237">
          <w:rPr>
            <w:rStyle w:val="Hyperlink"/>
            <w:b w:val="0"/>
            <w:bCs w:val="0"/>
            <w:i w:val="0"/>
            <w:iCs w:val="0"/>
            <w:caps w:val="0"/>
            <w:smallCaps w:val="0"/>
            <w:strike w:val="0"/>
            <w:dstrike w:val="0"/>
            <w:noProof w:val="0"/>
            <w:sz w:val="22"/>
            <w:szCs w:val="22"/>
            <w:lang w:val="en-GB"/>
          </w:rPr>
          <w:t>https://doi.org/10.1016/j.eprac.2023.02.001</w:t>
        </w:r>
      </w:hyperlink>
    </w:p>
    <w:p w:rsidR="13334AE3" w:rsidP="577E0829" w:rsidRDefault="13334AE3" w14:paraId="3CA76D5A" w14:textId="5DE86591">
      <w:pPr>
        <w:pStyle w:val="Normal"/>
        <w:spacing w:before="0" w:beforeAutospacing="off" w:after="240" w:afterAutospacing="off" w:line="360" w:lineRule="auto"/>
        <w:ind/>
        <w:jc w:val="both"/>
        <w:rPr>
          <w:rFonts w:ascii="Aptos" w:hAnsi="Aptos" w:eastAsia="Aptos" w:cs="Aptos"/>
          <w:noProof w:val="0"/>
          <w:sz w:val="22"/>
          <w:szCs w:val="22"/>
          <w:lang w:val="en-GB"/>
        </w:rPr>
      </w:pPr>
      <w:r w:rsidRPr="577E0829" w:rsidR="06EC9EBA">
        <w:rPr>
          <w:rFonts w:ascii="Aptos" w:hAnsi="Aptos" w:eastAsia="Aptos" w:cs="Aptos"/>
          <w:noProof w:val="0"/>
          <w:sz w:val="22"/>
          <w:szCs w:val="22"/>
          <w:lang w:val="en-GB"/>
        </w:rPr>
        <w:t xml:space="preserve">Sabatier, C. et al. (2021) </w:t>
      </w:r>
      <w:r w:rsidRPr="577E0829" w:rsidR="06EC9EBA">
        <w:rPr>
          <w:rFonts w:ascii="Aptos" w:hAnsi="Aptos" w:eastAsia="Aptos" w:cs="Aptos"/>
          <w:i w:val="1"/>
          <w:iCs w:val="1"/>
          <w:noProof w:val="0"/>
          <w:sz w:val="22"/>
          <w:szCs w:val="22"/>
          <w:lang w:val="en-GB"/>
        </w:rPr>
        <w:t>Concepts in biology: 10.2 Glycolysis</w:t>
      </w:r>
      <w:r w:rsidRPr="577E0829" w:rsidR="06EC9EBA">
        <w:rPr>
          <w:rFonts w:ascii="Aptos" w:hAnsi="Aptos" w:eastAsia="Aptos" w:cs="Aptos"/>
          <w:noProof w:val="0"/>
          <w:sz w:val="22"/>
          <w:szCs w:val="22"/>
          <w:lang w:val="en-GB"/>
        </w:rPr>
        <w:t xml:space="preserve">. Available at: </w:t>
      </w:r>
      <w:hyperlink r:id="R9adefd7e39be4ec1">
        <w:r w:rsidRPr="577E0829" w:rsidR="06EC9EBA">
          <w:rPr>
            <w:rStyle w:val="Hyperlink"/>
            <w:noProof w:val="0"/>
            <w:sz w:val="22"/>
            <w:szCs w:val="22"/>
            <w:lang w:val="en-GB"/>
          </w:rPr>
          <w:t>https://lmu.pressbooks.pub/conceptsinbiology/chapter/glycolysis/</w:t>
        </w:r>
      </w:hyperlink>
      <w:r w:rsidRPr="577E0829" w:rsidR="06EC9EBA">
        <w:rPr>
          <w:rFonts w:ascii="Aptos" w:hAnsi="Aptos" w:eastAsia="Aptos" w:cs="Aptos"/>
          <w:noProof w:val="0"/>
          <w:sz w:val="22"/>
          <w:szCs w:val="22"/>
          <w:lang w:val="en-GB"/>
        </w:rPr>
        <w:t xml:space="preserve"> (Accessed: 5 October 2026).</w:t>
      </w:r>
    </w:p>
    <w:p w:rsidR="13334AE3" w:rsidP="577E0829" w:rsidRDefault="13334AE3" w14:paraId="4CCD4CFE" w14:textId="512F8763">
      <w:pPr>
        <w:pStyle w:val="Normal"/>
        <w:spacing w:before="0" w:beforeAutospacing="off" w:after="240" w:afterAutospacing="off" w:line="360" w:lineRule="auto"/>
        <w:ind w:left="0"/>
        <w:jc w:val="both"/>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77E0829"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Taylor, R., Al-</w:t>
      </w:r>
      <w:r w:rsidRPr="577E0829"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Mrabeh</w:t>
      </w:r>
      <w:r w:rsidRPr="577E0829"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 and Sattar, N., 2019. Understanding the mechanisms of reversal of type 2 diabetes. </w:t>
      </w:r>
      <w:r w:rsidRPr="577E0829" w:rsidR="78EFD85D">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 Diabetes &amp; Endocrinology</w:t>
      </w:r>
      <w:r w:rsidRPr="577E0829"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7(9), pp. 726-736. Available at: </w:t>
      </w:r>
      <w:hyperlink r:id="Rddb40d899e944e07">
        <w:r w:rsidRPr="577E0829" w:rsidR="78EFD85D">
          <w:rPr>
            <w:rStyle w:val="Hyperlink"/>
            <w:b w:val="0"/>
            <w:bCs w:val="0"/>
            <w:i w:val="0"/>
            <w:iCs w:val="0"/>
            <w:caps w:val="0"/>
            <w:smallCaps w:val="0"/>
            <w:strike w:val="0"/>
            <w:dstrike w:val="0"/>
            <w:noProof w:val="0"/>
            <w:sz w:val="22"/>
            <w:szCs w:val="22"/>
            <w:lang w:val="en-GB"/>
          </w:rPr>
          <w:t>https://www.thelancet.com/journals/landia/article/PIIS2213-8587(19)30076-2/abstract</w:t>
        </w:r>
      </w:hyperlink>
    </w:p>
    <w:p w:rsidR="740121D0" w:rsidP="577E0829" w:rsidRDefault="740121D0" w14:paraId="211DEBAE" w14:textId="16E74BAB">
      <w:pPr>
        <w:pStyle w:val="Normal"/>
        <w:spacing w:before="0" w:beforeAutospacing="off" w:after="240" w:afterAutospacing="off" w:line="360" w:lineRule="auto"/>
        <w:ind w:left="0"/>
        <w:jc w:val="both"/>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World Health Organization, 2023. </w:t>
      </w:r>
      <w:r w:rsidRPr="577E0829"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Classification of diabetes mellitus</w:t>
      </w:r>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Geneva: World Health Organization. Available at: </w:t>
      </w:r>
      <w:hyperlink r:id="R99c7fb53a465425d">
        <w:r w:rsidRPr="577E0829" w:rsidR="6C8A1CB2">
          <w:rPr>
            <w:rStyle w:val="Hyperlink"/>
            <w:b w:val="0"/>
            <w:bCs w:val="0"/>
            <w:i w:val="0"/>
            <w:iCs w:val="0"/>
            <w:caps w:val="0"/>
            <w:smallCaps w:val="0"/>
            <w:strike w:val="0"/>
            <w:dstrike w:val="0"/>
            <w:noProof w:val="0"/>
            <w:sz w:val="22"/>
            <w:szCs w:val="22"/>
            <w:lang w:val="en-GB"/>
          </w:rPr>
          <w:t>https://www.who.int/publications/i/item/9789240003279</w:t>
        </w:r>
      </w:hyperlink>
      <w:r w:rsidRPr="577E0829"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[Accessed 23 September 2026].</w:t>
      </w:r>
    </w:p>
    <w:p w:rsidR="443F7350" w:rsidP="577E0829" w:rsidRDefault="443F7350" w14:paraId="1157DB4D" w14:textId="5B685CC4">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7C5E7FD1">
        <w:rPr>
          <w:rFonts w:ascii="Aptos" w:hAnsi="Aptos" w:eastAsia="Aptos" w:cs="Aptos"/>
          <w:b w:val="0"/>
          <w:bCs w:val="0"/>
          <w:i w:val="0"/>
          <w:iCs w:val="0"/>
          <w:caps w:val="0"/>
          <w:smallCaps w:val="0"/>
          <w:noProof w:val="0"/>
          <w:color w:val="000000" w:themeColor="text1" w:themeTint="FF" w:themeShade="FF"/>
          <w:sz w:val="22"/>
          <w:szCs w:val="22"/>
          <w:lang w:val="en-GB"/>
        </w:rPr>
        <w:t xml:space="preserve">Waugh, A. and Grant, A. (2018) </w:t>
      </w:r>
      <w:r w:rsidRPr="577E0829" w:rsidR="7C5E7FD1">
        <w:rPr>
          <w:rFonts w:ascii="Aptos" w:hAnsi="Aptos" w:eastAsia="Aptos" w:cs="Aptos"/>
          <w:b w:val="0"/>
          <w:bCs w:val="0"/>
          <w:i w:val="1"/>
          <w:iCs w:val="1"/>
          <w:caps w:val="0"/>
          <w:smallCaps w:val="0"/>
          <w:noProof w:val="0"/>
          <w:color w:val="000000" w:themeColor="text1" w:themeTint="FF" w:themeShade="FF"/>
          <w:sz w:val="22"/>
          <w:szCs w:val="22"/>
          <w:lang w:val="en-GB"/>
        </w:rPr>
        <w:t>Ross &amp; Wilson Anatomy and Physiology in Health and Illness</w:t>
      </w:r>
      <w:r w:rsidRPr="577E0829" w:rsidR="7C5E7FD1">
        <w:rPr>
          <w:rFonts w:ascii="Aptos" w:hAnsi="Aptos" w:eastAsia="Aptos" w:cs="Aptos"/>
          <w:b w:val="0"/>
          <w:bCs w:val="0"/>
          <w:i w:val="0"/>
          <w:iCs w:val="0"/>
          <w:caps w:val="0"/>
          <w:smallCaps w:val="0"/>
          <w:noProof w:val="0"/>
          <w:color w:val="000000" w:themeColor="text1" w:themeTint="FF" w:themeShade="FF"/>
          <w:sz w:val="22"/>
          <w:szCs w:val="22"/>
          <w:lang w:val="en-GB"/>
        </w:rPr>
        <w:t xml:space="preserve">. 13th </w:t>
      </w:r>
      <w:r w:rsidRPr="577E0829" w:rsidR="7C5E7FD1">
        <w:rPr>
          <w:rFonts w:ascii="Aptos" w:hAnsi="Aptos" w:eastAsia="Aptos" w:cs="Aptos"/>
          <w:b w:val="0"/>
          <w:bCs w:val="0"/>
          <w:i w:val="0"/>
          <w:iCs w:val="0"/>
          <w:caps w:val="0"/>
          <w:smallCaps w:val="0"/>
          <w:noProof w:val="0"/>
          <w:color w:val="000000" w:themeColor="text1" w:themeTint="FF" w:themeShade="FF"/>
          <w:sz w:val="22"/>
          <w:szCs w:val="22"/>
          <w:lang w:val="en-GB"/>
        </w:rPr>
        <w:t>edn</w:t>
      </w:r>
      <w:r w:rsidRPr="577E0829" w:rsidR="7C5E7FD1">
        <w:rPr>
          <w:rFonts w:ascii="Aptos" w:hAnsi="Aptos" w:eastAsia="Aptos" w:cs="Aptos"/>
          <w:b w:val="0"/>
          <w:bCs w:val="0"/>
          <w:i w:val="0"/>
          <w:iCs w:val="0"/>
          <w:caps w:val="0"/>
          <w:smallCaps w:val="0"/>
          <w:noProof w:val="0"/>
          <w:color w:val="000000" w:themeColor="text1" w:themeTint="FF" w:themeShade="FF"/>
          <w:sz w:val="22"/>
          <w:szCs w:val="22"/>
          <w:lang w:val="en-GB"/>
        </w:rPr>
        <w:t>. Edinburgh: Churchill Livingstone Elsevier. Available at:</w:t>
      </w:r>
      <w:r w:rsidRPr="577E0829" w:rsidR="40187F5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hyperlink r:id="R1b094ff5a30148a9">
        <w:r w:rsidRPr="577E0829" w:rsidR="40187F54">
          <w:rPr>
            <w:rStyle w:val="Hyperlink"/>
            <w:noProof w:val="0"/>
            <w:lang w:val="en-GB"/>
          </w:rPr>
          <w:t>https://www.uk.elsevierhealth.com/ross-wilson-anatomy-and-physiology-in-health-and-illn</w:t>
        </w:r>
      </w:hyperlink>
      <w:r w:rsidRPr="577E0829" w:rsidR="40187F54">
        <w:rPr>
          <w:rFonts w:ascii="Aptos" w:hAnsi="Aptos" w:eastAsia="Aptos" w:cs="Aptos"/>
          <w:noProof w:val="0"/>
          <w:sz w:val="22"/>
          <w:szCs w:val="22"/>
          <w:lang w:val="en-GB"/>
        </w:rPr>
        <w:t xml:space="preserve"> </w:t>
      </w:r>
      <w:r w:rsidRPr="577E0829" w:rsidR="7C5E7FD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October 2026).</w:t>
      </w:r>
    </w:p>
    <w:p w:rsidR="62A58FBC" w:rsidP="577E0829" w:rsidRDefault="62A58FBC" w14:paraId="05AC9CD9" w14:textId="0642F501">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 xml:space="preserve">Watson, R. (2018) </w:t>
      </w:r>
      <w:r w:rsidRPr="577E0829" w:rsidR="1B5D2CDA">
        <w:rPr>
          <w:rFonts w:ascii="Aptos" w:hAnsi="Aptos" w:eastAsia="Aptos" w:cs="Aptos"/>
          <w:b w:val="0"/>
          <w:bCs w:val="0"/>
          <w:i w:val="1"/>
          <w:iCs w:val="1"/>
          <w:caps w:val="0"/>
          <w:smallCaps w:val="0"/>
          <w:noProof w:val="0"/>
          <w:color w:val="000000" w:themeColor="text1" w:themeTint="FF" w:themeShade="FF"/>
          <w:sz w:val="22"/>
          <w:szCs w:val="22"/>
          <w:lang w:val="en-GB"/>
        </w:rPr>
        <w:t>Anatomy and Physiology for Nurses</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 xml:space="preserve">. 14th </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edn</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 xml:space="preserve">. Edinburgh: </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Baillière</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 xml:space="preserve"> Tindall Elsevier. Available at</w:t>
      </w:r>
      <w:r w:rsidRPr="577E0829" w:rsidR="5F974D6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hyperlink r:id="Rd3759b83f79a4804">
        <w:r w:rsidRPr="577E0829" w:rsidR="5F974D6D">
          <w:rPr>
            <w:rStyle w:val="Hyperlink"/>
            <w:noProof w:val="0"/>
            <w:lang w:val="en-GB"/>
          </w:rPr>
          <w:t>https://www.uk.elsevierhealth.com/anatomy-and-physiology-for-nurses-9780702077418.ht</w:t>
        </w:r>
      </w:hyperlink>
      <w:r w:rsidRPr="577E0829" w:rsidR="5F974D6D">
        <w:rPr>
          <w:rFonts w:ascii="Aptos" w:hAnsi="Aptos" w:eastAsia="Aptos" w:cs="Aptos"/>
          <w:noProof w:val="0"/>
          <w:sz w:val="22"/>
          <w:szCs w:val="22"/>
          <w:lang w:val="en-GB"/>
        </w:rPr>
        <w:t xml:space="preserve"> </w:t>
      </w:r>
      <w:r w:rsidRPr="577E0829" w:rsidR="5F974D6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7E0829" w:rsidR="1B5D2CDA">
        <w:rPr>
          <w:rFonts w:ascii="Aptos" w:hAnsi="Aptos" w:eastAsia="Aptos" w:cs="Aptos"/>
          <w:b w:val="0"/>
          <w:bCs w:val="0"/>
          <w:i w:val="0"/>
          <w:iCs w:val="0"/>
          <w:caps w:val="0"/>
          <w:smallCaps w:val="0"/>
          <w:noProof w:val="0"/>
          <w:color w:val="000000" w:themeColor="text1" w:themeTint="FF" w:themeShade="FF"/>
          <w:sz w:val="22"/>
          <w:szCs w:val="22"/>
          <w:lang w:val="en-GB"/>
        </w:rPr>
        <w:t>Accessed: 5 October 2026).</w:t>
      </w:r>
    </w:p>
    <w:p w:rsidR="19838A64" w:rsidP="577E0829" w:rsidRDefault="19838A64" w14:paraId="58258517" w14:textId="27ACD50D">
      <w:pPr>
        <w:pStyle w:val="Normal"/>
        <w:spacing w:line="360" w:lineRule="auto"/>
        <w:jc w:val="both"/>
        <w:rPr>
          <w:rFonts w:ascii="Aptos" w:hAnsi="Aptos" w:eastAsia="Aptos" w:cs="Aptos"/>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tNvbu+tRCz5Zz" int2:id="V9LxgGNb">
      <int2:state int2:type="spell" int2:value="Rejected"/>
    </int2:textHash>
    <int2:textHash int2:hashCode="Rs6OvZrcaSDUUx" int2:id="0oLagk4I">
      <int2:state int2:type="spell" int2:value="Rejected"/>
    </int2:textHash>
    <int2:textHash int2:hashCode="BCRcWhdSi6s23/" int2:id="5Kh6Oc8Y">
      <int2:state int2:type="spell" int2:value="Rejected"/>
    </int2:textHash>
    <int2:textHash int2:hashCode="f+fVQ9R98s3jGN" int2:id="ZI3s8CIr">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2906B3"/>
    <w:rsid w:val="00AA4D5F"/>
    <w:rsid w:val="00AB38E2"/>
    <w:rsid w:val="00C5FA40"/>
    <w:rsid w:val="00DDA892"/>
    <w:rsid w:val="00E0FCDD"/>
    <w:rsid w:val="01133904"/>
    <w:rsid w:val="02292F4F"/>
    <w:rsid w:val="02B30DB4"/>
    <w:rsid w:val="03674435"/>
    <w:rsid w:val="03D12236"/>
    <w:rsid w:val="03FAA6C2"/>
    <w:rsid w:val="049C75F5"/>
    <w:rsid w:val="05A5EC35"/>
    <w:rsid w:val="05AA4B97"/>
    <w:rsid w:val="06EC9EBA"/>
    <w:rsid w:val="0701FA18"/>
    <w:rsid w:val="0869501E"/>
    <w:rsid w:val="088488E4"/>
    <w:rsid w:val="0908CBC4"/>
    <w:rsid w:val="0972A748"/>
    <w:rsid w:val="09C33C9D"/>
    <w:rsid w:val="0A13388D"/>
    <w:rsid w:val="0A600194"/>
    <w:rsid w:val="0A7389C2"/>
    <w:rsid w:val="0ABD3DE9"/>
    <w:rsid w:val="0AC6354C"/>
    <w:rsid w:val="0B1748A4"/>
    <w:rsid w:val="0B2FEF0A"/>
    <w:rsid w:val="0B68B9CF"/>
    <w:rsid w:val="0BFAEDCF"/>
    <w:rsid w:val="0C3B044E"/>
    <w:rsid w:val="0C4F5CD4"/>
    <w:rsid w:val="0C521C05"/>
    <w:rsid w:val="0D360DA3"/>
    <w:rsid w:val="0D3A4738"/>
    <w:rsid w:val="0D4494BB"/>
    <w:rsid w:val="0DD6DDD1"/>
    <w:rsid w:val="0E7AFD03"/>
    <w:rsid w:val="0FBE99C8"/>
    <w:rsid w:val="106215C0"/>
    <w:rsid w:val="109AA942"/>
    <w:rsid w:val="10C69F06"/>
    <w:rsid w:val="1117F044"/>
    <w:rsid w:val="11E7E044"/>
    <w:rsid w:val="1244F237"/>
    <w:rsid w:val="12B6DFF9"/>
    <w:rsid w:val="12D3278F"/>
    <w:rsid w:val="1318065B"/>
    <w:rsid w:val="13334AE3"/>
    <w:rsid w:val="133D94E8"/>
    <w:rsid w:val="138C7875"/>
    <w:rsid w:val="13C837C1"/>
    <w:rsid w:val="13C837C1"/>
    <w:rsid w:val="13D7F524"/>
    <w:rsid w:val="1434F4FE"/>
    <w:rsid w:val="14567A75"/>
    <w:rsid w:val="148691FD"/>
    <w:rsid w:val="1559136A"/>
    <w:rsid w:val="15A36B5D"/>
    <w:rsid w:val="15AF157B"/>
    <w:rsid w:val="16433751"/>
    <w:rsid w:val="16ACC268"/>
    <w:rsid w:val="184C84FA"/>
    <w:rsid w:val="188603F0"/>
    <w:rsid w:val="188F4DAB"/>
    <w:rsid w:val="195FEBD4"/>
    <w:rsid w:val="19838A64"/>
    <w:rsid w:val="19AE7B53"/>
    <w:rsid w:val="1ADF29C6"/>
    <w:rsid w:val="1B32C51F"/>
    <w:rsid w:val="1B5D2CDA"/>
    <w:rsid w:val="1B635D18"/>
    <w:rsid w:val="1B6AD89F"/>
    <w:rsid w:val="1C95E54F"/>
    <w:rsid w:val="1CA4BDC5"/>
    <w:rsid w:val="1CD78924"/>
    <w:rsid w:val="1D137DB6"/>
    <w:rsid w:val="1DD3725B"/>
    <w:rsid w:val="205C5631"/>
    <w:rsid w:val="20EAB3A4"/>
    <w:rsid w:val="21CEE8D8"/>
    <w:rsid w:val="21E5D9D1"/>
    <w:rsid w:val="21F48EEC"/>
    <w:rsid w:val="2216C6AC"/>
    <w:rsid w:val="2278EC99"/>
    <w:rsid w:val="236AAFB9"/>
    <w:rsid w:val="2414E88E"/>
    <w:rsid w:val="243C16BB"/>
    <w:rsid w:val="246CB325"/>
    <w:rsid w:val="24DCA800"/>
    <w:rsid w:val="24E3EEDD"/>
    <w:rsid w:val="25A462FB"/>
    <w:rsid w:val="268311CD"/>
    <w:rsid w:val="26F6CC36"/>
    <w:rsid w:val="27B21841"/>
    <w:rsid w:val="2852EBA6"/>
    <w:rsid w:val="28963F9F"/>
    <w:rsid w:val="29905B5A"/>
    <w:rsid w:val="2AEEC2D3"/>
    <w:rsid w:val="2B069ACF"/>
    <w:rsid w:val="2B16BB8E"/>
    <w:rsid w:val="2C5D438D"/>
    <w:rsid w:val="2D4F9A95"/>
    <w:rsid w:val="2D948A7B"/>
    <w:rsid w:val="2FA60071"/>
    <w:rsid w:val="302906B3"/>
    <w:rsid w:val="31C9CD7C"/>
    <w:rsid w:val="32EBF707"/>
    <w:rsid w:val="331E88F0"/>
    <w:rsid w:val="34213C2A"/>
    <w:rsid w:val="3429F6C1"/>
    <w:rsid w:val="34BBF79D"/>
    <w:rsid w:val="36E80088"/>
    <w:rsid w:val="36E93249"/>
    <w:rsid w:val="38F9F2CB"/>
    <w:rsid w:val="3932E095"/>
    <w:rsid w:val="393F34E8"/>
    <w:rsid w:val="39AE4AB3"/>
    <w:rsid w:val="39DFEB92"/>
    <w:rsid w:val="3AA776FC"/>
    <w:rsid w:val="3AAC7B18"/>
    <w:rsid w:val="3ABB6768"/>
    <w:rsid w:val="3B87169B"/>
    <w:rsid w:val="3BA1B906"/>
    <w:rsid w:val="3CCD2ADC"/>
    <w:rsid w:val="3D07B093"/>
    <w:rsid w:val="3E6BCB99"/>
    <w:rsid w:val="3E8A7E43"/>
    <w:rsid w:val="3ED6151F"/>
    <w:rsid w:val="3FAD7F24"/>
    <w:rsid w:val="3FCA08E6"/>
    <w:rsid w:val="3FE60FEB"/>
    <w:rsid w:val="40187F54"/>
    <w:rsid w:val="407E5D57"/>
    <w:rsid w:val="40D6ADEB"/>
    <w:rsid w:val="40E823E1"/>
    <w:rsid w:val="40FF3B4F"/>
    <w:rsid w:val="41112D21"/>
    <w:rsid w:val="41F0A5D4"/>
    <w:rsid w:val="424A1C30"/>
    <w:rsid w:val="4257A98C"/>
    <w:rsid w:val="4313F4E0"/>
    <w:rsid w:val="431E2595"/>
    <w:rsid w:val="4386B7D7"/>
    <w:rsid w:val="442A3BCD"/>
    <w:rsid w:val="443F7350"/>
    <w:rsid w:val="44789928"/>
    <w:rsid w:val="450F6A65"/>
    <w:rsid w:val="4572050F"/>
    <w:rsid w:val="4691ABF9"/>
    <w:rsid w:val="4694C237"/>
    <w:rsid w:val="46F98475"/>
    <w:rsid w:val="47011815"/>
    <w:rsid w:val="4755C597"/>
    <w:rsid w:val="47B56945"/>
    <w:rsid w:val="4A84A993"/>
    <w:rsid w:val="4A975F92"/>
    <w:rsid w:val="4A9AF5F0"/>
    <w:rsid w:val="4D149C83"/>
    <w:rsid w:val="4D7A74B4"/>
    <w:rsid w:val="4DCE30B7"/>
    <w:rsid w:val="4E27D937"/>
    <w:rsid w:val="4E6FA702"/>
    <w:rsid w:val="50023F41"/>
    <w:rsid w:val="5031928D"/>
    <w:rsid w:val="505BDFDF"/>
    <w:rsid w:val="510BA606"/>
    <w:rsid w:val="51A8EAC0"/>
    <w:rsid w:val="51C81F1A"/>
    <w:rsid w:val="52329380"/>
    <w:rsid w:val="52DAFF28"/>
    <w:rsid w:val="530D84FB"/>
    <w:rsid w:val="5317E028"/>
    <w:rsid w:val="5443E713"/>
    <w:rsid w:val="547EBDCF"/>
    <w:rsid w:val="5631FBB7"/>
    <w:rsid w:val="566CB76B"/>
    <w:rsid w:val="5751209C"/>
    <w:rsid w:val="577E0829"/>
    <w:rsid w:val="5829A307"/>
    <w:rsid w:val="5A5B881A"/>
    <w:rsid w:val="5B74D29E"/>
    <w:rsid w:val="5B7A9E4C"/>
    <w:rsid w:val="5BE4DAD0"/>
    <w:rsid w:val="5D16E23E"/>
    <w:rsid w:val="5E4F6C7B"/>
    <w:rsid w:val="5E610ECF"/>
    <w:rsid w:val="5E674488"/>
    <w:rsid w:val="5F974D6D"/>
    <w:rsid w:val="605BD5AD"/>
    <w:rsid w:val="61806313"/>
    <w:rsid w:val="62494E30"/>
    <w:rsid w:val="62A58FBC"/>
    <w:rsid w:val="6331ADCF"/>
    <w:rsid w:val="634DE7FD"/>
    <w:rsid w:val="635869D9"/>
    <w:rsid w:val="656BEDE6"/>
    <w:rsid w:val="6634A5DE"/>
    <w:rsid w:val="665D38FB"/>
    <w:rsid w:val="668F068E"/>
    <w:rsid w:val="6804EE87"/>
    <w:rsid w:val="68F9726D"/>
    <w:rsid w:val="69584D68"/>
    <w:rsid w:val="699E31CE"/>
    <w:rsid w:val="6A296A6A"/>
    <w:rsid w:val="6A3CB0D1"/>
    <w:rsid w:val="6A4216B2"/>
    <w:rsid w:val="6A8FE0E0"/>
    <w:rsid w:val="6B09A062"/>
    <w:rsid w:val="6B1FF99E"/>
    <w:rsid w:val="6B7CC80B"/>
    <w:rsid w:val="6BC0773F"/>
    <w:rsid w:val="6BF759B3"/>
    <w:rsid w:val="6C33B3B8"/>
    <w:rsid w:val="6C72D85E"/>
    <w:rsid w:val="6C8A1CB2"/>
    <w:rsid w:val="6D436ADE"/>
    <w:rsid w:val="6E5B0662"/>
    <w:rsid w:val="6E7F1ACF"/>
    <w:rsid w:val="6EC8DD52"/>
    <w:rsid w:val="6F8A5E94"/>
    <w:rsid w:val="6FC8ADEB"/>
    <w:rsid w:val="703E4E7B"/>
    <w:rsid w:val="70E55900"/>
    <w:rsid w:val="7112E82E"/>
    <w:rsid w:val="71D36F9A"/>
    <w:rsid w:val="737130B1"/>
    <w:rsid w:val="73D322B1"/>
    <w:rsid w:val="740121D0"/>
    <w:rsid w:val="74317487"/>
    <w:rsid w:val="744C1C75"/>
    <w:rsid w:val="74D92AD8"/>
    <w:rsid w:val="74DE24C8"/>
    <w:rsid w:val="74EF8448"/>
    <w:rsid w:val="752A6A38"/>
    <w:rsid w:val="75A9B510"/>
    <w:rsid w:val="76080EA6"/>
    <w:rsid w:val="7636046A"/>
    <w:rsid w:val="76456DCE"/>
    <w:rsid w:val="7656D96B"/>
    <w:rsid w:val="767B0874"/>
    <w:rsid w:val="769091FE"/>
    <w:rsid w:val="76A4F852"/>
    <w:rsid w:val="775E0D90"/>
    <w:rsid w:val="7770E8F8"/>
    <w:rsid w:val="77FF18A0"/>
    <w:rsid w:val="782C577B"/>
    <w:rsid w:val="784317A1"/>
    <w:rsid w:val="78CAD4B9"/>
    <w:rsid w:val="78EDAC2D"/>
    <w:rsid w:val="78EFD85D"/>
    <w:rsid w:val="793E2990"/>
    <w:rsid w:val="7AA0D525"/>
    <w:rsid w:val="7AF8F58A"/>
    <w:rsid w:val="7C2EB89F"/>
    <w:rsid w:val="7C5E7FD1"/>
    <w:rsid w:val="7C637D68"/>
    <w:rsid w:val="7CF41A8F"/>
    <w:rsid w:val="7D3B4BDE"/>
    <w:rsid w:val="7E571DA1"/>
    <w:rsid w:val="7F051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705CC"/>
  <w15:chartTrackingRefBased/>
  <w15:docId w15:val="{F17C4CEE-BE46-4EEF-A857-4D1D30914C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838A64"/>
    <w:rPr>
      <w:color w:val="467886"/>
      <w:u w:val="single"/>
    </w:rPr>
  </w:style>
  <w:style w:type="paragraph" w:styleId="Title">
    <w:uiPriority w:val="10"/>
    <w:name w:val="Title"/>
    <w:basedOn w:val="Normal"/>
    <w:next w:val="Normal"/>
    <w:link w:val="TitleChar"/>
    <w:qFormat/>
    <w:rsid w:val="15A36B5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15A36B5D"/>
    <w:rPr>
      <w:rFonts w:ascii="Aptos Display" w:hAnsi="Aptos Display" w:eastAsia="" w:cs="" w:asciiTheme="majorAscii" w:hAnsiTheme="majorAscii" w:eastAsiaTheme="majorEastAsia" w:cstheme="majorBidi"/>
      <w:sz w:val="56"/>
      <w:szCs w:val="56"/>
    </w:rPr>
  </w:style>
  <w:style w:type="paragraph" w:styleId="Heading1">
    <w:uiPriority w:val="9"/>
    <w:name w:val="heading 1"/>
    <w:basedOn w:val="Normal"/>
    <w:next w:val="Normal"/>
    <w:qFormat/>
    <w:rsid w:val="15A36B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5A36B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rsid w:val="15A36B5D"/>
    <w:rPr>
      <w:rFonts w:eastAsia="" w:cs="" w:eastAsiaTheme="majorEastAsia" w:cstheme="majorBidi"/>
      <w:color w:val="0F4761" w:themeColor="accent1" w:themeTint="FF" w:themeShade="BF"/>
      <w:sz w:val="28"/>
      <w:szCs w:val="28"/>
    </w:rPr>
  </w:style>
  <w:style w:type="paragraph" w:styleId="TOC1">
    <w:uiPriority w:val="39"/>
    <w:name w:val="toc 1"/>
    <w:basedOn w:val="Normal"/>
    <w:next w:val="Normal"/>
    <w:unhideWhenUsed/>
    <w:rsid w:val="15A36B5D"/>
    <w:pPr>
      <w:spacing w:after="100"/>
    </w:pPr>
  </w:style>
  <w:style w:type="paragraph" w:styleId="TOC2">
    <w:uiPriority w:val="39"/>
    <w:name w:val="toc 2"/>
    <w:basedOn w:val="Normal"/>
    <w:next w:val="Normal"/>
    <w:unhideWhenUsed/>
    <w:rsid w:val="15A36B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53180111" /><Relationship Type="http://schemas.microsoft.com/office/2020/10/relationships/intelligence" Target="/word/intelligence2.xml" Id="R1e0a561f34834756" /><Relationship Type="http://schemas.openxmlformats.org/officeDocument/2006/relationships/image" Target="/media/image2.png" Id="rId1008335720" /><Relationship Type="http://schemas.openxmlformats.org/officeDocument/2006/relationships/image" Target="/media/image3.png" Id="rId1258838358" /><Relationship Type="http://schemas.openxmlformats.org/officeDocument/2006/relationships/hyperlink" Target="https://doi.org/10.2337/dc24-SINT" TargetMode="External" Id="R2ddaeacea6924013" /><Relationship Type="http://schemas.openxmlformats.org/officeDocument/2006/relationships/hyperlink" Target="https://doi.org/10.2337/dc16-1728?utm_source=gemini" TargetMode="External" Id="R71e5a2c7598d4db3" /><Relationship Type="http://schemas.openxmlformats.org/officeDocument/2006/relationships/hyperlink" Target="https://doi.org/10.2337/dci22-0034?utm_source=gemini" TargetMode="External" Id="Re84dbc179177475c" /><Relationship Type="http://schemas.openxmlformats.org/officeDocument/2006/relationships/hyperlink" Target="https://pure.southwales.ac.uk/en/publications/anatomy-and-physiology-for-nursing-and-healthcare-professionals/" TargetMode="External" Id="R8a5ba91669514d13" /><Relationship Type="http://schemas.openxmlformats.org/officeDocument/2006/relationships/hyperlink" Target="https://pubmed.ncbi.nlm.nih.gov/28190580/" TargetMode="External" Id="R4804bdb92a7143ba" /><Relationship Type="http://schemas.openxmlformats.org/officeDocument/2006/relationships/hyperlink" Target="https://doi.org/10.2337/dci19-0014" TargetMode="External" Id="R0ae0c40b3ec948b8" /><Relationship Type="http://schemas.openxmlformats.org/officeDocument/2006/relationships/hyperlink" Target="https://pubmed.ncbi.nlm.nih.gov/25538310/" TargetMode="External" Id="R51e18ccef9e44c95" /><Relationship Type="http://schemas.openxmlformats.org/officeDocument/2006/relationships/hyperlink" Target="https://www.ncbi.nlm.nih.gov/books/NBK618743/#chapter-1.2" TargetMode="External" Id="Rce3b653c05974a46" /><Relationship Type="http://schemas.openxmlformats.org/officeDocument/2006/relationships/hyperlink" Target="https://pubmed.ncbi.nlm.nih.gov/24315620/" TargetMode="External" Id="R07a34100c78a4c3e" /><Relationship Type="http://schemas.openxmlformats.org/officeDocument/2006/relationships/hyperlink" Target="https://www.news-medical.net/health/Glycolysis-Metabolic-Pathway.aspx" TargetMode="External" Id="R33515388125a42f5" /><Relationship Type="http://schemas.openxmlformats.org/officeDocument/2006/relationships/hyperlink" Target="https://www.gov.uk/government/publications/health-matters-preventing-type-2-d" TargetMode="External" Id="Rfc17a5fbec8d4430" /><Relationship Type="http://schemas.openxmlformats.org/officeDocument/2006/relationships/hyperlink" Target="https://pubmed.ncbi.nlm.nih.gov/17429039/" TargetMode="External" Id="R06a92d1437004507" /><Relationship Type="http://schemas.openxmlformats.org/officeDocument/2006/relationships/hyperlink" Target="https://doi.org/10.1016/j.eprac.2023.02.001?utm_source=gemini" TargetMode="External" Id="R260f099e947f4231" /><Relationship Type="http://schemas.openxmlformats.org/officeDocument/2006/relationships/hyperlink" Target="https://lmu.pressbooks.pub/conceptsinbiology/chapter/glycolysis/" TargetMode="External" Id="R9adefd7e39be4ec1" /><Relationship Type="http://schemas.openxmlformats.org/officeDocument/2006/relationships/hyperlink" Target="https://www.thelancet.com/journals/landia/article/PIIS2213-8587(19)30076-2/abstract" TargetMode="External" Id="Rddb40d899e944e07" /><Relationship Type="http://schemas.openxmlformats.org/officeDocument/2006/relationships/hyperlink" Target="https://www.who.int/publications/i/item/9789240003279?utm_source=gemini" TargetMode="External" Id="R99c7fb53a465425d" /><Relationship Type="http://schemas.openxmlformats.org/officeDocument/2006/relationships/hyperlink" Target="https://www.uk.elsevierhealth.com/ross-wilson-anatomy-and-physiology-in-health-and-illn" TargetMode="External" Id="R1b094ff5a30148a9" /><Relationship Type="http://schemas.openxmlformats.org/officeDocument/2006/relationships/hyperlink" Target="https://www.uk.elsevierhealth.com/anatomy-and-physiology-for-nurses-9780702077418.ht" TargetMode="External" Id="Rd3759b83f79a48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Razwana Iftkhar (2511282)</dc:creator>
  <keywords/>
  <dc:description/>
  <lastModifiedBy>Razwana Iftkhar (2511282)</lastModifiedBy>
  <revision>7</revision>
  <dcterms:created xsi:type="dcterms:W3CDTF">2026-09-11T15:58:11.8488627Z</dcterms:created>
  <dcterms:modified xsi:type="dcterms:W3CDTF">2026-10-05T18:29:36.1825671Z</dcterms:modified>
</coreProperties>
</file>