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3616F" w14:textId="77777777" w:rsidR="00882157" w:rsidRDefault="00882157">
      <w:pPr>
        <w:rPr>
          <w:b/>
          <w:sz w:val="28"/>
          <w:lang w:val="en-GB"/>
        </w:rPr>
      </w:pPr>
    </w:p>
    <w:p w14:paraId="6E1AE2B8" w14:textId="77777777" w:rsidR="00882157" w:rsidRPr="00A85BFE" w:rsidRDefault="00882157" w:rsidP="00882157">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60288" behindDoc="0" locked="0" layoutInCell="1" allowOverlap="1" wp14:anchorId="440D1C70" wp14:editId="4608CB61">
            <wp:simplePos x="0" y="0"/>
            <wp:positionH relativeFrom="column">
              <wp:posOffset>57150</wp:posOffset>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187899A4" w14:textId="77777777" w:rsidR="00882157" w:rsidRPr="00A406E5" w:rsidRDefault="00882157" w:rsidP="0088215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882157" w:rsidRPr="00A406E5" w14:paraId="6B0D259D" w14:textId="77777777" w:rsidTr="00D81B13">
        <w:tc>
          <w:tcPr>
            <w:tcW w:w="9922" w:type="dxa"/>
            <w:shd w:val="clear" w:color="auto" w:fill="C0C0C0"/>
          </w:tcPr>
          <w:p w14:paraId="65AAF886" w14:textId="77777777" w:rsidR="00882157" w:rsidRPr="00A406E5" w:rsidRDefault="00882157" w:rsidP="00D81B13">
            <w:pPr>
              <w:pStyle w:val="Heading4"/>
              <w:rPr>
                <w:rFonts w:ascii="Arial" w:hAnsi="Arial" w:cs="Arial"/>
                <w:b/>
                <w:bCs/>
              </w:rPr>
            </w:pPr>
            <w:r w:rsidRPr="6D4D0207">
              <w:rPr>
                <w:rFonts w:ascii="Arial" w:hAnsi="Arial" w:cs="Arial"/>
                <w:b/>
                <w:bCs/>
              </w:rPr>
              <w:t xml:space="preserve">LEVEL 6 ASSESSMENT SPECIFICATION </w:t>
            </w:r>
          </w:p>
        </w:tc>
      </w:tr>
    </w:tbl>
    <w:p w14:paraId="7268D851" w14:textId="77777777" w:rsidR="00882157" w:rsidRPr="00A406E5" w:rsidRDefault="00882157" w:rsidP="0088215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82157" w:rsidRPr="00A406E5" w14:paraId="250E62FB" w14:textId="77777777" w:rsidTr="00D81B13">
        <w:tc>
          <w:tcPr>
            <w:tcW w:w="2093" w:type="dxa"/>
            <w:shd w:val="clear" w:color="auto" w:fill="auto"/>
          </w:tcPr>
          <w:p w14:paraId="3B3F8500"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0EDE284B" w14:textId="1B8FD6F9" w:rsidR="00882157" w:rsidRPr="00A406E5" w:rsidRDefault="00882157" w:rsidP="00D81B13">
            <w:pPr>
              <w:spacing w:before="120" w:after="120"/>
              <w:jc w:val="both"/>
              <w:rPr>
                <w:rFonts w:ascii="Arial" w:hAnsi="Arial" w:cs="Arial"/>
                <w:b/>
                <w:sz w:val="22"/>
                <w:szCs w:val="22"/>
              </w:rPr>
            </w:pPr>
            <w:r>
              <w:rPr>
                <w:rFonts w:ascii="Arial" w:hAnsi="Arial" w:cs="Arial"/>
                <w:b/>
                <w:sz w:val="22"/>
                <w:szCs w:val="22"/>
              </w:rPr>
              <w:t xml:space="preserve">Lauren </w:t>
            </w:r>
            <w:proofErr w:type="spellStart"/>
            <w:r>
              <w:rPr>
                <w:rFonts w:ascii="Arial" w:hAnsi="Arial" w:cs="Arial"/>
                <w:b/>
                <w:sz w:val="22"/>
                <w:szCs w:val="22"/>
              </w:rPr>
              <w:t>Alcoran</w:t>
            </w:r>
            <w:proofErr w:type="spellEnd"/>
          </w:p>
        </w:tc>
        <w:tc>
          <w:tcPr>
            <w:tcW w:w="2268" w:type="dxa"/>
            <w:shd w:val="clear" w:color="auto" w:fill="D9D9D9" w:themeFill="background1" w:themeFillShade="D9"/>
          </w:tcPr>
          <w:p w14:paraId="7BBC902C"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0BF3DA67" w14:textId="3C1CC332" w:rsidR="00882157" w:rsidRPr="00A406E5" w:rsidRDefault="00882157" w:rsidP="00D81B13">
            <w:pPr>
              <w:spacing w:before="120" w:after="120"/>
              <w:jc w:val="both"/>
              <w:rPr>
                <w:rFonts w:ascii="Arial" w:hAnsi="Arial" w:cs="Arial"/>
                <w:b/>
                <w:sz w:val="22"/>
                <w:szCs w:val="22"/>
              </w:rPr>
            </w:pPr>
            <w:r>
              <w:rPr>
                <w:rFonts w:ascii="Arial" w:hAnsi="Arial" w:cs="Arial"/>
                <w:b/>
                <w:sz w:val="22"/>
                <w:szCs w:val="22"/>
              </w:rPr>
              <w:t>1805173</w:t>
            </w:r>
          </w:p>
        </w:tc>
      </w:tr>
      <w:tr w:rsidR="00882157" w:rsidRPr="00A406E5" w14:paraId="6291B231" w14:textId="77777777" w:rsidTr="00D81B13">
        <w:tc>
          <w:tcPr>
            <w:tcW w:w="2093" w:type="dxa"/>
            <w:shd w:val="clear" w:color="auto" w:fill="auto"/>
          </w:tcPr>
          <w:p w14:paraId="33F80E8D" w14:textId="77777777" w:rsidR="00882157" w:rsidRPr="00A406E5" w:rsidRDefault="00882157" w:rsidP="00D81B13">
            <w:pPr>
              <w:spacing w:before="120" w:after="120"/>
              <w:jc w:val="both"/>
              <w:rPr>
                <w:rFonts w:ascii="Arial" w:hAnsi="Arial" w:cs="Arial"/>
                <w:b/>
                <w:bCs/>
                <w:sz w:val="22"/>
                <w:szCs w:val="22"/>
              </w:rPr>
            </w:pPr>
            <w:proofErr w:type="spellStart"/>
            <w:r w:rsidRPr="6D4D0207">
              <w:rPr>
                <w:rFonts w:ascii="Arial" w:hAnsi="Arial" w:cs="Arial"/>
                <w:b/>
                <w:bCs/>
                <w:sz w:val="22"/>
                <w:szCs w:val="22"/>
              </w:rPr>
              <w:t>Programme</w:t>
            </w:r>
            <w:proofErr w:type="spellEnd"/>
            <w:r w:rsidRPr="6D4D0207">
              <w:rPr>
                <w:rFonts w:ascii="Arial" w:hAnsi="Arial" w:cs="Arial"/>
                <w:b/>
                <w:bCs/>
                <w:sz w:val="22"/>
                <w:szCs w:val="22"/>
              </w:rPr>
              <w:t>:</w:t>
            </w:r>
          </w:p>
        </w:tc>
        <w:tc>
          <w:tcPr>
            <w:tcW w:w="7829" w:type="dxa"/>
            <w:gridSpan w:val="3"/>
          </w:tcPr>
          <w:p w14:paraId="4E53091E" w14:textId="77777777" w:rsidR="00882157" w:rsidRPr="00A406E5" w:rsidRDefault="00882157" w:rsidP="00D81B13">
            <w:pPr>
              <w:spacing w:before="120" w:after="120"/>
              <w:jc w:val="both"/>
              <w:rPr>
                <w:rFonts w:ascii="Arial" w:hAnsi="Arial" w:cs="Arial"/>
                <w:b/>
                <w:sz w:val="22"/>
                <w:szCs w:val="22"/>
              </w:rPr>
            </w:pPr>
            <w:r>
              <w:rPr>
                <w:rFonts w:ascii="Arial" w:hAnsi="Arial" w:cs="Arial"/>
                <w:b/>
                <w:sz w:val="22"/>
                <w:szCs w:val="22"/>
              </w:rPr>
              <w:t>Secondary PGCE</w:t>
            </w:r>
          </w:p>
        </w:tc>
      </w:tr>
      <w:tr w:rsidR="00882157" w:rsidRPr="00A406E5" w14:paraId="69697FA5" w14:textId="77777777" w:rsidTr="00D81B13">
        <w:tc>
          <w:tcPr>
            <w:tcW w:w="2093" w:type="dxa"/>
            <w:shd w:val="clear" w:color="auto" w:fill="auto"/>
          </w:tcPr>
          <w:p w14:paraId="0A6DEA08"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35B7DB6C" w14:textId="77777777" w:rsidR="00882157" w:rsidRPr="00A406E5" w:rsidRDefault="00882157" w:rsidP="00D81B13">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882157" w:rsidRPr="00A406E5" w14:paraId="7D823EE8" w14:textId="77777777" w:rsidTr="00D81B13">
        <w:tc>
          <w:tcPr>
            <w:tcW w:w="2093" w:type="dxa"/>
            <w:shd w:val="clear" w:color="auto" w:fill="auto"/>
          </w:tcPr>
          <w:p w14:paraId="0F52CCBD"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7685226F" w14:textId="77777777" w:rsidR="00882157" w:rsidRPr="00A406E5" w:rsidRDefault="00882157" w:rsidP="00D81B13">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6C86E9DE" w14:textId="77777777" w:rsidR="00882157" w:rsidRPr="004D5E9B" w:rsidRDefault="00882157" w:rsidP="00D81B1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0EC6D912" w14:textId="77777777" w:rsidR="00882157" w:rsidRPr="00A406E5" w:rsidRDefault="00882157" w:rsidP="00D81B13">
            <w:pPr>
              <w:spacing w:before="120" w:after="120"/>
              <w:jc w:val="both"/>
              <w:rPr>
                <w:rFonts w:ascii="Arial" w:hAnsi="Arial" w:cs="Arial"/>
                <w:b/>
                <w:sz w:val="22"/>
                <w:szCs w:val="22"/>
              </w:rPr>
            </w:pPr>
            <w:r>
              <w:rPr>
                <w:rFonts w:ascii="Arial" w:hAnsi="Arial" w:cs="Arial"/>
                <w:b/>
                <w:sz w:val="22"/>
                <w:szCs w:val="22"/>
              </w:rPr>
              <w:t>50%</w:t>
            </w:r>
          </w:p>
        </w:tc>
      </w:tr>
      <w:tr w:rsidR="00882157" w:rsidRPr="00A406E5" w14:paraId="0E59BF40" w14:textId="77777777" w:rsidTr="00D81B13">
        <w:tc>
          <w:tcPr>
            <w:tcW w:w="2093" w:type="dxa"/>
            <w:shd w:val="clear" w:color="auto" w:fill="auto"/>
          </w:tcPr>
          <w:p w14:paraId="08B45367"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08F0597C" w14:textId="77777777" w:rsidR="00882157" w:rsidRPr="00A406E5" w:rsidRDefault="00882157" w:rsidP="00D81B13">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07A58CF8"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751DABEE" w14:textId="77777777" w:rsidR="00882157" w:rsidRPr="00A406E5" w:rsidRDefault="00882157" w:rsidP="00D81B13">
            <w:pPr>
              <w:spacing w:before="120" w:after="120"/>
              <w:jc w:val="both"/>
              <w:rPr>
                <w:rFonts w:ascii="Arial" w:hAnsi="Arial" w:cs="Arial"/>
                <w:b/>
                <w:sz w:val="22"/>
                <w:szCs w:val="22"/>
              </w:rPr>
            </w:pPr>
          </w:p>
        </w:tc>
      </w:tr>
      <w:tr w:rsidR="00882157" w:rsidRPr="00A406E5" w14:paraId="6F7F8460" w14:textId="77777777" w:rsidTr="00D81B13">
        <w:tc>
          <w:tcPr>
            <w:tcW w:w="2093" w:type="dxa"/>
            <w:shd w:val="clear" w:color="auto" w:fill="auto"/>
          </w:tcPr>
          <w:p w14:paraId="240AC268"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4BD0E68C" w14:textId="77777777" w:rsidR="00882157" w:rsidRPr="00A406E5" w:rsidRDefault="00882157" w:rsidP="00D81B13">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2268" w:type="dxa"/>
            <w:shd w:val="clear" w:color="auto" w:fill="auto"/>
          </w:tcPr>
          <w:p w14:paraId="28296FBD"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58B06832" w14:textId="77777777" w:rsidR="00882157" w:rsidRDefault="00882157" w:rsidP="00D81B13">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14:paraId="029A2B65" w14:textId="77777777" w:rsidR="00882157" w:rsidRPr="006E02E8" w:rsidRDefault="00882157" w:rsidP="00D81B13">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882157" w:rsidRPr="00A406E5" w14:paraId="1C3C3E13" w14:textId="77777777" w:rsidTr="00D81B13">
        <w:tc>
          <w:tcPr>
            <w:tcW w:w="2093" w:type="dxa"/>
            <w:shd w:val="clear" w:color="auto" w:fill="auto"/>
          </w:tcPr>
          <w:p w14:paraId="0A064A0C"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2E535972" w14:textId="77777777" w:rsidR="00882157" w:rsidRPr="00A406E5" w:rsidRDefault="00882157" w:rsidP="00D81B13">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4E9B2EE6"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32630825" w14:textId="77777777" w:rsidR="00882157" w:rsidRPr="00A406E5" w:rsidRDefault="00882157" w:rsidP="00D81B13">
            <w:pPr>
              <w:spacing w:before="120" w:after="120"/>
              <w:jc w:val="both"/>
              <w:rPr>
                <w:rFonts w:ascii="Arial" w:hAnsi="Arial" w:cs="Arial"/>
                <w:b/>
                <w:sz w:val="22"/>
                <w:szCs w:val="22"/>
              </w:rPr>
            </w:pPr>
            <w:r>
              <w:rPr>
                <w:rFonts w:ascii="Arial" w:hAnsi="Arial" w:cs="Arial"/>
                <w:b/>
                <w:sz w:val="22"/>
                <w:szCs w:val="22"/>
              </w:rPr>
              <w:t>17 December 2018</w:t>
            </w:r>
          </w:p>
        </w:tc>
      </w:tr>
      <w:tr w:rsidR="00882157" w:rsidRPr="00A406E5" w14:paraId="2FC952A8" w14:textId="77777777" w:rsidTr="00D81B13">
        <w:tc>
          <w:tcPr>
            <w:tcW w:w="2093" w:type="dxa"/>
            <w:shd w:val="clear" w:color="auto" w:fill="auto"/>
          </w:tcPr>
          <w:p w14:paraId="4E260F15"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251D6A9A" w14:textId="77777777" w:rsidR="00882157" w:rsidRPr="00A406E5" w:rsidRDefault="00882157" w:rsidP="00D81B13">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748F64D8"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3C1C9693" w14:textId="77777777" w:rsidR="00882157" w:rsidRPr="00A406E5" w:rsidRDefault="00882157" w:rsidP="00D81B13">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882157" w:rsidRPr="00A406E5" w14:paraId="5589E5BF" w14:textId="77777777" w:rsidTr="00D81B13">
        <w:tc>
          <w:tcPr>
            <w:tcW w:w="2093" w:type="dxa"/>
            <w:shd w:val="clear" w:color="auto" w:fill="auto"/>
          </w:tcPr>
          <w:p w14:paraId="5974B4EC" w14:textId="77777777" w:rsidR="00882157" w:rsidRPr="00A406E5" w:rsidRDefault="00882157" w:rsidP="00D81B13">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6D4D9CEB" w14:textId="77777777" w:rsidR="00882157" w:rsidRPr="00A406E5" w:rsidRDefault="00882157" w:rsidP="00D81B13">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63FAC53" w14:textId="77777777" w:rsidR="00882157" w:rsidRPr="00A406E5" w:rsidRDefault="00882157" w:rsidP="00882157">
      <w:pPr>
        <w:rPr>
          <w:rFonts w:ascii="Arial" w:hAnsi="Arial" w:cs="Arial"/>
          <w:sz w:val="32"/>
        </w:rPr>
      </w:pPr>
    </w:p>
    <w:p w14:paraId="73C2C11E" w14:textId="77777777" w:rsidR="00882157" w:rsidRPr="00A406E5" w:rsidRDefault="00882157" w:rsidP="00882157">
      <w:pPr>
        <w:rPr>
          <w:rFonts w:ascii="Arial" w:hAnsi="Arial" w:cs="Arial"/>
          <w:sz w:val="32"/>
        </w:rPr>
      </w:pPr>
    </w:p>
    <w:p w14:paraId="11779B5B" w14:textId="77777777" w:rsidR="00882157" w:rsidRPr="00A406E5" w:rsidRDefault="00882157" w:rsidP="00882157">
      <w:pPr>
        <w:rPr>
          <w:rFonts w:ascii="Arial" w:hAnsi="Arial" w:cs="Arial"/>
          <w:sz w:val="32"/>
        </w:rPr>
      </w:pPr>
    </w:p>
    <w:p w14:paraId="348FA47D" w14:textId="77777777" w:rsidR="00882157" w:rsidRPr="00A406E5" w:rsidRDefault="00882157" w:rsidP="00882157">
      <w:pPr>
        <w:rPr>
          <w:rFonts w:ascii="Arial" w:hAnsi="Arial" w:cs="Arial"/>
          <w:sz w:val="32"/>
        </w:rPr>
      </w:pPr>
    </w:p>
    <w:p w14:paraId="05A60C41" w14:textId="77777777" w:rsidR="00882157" w:rsidRPr="00A406E5" w:rsidRDefault="00882157" w:rsidP="00882157">
      <w:pPr>
        <w:rPr>
          <w:rFonts w:ascii="Arial" w:hAnsi="Arial" w:cs="Arial"/>
          <w:sz w:val="32"/>
        </w:rPr>
      </w:pPr>
    </w:p>
    <w:p w14:paraId="78A9669E" w14:textId="78593E34" w:rsidR="00882157" w:rsidRDefault="00882157">
      <w:pPr>
        <w:rPr>
          <w:b/>
          <w:sz w:val="28"/>
          <w:lang w:val="en-GB"/>
        </w:rPr>
      </w:pPr>
    </w:p>
    <w:p w14:paraId="3C05CF4A" w14:textId="25BDAD2D" w:rsidR="00DC7C08" w:rsidRDefault="00976397">
      <w:pPr>
        <w:rPr>
          <w:b/>
          <w:sz w:val="28"/>
          <w:lang w:val="en-GB"/>
        </w:rPr>
      </w:pPr>
      <w:r>
        <w:rPr>
          <w:b/>
          <w:sz w:val="28"/>
          <w:lang w:val="en-GB"/>
        </w:rPr>
        <w:lastRenderedPageBreak/>
        <w:t xml:space="preserve">ECSP6001; Principles of Teaching, Learning and Pedagogy in the Secondary Sector. </w:t>
      </w:r>
    </w:p>
    <w:p w14:paraId="246D346D" w14:textId="425E0E79" w:rsidR="00976397" w:rsidRDefault="00976397">
      <w:pPr>
        <w:rPr>
          <w:b/>
          <w:sz w:val="28"/>
          <w:lang w:val="en-GB"/>
        </w:rPr>
      </w:pPr>
      <w:r>
        <w:rPr>
          <w:b/>
          <w:sz w:val="28"/>
          <w:lang w:val="en-GB"/>
        </w:rPr>
        <w:t>Micro-teaching Evaluation and Reflection</w:t>
      </w:r>
    </w:p>
    <w:p w14:paraId="2D5E0702" w14:textId="1D7817C5" w:rsidR="00976397" w:rsidRDefault="00976397">
      <w:pPr>
        <w:rPr>
          <w:b/>
          <w:sz w:val="28"/>
          <w:lang w:val="en-GB"/>
        </w:rPr>
      </w:pPr>
      <w:r>
        <w:rPr>
          <w:b/>
          <w:sz w:val="28"/>
          <w:lang w:val="en-GB"/>
        </w:rPr>
        <w:t xml:space="preserve">Lauren </w:t>
      </w:r>
      <w:proofErr w:type="spellStart"/>
      <w:r>
        <w:rPr>
          <w:b/>
          <w:sz w:val="28"/>
          <w:lang w:val="en-GB"/>
        </w:rPr>
        <w:t>Alcoran</w:t>
      </w:r>
      <w:proofErr w:type="spellEnd"/>
      <w:r>
        <w:rPr>
          <w:b/>
          <w:sz w:val="28"/>
          <w:lang w:val="en-GB"/>
        </w:rPr>
        <w:t>: 1805173</w:t>
      </w:r>
    </w:p>
    <w:p w14:paraId="23349731" w14:textId="3398F63D" w:rsidR="00976397" w:rsidRDefault="00976397">
      <w:pPr>
        <w:rPr>
          <w:b/>
          <w:sz w:val="28"/>
          <w:lang w:val="en-GB"/>
        </w:rPr>
      </w:pPr>
    </w:p>
    <w:p w14:paraId="35B47FB4" w14:textId="77777777" w:rsidR="00976397" w:rsidRDefault="00976397" w:rsidP="00F83C15">
      <w:pPr>
        <w:spacing w:line="360" w:lineRule="auto"/>
        <w:contextualSpacing/>
        <w:jc w:val="both"/>
        <w:rPr>
          <w:sz w:val="28"/>
          <w:lang w:val="en-GB"/>
        </w:rPr>
      </w:pPr>
      <w:r>
        <w:rPr>
          <w:sz w:val="28"/>
          <w:lang w:val="en-GB"/>
        </w:rPr>
        <w:t>Part B</w:t>
      </w:r>
    </w:p>
    <w:p w14:paraId="70051766" w14:textId="6893F601" w:rsidR="00976397" w:rsidRDefault="00976397" w:rsidP="00F83C15">
      <w:pPr>
        <w:spacing w:line="360" w:lineRule="auto"/>
        <w:contextualSpacing/>
        <w:jc w:val="both"/>
        <w:rPr>
          <w:rFonts w:cstheme="minorHAnsi"/>
          <w:i/>
        </w:rPr>
      </w:pPr>
      <w:r w:rsidRPr="00976397">
        <w:rPr>
          <w:rFonts w:cstheme="minorHAnsi"/>
          <w:i/>
        </w:rPr>
        <w:t xml:space="preserve">Use selected literature and professional documents to explain the learning principles which underpin the scheme of work, teaching session and resources. Consider the sequence of your scheme of work or syllabus requirements, differentiation and learning, Y Cwricwlwm Cymreig, Literacy and Numeracy framework, Digital Competence Framework, etc. </w:t>
      </w:r>
    </w:p>
    <w:p w14:paraId="0F51677F" w14:textId="40FC3287" w:rsidR="00976397" w:rsidRDefault="00976397" w:rsidP="00F83C15">
      <w:pPr>
        <w:spacing w:line="360" w:lineRule="auto"/>
        <w:contextualSpacing/>
        <w:jc w:val="both"/>
        <w:rPr>
          <w:rFonts w:cstheme="minorHAnsi"/>
        </w:rPr>
      </w:pPr>
    </w:p>
    <w:p w14:paraId="262B3225" w14:textId="44A106D4" w:rsidR="00976397" w:rsidRDefault="000E7091" w:rsidP="00F83C15">
      <w:pPr>
        <w:spacing w:line="360" w:lineRule="auto"/>
        <w:contextualSpacing/>
        <w:jc w:val="both"/>
        <w:rPr>
          <w:lang w:val="en-GB"/>
        </w:rPr>
      </w:pPr>
      <w:r>
        <w:rPr>
          <w:lang w:val="en-GB"/>
        </w:rPr>
        <w:t xml:space="preserve">Differentiation is the key concept that should underpin any scheme of work created by a teacher, as it ensures that all students have access to learning. This access should come in the form of all students being in the “Struggle Zone” (Making Every Lesson Count, 2015); whereby all students are in a place of being challenged at a high level, while having a low level of stress. This ‘zone’ requires all students to think about what they are being challenged on, and therefore effective learning is achieved. </w:t>
      </w:r>
    </w:p>
    <w:p w14:paraId="708FCC1A" w14:textId="058BB405" w:rsidR="003D6039" w:rsidRDefault="003D6039" w:rsidP="00F83C15">
      <w:pPr>
        <w:spacing w:line="360" w:lineRule="auto"/>
        <w:contextualSpacing/>
        <w:jc w:val="both"/>
        <w:rPr>
          <w:lang w:val="en-GB"/>
        </w:rPr>
      </w:pPr>
      <w:r>
        <w:rPr>
          <w:lang w:val="en-GB"/>
        </w:rPr>
        <w:t xml:space="preserve">Differentiation of a lesson does not have to necessarily be differentiation by task, </w:t>
      </w:r>
      <w:r w:rsidR="00DD2AE0">
        <w:rPr>
          <w:lang w:val="en-GB"/>
        </w:rPr>
        <w:t xml:space="preserve">standard tasks can be prepared and given, but knowledge of the student becomes vital in assessing the level of support provided to individuals. Andy </w:t>
      </w:r>
      <w:proofErr w:type="spellStart"/>
      <w:r w:rsidR="00DD2AE0">
        <w:rPr>
          <w:lang w:val="en-GB"/>
        </w:rPr>
        <w:t>Tharby</w:t>
      </w:r>
      <w:proofErr w:type="spellEnd"/>
      <w:r w:rsidR="00DD2AE0">
        <w:rPr>
          <w:lang w:val="en-GB"/>
        </w:rPr>
        <w:t xml:space="preserve"> (2013) suggests that when setting a standard task, having improvised responses are key to differentiation; in that knowing what the students are capable of in terms of encouraging them to independently find a solution (e.g. a higher ability student can find a correct spelling in a dictionary by themselves), or providing more support (e.g. a lower ability student may need</w:t>
      </w:r>
      <w:r w:rsidR="009B10EE">
        <w:rPr>
          <w:lang w:val="en-GB"/>
        </w:rPr>
        <w:t xml:space="preserve"> help with a sentence starter). Using a standard task for a mixed ability class (even if the class is set, there will still be a level of mixed ability) is known as “easy differentiation” (Sherrington, 2014) in that, you provide the same resource(s) and just ask different questions for different abilities. This can be done as all students answering the first basic question and those of higher ability moving on to further questions of a higher level, or those who feel confident in the content could start at a different point in the question set (e.g. </w:t>
      </w:r>
      <w:r w:rsidR="00F82592">
        <w:rPr>
          <w:lang w:val="en-GB"/>
        </w:rPr>
        <w:t>starting at Part C rather than P</w:t>
      </w:r>
      <w:r w:rsidR="009B10EE">
        <w:rPr>
          <w:lang w:val="en-GB"/>
        </w:rPr>
        <w:t xml:space="preserve">art A). In the lesson plan that was produced for the micro-teaching task, a variation of this was provided, in that all pupils were asked to complete the same work sheet (other further differentiated versions </w:t>
      </w:r>
      <w:r w:rsidR="009B10EE">
        <w:rPr>
          <w:lang w:val="en-GB"/>
        </w:rPr>
        <w:lastRenderedPageBreak/>
        <w:t xml:space="preserve">could have been created if necessary), and then an extension task was provided for those who progressed through this initial task quickly, in order to encourage further thinking. </w:t>
      </w:r>
    </w:p>
    <w:p w14:paraId="09FAB4B6" w14:textId="206EBDED" w:rsidR="00454C7A" w:rsidRDefault="00F82592" w:rsidP="00F83C15">
      <w:pPr>
        <w:spacing w:line="360" w:lineRule="auto"/>
        <w:contextualSpacing/>
        <w:jc w:val="both"/>
        <w:rPr>
          <w:lang w:val="en-GB"/>
        </w:rPr>
      </w:pPr>
      <w:r>
        <w:rPr>
          <w:lang w:val="en-GB"/>
        </w:rPr>
        <w:t>Differentiation can also come in the form of the types of tasks provided that s</w:t>
      </w:r>
      <w:r w:rsidR="00103D70">
        <w:rPr>
          <w:lang w:val="en-GB"/>
        </w:rPr>
        <w:t xml:space="preserve">uit different styles of learning. The Teacher’s Toolkit (2018), outlines the three main sensory preferences in terms of learning (Auditory, Visual and Kinaesthetic), and suggests that in secondary education those with a Kinaesthetic dominance (which make up the highest proportion at 37%) are at a disadvantage as most tasks are “based upon reading, writing and listening”. In order to ensure that a scheme of work is accessible to all students of all preferences, a range of types of tasks and resources are used across lessons. Use of </w:t>
      </w:r>
      <w:r w:rsidR="00AF23E3">
        <w:rPr>
          <w:lang w:val="en-GB"/>
        </w:rPr>
        <w:t xml:space="preserve">presentations and diagrams aids the learning of those with visual dominance; those with auditory dominance learn best through sound, therefore group discussions and questioning help these learners; while kinaesthetic learners need to “do” to learn, which is where the activity of all students “acting” as part of the digestive system in lesson one, and the creation of definition/revision cards is best for them. By having a range of tasks such as these, all pupils will have activities that are most suited to them, while still being able to learn from the other tasks provided. </w:t>
      </w:r>
    </w:p>
    <w:p w14:paraId="50621116" w14:textId="76A6A092" w:rsidR="004F40D6" w:rsidRDefault="004F40D6" w:rsidP="00F83C15">
      <w:pPr>
        <w:spacing w:line="360" w:lineRule="auto"/>
        <w:contextualSpacing/>
        <w:jc w:val="both"/>
        <w:rPr>
          <w:lang w:val="en-GB"/>
        </w:rPr>
      </w:pPr>
      <w:r>
        <w:rPr>
          <w:lang w:val="en-GB"/>
        </w:rPr>
        <w:t xml:space="preserve">Access to learning can additionally come in the form of how a lesson and its resources are presented. Having pupils in the class with learning difficulties will have an impact on not just differentiation of tasks, but how any resources (from </w:t>
      </w:r>
      <w:r w:rsidR="002765A1">
        <w:rPr>
          <w:lang w:val="en-GB"/>
        </w:rPr>
        <w:t>PowerPoint</w:t>
      </w:r>
      <w:r>
        <w:rPr>
          <w:lang w:val="en-GB"/>
        </w:rPr>
        <w:t xml:space="preserve"> presentations to worksheets) </w:t>
      </w:r>
      <w:r w:rsidR="00F45111">
        <w:rPr>
          <w:lang w:val="en-GB"/>
        </w:rPr>
        <w:t xml:space="preserve">are produced for the pupils as a cohort. Readability and legibility of text, both printed and on a digital screen, has been explored in a study by </w:t>
      </w:r>
      <w:proofErr w:type="spellStart"/>
      <w:r w:rsidR="00F45111">
        <w:rPr>
          <w:lang w:val="en-GB"/>
        </w:rPr>
        <w:t>Zorko</w:t>
      </w:r>
      <w:proofErr w:type="spellEnd"/>
      <w:r w:rsidR="00F45111">
        <w:rPr>
          <w:lang w:val="en-GB"/>
        </w:rPr>
        <w:t xml:space="preserve"> et al (2017), who found that black text on a white background was one of the most appropriate combinations for readability and legibility of text (“positive text”), as a greater contrast between colours used, makes for better readability. However, they found that white writing on a black background (“negative text”) made text significantly less readable. </w:t>
      </w:r>
      <w:r w:rsidR="00495648">
        <w:rPr>
          <w:lang w:val="en-GB"/>
        </w:rPr>
        <w:t xml:space="preserve">This lack of readability can be due to how this “negative text” affects those with </w:t>
      </w:r>
      <w:r w:rsidR="00E43726">
        <w:rPr>
          <w:lang w:val="en-GB"/>
        </w:rPr>
        <w:t>an Astigmatism</w:t>
      </w:r>
      <w:r w:rsidR="00495648">
        <w:rPr>
          <w:lang w:val="en-GB"/>
        </w:rPr>
        <w:t>.</w:t>
      </w:r>
      <w:r w:rsidR="00E43726">
        <w:rPr>
          <w:lang w:val="en-GB"/>
        </w:rPr>
        <w:t xml:space="preserve"> Jessica Otis (2017) highlights how this form of presentation can cause the text to have a “visual fuzzing effect”, known as ‘halation’, which drastically reduces the readability of the text, and also the comfort of those reading it. As “approximately half the population” have “some degree of astigmatism”, using a black background with white font should be avoided as it will reduce the accessibility of content to learners. </w:t>
      </w:r>
    </w:p>
    <w:p w14:paraId="713F22D5" w14:textId="3046C69B" w:rsidR="001B2E1A" w:rsidRDefault="007F5155" w:rsidP="00F83C15">
      <w:pPr>
        <w:spacing w:line="360" w:lineRule="auto"/>
        <w:contextualSpacing/>
        <w:jc w:val="both"/>
        <w:rPr>
          <w:lang w:val="en-GB"/>
        </w:rPr>
      </w:pPr>
      <w:r>
        <w:rPr>
          <w:lang w:val="en-GB"/>
        </w:rPr>
        <w:t xml:space="preserve">Guidelines from the British Dyslexia Association, however, state that white backgrounds should be avoided, as they can be “too dazzling” for those with Dyslexia, and therefore </w:t>
      </w:r>
      <w:r>
        <w:rPr>
          <w:lang w:val="en-GB"/>
        </w:rPr>
        <w:lastRenderedPageBreak/>
        <w:t>suggest using cream or a soft pastel colour with dark coloured text instead. Alongside this, fonts such as Ariel or Comic Sans in a size 12-14 font (or larger depending on personal preference) are the most readable to these individuals. Colours such as green and red/pink should also be avoided as these are difficult for colour-blind individuals to read. Underlining and italics should be avoided</w:t>
      </w:r>
      <w:r w:rsidR="008F2806">
        <w:rPr>
          <w:lang w:val="en-GB"/>
        </w:rPr>
        <w:t xml:space="preserve"> as well</w:t>
      </w:r>
      <w:r>
        <w:rPr>
          <w:lang w:val="en-GB"/>
        </w:rPr>
        <w:t>, as they can cause text to “appear to run together”, so any text requiring emphasis should</w:t>
      </w:r>
      <w:r w:rsidR="00451E42">
        <w:rPr>
          <w:lang w:val="en-GB"/>
        </w:rPr>
        <w:t xml:space="preserve"> be </w:t>
      </w:r>
      <w:r w:rsidR="008F2806">
        <w:rPr>
          <w:lang w:val="en-GB"/>
        </w:rPr>
        <w:t>written in bold</w:t>
      </w:r>
      <w:r>
        <w:rPr>
          <w:lang w:val="en-GB"/>
        </w:rPr>
        <w:t xml:space="preserve"> instead. These guidelines can be applied to all teaching and learning resources, as they provide accessibility for all learners and will not disadvantage pupils who do not require these provisions, meaning that they can be given to a group as a whole. </w:t>
      </w:r>
    </w:p>
    <w:p w14:paraId="37ED6694" w14:textId="02FEA586" w:rsidR="00B85DA0" w:rsidRDefault="006C1EC5" w:rsidP="00F83C15">
      <w:pPr>
        <w:spacing w:line="360" w:lineRule="auto"/>
        <w:contextualSpacing/>
        <w:jc w:val="both"/>
        <w:rPr>
          <w:lang w:val="en-GB"/>
        </w:rPr>
      </w:pPr>
      <w:r>
        <w:rPr>
          <w:lang w:val="en-GB"/>
        </w:rPr>
        <w:t xml:space="preserve">Accessibility to the Welsh language is another key factor when developing any Scheme of Work; guided by the Welsh Government initiative to have one million Welsh speakers by 2050 (Welsh Government, 2017). This initiative targets various aspects of everyday life in Wales, with a significant focus on introducing Welsh language and heritage in all stages of Education. </w:t>
      </w:r>
      <w:r w:rsidR="00B85DA0">
        <w:rPr>
          <w:lang w:val="en-GB"/>
        </w:rPr>
        <w:t xml:space="preserve">Education has an important role to play one of the main strategies of achieving this goal, which is “increasing the number of Welsh speakers”; and is outlined in Cwricwlwm Cymreig. </w:t>
      </w:r>
    </w:p>
    <w:p w14:paraId="7E20B302" w14:textId="2FD06531" w:rsidR="00C25A96" w:rsidRDefault="00C25A96" w:rsidP="00F83C15">
      <w:pPr>
        <w:spacing w:line="360" w:lineRule="auto"/>
        <w:contextualSpacing/>
        <w:jc w:val="both"/>
        <w:rPr>
          <w:lang w:val="en-GB"/>
        </w:rPr>
      </w:pPr>
      <w:r>
        <w:rPr>
          <w:lang w:val="en-GB"/>
        </w:rPr>
        <w:t xml:space="preserve">Cwricwlwm Cymreig outlines not only subject specific use of Welsh, but also elements that can be taken on as a “whole school approach”. The requirements for the implementation of this framework cover five aspects of Welsh; cultural, economic, environmental, historical and linguistic (Welsh Assembly Government, 2003). The aim is to not only produce Welsh speaking individuals, but raise awareness and promote pride in their culture and heritage. One of the most subtle strategies on the curriculum for promoting use of Welsh language is the use of incidental Welsh, not only in lessons but in day-to-day school life. </w:t>
      </w:r>
      <w:r w:rsidR="003B0C2A">
        <w:rPr>
          <w:lang w:val="en-GB"/>
        </w:rPr>
        <w:t>C</w:t>
      </w:r>
      <w:r w:rsidR="009E13F7">
        <w:rPr>
          <w:lang w:val="en-GB"/>
        </w:rPr>
        <w:t xml:space="preserve">ontinued use of this type of language within greetings, instructions, praising and more aims to encourage pupils to use this casual Welsh in their own every day conversations and communications. </w:t>
      </w:r>
    </w:p>
    <w:p w14:paraId="68C6DCDE" w14:textId="6F8F47F5" w:rsidR="009E13F7" w:rsidRDefault="009E13F7" w:rsidP="00F83C15">
      <w:pPr>
        <w:spacing w:line="360" w:lineRule="auto"/>
        <w:contextualSpacing/>
        <w:jc w:val="both"/>
        <w:rPr>
          <w:lang w:val="en-GB"/>
        </w:rPr>
      </w:pPr>
      <w:r>
        <w:rPr>
          <w:lang w:val="en-GB"/>
        </w:rPr>
        <w:t xml:space="preserve">Including Cwricwlwm Cymreig within science lessons can take many forms, including incorporating the local and national environments within lessons (for topics such as food chains/webs), science in Welsh industry (e.g. Tata Steel), renewable energy sources in Wales and even incorporate the work of Welsh Scientists in the appropriate areas where applicable. Some Schemes of Work may not lend themselves to having may ties to Cwricwlwm Cymreig- for example, the Scheme of Work produced for the micro-teaching session based upon the Digestive System- but even small ties can be made outside of using incidental Welsh Language. In the case of the micro-teach exercise, Welsh foods could be used as examples of </w:t>
      </w:r>
      <w:r>
        <w:rPr>
          <w:lang w:val="en-GB"/>
        </w:rPr>
        <w:lastRenderedPageBreak/>
        <w:t xml:space="preserve">being digested, and what nutrients these foods provide (e.g. Leeks or Welsh Cakes could be used as exemplar foods). </w:t>
      </w:r>
    </w:p>
    <w:p w14:paraId="66C87D1C" w14:textId="0693CA0A" w:rsidR="00960004" w:rsidRDefault="00AF75A5" w:rsidP="00F83C15">
      <w:pPr>
        <w:spacing w:line="360" w:lineRule="auto"/>
        <w:contextualSpacing/>
        <w:jc w:val="both"/>
        <w:rPr>
          <w:lang w:val="en-GB"/>
        </w:rPr>
      </w:pPr>
      <w:r>
        <w:rPr>
          <w:lang w:val="en-GB"/>
        </w:rPr>
        <w:t>The Literacy and Numeracy Framework was introduced in 2012 with a predominant aim of introducing Literacy and Numeracy skills to learners and put emphasis on the fact that these are skills that are transferable and can be used in everyday life, for the rest of their lives. From this, the “new curriculum for Wales- a curriculum for life” was introduced (Welsh Government, 2016). This curriculum encourages literacy and numeracy skills to be applied to all subjects within the curriculum, and through this demonstrates to pupils that the skills they have picked up in one lesson can be applied in a variety of others (for example, reading graphs/tables in a maths lesson can be transferred to apply to processing and analysing scientific data)</w:t>
      </w:r>
      <w:r w:rsidR="00C76C78">
        <w:rPr>
          <w:lang w:val="en-GB"/>
        </w:rPr>
        <w:t xml:space="preserve">. This framework also introduced an element of testing of these skills in a standardised way across the nation, so that not only individual pupils’ progress could be tracked, but the progress of the schools as well. Literacy skills can be applied in three main forms; </w:t>
      </w:r>
      <w:proofErr w:type="spellStart"/>
      <w:r w:rsidR="00C76C78">
        <w:rPr>
          <w:lang w:val="en-GB"/>
        </w:rPr>
        <w:t>oracy</w:t>
      </w:r>
      <w:proofErr w:type="spellEnd"/>
      <w:r w:rsidR="00C76C78">
        <w:rPr>
          <w:lang w:val="en-GB"/>
        </w:rPr>
        <w:t>, reading and writing (Welsh Government, 2014). In the context of science and the micro-teach scheme of work, these skills can be brought in through activities such as discussions, questioning and debates (</w:t>
      </w:r>
      <w:proofErr w:type="spellStart"/>
      <w:r w:rsidR="00C76C78">
        <w:rPr>
          <w:lang w:val="en-GB"/>
        </w:rPr>
        <w:t>oracy</w:t>
      </w:r>
      <w:proofErr w:type="spellEnd"/>
      <w:r w:rsidR="00C76C78">
        <w:rPr>
          <w:lang w:val="en-GB"/>
        </w:rPr>
        <w:t xml:space="preserve">), and/or reading scientific passages/reports and answering questions based upon what information they have learnt about said topic (reading and writing). Numeracy skills come in the form of; developing numerical reasoning, using number skills, using measuring skills and using data skills. These skills can easily be incorporated into scientific schemes of work as a lot of numeracy skills can be used in experimentation and the analysis of results (measuring skills and data </w:t>
      </w:r>
      <w:r w:rsidR="00E95C3C">
        <w:rPr>
          <w:lang w:val="en-GB"/>
        </w:rPr>
        <w:t xml:space="preserve">skills) as well as calculations (number skills) of aspects such as concentrations. Digital competency has also been included in this framework over recent years as society is becoming more digitally reliant. These skills can be introduced into the curriculum in ways such as research, creating computer presentations and using online programmes for formula calculations (e.g. on Excel). </w:t>
      </w:r>
    </w:p>
    <w:p w14:paraId="6EBA90D6" w14:textId="58D2E31C" w:rsidR="00E95C3C" w:rsidRDefault="00E95C3C" w:rsidP="00F83C15">
      <w:pPr>
        <w:spacing w:line="360" w:lineRule="auto"/>
        <w:contextualSpacing/>
        <w:jc w:val="both"/>
        <w:rPr>
          <w:lang w:val="en-GB"/>
        </w:rPr>
      </w:pPr>
      <w:r>
        <w:rPr>
          <w:lang w:val="en-GB"/>
        </w:rPr>
        <w:t xml:space="preserve">The variety of principles, mentioned above, all come together in order to create a well-rounded, all-inclusive scheme of work for pupils, that will benefit them in a manner of ways and ensure that all learners have access and the opportunity to thrive in the school environment. </w:t>
      </w:r>
    </w:p>
    <w:p w14:paraId="71DABCF0" w14:textId="23D44426" w:rsidR="00960004" w:rsidRDefault="00960004" w:rsidP="00F83C15">
      <w:pPr>
        <w:spacing w:line="360" w:lineRule="auto"/>
        <w:contextualSpacing/>
        <w:jc w:val="both"/>
        <w:rPr>
          <w:lang w:val="en-GB"/>
        </w:rPr>
      </w:pPr>
    </w:p>
    <w:p w14:paraId="21472126" w14:textId="40CF8340" w:rsidR="002139BE" w:rsidRDefault="002139BE" w:rsidP="00F83C15">
      <w:pPr>
        <w:spacing w:line="360" w:lineRule="auto"/>
        <w:contextualSpacing/>
        <w:jc w:val="both"/>
        <w:rPr>
          <w:lang w:val="en-GB"/>
        </w:rPr>
      </w:pPr>
    </w:p>
    <w:p w14:paraId="3060A1C1" w14:textId="77777777" w:rsidR="002765A1" w:rsidRDefault="002765A1" w:rsidP="00F83C15">
      <w:pPr>
        <w:spacing w:line="360" w:lineRule="auto"/>
        <w:contextualSpacing/>
        <w:jc w:val="both"/>
        <w:rPr>
          <w:i/>
          <w:lang w:val="en-GB"/>
        </w:rPr>
      </w:pPr>
    </w:p>
    <w:p w14:paraId="73EAFCEC" w14:textId="716AFC5E" w:rsidR="002139BE" w:rsidRDefault="00001AD2" w:rsidP="00F83C15">
      <w:pPr>
        <w:spacing w:line="360" w:lineRule="auto"/>
        <w:contextualSpacing/>
        <w:jc w:val="both"/>
        <w:rPr>
          <w:i/>
          <w:lang w:val="en-GB"/>
        </w:rPr>
      </w:pPr>
      <w:bookmarkStart w:id="0" w:name="_GoBack"/>
      <w:bookmarkEnd w:id="0"/>
      <w:r>
        <w:rPr>
          <w:i/>
          <w:lang w:val="en-GB"/>
        </w:rPr>
        <w:lastRenderedPageBreak/>
        <w:t xml:space="preserve">Critical evaluation of the Micro-teaching session, in light of the first teaching experience. </w:t>
      </w:r>
    </w:p>
    <w:p w14:paraId="5D5F98E6" w14:textId="5DD2300C" w:rsidR="00001AD2" w:rsidRDefault="00001AD2" w:rsidP="00F83C15">
      <w:pPr>
        <w:spacing w:line="360" w:lineRule="auto"/>
        <w:contextualSpacing/>
        <w:jc w:val="both"/>
        <w:rPr>
          <w:lang w:val="en-GB"/>
        </w:rPr>
      </w:pPr>
    </w:p>
    <w:p w14:paraId="41B68AFD" w14:textId="147E3F38" w:rsidR="008A20CF" w:rsidRDefault="00C62A49" w:rsidP="00F83C15">
      <w:pPr>
        <w:spacing w:line="360" w:lineRule="auto"/>
        <w:contextualSpacing/>
        <w:jc w:val="both"/>
        <w:rPr>
          <w:lang w:val="en-GB"/>
        </w:rPr>
      </w:pPr>
      <w:r>
        <w:rPr>
          <w:lang w:val="en-GB"/>
        </w:rPr>
        <w:t xml:space="preserve">The micro-teaching session that I delivered was an introduction to the Digestive System, pitched to Year 8 students, something that I will be bringing into my Professional Teaching Experience with my own Year 8 pupils. From what I took from the micro-teach session, I will be adapting my own PTE lessons to improve on the areas that I felt were not at the best of my potential. In this evaluation, I will go through the micro-teach session, part-by-part and analyse what was a positive point, and what improvements could be made. </w:t>
      </w:r>
    </w:p>
    <w:p w14:paraId="4A4BF619" w14:textId="372030B2" w:rsidR="008A20CF" w:rsidRDefault="008A20CF" w:rsidP="00F83C15">
      <w:pPr>
        <w:spacing w:line="360" w:lineRule="auto"/>
        <w:contextualSpacing/>
        <w:jc w:val="both"/>
        <w:rPr>
          <w:lang w:val="en-GB"/>
        </w:rPr>
      </w:pPr>
      <w:r>
        <w:rPr>
          <w:lang w:val="en-GB"/>
        </w:rPr>
        <w:t>The micro-teaching session commenced with a discussion of what pupils already knew about the topic, if they knew anything at all. This was chosen as it is key for ga</w:t>
      </w:r>
      <w:r w:rsidR="00325491">
        <w:rPr>
          <w:lang w:val="en-GB"/>
        </w:rPr>
        <w:t>u</w:t>
      </w:r>
      <w:r>
        <w:rPr>
          <w:lang w:val="en-GB"/>
        </w:rPr>
        <w:t xml:space="preserve">ging what pupils know already, so the teacher knows how to adjust their plans on the spot to pitch the lesson to the collective group. This is sometimes necessary as a groups’ progression may move at a different pace to what is anticipated, and therefore adaptability to the classroom situation is a vital skill for teachers to have. This sort of thinking task is something that has been used as a starter task during PTE1 already, as it is the </w:t>
      </w:r>
      <w:r w:rsidR="00325491">
        <w:rPr>
          <w:lang w:val="en-GB"/>
        </w:rPr>
        <w:t>type</w:t>
      </w:r>
      <w:r>
        <w:rPr>
          <w:lang w:val="en-GB"/>
        </w:rPr>
        <w:t xml:space="preserve"> of task that gets students settled and thinking about a relevant question related to the topic. Even though this task provided positive </w:t>
      </w:r>
      <w:r w:rsidR="007D2885">
        <w:rPr>
          <w:lang w:val="en-GB"/>
        </w:rPr>
        <w:t xml:space="preserve">feedback </w:t>
      </w:r>
      <w:r>
        <w:rPr>
          <w:lang w:val="en-GB"/>
        </w:rPr>
        <w:t xml:space="preserve">and </w:t>
      </w:r>
      <w:r w:rsidR="007D2885">
        <w:rPr>
          <w:lang w:val="en-GB"/>
        </w:rPr>
        <w:t>showed a level of knowledge about the topic from the group, there are a variety of ways it can be improved- especially after seeing how starters are taken during my first teaching experience. The main issue with the starter and my lesson “presentation” resource, is that the starter was not clearly written for pupils to see, it was only verbally communicated to them. Additionally, the task was just to consider the question before feeding back as a group. During PTE1, I have observed that when pupils enter the classroom the starter is always</w:t>
      </w:r>
      <w:r w:rsidR="00325491">
        <w:rPr>
          <w:lang w:val="en-GB"/>
        </w:rPr>
        <w:t xml:space="preserve"> presented o</w:t>
      </w:r>
      <w:r w:rsidR="007D2885">
        <w:rPr>
          <w:lang w:val="en-GB"/>
        </w:rPr>
        <w:t xml:space="preserve">n the board ready for them to settle and complete, and that there is always an element of writing or making some form of notes in their books. Following this, my own personal adjustment would be to have the starter clearly written and instruct for some kind of notes to feedback, this way pupils would have something in their books to reference to if necessary. Additionally to this, they would be able to add other ideas to their notes, from other pupils, that they may not have considered but would be helpful for them to use as reference. These additional notes are usually encouraged to be written in a different colour pen, so that during book-marking it is clear what has been completed individually and what they were not aware of initially, a way for a teacher to assess individual ability and monitor progress. </w:t>
      </w:r>
      <w:r w:rsidR="00C3585C">
        <w:rPr>
          <w:lang w:val="en-GB"/>
        </w:rPr>
        <w:t>Additionally, b</w:t>
      </w:r>
      <w:r w:rsidR="00FA79DD">
        <w:rPr>
          <w:lang w:val="en-GB"/>
        </w:rPr>
        <w:t>y</w:t>
      </w:r>
      <w:r w:rsidR="00C3585C">
        <w:rPr>
          <w:lang w:val="en-GB"/>
        </w:rPr>
        <w:t xml:space="preserve"> instructing students to do something written in their </w:t>
      </w:r>
      <w:r w:rsidR="00C3585C">
        <w:rPr>
          <w:lang w:val="en-GB"/>
        </w:rPr>
        <w:lastRenderedPageBreak/>
        <w:t xml:space="preserve">books, it ensures that they will make an attempt of the task, and not be “daydreaming” while others are considering the question. Of course this is just the theory, but by having something physical written down, it will highlight to the teacher who is not on task, and how to address this behavioural issue. </w:t>
      </w:r>
      <w:r w:rsidR="00C07AAA">
        <w:rPr>
          <w:lang w:val="en-GB"/>
        </w:rPr>
        <w:t xml:space="preserve">Furthermore, by having this opening slide available for pupils as soon as they enter the classroom, they will be in a routine </w:t>
      </w:r>
      <w:r w:rsidR="0042715F">
        <w:rPr>
          <w:lang w:val="en-GB"/>
        </w:rPr>
        <w:t xml:space="preserve">of expecting this to be available, </w:t>
      </w:r>
      <w:r w:rsidR="00C07AAA">
        <w:rPr>
          <w:lang w:val="en-GB"/>
        </w:rPr>
        <w:t xml:space="preserve">and </w:t>
      </w:r>
      <w:r w:rsidR="0042715F">
        <w:rPr>
          <w:lang w:val="en-GB"/>
        </w:rPr>
        <w:t xml:space="preserve">therefore </w:t>
      </w:r>
      <w:r w:rsidR="00C07AAA">
        <w:rPr>
          <w:lang w:val="en-GB"/>
        </w:rPr>
        <w:t>know what is expected of them as they enter the classroom</w:t>
      </w:r>
      <w:r w:rsidR="0042715F">
        <w:rPr>
          <w:lang w:val="en-GB"/>
        </w:rPr>
        <w:t xml:space="preserve"> (e.g. sit down, books out and get on task straight away). This routine should work to combat any negative behavioural issues, as those who are not on task will be clearly identifiable straight away.</w:t>
      </w:r>
    </w:p>
    <w:p w14:paraId="2272BA4B" w14:textId="1E09AD04" w:rsidR="00F40546" w:rsidRDefault="007D2885" w:rsidP="00F83C15">
      <w:pPr>
        <w:spacing w:line="360" w:lineRule="auto"/>
        <w:contextualSpacing/>
        <w:jc w:val="both"/>
        <w:rPr>
          <w:lang w:val="en-GB"/>
        </w:rPr>
      </w:pPr>
      <w:r>
        <w:rPr>
          <w:lang w:val="en-GB"/>
        </w:rPr>
        <w:t xml:space="preserve">As well as having the starter clearly on the board, during PTE1 I have found that </w:t>
      </w:r>
      <w:r w:rsidR="00EA18F7">
        <w:rPr>
          <w:lang w:val="en-GB"/>
        </w:rPr>
        <w:t xml:space="preserve">it </w:t>
      </w:r>
      <w:r>
        <w:rPr>
          <w:lang w:val="en-GB"/>
        </w:rPr>
        <w:t>is always accompanied by the date and learning objectives</w:t>
      </w:r>
      <w:r w:rsidR="00EA18F7">
        <w:rPr>
          <w:lang w:val="en-GB"/>
        </w:rPr>
        <w:t xml:space="preserve"> (LO)</w:t>
      </w:r>
      <w:r>
        <w:rPr>
          <w:lang w:val="en-GB"/>
        </w:rPr>
        <w:t xml:space="preserve"> for that lesson. This is something that I did not have </w:t>
      </w:r>
      <w:r w:rsidR="00EA18F7">
        <w:rPr>
          <w:lang w:val="en-GB"/>
        </w:rPr>
        <w:t xml:space="preserve">in my micro-teach session, but have been able to adapt and improve upon in my PTE lessons. Now, whenever a class enters my classroom for a lesson, there is always a title slide up on the board that includes the date (in welsh), </w:t>
      </w:r>
      <w:r w:rsidR="003C4327">
        <w:rPr>
          <w:lang w:val="en-GB"/>
        </w:rPr>
        <w:t>“</w:t>
      </w:r>
      <w:r w:rsidR="00EA18F7">
        <w:rPr>
          <w:lang w:val="en-GB"/>
        </w:rPr>
        <w:t xml:space="preserve">Gwaith </w:t>
      </w:r>
      <w:proofErr w:type="spellStart"/>
      <w:r w:rsidR="00EA18F7">
        <w:rPr>
          <w:lang w:val="en-GB"/>
        </w:rPr>
        <w:t>Dosbarth</w:t>
      </w:r>
      <w:proofErr w:type="spellEnd"/>
      <w:r w:rsidR="003C4327">
        <w:rPr>
          <w:lang w:val="en-GB"/>
        </w:rPr>
        <w:t>”</w:t>
      </w:r>
      <w:r w:rsidR="00EA18F7">
        <w:rPr>
          <w:lang w:val="en-GB"/>
        </w:rPr>
        <w:t xml:space="preserve">, the LO and the starter task for the pupil to get on with as they settle and the register is taken. </w:t>
      </w:r>
      <w:r w:rsidR="00F40546">
        <w:rPr>
          <w:lang w:val="en-GB"/>
        </w:rPr>
        <w:t xml:space="preserve">An example of this can be seen </w:t>
      </w:r>
      <w:r w:rsidR="00C3585C">
        <w:rPr>
          <w:lang w:val="en-GB"/>
        </w:rPr>
        <w:t>in Figure 1.</w:t>
      </w:r>
    </w:p>
    <w:p w14:paraId="743F2D58" w14:textId="2D46DAA7" w:rsidR="00FA79DD" w:rsidRDefault="00FA79DD" w:rsidP="00F83C15">
      <w:pPr>
        <w:spacing w:line="360" w:lineRule="auto"/>
        <w:contextualSpacing/>
        <w:jc w:val="both"/>
        <w:rPr>
          <w:lang w:val="en-GB"/>
        </w:rPr>
      </w:pPr>
      <w:r>
        <w:rPr>
          <w:lang w:val="en-GB"/>
        </w:rPr>
        <w:t xml:space="preserve">In light of research, the format of all presentation slides has been adapted too. This can be seen through the fonts and sizes (following research into the best format for those with dyslexia to read and comprehend- as </w:t>
      </w:r>
      <w:r w:rsidR="00E54F00">
        <w:rPr>
          <w:lang w:val="en-GB"/>
        </w:rPr>
        <w:t>discussed</w:t>
      </w:r>
      <w:r>
        <w:rPr>
          <w:lang w:val="en-GB"/>
        </w:rPr>
        <w:t xml:space="preserve"> in part </w:t>
      </w:r>
      <w:proofErr w:type="spellStart"/>
      <w:r>
        <w:rPr>
          <w:lang w:val="en-GB"/>
        </w:rPr>
        <w:t>i</w:t>
      </w:r>
      <w:proofErr w:type="spellEnd"/>
      <w:r>
        <w:rPr>
          <w:lang w:val="en-GB"/>
        </w:rPr>
        <w:t xml:space="preserve">). This research also suggested that a pastel colour background is more appropriate than a white background, as </w:t>
      </w:r>
      <w:r w:rsidR="00E54F00">
        <w:rPr>
          <w:lang w:val="en-GB"/>
        </w:rPr>
        <w:t>white</w:t>
      </w:r>
      <w:r>
        <w:rPr>
          <w:lang w:val="en-GB"/>
        </w:rPr>
        <w:t xml:space="preserve"> can be “too dazzling”. To take this into consideration, all slides produced for any lesson have got a pale blue background, so that they are accessible for all. Additionally to this, research showed that expos</w:t>
      </w:r>
      <w:r w:rsidR="00E54F00">
        <w:rPr>
          <w:lang w:val="en-GB"/>
        </w:rPr>
        <w:t xml:space="preserve">ure to blue light during the day will cause a “boost to alertness and reduction to fatigue” (Psychology Today, 2014). This is something that would be very beneficial to learning as it would mean that pupils are alert and capable of learning. </w:t>
      </w:r>
    </w:p>
    <w:p w14:paraId="14D6347A" w14:textId="3C3C40A8" w:rsidR="003C4327" w:rsidRDefault="003C4327" w:rsidP="00F83C15">
      <w:pPr>
        <w:spacing w:line="360" w:lineRule="auto"/>
        <w:contextualSpacing/>
        <w:jc w:val="both"/>
        <w:rPr>
          <w:lang w:val="en-GB"/>
        </w:rPr>
      </w:pPr>
      <w:r>
        <w:rPr>
          <w:lang w:val="en-GB"/>
        </w:rPr>
        <w:t xml:space="preserve">For the main task, before giving out the work sheets to be completed, the content of the digestive system (how it works and the stages) was delivered to the class. This was to provide the information needed in order to complete the task. I believe I projected my voice well and with clarity, something that has been consistently highlighted in my feedback during PTE1, and the information that was provided as I talked through was clear and consistent. The accompanying presentation was set out clearly- with the slides not being too “busy”- and a consistent diagram was used. I decided to keep them same diagram throughout the slides, but cropped to suit the information being presented (cropped to each stage). I felt that by </w:t>
      </w:r>
      <w:r>
        <w:rPr>
          <w:lang w:val="en-GB"/>
        </w:rPr>
        <w:lastRenderedPageBreak/>
        <w:t>keeping the same diagram, but only showing the relevant parts when necessary was key for consistency.</w:t>
      </w:r>
      <w:r w:rsidR="00FC52DD">
        <w:rPr>
          <w:lang w:val="en-GB"/>
        </w:rPr>
        <w:t xml:space="preserve"> This </w:t>
      </w:r>
      <w:r w:rsidR="00DF6441">
        <w:rPr>
          <w:lang w:val="en-GB"/>
        </w:rPr>
        <w:t xml:space="preserve">also means that the pupils are able to easily transfer the skills of what they have learnt through the content discussion and transfer this to the task itself. </w:t>
      </w:r>
      <w:r w:rsidR="00E54F00">
        <w:rPr>
          <w:lang w:val="en-GB"/>
        </w:rPr>
        <w:t xml:space="preserve">I used only one standard sheet for the task during the microteach session, however, I knew of ways that this task could be differentiated for a mixed ability class. For example, having letter starters for the lower ability pupils, and not providing a word-bank for those of higher ability. The extension task as well, while being good and linking with the content, should have been clearly included as an extension on the instructional slide, and again not just verbally communicated to the class. </w:t>
      </w:r>
      <w:r w:rsidR="0042715F">
        <w:rPr>
          <w:lang w:val="en-GB"/>
        </w:rPr>
        <w:t xml:space="preserve">By having instructions clearly written for them to see, pupils will have no excuse in not doing the task if the main piece of work is completed, and will influence them to see the additional work and think “I need to be doing this now”, implying that it is not optional. </w:t>
      </w:r>
      <w:r w:rsidR="00882157">
        <w:rPr>
          <w:lang w:val="en-GB"/>
        </w:rPr>
        <w:t>The extension work is set at a higher level for differentiation purposes, however, all pupils should at least challenge themselves and attempt this work, even if they’re not entirely sure of the answer. They will be able to access this learning when answers are discussed as a class.</w:t>
      </w:r>
    </w:p>
    <w:p w14:paraId="7B2395AE" w14:textId="36793333" w:rsidR="0042715F" w:rsidRDefault="0042715F" w:rsidP="00F83C15">
      <w:pPr>
        <w:spacing w:line="360" w:lineRule="auto"/>
        <w:contextualSpacing/>
        <w:jc w:val="both"/>
        <w:rPr>
          <w:lang w:val="en-GB"/>
        </w:rPr>
      </w:pPr>
      <w:r>
        <w:rPr>
          <w:lang w:val="en-GB"/>
        </w:rPr>
        <w:t xml:space="preserve">Group discussions about answers is something that I have used a lot on my first teaching experience, and briefly touched upon in my microteaching session. Using a group discussion is vital as an opportunity to make any clarifications of understanding of the content presented. These discussions use </w:t>
      </w:r>
      <w:proofErr w:type="spellStart"/>
      <w:r>
        <w:rPr>
          <w:lang w:val="en-GB"/>
        </w:rPr>
        <w:t>AfL</w:t>
      </w:r>
      <w:proofErr w:type="spellEnd"/>
      <w:r>
        <w:rPr>
          <w:lang w:val="en-GB"/>
        </w:rPr>
        <w:t xml:space="preserve"> (Assessment for Learning) through questioning of pupils. Whole class participation is guaranteed with this, as long as pupils selected to answer questions are not just those with their hands up, but also those with their hands down. This means that those who think that by not volunteering answers will mean that they “get</w:t>
      </w:r>
      <w:r w:rsidR="002F0073">
        <w:rPr>
          <w:lang w:val="en-GB"/>
        </w:rPr>
        <w:t xml:space="preserve"> away with not thinking about an answer” will also be engaged, as anyone can be picked at random. This selection of names can be done randomly from class lists, picking out lollypop sticks with their names on, or even using a random name generator. Discussions with random questioning ensures that all pupils are engaged in the session as they know they could be picked and therefore are less likely to be distracted and off task. </w:t>
      </w:r>
    </w:p>
    <w:p w14:paraId="1D8B5125" w14:textId="2E55D7C2" w:rsidR="00E6470B" w:rsidRDefault="00882157" w:rsidP="00F83C15">
      <w:pPr>
        <w:spacing w:line="360" w:lineRule="auto"/>
        <w:contextualSpacing/>
        <w:jc w:val="both"/>
        <w:rPr>
          <w:lang w:val="en-GB"/>
        </w:rPr>
      </w:pPr>
      <w:r>
        <w:rPr>
          <w:lang w:val="en-GB"/>
        </w:rPr>
        <w:t xml:space="preserve">Another improvement to be made is in regards to the plenary task </w:t>
      </w:r>
      <w:r w:rsidR="00120B01">
        <w:rPr>
          <w:lang w:val="en-GB"/>
        </w:rPr>
        <w:t>set in my microteaching session. I produced a question and answer quiz based on the different organs involved in the digestive system, and picked pupils at random to provide the answers.</w:t>
      </w:r>
      <w:r w:rsidR="00E6470B">
        <w:rPr>
          <w:lang w:val="en-GB"/>
        </w:rPr>
        <w:t xml:space="preserve"> On my slides, this task was not highlighted as a ‘plenary’, which it needs to be. During PTE1, it has been highlighted to me, that in pupils’ books plenaries need to be clearly stated, as this is something that is </w:t>
      </w:r>
      <w:r w:rsidR="00E6470B">
        <w:rPr>
          <w:lang w:val="en-GB"/>
        </w:rPr>
        <w:lastRenderedPageBreak/>
        <w:t>checked for when Estyn come to the school. To take this into account, this activity can either be stated in their books (i.e. “Plenary- organ quiz”) or, alternatively, they can all write their answers in their books so that there is a written record of the work they have done. This task, however, served as a good way for pupils to recap on the knowledge they have learnt during the lesson</w:t>
      </w:r>
      <w:r w:rsidR="00734077">
        <w:rPr>
          <w:lang w:val="en-GB"/>
        </w:rPr>
        <w:t xml:space="preserve">, as well as incorporating </w:t>
      </w:r>
      <w:proofErr w:type="spellStart"/>
      <w:r w:rsidR="00734077">
        <w:rPr>
          <w:lang w:val="en-GB"/>
        </w:rPr>
        <w:t>AfL</w:t>
      </w:r>
      <w:proofErr w:type="spellEnd"/>
      <w:r w:rsidR="00734077">
        <w:rPr>
          <w:lang w:val="en-GB"/>
        </w:rPr>
        <w:t xml:space="preserve"> through questioning. </w:t>
      </w:r>
    </w:p>
    <w:p w14:paraId="2E42F15D" w14:textId="5026D32A" w:rsidR="00734077" w:rsidRDefault="00F83C15" w:rsidP="00F83C15">
      <w:pPr>
        <w:spacing w:line="360" w:lineRule="auto"/>
        <w:contextualSpacing/>
        <w:jc w:val="both"/>
        <w:rPr>
          <w:lang w:val="en-GB"/>
        </w:rPr>
      </w:pPr>
      <w:r>
        <w:rPr>
          <w:lang w:val="en-GB"/>
        </w:rPr>
        <w:t xml:space="preserve">The microteaching session concluded with what the next lesson delivered would cover. This was included so that pupils would have the opportunity to consider the upcoming content, and would have time to consider if there was any questions they may want to ask about the this. This is something that I have attempted to include in my lessons in PTE1 where possible, so that pupils would know what they were doing in the next lesson and hopefully focus their minds as they enter the classroom. </w:t>
      </w:r>
    </w:p>
    <w:p w14:paraId="7C7FC008" w14:textId="188F3C62" w:rsidR="00F83C15" w:rsidRDefault="00F83C15" w:rsidP="00F83C15">
      <w:pPr>
        <w:spacing w:line="360" w:lineRule="auto"/>
        <w:contextualSpacing/>
        <w:jc w:val="both"/>
        <w:rPr>
          <w:lang w:val="en-GB"/>
        </w:rPr>
      </w:pPr>
      <w:r>
        <w:rPr>
          <w:lang w:val="en-GB"/>
        </w:rPr>
        <w:t xml:space="preserve">During the microteaching session I attempted to circulate the room where possible, however this was restricted due to the time and space of the room it was delivered in. During PTE1 this is an area I have improved significantly on, as this has been a common theme of the </w:t>
      </w:r>
      <w:r w:rsidR="00B52112">
        <w:rPr>
          <w:lang w:val="en-GB"/>
        </w:rPr>
        <w:t xml:space="preserve">positive feedback I have received after the lessons I have taken. While pupils are completing tasks, I have taken the time to circulate classes, providing extra guidance to those who have requested it. In cases where pupils are getting on with the task, I have still circulated the room to ensure that they are staying on task and questioning at random to ensure that individuals have understood the content. By circulating the room each time the pupils have a task to do, </w:t>
      </w:r>
      <w:r w:rsidR="002770CB">
        <w:rPr>
          <w:lang w:val="en-GB"/>
        </w:rPr>
        <w:t xml:space="preserve">they will be more inclined to stay on task as they will be aware that I will be going around and checking on their progress. By checking their progress during a task, it will give me a better idea in the future to gauge how long a class needs for a certain task, for example, if they’re getting through it at a significantly different pace than anticipated. From this, when planning future lessons with similar tasks, I will be able to allocate the appropriate amount of time based on their progress. </w:t>
      </w:r>
    </w:p>
    <w:p w14:paraId="4A0C3466" w14:textId="417C8D81" w:rsidR="00AF3FA0" w:rsidRDefault="00AF3FA0" w:rsidP="00F83C15">
      <w:pPr>
        <w:spacing w:line="360" w:lineRule="auto"/>
        <w:contextualSpacing/>
        <w:jc w:val="both"/>
        <w:rPr>
          <w:lang w:val="en-GB"/>
        </w:rPr>
      </w:pPr>
    </w:p>
    <w:p w14:paraId="624D653A" w14:textId="32468BE3" w:rsidR="00C72DDD" w:rsidRDefault="00C72DDD" w:rsidP="00F83C15">
      <w:pPr>
        <w:spacing w:line="360" w:lineRule="auto"/>
        <w:contextualSpacing/>
        <w:jc w:val="both"/>
        <w:rPr>
          <w:lang w:val="en-GB"/>
        </w:rPr>
      </w:pPr>
      <w:r>
        <w:rPr>
          <w:lang w:val="en-GB"/>
        </w:rPr>
        <w:t xml:space="preserve">During PTE1, I have become more aware of the broad range of learners in the school; from the range of socio-economic backgrounds, the range of the amount of learners who have English as an Additional Language (EAL), those who may have instability in their home lives that will impede on their learning and focus, as well as the general range of abilities across the school. From learning about my own pupils, I am able to take into consideration individual </w:t>
      </w:r>
      <w:r>
        <w:rPr>
          <w:lang w:val="en-GB"/>
        </w:rPr>
        <w:lastRenderedPageBreak/>
        <w:t xml:space="preserve">needs when planning my lessons, setting tasks and dealing with any behavioural issues (QTS2.4). </w:t>
      </w:r>
    </w:p>
    <w:p w14:paraId="577164CC" w14:textId="5C0E22C9" w:rsidR="00C72DDD" w:rsidRDefault="00C72DDD" w:rsidP="00F83C15">
      <w:pPr>
        <w:spacing w:line="360" w:lineRule="auto"/>
        <w:contextualSpacing/>
        <w:jc w:val="both"/>
        <w:rPr>
          <w:lang w:val="en-GB"/>
        </w:rPr>
      </w:pPr>
      <w:r>
        <w:rPr>
          <w:lang w:val="en-GB"/>
        </w:rPr>
        <w:t>By knowing about the pupils as individuals, I am then able to set appropriate and challenging tasks and learning objectives based on what level of attainment they are at (QTS3.1.1)</w:t>
      </w:r>
      <w:r w:rsidR="00804C83">
        <w:rPr>
          <w:lang w:val="en-GB"/>
        </w:rPr>
        <w:t>.</w:t>
      </w:r>
      <w:r>
        <w:rPr>
          <w:lang w:val="en-GB"/>
        </w:rPr>
        <w:t xml:space="preserve"> All lessons planned have been developed to have three levels within a main objective, so that all pupils are able to achieve at least one level, but still have the opportunity to challenge themselves and attempt </w:t>
      </w:r>
      <w:r w:rsidR="00804C83">
        <w:rPr>
          <w:lang w:val="en-GB"/>
        </w:rPr>
        <w:t>any and all higher levels.</w:t>
      </w:r>
    </w:p>
    <w:p w14:paraId="255954BC" w14:textId="55D9516F" w:rsidR="00804C83" w:rsidRDefault="00804C83" w:rsidP="00F83C15">
      <w:pPr>
        <w:spacing w:line="360" w:lineRule="auto"/>
        <w:contextualSpacing/>
        <w:jc w:val="both"/>
        <w:rPr>
          <w:lang w:val="en-GB"/>
        </w:rPr>
      </w:pPr>
      <w:r>
        <w:rPr>
          <w:lang w:val="en-GB"/>
        </w:rPr>
        <w:t xml:space="preserve">Monitoring and assessment of pupils (S3.2) is something that I have attempted to progress on further in my teaching practice. This comes from simple questioning, self and peer assessment and other techniques of </w:t>
      </w:r>
      <w:proofErr w:type="spellStart"/>
      <w:r>
        <w:rPr>
          <w:lang w:val="en-GB"/>
        </w:rPr>
        <w:t>AfL</w:t>
      </w:r>
      <w:proofErr w:type="spellEnd"/>
      <w:r>
        <w:rPr>
          <w:lang w:val="en-GB"/>
        </w:rPr>
        <w:t xml:space="preserve">. This assessment also comes from homework tasks set (S3.3.12), to ascertain how pupils can work independently outside of the classroom environment, as well as end of topic tests to gauge how much content they have retained, and what areas of core topics they need to improve on and may need additional tuition for. This type of assessment is particularly vital for those in KS4, who have GCSE exams coming up and therefore need to be as prepared as possible when entering these exams. </w:t>
      </w:r>
    </w:p>
    <w:p w14:paraId="0D15E918" w14:textId="7F89DA10" w:rsidR="00890336" w:rsidRDefault="00890336" w:rsidP="00F83C15">
      <w:pPr>
        <w:spacing w:line="360" w:lineRule="auto"/>
        <w:contextualSpacing/>
        <w:jc w:val="both"/>
        <w:rPr>
          <w:lang w:val="en-GB"/>
        </w:rPr>
      </w:pPr>
      <w:r>
        <w:rPr>
          <w:lang w:val="en-GB"/>
        </w:rPr>
        <w:t>My professional thinking is still developing as I continue to improve through PTE1, however I believe that I have started to progress in line with the QTS standards</w:t>
      </w:r>
      <w:r w:rsidR="00DB57C2">
        <w:rPr>
          <w:lang w:val="en-GB"/>
        </w:rPr>
        <w:t>. This progression of professional standards has been highlighted through feedback from mentors at my first placement school.</w:t>
      </w:r>
    </w:p>
    <w:p w14:paraId="667FA713" w14:textId="17A54C70" w:rsidR="00442A96" w:rsidRDefault="00442A96" w:rsidP="00F83C15">
      <w:pPr>
        <w:spacing w:line="360" w:lineRule="auto"/>
        <w:contextualSpacing/>
        <w:jc w:val="both"/>
        <w:rPr>
          <w:lang w:val="en-GB"/>
        </w:rPr>
      </w:pPr>
    </w:p>
    <w:p w14:paraId="3B721F22" w14:textId="77777777" w:rsidR="00442A96" w:rsidRDefault="00442A96">
      <w:pPr>
        <w:rPr>
          <w:lang w:val="en-GB"/>
        </w:rPr>
      </w:pPr>
      <w:r>
        <w:rPr>
          <w:lang w:val="en-GB"/>
        </w:rPr>
        <w:br w:type="page"/>
      </w:r>
    </w:p>
    <w:p w14:paraId="1783000A" w14:textId="1006DCF6" w:rsidR="00442A96" w:rsidRDefault="00442A96" w:rsidP="00F83C15">
      <w:pPr>
        <w:spacing w:line="360" w:lineRule="auto"/>
        <w:contextualSpacing/>
        <w:jc w:val="both"/>
        <w:rPr>
          <w:b/>
          <w:sz w:val="28"/>
          <w:lang w:val="en-GB"/>
        </w:rPr>
      </w:pPr>
      <w:r>
        <w:rPr>
          <w:b/>
          <w:sz w:val="28"/>
          <w:lang w:val="en-GB"/>
        </w:rPr>
        <w:lastRenderedPageBreak/>
        <w:t>ACTION PLAN – Objectives and programme for Term 1</w:t>
      </w:r>
    </w:p>
    <w:p w14:paraId="72577F50" w14:textId="0743DC0E" w:rsidR="00442A96" w:rsidRDefault="00442A96" w:rsidP="00F83C15">
      <w:pPr>
        <w:spacing w:line="360" w:lineRule="auto"/>
        <w:contextualSpacing/>
        <w:jc w:val="both"/>
        <w:rPr>
          <w:b/>
          <w:sz w:val="28"/>
          <w:lang w:val="en-GB"/>
        </w:rPr>
      </w:pPr>
      <w:r>
        <w:rPr>
          <w:b/>
          <w:sz w:val="28"/>
          <w:lang w:val="en-GB"/>
        </w:rPr>
        <w:t xml:space="preserve">Name: Lauren </w:t>
      </w:r>
      <w:proofErr w:type="spellStart"/>
      <w:r>
        <w:rPr>
          <w:b/>
          <w:sz w:val="28"/>
          <w:lang w:val="en-GB"/>
        </w:rPr>
        <w:t>Alcoran</w:t>
      </w:r>
      <w:proofErr w:type="spellEnd"/>
      <w:r>
        <w:rPr>
          <w:b/>
          <w:sz w:val="28"/>
          <w:lang w:val="en-GB"/>
        </w:rPr>
        <w:tab/>
        <w:t>Subject: Secondary Science</w:t>
      </w:r>
      <w:r>
        <w:rPr>
          <w:b/>
          <w:sz w:val="28"/>
          <w:lang w:val="en-GB"/>
        </w:rPr>
        <w:tab/>
        <w:t>Date: 18/11/2018</w:t>
      </w:r>
    </w:p>
    <w:tbl>
      <w:tblPr>
        <w:tblStyle w:val="TableGrid"/>
        <w:tblW w:w="0" w:type="auto"/>
        <w:tblLook w:val="04A0" w:firstRow="1" w:lastRow="0" w:firstColumn="1" w:lastColumn="0" w:noHBand="0" w:noVBand="1"/>
      </w:tblPr>
      <w:tblGrid>
        <w:gridCol w:w="2121"/>
        <w:gridCol w:w="2972"/>
        <w:gridCol w:w="2973"/>
        <w:gridCol w:w="944"/>
      </w:tblGrid>
      <w:tr w:rsidR="00442A96" w14:paraId="6C019065" w14:textId="77777777" w:rsidTr="004A36C5">
        <w:tc>
          <w:tcPr>
            <w:tcW w:w="2122" w:type="dxa"/>
          </w:tcPr>
          <w:p w14:paraId="50DBBAA8" w14:textId="7CD43D5B" w:rsidR="00442A96" w:rsidRPr="00442A96" w:rsidRDefault="00442A96" w:rsidP="00442A96">
            <w:pPr>
              <w:contextualSpacing/>
              <w:jc w:val="center"/>
              <w:rPr>
                <w:b/>
                <w:lang w:val="en-GB"/>
              </w:rPr>
            </w:pPr>
            <w:r>
              <w:rPr>
                <w:b/>
                <w:lang w:val="en-GB"/>
              </w:rPr>
              <w:t>Objectives (relate to QTS Standards where appropriate)</w:t>
            </w:r>
          </w:p>
        </w:tc>
        <w:tc>
          <w:tcPr>
            <w:tcW w:w="2976" w:type="dxa"/>
          </w:tcPr>
          <w:p w14:paraId="1894A4DD" w14:textId="230F5954" w:rsidR="00442A96" w:rsidRPr="00442A96" w:rsidRDefault="00442A96" w:rsidP="00442A96">
            <w:pPr>
              <w:contextualSpacing/>
              <w:jc w:val="center"/>
              <w:rPr>
                <w:b/>
                <w:lang w:val="en-GB"/>
              </w:rPr>
            </w:pPr>
            <w:r>
              <w:rPr>
                <w:b/>
                <w:lang w:val="en-GB"/>
              </w:rPr>
              <w:t>Actions to be Taken</w:t>
            </w:r>
          </w:p>
        </w:tc>
        <w:tc>
          <w:tcPr>
            <w:tcW w:w="2977" w:type="dxa"/>
          </w:tcPr>
          <w:p w14:paraId="19855FFE" w14:textId="200E29B4" w:rsidR="00442A96" w:rsidRPr="00442A96" w:rsidRDefault="00442A96" w:rsidP="00442A96">
            <w:pPr>
              <w:contextualSpacing/>
              <w:jc w:val="center"/>
              <w:rPr>
                <w:b/>
                <w:lang w:val="en-GB"/>
              </w:rPr>
            </w:pPr>
            <w:r>
              <w:rPr>
                <w:b/>
                <w:lang w:val="en-GB"/>
              </w:rPr>
              <w:t>Success Criteria</w:t>
            </w:r>
          </w:p>
        </w:tc>
        <w:tc>
          <w:tcPr>
            <w:tcW w:w="935" w:type="dxa"/>
          </w:tcPr>
          <w:p w14:paraId="2CC06579" w14:textId="3D6B85C0" w:rsidR="00442A96" w:rsidRPr="00442A96" w:rsidRDefault="00442A96" w:rsidP="00442A96">
            <w:pPr>
              <w:contextualSpacing/>
              <w:jc w:val="center"/>
              <w:rPr>
                <w:b/>
                <w:lang w:val="en-GB"/>
              </w:rPr>
            </w:pPr>
            <w:r>
              <w:rPr>
                <w:b/>
                <w:lang w:val="en-GB"/>
              </w:rPr>
              <w:t>Target Date</w:t>
            </w:r>
          </w:p>
        </w:tc>
      </w:tr>
      <w:tr w:rsidR="00442A96" w14:paraId="285E0087" w14:textId="77777777" w:rsidTr="004A36C5">
        <w:tc>
          <w:tcPr>
            <w:tcW w:w="2122" w:type="dxa"/>
          </w:tcPr>
          <w:p w14:paraId="130D70CC" w14:textId="0AAA9106" w:rsidR="00442A96" w:rsidRPr="004F7082" w:rsidRDefault="00442A96" w:rsidP="00442A96">
            <w:pPr>
              <w:contextualSpacing/>
              <w:jc w:val="both"/>
              <w:rPr>
                <w:sz w:val="22"/>
                <w:lang w:val="en-GB"/>
              </w:rPr>
            </w:pPr>
            <w:r w:rsidRPr="004F7082">
              <w:rPr>
                <w:sz w:val="22"/>
                <w:lang w:val="en-GB"/>
              </w:rPr>
              <w:t xml:space="preserve">To improve the use of incidental Welsh in a teaching context </w:t>
            </w:r>
          </w:p>
        </w:tc>
        <w:tc>
          <w:tcPr>
            <w:tcW w:w="2976" w:type="dxa"/>
          </w:tcPr>
          <w:p w14:paraId="5CF5B827" w14:textId="21945591" w:rsidR="00442A96" w:rsidRPr="004F7082" w:rsidRDefault="00F5787E" w:rsidP="00F5787E">
            <w:pPr>
              <w:jc w:val="both"/>
              <w:rPr>
                <w:sz w:val="22"/>
              </w:rPr>
            </w:pPr>
            <w:r w:rsidRPr="004F7082">
              <w:rPr>
                <w:sz w:val="22"/>
              </w:rPr>
              <w:t>- Learn more incidental Welsh from peers</w:t>
            </w:r>
          </w:p>
          <w:p w14:paraId="66ECB2CD" w14:textId="52A34F27" w:rsidR="00F5787E" w:rsidRPr="004F7082" w:rsidRDefault="00F5787E" w:rsidP="00F5787E">
            <w:pPr>
              <w:jc w:val="both"/>
              <w:rPr>
                <w:sz w:val="22"/>
              </w:rPr>
            </w:pPr>
            <w:r w:rsidRPr="004F7082">
              <w:rPr>
                <w:sz w:val="22"/>
              </w:rPr>
              <w:t>- Take on board what other teachers use and implement this in my own practice</w:t>
            </w:r>
          </w:p>
          <w:p w14:paraId="05AD1090" w14:textId="1BD22C94" w:rsidR="00F5787E" w:rsidRPr="004F7082" w:rsidRDefault="00F5787E" w:rsidP="00F5787E">
            <w:pPr>
              <w:jc w:val="both"/>
              <w:rPr>
                <w:sz w:val="22"/>
              </w:rPr>
            </w:pPr>
            <w:r w:rsidRPr="004F7082">
              <w:rPr>
                <w:sz w:val="22"/>
              </w:rPr>
              <w:t>- Use Welsh for praising, countdowns, instructions, etc.</w:t>
            </w:r>
          </w:p>
        </w:tc>
        <w:tc>
          <w:tcPr>
            <w:tcW w:w="2977" w:type="dxa"/>
          </w:tcPr>
          <w:p w14:paraId="06F7B827" w14:textId="77777777" w:rsidR="00442A96" w:rsidRPr="004F7082" w:rsidRDefault="00F5787E" w:rsidP="00442A96">
            <w:pPr>
              <w:contextualSpacing/>
              <w:jc w:val="both"/>
              <w:rPr>
                <w:sz w:val="22"/>
                <w:lang w:val="en-GB"/>
              </w:rPr>
            </w:pPr>
            <w:r w:rsidRPr="004F7082">
              <w:rPr>
                <w:sz w:val="22"/>
                <w:lang w:val="en-GB"/>
              </w:rPr>
              <w:t>- Improved general Welsh skills</w:t>
            </w:r>
          </w:p>
          <w:p w14:paraId="2271A0B3" w14:textId="77777777" w:rsidR="00F5787E" w:rsidRPr="004F7082" w:rsidRDefault="00F5787E" w:rsidP="00442A96">
            <w:pPr>
              <w:contextualSpacing/>
              <w:jc w:val="both"/>
              <w:rPr>
                <w:sz w:val="22"/>
                <w:lang w:val="en-GB"/>
              </w:rPr>
            </w:pPr>
            <w:r w:rsidRPr="004F7082">
              <w:rPr>
                <w:sz w:val="22"/>
                <w:lang w:val="en-GB"/>
              </w:rPr>
              <w:t>- Pupils will be take on this use of language and improve their learning in other lessons (by hearing it outside of Welsh lessons, it will become part of their incidental language)</w:t>
            </w:r>
          </w:p>
          <w:p w14:paraId="71B7E8D7" w14:textId="77777777" w:rsidR="00F5787E" w:rsidRPr="004F7082" w:rsidRDefault="00F5787E" w:rsidP="00442A96">
            <w:pPr>
              <w:contextualSpacing/>
              <w:jc w:val="both"/>
              <w:rPr>
                <w:sz w:val="22"/>
                <w:lang w:val="en-GB"/>
              </w:rPr>
            </w:pPr>
            <w:r w:rsidRPr="004F7082">
              <w:rPr>
                <w:sz w:val="22"/>
                <w:lang w:val="en-GB"/>
              </w:rPr>
              <w:t>- Promotion of Curriculum Cymreig- 1million Welsh speakers by 2050</w:t>
            </w:r>
          </w:p>
          <w:p w14:paraId="5B611E9B" w14:textId="223CF33E" w:rsidR="00F5787E" w:rsidRPr="004F7082" w:rsidRDefault="00F5787E" w:rsidP="00442A96">
            <w:pPr>
              <w:contextualSpacing/>
              <w:jc w:val="both"/>
              <w:rPr>
                <w:sz w:val="22"/>
                <w:lang w:val="en-GB"/>
              </w:rPr>
            </w:pPr>
            <w:r w:rsidRPr="004F7082">
              <w:rPr>
                <w:sz w:val="22"/>
                <w:lang w:val="en-GB"/>
              </w:rPr>
              <w:t>- Good practice of Welsh will be observed by Mentors and Tutors</w:t>
            </w:r>
          </w:p>
        </w:tc>
        <w:tc>
          <w:tcPr>
            <w:tcW w:w="935" w:type="dxa"/>
          </w:tcPr>
          <w:p w14:paraId="37E00649" w14:textId="7BF83C6B" w:rsidR="00442A96" w:rsidRPr="004F7082" w:rsidRDefault="004F7082" w:rsidP="00442A96">
            <w:pPr>
              <w:contextualSpacing/>
              <w:jc w:val="both"/>
              <w:rPr>
                <w:sz w:val="22"/>
                <w:lang w:val="en-GB"/>
              </w:rPr>
            </w:pPr>
            <w:r>
              <w:rPr>
                <w:sz w:val="22"/>
                <w:lang w:val="en-GB"/>
              </w:rPr>
              <w:t>21/2/19</w:t>
            </w:r>
          </w:p>
        </w:tc>
      </w:tr>
      <w:tr w:rsidR="00442A96" w14:paraId="3CD3CEED" w14:textId="77777777" w:rsidTr="004A36C5">
        <w:tc>
          <w:tcPr>
            <w:tcW w:w="2122" w:type="dxa"/>
          </w:tcPr>
          <w:p w14:paraId="394704FF" w14:textId="0A93EEC3" w:rsidR="00442A96" w:rsidRPr="004F7082" w:rsidRDefault="00680101" w:rsidP="00442A96">
            <w:pPr>
              <w:contextualSpacing/>
              <w:jc w:val="both"/>
              <w:rPr>
                <w:sz w:val="22"/>
                <w:lang w:val="en-GB"/>
              </w:rPr>
            </w:pPr>
            <w:r w:rsidRPr="004F7082">
              <w:rPr>
                <w:sz w:val="22"/>
                <w:lang w:val="en-GB"/>
              </w:rPr>
              <w:t xml:space="preserve">S3.3.7 </w:t>
            </w:r>
            <w:r w:rsidR="004A36C5" w:rsidRPr="004F7082">
              <w:rPr>
                <w:sz w:val="22"/>
                <w:lang w:val="en-GB"/>
              </w:rPr>
              <w:t>Organise and manage teaching and learning time efficiently</w:t>
            </w:r>
          </w:p>
        </w:tc>
        <w:tc>
          <w:tcPr>
            <w:tcW w:w="2976" w:type="dxa"/>
          </w:tcPr>
          <w:p w14:paraId="2E4A95F8" w14:textId="26321BC0" w:rsidR="00442A96" w:rsidRPr="004F7082" w:rsidRDefault="00F5787E" w:rsidP="00F5787E">
            <w:pPr>
              <w:jc w:val="both"/>
              <w:rPr>
                <w:sz w:val="22"/>
              </w:rPr>
            </w:pPr>
            <w:r w:rsidRPr="004F7082">
              <w:rPr>
                <w:sz w:val="22"/>
              </w:rPr>
              <w:t>- Use a timer for tasks set</w:t>
            </w:r>
          </w:p>
          <w:p w14:paraId="167F5C75" w14:textId="6B5F6166" w:rsidR="00F5787E" w:rsidRPr="004F7082" w:rsidRDefault="00F5787E" w:rsidP="00F5787E">
            <w:pPr>
              <w:jc w:val="both"/>
              <w:rPr>
                <w:sz w:val="22"/>
              </w:rPr>
            </w:pPr>
            <w:r w:rsidRPr="004F7082">
              <w:rPr>
                <w:sz w:val="22"/>
              </w:rPr>
              <w:t>- Gauge how long certain tasks take for different groups, implement this in lesson plans</w:t>
            </w:r>
          </w:p>
          <w:p w14:paraId="74978F30" w14:textId="45287F4A" w:rsidR="00F5787E" w:rsidRPr="004F7082" w:rsidRDefault="00F5787E" w:rsidP="00F5787E">
            <w:pPr>
              <w:jc w:val="both"/>
              <w:rPr>
                <w:sz w:val="22"/>
              </w:rPr>
            </w:pPr>
            <w:r w:rsidRPr="004F7082">
              <w:rPr>
                <w:sz w:val="22"/>
              </w:rPr>
              <w:t>- Ensure than there has been appropriate tasks planned in the time, but with extra extension tasks for those who may complete the task quicker than most, so that they are not left with nothing to do</w:t>
            </w:r>
          </w:p>
        </w:tc>
        <w:tc>
          <w:tcPr>
            <w:tcW w:w="2977" w:type="dxa"/>
          </w:tcPr>
          <w:p w14:paraId="476638D5" w14:textId="77777777" w:rsidR="00442A96" w:rsidRPr="004F7082" w:rsidRDefault="00F5787E" w:rsidP="00442A96">
            <w:pPr>
              <w:contextualSpacing/>
              <w:jc w:val="both"/>
              <w:rPr>
                <w:sz w:val="22"/>
                <w:lang w:val="en-GB"/>
              </w:rPr>
            </w:pPr>
            <w:r w:rsidRPr="004F7082">
              <w:rPr>
                <w:sz w:val="22"/>
                <w:lang w:val="en-GB"/>
              </w:rPr>
              <w:t>- All tasks set for the lesson will be completed in the allocated time, so all content necessary is covered over the duration of the lesson</w:t>
            </w:r>
          </w:p>
          <w:p w14:paraId="62255C82" w14:textId="3D225CDC" w:rsidR="00F5787E" w:rsidRPr="004F7082" w:rsidRDefault="00F5787E" w:rsidP="00442A96">
            <w:pPr>
              <w:contextualSpacing/>
              <w:jc w:val="both"/>
              <w:rPr>
                <w:sz w:val="22"/>
                <w:lang w:val="en-GB"/>
              </w:rPr>
            </w:pPr>
            <w:r w:rsidRPr="004F7082">
              <w:rPr>
                <w:sz w:val="22"/>
                <w:lang w:val="en-GB"/>
              </w:rPr>
              <w:t xml:space="preserve">- </w:t>
            </w:r>
            <w:r w:rsidR="004F7082" w:rsidRPr="004F7082">
              <w:rPr>
                <w:sz w:val="22"/>
                <w:lang w:val="en-GB"/>
              </w:rPr>
              <w:t>Students will be aware of their own time to complete the tasks, improving their own time management</w:t>
            </w:r>
          </w:p>
          <w:p w14:paraId="755D1B7F" w14:textId="3E95DF41" w:rsidR="004F7082" w:rsidRPr="004F7082" w:rsidRDefault="004F7082" w:rsidP="00442A96">
            <w:pPr>
              <w:contextualSpacing/>
              <w:jc w:val="both"/>
              <w:rPr>
                <w:sz w:val="22"/>
                <w:lang w:val="en-GB"/>
              </w:rPr>
            </w:pPr>
            <w:r w:rsidRPr="004F7082">
              <w:rPr>
                <w:sz w:val="22"/>
                <w:lang w:val="en-GB"/>
              </w:rPr>
              <w:t>- All will be on task, even if the main task is completed, they will have an extension to challenge themselves further</w:t>
            </w:r>
          </w:p>
        </w:tc>
        <w:tc>
          <w:tcPr>
            <w:tcW w:w="935" w:type="dxa"/>
          </w:tcPr>
          <w:p w14:paraId="0FF4C91B" w14:textId="2680A974" w:rsidR="00442A96" w:rsidRPr="004F7082" w:rsidRDefault="004F7082" w:rsidP="00442A96">
            <w:pPr>
              <w:contextualSpacing/>
              <w:jc w:val="both"/>
              <w:rPr>
                <w:sz w:val="22"/>
                <w:lang w:val="en-GB"/>
              </w:rPr>
            </w:pPr>
            <w:r>
              <w:rPr>
                <w:sz w:val="22"/>
                <w:lang w:val="en-GB"/>
              </w:rPr>
              <w:t>21/2/19</w:t>
            </w:r>
          </w:p>
        </w:tc>
      </w:tr>
      <w:tr w:rsidR="00442A96" w14:paraId="4CEB250B" w14:textId="77777777" w:rsidTr="004A36C5">
        <w:tc>
          <w:tcPr>
            <w:tcW w:w="2122" w:type="dxa"/>
          </w:tcPr>
          <w:p w14:paraId="24B623D4" w14:textId="667D77C5" w:rsidR="00442A96" w:rsidRPr="004F7082" w:rsidRDefault="004A36C5" w:rsidP="00442A96">
            <w:pPr>
              <w:contextualSpacing/>
              <w:jc w:val="both"/>
              <w:rPr>
                <w:sz w:val="22"/>
                <w:lang w:val="en-GB"/>
              </w:rPr>
            </w:pPr>
            <w:r w:rsidRPr="004F7082">
              <w:rPr>
                <w:sz w:val="22"/>
                <w:lang w:val="en-GB"/>
              </w:rPr>
              <w:t>S3.3.3 c. Promote active and independent learning that enables learners to think for themselves, and to plan and manage their own learning</w:t>
            </w:r>
          </w:p>
        </w:tc>
        <w:tc>
          <w:tcPr>
            <w:tcW w:w="2976" w:type="dxa"/>
          </w:tcPr>
          <w:p w14:paraId="6325126E" w14:textId="46AB4A38" w:rsidR="00442A96" w:rsidRPr="004F7082" w:rsidRDefault="004A36C5" w:rsidP="004A36C5">
            <w:pPr>
              <w:jc w:val="both"/>
              <w:rPr>
                <w:sz w:val="22"/>
              </w:rPr>
            </w:pPr>
            <w:r w:rsidRPr="004F7082">
              <w:rPr>
                <w:sz w:val="22"/>
              </w:rPr>
              <w:t>- Promote activities that encourage pupils to find the information for themselves</w:t>
            </w:r>
          </w:p>
          <w:p w14:paraId="3220AF95" w14:textId="344B2F9F" w:rsidR="004A36C5" w:rsidRPr="004F7082" w:rsidRDefault="004A36C5" w:rsidP="004A36C5">
            <w:pPr>
              <w:jc w:val="both"/>
              <w:rPr>
                <w:sz w:val="22"/>
              </w:rPr>
            </w:pPr>
            <w:r w:rsidRPr="004F7082">
              <w:rPr>
                <w:sz w:val="22"/>
              </w:rPr>
              <w:t>- Set independent research tasks</w:t>
            </w:r>
          </w:p>
          <w:p w14:paraId="666C080C" w14:textId="436EB91C" w:rsidR="004A36C5" w:rsidRPr="004F7082" w:rsidRDefault="004A36C5" w:rsidP="004A36C5">
            <w:pPr>
              <w:jc w:val="both"/>
              <w:rPr>
                <w:sz w:val="22"/>
              </w:rPr>
            </w:pPr>
            <w:r w:rsidRPr="004F7082">
              <w:rPr>
                <w:sz w:val="22"/>
              </w:rPr>
              <w:t>- Use tasks that cut down “teacher talk” and are more pupil led</w:t>
            </w:r>
          </w:p>
          <w:p w14:paraId="7A894BA9" w14:textId="5B67A48E" w:rsidR="004A36C5" w:rsidRPr="004F7082" w:rsidRDefault="004A36C5" w:rsidP="004A36C5">
            <w:pPr>
              <w:jc w:val="both"/>
              <w:rPr>
                <w:sz w:val="22"/>
              </w:rPr>
            </w:pPr>
          </w:p>
        </w:tc>
        <w:tc>
          <w:tcPr>
            <w:tcW w:w="2977" w:type="dxa"/>
          </w:tcPr>
          <w:p w14:paraId="0E650944" w14:textId="5AEDFA54" w:rsidR="00442A96" w:rsidRPr="004F7082" w:rsidRDefault="004A36C5" w:rsidP="00442A96">
            <w:pPr>
              <w:contextualSpacing/>
              <w:jc w:val="both"/>
              <w:rPr>
                <w:sz w:val="22"/>
                <w:lang w:val="en-GB"/>
              </w:rPr>
            </w:pPr>
            <w:r w:rsidRPr="004F7082">
              <w:rPr>
                <w:sz w:val="22"/>
                <w:lang w:val="en-GB"/>
              </w:rPr>
              <w:t>- Pupils will be able to produce pieces of work that have had little teacher information and be able to relay what has been learnt to the wider group</w:t>
            </w:r>
          </w:p>
          <w:p w14:paraId="2556A2B5" w14:textId="76A96186" w:rsidR="004A36C5" w:rsidRPr="004F7082" w:rsidRDefault="004A36C5" w:rsidP="00442A96">
            <w:pPr>
              <w:contextualSpacing/>
              <w:jc w:val="both"/>
              <w:rPr>
                <w:sz w:val="22"/>
                <w:lang w:val="en-GB"/>
              </w:rPr>
            </w:pPr>
            <w:r w:rsidRPr="004F7082">
              <w:rPr>
                <w:sz w:val="22"/>
                <w:lang w:val="en-GB"/>
              </w:rPr>
              <w:t>- Collaborative learning</w:t>
            </w:r>
          </w:p>
          <w:p w14:paraId="6FA4B9F2" w14:textId="77777777" w:rsidR="004A36C5" w:rsidRPr="004F7082" w:rsidRDefault="004A36C5" w:rsidP="00442A96">
            <w:pPr>
              <w:contextualSpacing/>
              <w:jc w:val="both"/>
              <w:rPr>
                <w:sz w:val="22"/>
                <w:lang w:val="en-GB"/>
              </w:rPr>
            </w:pPr>
            <w:r w:rsidRPr="004F7082">
              <w:rPr>
                <w:sz w:val="22"/>
                <w:lang w:val="en-GB"/>
              </w:rPr>
              <w:t xml:space="preserve">- </w:t>
            </w:r>
            <w:r w:rsidR="00F5787E" w:rsidRPr="004F7082">
              <w:rPr>
                <w:sz w:val="22"/>
                <w:lang w:val="en-GB"/>
              </w:rPr>
              <w:t>Appropriate information can be found by the pupils regarding the topic area</w:t>
            </w:r>
          </w:p>
          <w:p w14:paraId="002895D3" w14:textId="15BAF263" w:rsidR="00F5787E" w:rsidRPr="004F7082" w:rsidRDefault="00F5787E" w:rsidP="00442A96">
            <w:pPr>
              <w:contextualSpacing/>
              <w:jc w:val="both"/>
              <w:rPr>
                <w:sz w:val="22"/>
                <w:lang w:val="en-GB"/>
              </w:rPr>
            </w:pPr>
            <w:r w:rsidRPr="004F7082">
              <w:rPr>
                <w:sz w:val="22"/>
                <w:lang w:val="en-GB"/>
              </w:rPr>
              <w:t>- Pupils will have learnt relevant information and be proud of the work produced, and be able to relay the information back more fluidly than content that has been given in a “teacher-led” session</w:t>
            </w:r>
          </w:p>
        </w:tc>
        <w:tc>
          <w:tcPr>
            <w:tcW w:w="935" w:type="dxa"/>
          </w:tcPr>
          <w:p w14:paraId="300863D8" w14:textId="49AE4CA3" w:rsidR="00442A96" w:rsidRPr="004F7082" w:rsidRDefault="004F7082" w:rsidP="00442A96">
            <w:pPr>
              <w:contextualSpacing/>
              <w:jc w:val="both"/>
              <w:rPr>
                <w:sz w:val="22"/>
                <w:lang w:val="en-GB"/>
              </w:rPr>
            </w:pPr>
            <w:r>
              <w:rPr>
                <w:sz w:val="22"/>
                <w:lang w:val="en-GB"/>
              </w:rPr>
              <w:t>21/2/19</w:t>
            </w:r>
          </w:p>
        </w:tc>
      </w:tr>
    </w:tbl>
    <w:p w14:paraId="500A1704" w14:textId="3EBED4BE" w:rsidR="00C3585C" w:rsidRPr="004F7082" w:rsidRDefault="00976397">
      <w:pPr>
        <w:rPr>
          <w:sz w:val="28"/>
          <w:lang w:val="en-GB"/>
        </w:rPr>
      </w:pPr>
      <w:r>
        <w:rPr>
          <w:sz w:val="28"/>
          <w:lang w:val="en-GB"/>
        </w:rPr>
        <w:br w:type="page"/>
      </w:r>
      <w:r w:rsidR="00C3585C" w:rsidRPr="00C3585C">
        <w:rPr>
          <w:lang w:val="en-GB"/>
        </w:rPr>
        <w:lastRenderedPageBreak/>
        <w:t>Figure 1</w:t>
      </w:r>
    </w:p>
    <w:p w14:paraId="229F995B" w14:textId="30FC09A0" w:rsidR="00C3585C" w:rsidRDefault="00C3585C">
      <w:pPr>
        <w:rPr>
          <w:sz w:val="28"/>
          <w:lang w:val="en-GB"/>
        </w:rPr>
      </w:pPr>
      <w:r>
        <w:rPr>
          <w:noProof/>
          <w:lang w:val="en-GB"/>
        </w:rPr>
        <w:drawing>
          <wp:anchor distT="0" distB="0" distL="114300" distR="114300" simplePos="0" relativeHeight="251658240" behindDoc="1" locked="0" layoutInCell="1" allowOverlap="1" wp14:anchorId="551CC503" wp14:editId="6F3A8034">
            <wp:simplePos x="0" y="0"/>
            <wp:positionH relativeFrom="column">
              <wp:posOffset>-64135</wp:posOffset>
            </wp:positionH>
            <wp:positionV relativeFrom="paragraph">
              <wp:posOffset>0</wp:posOffset>
            </wp:positionV>
            <wp:extent cx="5688330" cy="3267075"/>
            <wp:effectExtent l="0" t="0" r="1270" b="0"/>
            <wp:wrapTight wrapText="bothSides">
              <wp:wrapPolygon edited="0">
                <wp:start x="0" y="0"/>
                <wp:lineTo x="0" y="21495"/>
                <wp:lineTo x="21557" y="21495"/>
                <wp:lineTo x="215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tle slide 1.png"/>
                    <pic:cNvPicPr/>
                  </pic:nvPicPr>
                  <pic:blipFill rotWithShape="1">
                    <a:blip r:embed="rId9">
                      <a:extLst>
                        <a:ext uri="{28A0092B-C50C-407E-A947-70E740481C1C}">
                          <a14:useLocalDpi xmlns:a14="http://schemas.microsoft.com/office/drawing/2010/main" val="0"/>
                        </a:ext>
                      </a:extLst>
                    </a:blip>
                    <a:srcRect l="1299" r="1420" b="2078"/>
                    <a:stretch/>
                  </pic:blipFill>
                  <pic:spPr bwMode="auto">
                    <a:xfrm>
                      <a:off x="0" y="0"/>
                      <a:ext cx="5688330" cy="3267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8"/>
          <w:lang w:val="en-GB"/>
        </w:rPr>
        <w:br w:type="page"/>
      </w:r>
    </w:p>
    <w:p w14:paraId="7688931F" w14:textId="77777777" w:rsidR="00976397" w:rsidRDefault="00976397">
      <w:pPr>
        <w:rPr>
          <w:sz w:val="28"/>
          <w:lang w:val="en-GB"/>
        </w:rPr>
      </w:pPr>
    </w:p>
    <w:p w14:paraId="551174E8" w14:textId="6E7AACB6" w:rsidR="00976397" w:rsidRDefault="00976397" w:rsidP="00976397">
      <w:pPr>
        <w:contextualSpacing/>
        <w:jc w:val="both"/>
        <w:rPr>
          <w:b/>
          <w:sz w:val="28"/>
          <w:lang w:val="en-GB"/>
        </w:rPr>
      </w:pPr>
      <w:r>
        <w:rPr>
          <w:b/>
          <w:sz w:val="28"/>
          <w:lang w:val="en-GB"/>
        </w:rPr>
        <w:t>References</w:t>
      </w:r>
    </w:p>
    <w:p w14:paraId="548295C0" w14:textId="11A4BA4A" w:rsidR="000E7091" w:rsidRDefault="000E7091" w:rsidP="00976397">
      <w:pPr>
        <w:contextualSpacing/>
        <w:jc w:val="both"/>
        <w:rPr>
          <w:lang w:val="en-GB"/>
        </w:rPr>
      </w:pPr>
      <w:r>
        <w:rPr>
          <w:lang w:val="en-GB"/>
        </w:rPr>
        <w:t xml:space="preserve">Allison, S. and </w:t>
      </w:r>
      <w:proofErr w:type="spellStart"/>
      <w:r>
        <w:rPr>
          <w:lang w:val="en-GB"/>
        </w:rPr>
        <w:t>Tharby</w:t>
      </w:r>
      <w:proofErr w:type="spellEnd"/>
      <w:r>
        <w:rPr>
          <w:lang w:val="en-GB"/>
        </w:rPr>
        <w:t xml:space="preserve">, A. (2015) </w:t>
      </w:r>
      <w:r>
        <w:rPr>
          <w:i/>
          <w:lang w:val="en-GB"/>
        </w:rPr>
        <w:t xml:space="preserve">Making every lesson count. </w:t>
      </w:r>
      <w:r>
        <w:rPr>
          <w:lang w:val="en-GB"/>
        </w:rPr>
        <w:t xml:space="preserve">Carmarthen, Crown House Publishing Limited. </w:t>
      </w:r>
    </w:p>
    <w:p w14:paraId="778B6187" w14:textId="5363BC52" w:rsidR="00074977" w:rsidRPr="00074977" w:rsidRDefault="00074977" w:rsidP="00976397">
      <w:pPr>
        <w:contextualSpacing/>
        <w:jc w:val="both"/>
        <w:rPr>
          <w:lang w:val="en-GB"/>
        </w:rPr>
      </w:pPr>
      <w:r>
        <w:rPr>
          <w:lang w:val="en-GB"/>
        </w:rPr>
        <w:t xml:space="preserve">British Dyslexia Association (no date) </w:t>
      </w:r>
      <w:r>
        <w:rPr>
          <w:i/>
          <w:lang w:val="en-GB"/>
        </w:rPr>
        <w:t xml:space="preserve">Dyslexia Style Guide. </w:t>
      </w:r>
      <w:r>
        <w:rPr>
          <w:lang w:val="en-GB"/>
        </w:rPr>
        <w:t xml:space="preserve">Available from: </w:t>
      </w:r>
      <w:hyperlink r:id="rId10" w:history="1">
        <w:r w:rsidRPr="006D19DE">
          <w:rPr>
            <w:rStyle w:val="Hyperlink"/>
            <w:lang w:val="en-GB"/>
          </w:rPr>
          <w:t>https://www.bdadyslexia.org.uk/common/ckeditor/filemanager/userfiles/About_Us/policies/Dyslexia_Style_Guide.pdf</w:t>
        </w:r>
      </w:hyperlink>
      <w:r>
        <w:rPr>
          <w:lang w:val="en-GB"/>
        </w:rPr>
        <w:t xml:space="preserve"> [Accessed 30/10/2018]. </w:t>
      </w:r>
    </w:p>
    <w:p w14:paraId="67462E46" w14:textId="1C22795A" w:rsidR="00C76C78" w:rsidRPr="00AF23E3" w:rsidRDefault="00AF23E3" w:rsidP="00976397">
      <w:pPr>
        <w:contextualSpacing/>
        <w:jc w:val="both"/>
        <w:rPr>
          <w:lang w:val="en-GB"/>
        </w:rPr>
      </w:pPr>
      <w:proofErr w:type="spellStart"/>
      <w:r>
        <w:rPr>
          <w:lang w:val="en-GB"/>
        </w:rPr>
        <w:t>Ginnis</w:t>
      </w:r>
      <w:proofErr w:type="spellEnd"/>
      <w:r>
        <w:rPr>
          <w:lang w:val="en-GB"/>
        </w:rPr>
        <w:t xml:space="preserve">, P. (2018) </w:t>
      </w:r>
      <w:r>
        <w:rPr>
          <w:i/>
          <w:lang w:val="en-GB"/>
        </w:rPr>
        <w:t xml:space="preserve">The Teacher’s Toolkit. </w:t>
      </w:r>
      <w:r>
        <w:rPr>
          <w:lang w:val="en-GB"/>
        </w:rPr>
        <w:t xml:space="preserve">Carmarthen, Crown House Publishing Limited. </w:t>
      </w:r>
    </w:p>
    <w:p w14:paraId="593AFEA4" w14:textId="1B293E38" w:rsidR="00454C7A" w:rsidRDefault="00454C7A" w:rsidP="00976397">
      <w:pPr>
        <w:contextualSpacing/>
        <w:jc w:val="both"/>
        <w:rPr>
          <w:lang w:val="en-GB"/>
        </w:rPr>
      </w:pPr>
      <w:r>
        <w:rPr>
          <w:lang w:val="en-GB"/>
        </w:rPr>
        <w:t xml:space="preserve">Sherrington, T. (2014) </w:t>
      </w:r>
      <w:r>
        <w:rPr>
          <w:i/>
          <w:lang w:val="en-GB"/>
        </w:rPr>
        <w:t>Dealing with Day-today Differentiation.</w:t>
      </w:r>
      <w:r>
        <w:rPr>
          <w:lang w:val="en-GB"/>
        </w:rPr>
        <w:t xml:space="preserve"> Available from: </w:t>
      </w:r>
      <w:hyperlink r:id="rId11" w:history="1">
        <w:r w:rsidRPr="006D19DE">
          <w:rPr>
            <w:rStyle w:val="Hyperlink"/>
            <w:lang w:val="en-GB"/>
          </w:rPr>
          <w:t>https://teacherhead.com/2014/02/01/dealing-with-day-to-day-differentiation/</w:t>
        </w:r>
      </w:hyperlink>
      <w:r>
        <w:rPr>
          <w:lang w:val="en-GB"/>
        </w:rPr>
        <w:t xml:space="preserve"> [Accessed 30/10/2018].</w:t>
      </w:r>
    </w:p>
    <w:p w14:paraId="01686298" w14:textId="042222E9" w:rsidR="004F7082" w:rsidRPr="004F7082" w:rsidRDefault="004F7082" w:rsidP="00976397">
      <w:pPr>
        <w:contextualSpacing/>
        <w:jc w:val="both"/>
        <w:rPr>
          <w:lang w:val="en-GB"/>
        </w:rPr>
      </w:pPr>
      <w:r>
        <w:rPr>
          <w:lang w:val="en-GB"/>
        </w:rPr>
        <w:t xml:space="preserve">North &amp; Mid Wales Centre of Teacher Education (no date). </w:t>
      </w:r>
      <w:r>
        <w:rPr>
          <w:i/>
          <w:lang w:val="en-GB"/>
        </w:rPr>
        <w:t xml:space="preserve">Standards for QTS. </w:t>
      </w:r>
      <w:r>
        <w:rPr>
          <w:lang w:val="en-GB"/>
        </w:rPr>
        <w:t xml:space="preserve">Available from: </w:t>
      </w:r>
      <w:hyperlink r:id="rId12" w:history="1">
        <w:r w:rsidRPr="00465FF4">
          <w:rPr>
            <w:rStyle w:val="Hyperlink"/>
            <w:lang w:val="en-GB"/>
          </w:rPr>
          <w:t>https://www.bangor.ac.uk/education-and-human-development/reportforms/forms/Qualified%20Teacher%20Status%20Standards%20Wales%202009.pdf</w:t>
        </w:r>
      </w:hyperlink>
      <w:r>
        <w:rPr>
          <w:lang w:val="en-GB"/>
        </w:rPr>
        <w:t xml:space="preserve"> [Accessed 18/11/2018].</w:t>
      </w:r>
    </w:p>
    <w:p w14:paraId="1844B4FA" w14:textId="7D92BCF8" w:rsidR="00CA60AD" w:rsidRDefault="00CA60AD" w:rsidP="00976397">
      <w:pPr>
        <w:contextualSpacing/>
        <w:jc w:val="both"/>
        <w:rPr>
          <w:lang w:val="en-GB"/>
        </w:rPr>
      </w:pPr>
      <w:r>
        <w:rPr>
          <w:lang w:val="en-GB"/>
        </w:rPr>
        <w:t xml:space="preserve">Otis, J. (2017) </w:t>
      </w:r>
      <w:proofErr w:type="spellStart"/>
      <w:r>
        <w:rPr>
          <w:i/>
          <w:lang w:val="en-GB"/>
        </w:rPr>
        <w:t>Necer</w:t>
      </w:r>
      <w:proofErr w:type="spellEnd"/>
      <w:r>
        <w:rPr>
          <w:i/>
          <w:lang w:val="en-GB"/>
        </w:rPr>
        <w:t xml:space="preserve"> Use White Text on a Black Background: </w:t>
      </w:r>
      <w:proofErr w:type="spellStart"/>
      <w:r>
        <w:rPr>
          <w:i/>
          <w:lang w:val="en-GB"/>
        </w:rPr>
        <w:t>Astygmatism</w:t>
      </w:r>
      <w:proofErr w:type="spellEnd"/>
      <w:r>
        <w:rPr>
          <w:i/>
          <w:lang w:val="en-GB"/>
        </w:rPr>
        <w:t xml:space="preserve"> and Conference Slides. </w:t>
      </w:r>
      <w:r>
        <w:rPr>
          <w:lang w:val="en-GB"/>
        </w:rPr>
        <w:t xml:space="preserve">Available from: </w:t>
      </w:r>
      <w:hyperlink r:id="rId13" w:history="1">
        <w:r w:rsidRPr="006D19DE">
          <w:rPr>
            <w:rStyle w:val="Hyperlink"/>
            <w:lang w:val="en-GB"/>
          </w:rPr>
          <w:t>https://jessicaotis.com/academia/never-use-white-text-on-a-black-background-astygmatism-and-conference-slides/</w:t>
        </w:r>
      </w:hyperlink>
      <w:r>
        <w:rPr>
          <w:lang w:val="en-GB"/>
        </w:rPr>
        <w:t xml:space="preserve"> [Accessed 30/10/18].</w:t>
      </w:r>
    </w:p>
    <w:p w14:paraId="781D5928" w14:textId="1A8F3700" w:rsidR="005F049C" w:rsidRPr="00321317" w:rsidRDefault="00321317" w:rsidP="00321317">
      <w:pPr>
        <w:contextualSpacing/>
        <w:rPr>
          <w:lang w:val="en-GB"/>
        </w:rPr>
      </w:pPr>
      <w:r>
        <w:rPr>
          <w:lang w:val="en-GB"/>
        </w:rPr>
        <w:t xml:space="preserve">Psychology Today (2014) </w:t>
      </w:r>
      <w:r>
        <w:rPr>
          <w:i/>
          <w:lang w:val="en-GB"/>
        </w:rPr>
        <w:t xml:space="preserve">Blue Light Hazardous to sleep, but Helpful While Awake. </w:t>
      </w:r>
      <w:r>
        <w:rPr>
          <w:lang w:val="en-GB"/>
        </w:rPr>
        <w:t xml:space="preserve">Available from: </w:t>
      </w:r>
      <w:hyperlink r:id="rId14" w:history="1">
        <w:r w:rsidRPr="009C75DF">
          <w:rPr>
            <w:rStyle w:val="Hyperlink"/>
            <w:lang w:val="en-GB"/>
          </w:rPr>
          <w:t>https://www.psychologytoday.com/us/blog/sleep-newzzz/201403/blue-light-hazardous-sleep-helpful-while-awake</w:t>
        </w:r>
      </w:hyperlink>
      <w:r>
        <w:rPr>
          <w:lang w:val="en-GB"/>
        </w:rPr>
        <w:t xml:space="preserve"> [Accessed 12/11/2018].</w:t>
      </w:r>
    </w:p>
    <w:p w14:paraId="2B0A5956" w14:textId="3E535469" w:rsidR="00976397" w:rsidRDefault="00DD2AE0">
      <w:pPr>
        <w:rPr>
          <w:lang w:val="en-GB"/>
        </w:rPr>
      </w:pPr>
      <w:proofErr w:type="spellStart"/>
      <w:r>
        <w:rPr>
          <w:lang w:val="en-GB"/>
        </w:rPr>
        <w:t>Tharby</w:t>
      </w:r>
      <w:proofErr w:type="spellEnd"/>
      <w:r>
        <w:rPr>
          <w:lang w:val="en-GB"/>
        </w:rPr>
        <w:t xml:space="preserve">, A. (2013) </w:t>
      </w:r>
      <w:r>
        <w:rPr>
          <w:i/>
          <w:lang w:val="en-GB"/>
        </w:rPr>
        <w:t xml:space="preserve">Differentiating the responsive way. </w:t>
      </w:r>
      <w:r>
        <w:rPr>
          <w:lang w:val="en-GB"/>
        </w:rPr>
        <w:t xml:space="preserve">Available from: </w:t>
      </w:r>
      <w:hyperlink r:id="rId15" w:history="1">
        <w:r w:rsidRPr="006D19DE">
          <w:rPr>
            <w:rStyle w:val="Hyperlink"/>
            <w:lang w:val="en-GB"/>
          </w:rPr>
          <w:t>https://reflectingenglish.wordpress.com/2013/12/21/differentiating-the-responsive-way/</w:t>
        </w:r>
      </w:hyperlink>
      <w:r>
        <w:rPr>
          <w:lang w:val="en-GB"/>
        </w:rPr>
        <w:t xml:space="preserve"> [Accessed </w:t>
      </w:r>
      <w:r w:rsidR="009B10EE">
        <w:rPr>
          <w:lang w:val="en-GB"/>
        </w:rPr>
        <w:t>30/10/2018].</w:t>
      </w:r>
    </w:p>
    <w:p w14:paraId="1DDA168A" w14:textId="71962026" w:rsidR="002B51E6" w:rsidRDefault="002B51E6">
      <w:pPr>
        <w:rPr>
          <w:lang w:val="en-GB"/>
        </w:rPr>
      </w:pPr>
      <w:r>
        <w:rPr>
          <w:lang w:val="en-GB"/>
        </w:rPr>
        <w:t xml:space="preserve">Welsh Assembly Government (2003) </w:t>
      </w:r>
      <w:r>
        <w:rPr>
          <w:i/>
          <w:lang w:val="en-GB"/>
        </w:rPr>
        <w:t>Developing the Curriculum Cymreig</w:t>
      </w:r>
      <w:r>
        <w:rPr>
          <w:lang w:val="en-GB"/>
        </w:rPr>
        <w:t xml:space="preserve">. Available from: </w:t>
      </w:r>
      <w:hyperlink r:id="rId16" w:history="1">
        <w:r w:rsidRPr="006D19DE">
          <w:rPr>
            <w:rStyle w:val="Hyperlink"/>
            <w:lang w:val="en-GB"/>
          </w:rPr>
          <w:t>http://learning.gov.wales/docs/learningwales/publications/130424-developing-the-curriculum-cymreig-en.pdf</w:t>
        </w:r>
      </w:hyperlink>
      <w:r>
        <w:rPr>
          <w:lang w:val="en-GB"/>
        </w:rPr>
        <w:t xml:space="preserve"> [Accessed: 31/10/2018].</w:t>
      </w:r>
    </w:p>
    <w:p w14:paraId="275C4353" w14:textId="4354125B" w:rsidR="00C76C78" w:rsidRPr="00C76C78" w:rsidRDefault="00C76C78">
      <w:pPr>
        <w:rPr>
          <w:lang w:val="en-GB"/>
        </w:rPr>
      </w:pPr>
      <w:r>
        <w:rPr>
          <w:lang w:val="en-GB"/>
        </w:rPr>
        <w:t xml:space="preserve">Welsh Government (2014) </w:t>
      </w:r>
      <w:r>
        <w:rPr>
          <w:i/>
          <w:lang w:val="en-GB"/>
        </w:rPr>
        <w:t>National Literacy and Numeracy Framework.</w:t>
      </w:r>
      <w:r>
        <w:rPr>
          <w:lang w:val="en-GB"/>
        </w:rPr>
        <w:t xml:space="preserve"> Available from: </w:t>
      </w:r>
      <w:hyperlink r:id="rId17" w:history="1">
        <w:r w:rsidRPr="006D19DE">
          <w:rPr>
            <w:rStyle w:val="Hyperlink"/>
            <w:lang w:val="en-GB"/>
          </w:rPr>
          <w:t>http://learning.gov.wales/resources/browse-all/nlnf/?lang=en</w:t>
        </w:r>
      </w:hyperlink>
      <w:r>
        <w:rPr>
          <w:lang w:val="en-GB"/>
        </w:rPr>
        <w:t xml:space="preserve"> [Accessed 31/10/2018].</w:t>
      </w:r>
    </w:p>
    <w:p w14:paraId="299283D2" w14:textId="0B50F3B8" w:rsidR="00AF75A5" w:rsidRPr="00AF75A5" w:rsidRDefault="00AF75A5">
      <w:pPr>
        <w:rPr>
          <w:lang w:val="en-GB"/>
        </w:rPr>
      </w:pPr>
      <w:r>
        <w:rPr>
          <w:lang w:val="en-GB"/>
        </w:rPr>
        <w:t xml:space="preserve">Welsh Government (2016) </w:t>
      </w:r>
      <w:r>
        <w:rPr>
          <w:i/>
          <w:lang w:val="en-GB"/>
        </w:rPr>
        <w:t>National Literacy and Numeracy Programme- a strategic action plan.</w:t>
      </w:r>
      <w:r>
        <w:rPr>
          <w:lang w:val="en-GB"/>
        </w:rPr>
        <w:t xml:space="preserve"> Available from: </w:t>
      </w:r>
      <w:hyperlink r:id="rId18" w:history="1">
        <w:r w:rsidRPr="006D19DE">
          <w:rPr>
            <w:rStyle w:val="Hyperlink"/>
            <w:lang w:val="en-GB"/>
          </w:rPr>
          <w:t>http://learning.gov.wales/docs/learningwales/publications/160316-national-literacy-and-numeracy-programmes-en.pdf</w:t>
        </w:r>
      </w:hyperlink>
      <w:r>
        <w:rPr>
          <w:lang w:val="en-GB"/>
        </w:rPr>
        <w:t xml:space="preserve"> [Accessed 31/10/2018]</w:t>
      </w:r>
      <w:r w:rsidR="00C76C78">
        <w:rPr>
          <w:lang w:val="en-GB"/>
        </w:rPr>
        <w:t>.</w:t>
      </w:r>
    </w:p>
    <w:p w14:paraId="17C13E9A" w14:textId="66536D3C" w:rsidR="006C1EC5" w:rsidRPr="006C1EC5" w:rsidRDefault="006C1EC5">
      <w:pPr>
        <w:rPr>
          <w:lang w:val="en-GB"/>
        </w:rPr>
      </w:pPr>
      <w:r>
        <w:rPr>
          <w:lang w:val="en-GB"/>
        </w:rPr>
        <w:t xml:space="preserve">Welsh Government (2017) </w:t>
      </w:r>
      <w:proofErr w:type="spellStart"/>
      <w:r>
        <w:rPr>
          <w:i/>
          <w:lang w:val="en-GB"/>
        </w:rPr>
        <w:t>Cymraeg</w:t>
      </w:r>
      <w:proofErr w:type="spellEnd"/>
      <w:r>
        <w:rPr>
          <w:i/>
          <w:lang w:val="en-GB"/>
        </w:rPr>
        <w:t xml:space="preserve"> 2050 A million Welsh speakers.</w:t>
      </w:r>
      <w:r>
        <w:rPr>
          <w:lang w:val="en-GB"/>
        </w:rPr>
        <w:t xml:space="preserve"> Available from: </w:t>
      </w:r>
      <w:hyperlink r:id="rId19" w:history="1">
        <w:r w:rsidRPr="006D19DE">
          <w:rPr>
            <w:rStyle w:val="Hyperlink"/>
            <w:lang w:val="en-GB"/>
          </w:rPr>
          <w:t>http://www.assembly.wales/Laid%20Documents/GEN-LD11108/GEN-LD11108-e.pdf</w:t>
        </w:r>
      </w:hyperlink>
      <w:r>
        <w:rPr>
          <w:lang w:val="en-GB"/>
        </w:rPr>
        <w:t xml:space="preserve"> [Accessed 31/10/2018]</w:t>
      </w:r>
      <w:r w:rsidR="002B51E6">
        <w:rPr>
          <w:lang w:val="en-GB"/>
        </w:rPr>
        <w:t>.</w:t>
      </w:r>
    </w:p>
    <w:p w14:paraId="3B4E8592" w14:textId="6D20EFEE" w:rsidR="00F45111" w:rsidRPr="00331CCA" w:rsidRDefault="00F45111">
      <w:pPr>
        <w:rPr>
          <w:lang w:val="en-GB"/>
        </w:rPr>
      </w:pPr>
      <w:proofErr w:type="spellStart"/>
      <w:r>
        <w:rPr>
          <w:lang w:val="en-GB"/>
        </w:rPr>
        <w:t>Zorko</w:t>
      </w:r>
      <w:proofErr w:type="spellEnd"/>
      <w:r>
        <w:rPr>
          <w:lang w:val="en-GB"/>
        </w:rPr>
        <w:t>, A., Ivan</w:t>
      </w:r>
      <m:oMath>
        <m:acc>
          <m:accPr>
            <m:chr m:val="̌"/>
            <m:ctrlPr>
              <w:rPr>
                <w:rFonts w:ascii="Cambria Math" w:hAnsi="Cambria Math"/>
                <w:i/>
                <w:lang w:val="en-GB"/>
              </w:rPr>
            </m:ctrlPr>
          </m:accPr>
          <m:e>
            <m:r>
              <w:rPr>
                <w:rFonts w:ascii="Cambria Math" w:hAnsi="Cambria Math"/>
                <w:lang w:val="en-GB"/>
              </w:rPr>
              <m:t>c</m:t>
            </m:r>
          </m:e>
        </m:acc>
      </m:oMath>
      <w:r>
        <w:rPr>
          <w:rFonts w:eastAsiaTheme="minorEastAsia"/>
          <w:lang w:val="en-GB"/>
        </w:rPr>
        <w:t>i</w:t>
      </w:r>
      <m:oMath>
        <m:acc>
          <m:accPr>
            <m:chr m:val="́"/>
            <m:ctrlPr>
              <w:rPr>
                <w:rFonts w:ascii="Cambria Math" w:eastAsiaTheme="minorEastAsia" w:hAnsi="Cambria Math"/>
                <w:i/>
                <w:lang w:val="en-GB"/>
              </w:rPr>
            </m:ctrlPr>
          </m:accPr>
          <m:e>
            <m:r>
              <w:rPr>
                <w:rFonts w:ascii="Cambria Math" w:eastAsiaTheme="minorEastAsia" w:hAnsi="Cambria Math"/>
                <w:lang w:val="en-GB"/>
              </w:rPr>
              <m:t>c</m:t>
            </m:r>
          </m:e>
        </m:acc>
      </m:oMath>
      <w:r>
        <w:rPr>
          <w:rFonts w:eastAsiaTheme="minorEastAsia"/>
          <w:lang w:val="en-GB"/>
        </w:rPr>
        <w:t>, S., Tomi</w:t>
      </w:r>
      <m:oMath>
        <m:acc>
          <m:accPr>
            <m:chr m:val="̌"/>
            <m:ctrlPr>
              <w:rPr>
                <w:rFonts w:ascii="Cambria Math" w:eastAsiaTheme="minorEastAsia" w:hAnsi="Cambria Math"/>
                <w:i/>
                <w:lang w:val="en-GB"/>
              </w:rPr>
            </m:ctrlPr>
          </m:accPr>
          <m:e>
            <m:r>
              <w:rPr>
                <w:rFonts w:ascii="Cambria Math" w:eastAsiaTheme="minorEastAsia" w:hAnsi="Cambria Math"/>
                <w:lang w:val="en-GB"/>
              </w:rPr>
              <m:t>s</m:t>
            </m:r>
          </m:e>
        </m:acc>
      </m:oMath>
      <w:r>
        <w:rPr>
          <w:rFonts w:eastAsiaTheme="minorEastAsia"/>
          <w:lang w:val="en-GB"/>
        </w:rPr>
        <w:t>a, M., Ke</w:t>
      </w:r>
      <m:oMath>
        <m:acc>
          <m:accPr>
            <m:chr m:val="̌"/>
            <m:ctrlPr>
              <w:rPr>
                <w:rFonts w:ascii="Cambria Math" w:eastAsiaTheme="minorEastAsia" w:hAnsi="Cambria Math"/>
                <w:i/>
                <w:lang w:val="en-GB"/>
              </w:rPr>
            </m:ctrlPr>
          </m:accPr>
          <m:e>
            <m:r>
              <w:rPr>
                <w:rFonts w:ascii="Cambria Math" w:eastAsiaTheme="minorEastAsia" w:hAnsi="Cambria Math"/>
                <w:lang w:val="en-GB"/>
              </w:rPr>
              <m:t>c</m:t>
            </m:r>
          </m:e>
        </m:acc>
      </m:oMath>
      <w:r>
        <w:rPr>
          <w:rFonts w:eastAsiaTheme="minorEastAsia"/>
          <w:lang w:val="en-GB"/>
        </w:rPr>
        <w:t xml:space="preserve">ek, D. and </w:t>
      </w:r>
      <m:oMath>
        <m:acc>
          <m:accPr>
            <m:chr m:val="̌"/>
            <m:ctrlPr>
              <w:rPr>
                <w:rFonts w:ascii="Cambria Math" w:eastAsiaTheme="minorEastAsia" w:hAnsi="Cambria Math"/>
                <w:i/>
                <w:lang w:val="en-GB"/>
              </w:rPr>
            </m:ctrlPr>
          </m:accPr>
          <m:e>
            <m:r>
              <w:rPr>
                <w:rFonts w:ascii="Cambria Math" w:eastAsiaTheme="minorEastAsia" w:hAnsi="Cambria Math"/>
                <w:lang w:val="en-GB"/>
              </w:rPr>
              <m:t>C</m:t>
            </m:r>
          </m:e>
        </m:acc>
      </m:oMath>
      <w:r w:rsidR="00331CCA">
        <w:rPr>
          <w:rFonts w:eastAsiaTheme="minorEastAsia"/>
          <w:lang w:val="en-GB"/>
        </w:rPr>
        <w:t xml:space="preserve">erepinko, D. (2017) The Impact of the Text and Background Color on the Screen Reading Experience. </w:t>
      </w:r>
      <w:r w:rsidR="00331CCA">
        <w:rPr>
          <w:rFonts w:eastAsiaTheme="minorEastAsia"/>
          <w:i/>
          <w:lang w:val="en-GB"/>
        </w:rPr>
        <w:t>Technical Journal.</w:t>
      </w:r>
      <w:r w:rsidR="00331CCA">
        <w:rPr>
          <w:rFonts w:eastAsiaTheme="minorEastAsia"/>
          <w:lang w:val="en-GB"/>
        </w:rPr>
        <w:t xml:space="preserve"> 11 (3), 78-82. </w:t>
      </w:r>
    </w:p>
    <w:sectPr w:rsidR="00F45111" w:rsidRPr="00331CCA" w:rsidSect="00442A96">
      <w:headerReference w:type="even" r:id="rId20"/>
      <w:headerReference w:type="default"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426FB" w14:textId="77777777" w:rsidR="00A669AD" w:rsidRDefault="00A669AD" w:rsidP="00976397">
      <w:r>
        <w:separator/>
      </w:r>
    </w:p>
  </w:endnote>
  <w:endnote w:type="continuationSeparator" w:id="0">
    <w:p w14:paraId="04F9AED2" w14:textId="77777777" w:rsidR="00A669AD" w:rsidRDefault="00A669AD" w:rsidP="00976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D096B" w14:textId="70360BAF" w:rsidR="00976397" w:rsidRPr="00976397" w:rsidRDefault="00976397">
    <w:pPr>
      <w:pStyle w:val="Footer"/>
      <w:rPr>
        <w:lang w:val="en-GB"/>
      </w:rPr>
    </w:pPr>
    <w:r>
      <w:rPr>
        <w:lang w:val="en-GB"/>
      </w:rPr>
      <w:tab/>
    </w:r>
    <w:r>
      <w:rPr>
        <w:lang w:val="en-GB"/>
      </w:rPr>
      <w:tab/>
      <w:t xml:space="preserve">Lauren </w:t>
    </w:r>
    <w:proofErr w:type="spellStart"/>
    <w:r>
      <w:rPr>
        <w:lang w:val="en-GB"/>
      </w:rPr>
      <w:t>Alcoran</w:t>
    </w:r>
    <w:proofErr w:type="spellEnd"/>
    <w:r>
      <w:rPr>
        <w:lang w:val="en-GB"/>
      </w:rPr>
      <w:t>- 1805173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E9D8F" w14:textId="77777777" w:rsidR="00A669AD" w:rsidRDefault="00A669AD" w:rsidP="00976397">
      <w:r>
        <w:separator/>
      </w:r>
    </w:p>
  </w:footnote>
  <w:footnote w:type="continuationSeparator" w:id="0">
    <w:p w14:paraId="6E8F8C9D" w14:textId="77777777" w:rsidR="00A669AD" w:rsidRDefault="00A669AD" w:rsidP="009763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69563470"/>
      <w:docPartObj>
        <w:docPartGallery w:val="Page Numbers (Top of Page)"/>
        <w:docPartUnique/>
      </w:docPartObj>
    </w:sdtPr>
    <w:sdtEndPr>
      <w:rPr>
        <w:rStyle w:val="PageNumber"/>
      </w:rPr>
    </w:sdtEndPr>
    <w:sdtContent>
      <w:p w14:paraId="03639E53" w14:textId="450AFA86" w:rsidR="00976397" w:rsidRDefault="00976397" w:rsidP="006D19D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8D1A18" w14:textId="77777777" w:rsidR="00976397" w:rsidRDefault="00976397" w:rsidP="0097639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5652145"/>
      <w:docPartObj>
        <w:docPartGallery w:val="Page Numbers (Top of Page)"/>
        <w:docPartUnique/>
      </w:docPartObj>
    </w:sdtPr>
    <w:sdtEndPr>
      <w:rPr>
        <w:rStyle w:val="PageNumber"/>
      </w:rPr>
    </w:sdtEndPr>
    <w:sdtContent>
      <w:p w14:paraId="3CBB928C" w14:textId="5CD68325" w:rsidR="00976397" w:rsidRDefault="00976397" w:rsidP="006D19D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A0AA0E" w14:textId="7340F116" w:rsidR="00976397" w:rsidRPr="00976397" w:rsidRDefault="00976397" w:rsidP="00976397">
    <w:pPr>
      <w:pStyle w:val="Header"/>
      <w:ind w:right="360"/>
      <w:rPr>
        <w:lang w:val="en-GB"/>
      </w:rPr>
    </w:pPr>
    <w:r>
      <w:rPr>
        <w:lang w:val="en-GB"/>
      </w:rPr>
      <w:t>ECSP6001</w:t>
    </w:r>
    <w:r>
      <w:rPr>
        <w:lang w:val="en-GB"/>
      </w:rPr>
      <w:tab/>
    </w:r>
    <w:r>
      <w:rPr>
        <w:lang w:val="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996A99"/>
    <w:multiLevelType w:val="hybridMultilevel"/>
    <w:tmpl w:val="7A30E5AA"/>
    <w:lvl w:ilvl="0" w:tplc="4B80E34C">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C426D7"/>
    <w:multiLevelType w:val="hybridMultilevel"/>
    <w:tmpl w:val="552617D0"/>
    <w:lvl w:ilvl="0" w:tplc="26E2FF72">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672BA3"/>
    <w:multiLevelType w:val="hybridMultilevel"/>
    <w:tmpl w:val="98E40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397"/>
    <w:rsid w:val="00001AD2"/>
    <w:rsid w:val="00074977"/>
    <w:rsid w:val="000E7091"/>
    <w:rsid w:val="00103D70"/>
    <w:rsid w:val="00120B01"/>
    <w:rsid w:val="00191D6A"/>
    <w:rsid w:val="001B2E1A"/>
    <w:rsid w:val="002139BE"/>
    <w:rsid w:val="002765A1"/>
    <w:rsid w:val="002770CB"/>
    <w:rsid w:val="002B51E6"/>
    <w:rsid w:val="002F0073"/>
    <w:rsid w:val="00311015"/>
    <w:rsid w:val="00321317"/>
    <w:rsid w:val="00325491"/>
    <w:rsid w:val="00331CCA"/>
    <w:rsid w:val="0035638C"/>
    <w:rsid w:val="003B0C2A"/>
    <w:rsid w:val="003C4327"/>
    <w:rsid w:val="003D6039"/>
    <w:rsid w:val="003F72D2"/>
    <w:rsid w:val="0042715F"/>
    <w:rsid w:val="00442A96"/>
    <w:rsid w:val="00451E42"/>
    <w:rsid w:val="00454C7A"/>
    <w:rsid w:val="00495648"/>
    <w:rsid w:val="004A36C5"/>
    <w:rsid w:val="004F40D6"/>
    <w:rsid w:val="004F7082"/>
    <w:rsid w:val="005A7188"/>
    <w:rsid w:val="005F049C"/>
    <w:rsid w:val="00680101"/>
    <w:rsid w:val="00692EA9"/>
    <w:rsid w:val="006C1EC5"/>
    <w:rsid w:val="00734077"/>
    <w:rsid w:val="007D2885"/>
    <w:rsid w:val="007F5155"/>
    <w:rsid w:val="00804C83"/>
    <w:rsid w:val="00882157"/>
    <w:rsid w:val="00890336"/>
    <w:rsid w:val="008A20CF"/>
    <w:rsid w:val="008D1C58"/>
    <w:rsid w:val="008E3B69"/>
    <w:rsid w:val="008F2806"/>
    <w:rsid w:val="00960004"/>
    <w:rsid w:val="00976397"/>
    <w:rsid w:val="009B10EE"/>
    <w:rsid w:val="009E13F7"/>
    <w:rsid w:val="00A34348"/>
    <w:rsid w:val="00A669AD"/>
    <w:rsid w:val="00AF23E3"/>
    <w:rsid w:val="00AF3FA0"/>
    <w:rsid w:val="00AF75A5"/>
    <w:rsid w:val="00B52112"/>
    <w:rsid w:val="00B85DA0"/>
    <w:rsid w:val="00BD315B"/>
    <w:rsid w:val="00BF0083"/>
    <w:rsid w:val="00C07AAA"/>
    <w:rsid w:val="00C25A96"/>
    <w:rsid w:val="00C3585C"/>
    <w:rsid w:val="00C62A49"/>
    <w:rsid w:val="00C72DDD"/>
    <w:rsid w:val="00C76C78"/>
    <w:rsid w:val="00CA60AD"/>
    <w:rsid w:val="00D9763C"/>
    <w:rsid w:val="00DB57C2"/>
    <w:rsid w:val="00DD2AE0"/>
    <w:rsid w:val="00DF6441"/>
    <w:rsid w:val="00E43726"/>
    <w:rsid w:val="00E54F00"/>
    <w:rsid w:val="00E6470B"/>
    <w:rsid w:val="00E95C3C"/>
    <w:rsid w:val="00EA18F7"/>
    <w:rsid w:val="00F01990"/>
    <w:rsid w:val="00F2224D"/>
    <w:rsid w:val="00F40546"/>
    <w:rsid w:val="00F45111"/>
    <w:rsid w:val="00F5787E"/>
    <w:rsid w:val="00F679A4"/>
    <w:rsid w:val="00F82592"/>
    <w:rsid w:val="00F83C15"/>
    <w:rsid w:val="00FA79DD"/>
    <w:rsid w:val="00FC5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C6E7A"/>
  <w14:defaultImageDpi w14:val="32767"/>
  <w15:chartTrackingRefBased/>
  <w15:docId w15:val="{E4175B23-D204-ED46-A079-0F0F8375F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qFormat/>
    <w:rsid w:val="00882157"/>
    <w:pPr>
      <w:keepNext/>
      <w:jc w:val="both"/>
      <w:outlineLvl w:val="1"/>
    </w:pPr>
    <w:rPr>
      <w:rFonts w:ascii="Times New Roman" w:eastAsia="Times New Roman" w:hAnsi="Times New Roman" w:cs="Times New Roman"/>
      <w:b/>
      <w:szCs w:val="20"/>
      <w:lang w:val="en-GB" w:eastAsia="en-GB"/>
    </w:rPr>
  </w:style>
  <w:style w:type="paragraph" w:styleId="Heading4">
    <w:name w:val="heading 4"/>
    <w:basedOn w:val="Normal"/>
    <w:next w:val="Normal"/>
    <w:link w:val="Heading4Char"/>
    <w:qFormat/>
    <w:rsid w:val="00882157"/>
    <w:pPr>
      <w:keepNext/>
      <w:spacing w:before="120" w:after="120"/>
      <w:jc w:val="center"/>
      <w:outlineLvl w:val="3"/>
    </w:pPr>
    <w:rPr>
      <w:rFonts w:ascii="Times New Roman" w:eastAsia="Times New Roma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76397"/>
    <w:pPr>
      <w:tabs>
        <w:tab w:val="center" w:pos="4680"/>
        <w:tab w:val="right" w:pos="9360"/>
      </w:tabs>
    </w:pPr>
  </w:style>
  <w:style w:type="character" w:customStyle="1" w:styleId="HeaderChar">
    <w:name w:val="Header Char"/>
    <w:basedOn w:val="DefaultParagraphFont"/>
    <w:link w:val="Header"/>
    <w:rsid w:val="00976397"/>
  </w:style>
  <w:style w:type="paragraph" w:styleId="Footer">
    <w:name w:val="footer"/>
    <w:basedOn w:val="Normal"/>
    <w:link w:val="FooterChar"/>
    <w:uiPriority w:val="99"/>
    <w:unhideWhenUsed/>
    <w:rsid w:val="00976397"/>
    <w:pPr>
      <w:tabs>
        <w:tab w:val="center" w:pos="4680"/>
        <w:tab w:val="right" w:pos="9360"/>
      </w:tabs>
    </w:pPr>
  </w:style>
  <w:style w:type="character" w:customStyle="1" w:styleId="FooterChar">
    <w:name w:val="Footer Char"/>
    <w:basedOn w:val="DefaultParagraphFont"/>
    <w:link w:val="Footer"/>
    <w:uiPriority w:val="99"/>
    <w:rsid w:val="00976397"/>
  </w:style>
  <w:style w:type="character" w:styleId="PageNumber">
    <w:name w:val="page number"/>
    <w:basedOn w:val="DefaultParagraphFont"/>
    <w:uiPriority w:val="99"/>
    <w:semiHidden/>
    <w:unhideWhenUsed/>
    <w:rsid w:val="00976397"/>
  </w:style>
  <w:style w:type="paragraph" w:styleId="NormalWeb">
    <w:name w:val="Normal (Web)"/>
    <w:basedOn w:val="Normal"/>
    <w:uiPriority w:val="99"/>
    <w:semiHidden/>
    <w:unhideWhenUsed/>
    <w:rsid w:val="00976397"/>
    <w:pPr>
      <w:spacing w:before="100" w:beforeAutospacing="1" w:after="100" w:afterAutospacing="1"/>
    </w:pPr>
    <w:rPr>
      <w:rFonts w:ascii="Times New Roman" w:eastAsia="Times New Roman" w:hAnsi="Times New Roman" w:cs="Times New Roman"/>
      <w:lang w:val="en-GB"/>
    </w:rPr>
  </w:style>
  <w:style w:type="character" w:styleId="Hyperlink">
    <w:name w:val="Hyperlink"/>
    <w:basedOn w:val="DefaultParagraphFont"/>
    <w:uiPriority w:val="99"/>
    <w:unhideWhenUsed/>
    <w:rsid w:val="00DD2AE0"/>
    <w:rPr>
      <w:color w:val="0563C1" w:themeColor="hyperlink"/>
      <w:u w:val="single"/>
    </w:rPr>
  </w:style>
  <w:style w:type="character" w:styleId="UnresolvedMention">
    <w:name w:val="Unresolved Mention"/>
    <w:basedOn w:val="DefaultParagraphFont"/>
    <w:uiPriority w:val="99"/>
    <w:rsid w:val="00DD2AE0"/>
    <w:rPr>
      <w:color w:val="605E5C"/>
      <w:shd w:val="clear" w:color="auto" w:fill="E1DFDD"/>
    </w:rPr>
  </w:style>
  <w:style w:type="character" w:customStyle="1" w:styleId="Heading2Char">
    <w:name w:val="Heading 2 Char"/>
    <w:basedOn w:val="DefaultParagraphFont"/>
    <w:link w:val="Heading2"/>
    <w:rsid w:val="00882157"/>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882157"/>
    <w:rPr>
      <w:rFonts w:ascii="Times New Roman" w:eastAsia="Times New Roman" w:hAnsi="Times New Roman" w:cs="Times New Roman"/>
      <w:sz w:val="40"/>
      <w:szCs w:val="20"/>
      <w:lang w:val="en-GB" w:eastAsia="en-GB"/>
    </w:rPr>
  </w:style>
  <w:style w:type="paragraph" w:styleId="ListParagraph">
    <w:name w:val="List Paragraph"/>
    <w:basedOn w:val="Normal"/>
    <w:uiPriority w:val="34"/>
    <w:qFormat/>
    <w:rsid w:val="00882157"/>
    <w:pPr>
      <w:ind w:left="720"/>
      <w:contextualSpacing/>
    </w:pPr>
    <w:rPr>
      <w:rFonts w:ascii="Times New Roman" w:eastAsia="Times New Roman" w:hAnsi="Times New Roman" w:cs="Times New Roman"/>
      <w:sz w:val="20"/>
      <w:szCs w:val="20"/>
      <w:lang w:val="en-GB" w:eastAsia="en-GB"/>
    </w:rPr>
  </w:style>
  <w:style w:type="table" w:styleId="TableGrid">
    <w:name w:val="Table Grid"/>
    <w:basedOn w:val="TableNormal"/>
    <w:uiPriority w:val="39"/>
    <w:rsid w:val="00442A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313166">
      <w:bodyDiv w:val="1"/>
      <w:marLeft w:val="0"/>
      <w:marRight w:val="0"/>
      <w:marTop w:val="0"/>
      <w:marBottom w:val="0"/>
      <w:divBdr>
        <w:top w:val="none" w:sz="0" w:space="0" w:color="auto"/>
        <w:left w:val="none" w:sz="0" w:space="0" w:color="auto"/>
        <w:bottom w:val="none" w:sz="0" w:space="0" w:color="auto"/>
        <w:right w:val="none" w:sz="0" w:space="0" w:color="auto"/>
      </w:divBdr>
      <w:divsChild>
        <w:div w:id="1922252119">
          <w:marLeft w:val="0"/>
          <w:marRight w:val="0"/>
          <w:marTop w:val="0"/>
          <w:marBottom w:val="0"/>
          <w:divBdr>
            <w:top w:val="none" w:sz="0" w:space="0" w:color="auto"/>
            <w:left w:val="none" w:sz="0" w:space="0" w:color="auto"/>
            <w:bottom w:val="none" w:sz="0" w:space="0" w:color="auto"/>
            <w:right w:val="none" w:sz="0" w:space="0" w:color="auto"/>
          </w:divBdr>
          <w:divsChild>
            <w:div w:id="817573854">
              <w:marLeft w:val="0"/>
              <w:marRight w:val="0"/>
              <w:marTop w:val="0"/>
              <w:marBottom w:val="0"/>
              <w:divBdr>
                <w:top w:val="none" w:sz="0" w:space="0" w:color="auto"/>
                <w:left w:val="none" w:sz="0" w:space="0" w:color="auto"/>
                <w:bottom w:val="none" w:sz="0" w:space="0" w:color="auto"/>
                <w:right w:val="none" w:sz="0" w:space="0" w:color="auto"/>
              </w:divBdr>
              <w:divsChild>
                <w:div w:id="131996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jessicaotis.com/academia/never-use-white-text-on-a-black-background-astygmatism-and-conference-slides/" TargetMode="External"/><Relationship Id="rId18" Type="http://schemas.openxmlformats.org/officeDocument/2006/relationships/hyperlink" Target="http://learning.gov.wales/docs/learningwales/publications/160316-national-literacy-and-numeracy-programmes-en.pdf"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www.bangor.ac.uk/education-and-human-development/reportforms/forms/Qualified%20Teacher%20Status%20Standards%20Wales%202009.pdf" TargetMode="External"/><Relationship Id="rId17" Type="http://schemas.openxmlformats.org/officeDocument/2006/relationships/hyperlink" Target="http://learning.gov.wales/resources/browse-all/nlnf/?lang=en" TargetMode="External"/><Relationship Id="rId2" Type="http://schemas.openxmlformats.org/officeDocument/2006/relationships/styles" Target="styles.xml"/><Relationship Id="rId16" Type="http://schemas.openxmlformats.org/officeDocument/2006/relationships/hyperlink" Target="http://learning.gov.wales/docs/learningwales/publications/130424-developing-the-curriculum-cymreig-en.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acherhead.com/2014/02/01/dealing-with-day-to-day-differentiatio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flectingenglish.wordpress.com/2013/12/21/differentiating-the-responsive-way/" TargetMode="External"/><Relationship Id="rId23" Type="http://schemas.openxmlformats.org/officeDocument/2006/relationships/fontTable" Target="fontTable.xml"/><Relationship Id="rId10" Type="http://schemas.openxmlformats.org/officeDocument/2006/relationships/hyperlink" Target="https://www.bdadyslexia.org.uk/common/ckeditor/filemanager/userfiles/About_Us/policies/Dyslexia_Style_Guide.pdf" TargetMode="External"/><Relationship Id="rId19" Type="http://schemas.openxmlformats.org/officeDocument/2006/relationships/hyperlink" Target="http://www.assembly.wales/Laid%20Documents/GEN-LD11108/GEN-LD11108-e.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psychologytoday.com/us/blog/sleep-newzzz/201403/blue-light-hazardous-sleep-helpful-while-awak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522</TotalTime>
  <Pages>13</Pages>
  <Words>4594</Words>
  <Characters>26187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lauren.alcoran@gmail.com</dc:creator>
  <cp:keywords/>
  <dc:description/>
  <cp:lastModifiedBy>lauren.alcoran@gmail.com</cp:lastModifiedBy>
  <cp:revision>26</cp:revision>
  <dcterms:created xsi:type="dcterms:W3CDTF">2018-10-30T14:32:00Z</dcterms:created>
  <dcterms:modified xsi:type="dcterms:W3CDTF">2018-11-24T15:00:00Z</dcterms:modified>
</cp:coreProperties>
</file>