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FCE6A" w14:textId="2CD6801C" w:rsidR="00C16432" w:rsidRPr="00003AA9" w:rsidRDefault="00C16432" w:rsidP="00234E01">
      <w:pPr>
        <w:spacing w:before="100" w:beforeAutospacing="1" w:after="100" w:afterAutospacing="1" w:line="240" w:lineRule="auto"/>
        <w:jc w:val="center"/>
        <w:outlineLvl w:val="2"/>
        <w:rPr>
          <w:rFonts w:ascii="Aparajita" w:eastAsia="Times New Roman" w:hAnsi="Aparajita" w:cs="Aparajita"/>
          <w:b/>
          <w:bCs/>
          <w:kern w:val="0"/>
          <w:sz w:val="40"/>
          <w:szCs w:val="40"/>
          <w:lang w:eastAsia="en-GB"/>
          <w14:ligatures w14:val="none"/>
        </w:rPr>
      </w:pPr>
      <w:r w:rsidRPr="00003AA9">
        <w:rPr>
          <w:rFonts w:ascii="Aparajita" w:eastAsia="Times New Roman" w:hAnsi="Aparajita" w:cs="Aparajita"/>
          <w:b/>
          <w:bCs/>
          <w:kern w:val="0"/>
          <w:sz w:val="40"/>
          <w:szCs w:val="40"/>
          <w:lang w:eastAsia="en-GB"/>
          <w14:ligatures w14:val="none"/>
        </w:rPr>
        <w:t xml:space="preserve">Pavlina Balazova </w:t>
      </w:r>
    </w:p>
    <w:p w14:paraId="0578E8BA" w14:textId="5A53A5F0" w:rsidR="00C16432" w:rsidRPr="00003AA9" w:rsidRDefault="00C16432" w:rsidP="00234E01">
      <w:pPr>
        <w:spacing w:before="100" w:beforeAutospacing="1" w:after="100" w:afterAutospacing="1" w:line="240" w:lineRule="auto"/>
        <w:jc w:val="center"/>
        <w:outlineLvl w:val="2"/>
        <w:rPr>
          <w:rFonts w:ascii="Aparajita" w:eastAsia="Times New Roman" w:hAnsi="Aparajita" w:cs="Aparajita"/>
          <w:b/>
          <w:bCs/>
          <w:kern w:val="0"/>
          <w:sz w:val="40"/>
          <w:szCs w:val="40"/>
          <w:lang w:eastAsia="en-GB"/>
          <w14:ligatures w14:val="none"/>
        </w:rPr>
      </w:pPr>
      <w:r w:rsidRPr="00003AA9">
        <w:rPr>
          <w:rFonts w:ascii="Aparajita" w:eastAsia="Times New Roman" w:hAnsi="Aparajita" w:cs="Aparajita"/>
          <w:b/>
          <w:bCs/>
          <w:kern w:val="0"/>
          <w:sz w:val="40"/>
          <w:szCs w:val="40"/>
          <w:lang w:eastAsia="en-GB"/>
          <w14:ligatures w14:val="none"/>
        </w:rPr>
        <w:t xml:space="preserve">Essay – </w:t>
      </w:r>
      <w:r w:rsidRPr="00003AA9">
        <w:rPr>
          <w:rFonts w:ascii="Aparajita" w:hAnsi="Aparajita" w:cs="Aparajita"/>
          <w:b/>
          <w:bCs/>
          <w:sz w:val="40"/>
          <w:szCs w:val="40"/>
        </w:rPr>
        <w:t>HPRS4092 -Christian Ethics</w:t>
      </w:r>
    </w:p>
    <w:p w14:paraId="3E87C525" w14:textId="77777777" w:rsidR="00C16432" w:rsidRPr="00003AA9" w:rsidRDefault="00C16432" w:rsidP="00234E01">
      <w:pPr>
        <w:spacing w:before="100" w:beforeAutospacing="1" w:after="100" w:afterAutospacing="1" w:line="240" w:lineRule="auto"/>
        <w:jc w:val="center"/>
        <w:outlineLvl w:val="2"/>
        <w:rPr>
          <w:rFonts w:ascii="Aparajita" w:eastAsia="Times New Roman" w:hAnsi="Aparajita" w:cs="Aparajita"/>
          <w:b/>
          <w:bCs/>
          <w:kern w:val="0"/>
          <w:sz w:val="40"/>
          <w:szCs w:val="40"/>
          <w:lang w:eastAsia="en-GB"/>
          <w14:ligatures w14:val="none"/>
        </w:rPr>
      </w:pPr>
    </w:p>
    <w:p w14:paraId="03DA09F8" w14:textId="2CAE8742" w:rsidR="00234E01" w:rsidRPr="00605D92" w:rsidRDefault="00234E01" w:rsidP="00234E01">
      <w:pPr>
        <w:spacing w:before="100" w:beforeAutospacing="1" w:after="100" w:afterAutospacing="1" w:line="240" w:lineRule="auto"/>
        <w:jc w:val="center"/>
        <w:outlineLvl w:val="2"/>
        <w:rPr>
          <w:rFonts w:ascii="Aparajita" w:eastAsia="Times New Roman" w:hAnsi="Aparajita" w:cs="Aparajita"/>
          <w:b/>
          <w:bCs/>
          <w:kern w:val="0"/>
          <w:sz w:val="40"/>
          <w:szCs w:val="40"/>
          <w:lang w:eastAsia="en-GB"/>
          <w14:ligatures w14:val="none"/>
        </w:rPr>
      </w:pPr>
      <w:r w:rsidRPr="00605D92">
        <w:rPr>
          <w:rFonts w:ascii="Aparajita" w:eastAsia="Times New Roman" w:hAnsi="Aparajita" w:cs="Aparajita"/>
          <w:b/>
          <w:bCs/>
          <w:kern w:val="0"/>
          <w:sz w:val="40"/>
          <w:szCs w:val="40"/>
          <w:lang w:eastAsia="en-GB"/>
          <w14:ligatures w14:val="none"/>
        </w:rPr>
        <w:t>Theological and Ethical Principles in Exodus 20 and Matthew 5</w:t>
      </w:r>
    </w:p>
    <w:p w14:paraId="31CC001C" w14:textId="77777777" w:rsidR="00234E01" w:rsidRDefault="00234E01" w:rsidP="00234E01">
      <w:pPr>
        <w:pStyle w:val="Normlnweb"/>
        <w:jc w:val="center"/>
      </w:pPr>
    </w:p>
    <w:p w14:paraId="08A2F58A" w14:textId="77777777" w:rsidR="00C16432" w:rsidRDefault="00C16432" w:rsidP="00BF46B7">
      <w:pPr>
        <w:pStyle w:val="Normlnweb"/>
      </w:pPr>
    </w:p>
    <w:p w14:paraId="3AC1EFDA" w14:textId="4A3FB22B" w:rsidR="00BF46B7" w:rsidRPr="00003AA9" w:rsidRDefault="00BF46B7" w:rsidP="00BF46B7">
      <w:pPr>
        <w:pStyle w:val="Normlnweb"/>
        <w:rPr>
          <w:rFonts w:ascii="Aparajita" w:hAnsi="Aparajita" w:cs="Aparajita"/>
          <w:b/>
          <w:bCs/>
          <w:sz w:val="28"/>
          <w:szCs w:val="28"/>
        </w:rPr>
      </w:pPr>
      <w:r w:rsidRPr="00003AA9">
        <w:rPr>
          <w:rFonts w:ascii="Aparajita" w:hAnsi="Aparajita" w:cs="Aparajita"/>
          <w:b/>
          <w:bCs/>
          <w:sz w:val="28"/>
          <w:szCs w:val="28"/>
        </w:rPr>
        <w:t>Introduction</w:t>
      </w:r>
    </w:p>
    <w:p w14:paraId="3D1B630D" w14:textId="1B5A2785"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 xml:space="preserve">This essay seeks to recognise and evaluate the theological and ethical understandings woven into Exodus 20 (the Ten Commandments) and Matthew 5 (the Beatitudes and Sermon on the Mount), respectively, and to compare their contributions to Jewish and Christian morality. From the Bible and the Quran to the teachings of the Talmud, the content of these texts is powerful and </w:t>
      </w:r>
      <w:r w:rsidR="00003AA9" w:rsidRPr="00003AA9">
        <w:rPr>
          <w:rFonts w:ascii="Aparajita" w:hAnsi="Aparajita" w:cs="Aparajita"/>
          <w:sz w:val="28"/>
          <w:szCs w:val="28"/>
        </w:rPr>
        <w:t>resonant, in</w:t>
      </w:r>
      <w:r w:rsidRPr="00003AA9">
        <w:rPr>
          <w:rFonts w:ascii="Aparajita" w:hAnsi="Aparajita" w:cs="Aparajita"/>
          <w:sz w:val="28"/>
          <w:szCs w:val="28"/>
        </w:rPr>
        <w:t xml:space="preserve"> all senses of that word, to understand man's relationship to the divine and to the moral life. This essay attempts to elucidate how they function as points of reference for modern theological and ethical reflection by examining their principles.</w:t>
      </w:r>
    </w:p>
    <w:p w14:paraId="5EB3AFEE" w14:textId="55A9A6A8"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The Decalogue proclaims the foundation of the Israelite covenantal ethics upon which Israel’s new social order and community life are to be based. Given to Israel following God’s redemption from Egypt, the Ten Commandments address a system of moral order that is grounded in the divine presence and social obligation (Childs, 2004). They declare such values as the oneness of God, the Sabbath, prohibitions against murder and theft, and justice and faithfulness in the covenant. These laws not only establish Israel’s unique role as God’s chosen people but also f</w:t>
      </w:r>
      <w:r w:rsidR="00234E01" w:rsidRPr="00003AA9">
        <w:rPr>
          <w:rFonts w:ascii="Aparajita" w:hAnsi="Aparajita" w:cs="Aparajita"/>
          <w:sz w:val="28"/>
          <w:szCs w:val="28"/>
        </w:rPr>
        <w:t xml:space="preserve">rom </w:t>
      </w:r>
      <w:r w:rsidRPr="00003AA9">
        <w:rPr>
          <w:rFonts w:ascii="Aparajita" w:hAnsi="Aparajita" w:cs="Aparajita"/>
          <w:sz w:val="28"/>
          <w:szCs w:val="28"/>
        </w:rPr>
        <w:t>a universal moral code for the good of all humanity.</w:t>
      </w:r>
    </w:p>
    <w:p w14:paraId="2E711EDE" w14:textId="7958D888" w:rsidR="00BF46B7" w:rsidRPr="00003AA9" w:rsidRDefault="00234E01" w:rsidP="00BF46B7">
      <w:pPr>
        <w:pStyle w:val="Normlnweb"/>
        <w:rPr>
          <w:rFonts w:ascii="Aparajita" w:hAnsi="Aparajita" w:cs="Aparajita"/>
          <w:sz w:val="28"/>
          <w:szCs w:val="28"/>
        </w:rPr>
      </w:pPr>
      <w:r w:rsidRPr="00003AA9">
        <w:rPr>
          <w:rFonts w:ascii="Aparajita" w:hAnsi="Aparajita" w:cs="Aparajita"/>
          <w:sz w:val="28"/>
          <w:szCs w:val="28"/>
        </w:rPr>
        <w:t xml:space="preserve"> </w:t>
      </w:r>
      <w:r w:rsidR="00BF46B7" w:rsidRPr="00003AA9">
        <w:rPr>
          <w:rFonts w:ascii="Aparajita" w:hAnsi="Aparajita" w:cs="Aparajita"/>
          <w:sz w:val="28"/>
          <w:szCs w:val="28"/>
        </w:rPr>
        <w:t>Instead, Matthew 5, which is an excerpt from Jesus’ sermon on the mount, gives us this vision for the Kingdom of God. The Beatitudes (Matt. 5:3–12) and more pointed instruction about virtues such as humility, mercy and inner righteousness focus on “doing” as external compliance to “being” transformed at the heart level (Stott, 1997). Jesus’ lessons, like loving enemies (Matt. 5:44), now re-contextualise Old Testament ethics, drawing attention to grace and the intentional quality of morality.</w:t>
      </w:r>
    </w:p>
    <w:p w14:paraId="44BA0995" w14:textId="7AC9C2B5" w:rsidR="00BF46B7" w:rsidRPr="00003AA9" w:rsidRDefault="00234E01" w:rsidP="00BF46B7">
      <w:pPr>
        <w:pStyle w:val="Normlnweb"/>
        <w:rPr>
          <w:rFonts w:ascii="Aparajita" w:hAnsi="Aparajita" w:cs="Aparajita"/>
          <w:sz w:val="28"/>
          <w:szCs w:val="28"/>
        </w:rPr>
      </w:pPr>
      <w:r w:rsidRPr="00003AA9">
        <w:rPr>
          <w:rFonts w:ascii="Aparajita" w:hAnsi="Aparajita" w:cs="Aparajita"/>
          <w:sz w:val="28"/>
          <w:szCs w:val="28"/>
        </w:rPr>
        <w:t xml:space="preserve"> </w:t>
      </w:r>
      <w:r w:rsidR="00BF46B7" w:rsidRPr="00003AA9">
        <w:rPr>
          <w:rFonts w:ascii="Aparajita" w:hAnsi="Aparajita" w:cs="Aparajita"/>
          <w:sz w:val="28"/>
          <w:szCs w:val="28"/>
        </w:rPr>
        <w:t xml:space="preserve">The concepts of monotheism, covenant obedience, and justice in Exodus 20 and the complementary values of humility, mercy, and inner righteousness in Matthew 5 need to be emphasised. This paper will examine law vs. grace, outward vs. inward, and justice vs. mercy as lines of thought, with special </w:t>
      </w:r>
      <w:r w:rsidRPr="00003AA9">
        <w:rPr>
          <w:rFonts w:ascii="Aparajita" w:hAnsi="Aparajita" w:cs="Aparajita"/>
          <w:sz w:val="28"/>
          <w:szCs w:val="28"/>
        </w:rPr>
        <w:t>address</w:t>
      </w:r>
      <w:r w:rsidR="00BF46B7" w:rsidRPr="00003AA9">
        <w:rPr>
          <w:rFonts w:ascii="Aparajita" w:hAnsi="Aparajita" w:cs="Aparajita"/>
          <w:sz w:val="28"/>
          <w:szCs w:val="28"/>
        </w:rPr>
        <w:t xml:space="preserve"> to continuity and advance in biblical ethics. This volume will </w:t>
      </w:r>
      <w:r w:rsidR="00BF46B7" w:rsidRPr="00003AA9">
        <w:rPr>
          <w:rFonts w:ascii="Aparajita" w:hAnsi="Aparajita" w:cs="Aparajita"/>
          <w:sz w:val="28"/>
          <w:szCs w:val="28"/>
        </w:rPr>
        <w:lastRenderedPageBreak/>
        <w:t>study the underlying principles of each text, compare their methodologies, and consider what they may mean for theology today.</w:t>
      </w:r>
    </w:p>
    <w:p w14:paraId="31293A15" w14:textId="13FCA69E" w:rsidR="00234E01" w:rsidRPr="00003AA9" w:rsidRDefault="00234E01" w:rsidP="00BF46B7">
      <w:pPr>
        <w:pStyle w:val="Normlnweb"/>
        <w:rPr>
          <w:rFonts w:ascii="Aparajita" w:hAnsi="Aparajita" w:cs="Aparajita"/>
          <w:sz w:val="28"/>
          <w:szCs w:val="28"/>
        </w:rPr>
      </w:pPr>
      <w:r w:rsidRPr="00605D92">
        <w:rPr>
          <w:rFonts w:ascii="Aparajita" w:hAnsi="Aparajita" w:cs="Aparajita"/>
          <w:b/>
          <w:bCs/>
          <w:sz w:val="28"/>
          <w:szCs w:val="28"/>
        </w:rPr>
        <w:t>Theological and Ethical Themes in Exodus 20</w:t>
      </w:r>
    </w:p>
    <w:p w14:paraId="298FD286" w14:textId="05D756CA"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The Decalogue, Exodus 20, is the foundation of the Israelite covenantal ethics that was given to Moses as a divine mould for moral and spiritual living at Mount Sinai. Centred in God’s covenant with Israel, these commandments express theological truths of the divine character as well as ethical demands on human conduct. This chapter locates and evaluates the categories of monotheism, Sabbath rest, honouring parents, prohibitions and covenant authority and shows their importance as markers of Israel’s identity and as catalysts for ethical engagement today.</w:t>
      </w:r>
    </w:p>
    <w:p w14:paraId="0D8C1E26" w14:textId="77777777" w:rsidR="00BF46B7" w:rsidRPr="00003AA9" w:rsidRDefault="00BF46B7" w:rsidP="00BF46B7">
      <w:pPr>
        <w:pStyle w:val="Normlnweb"/>
        <w:rPr>
          <w:rFonts w:ascii="Aparajita" w:hAnsi="Aparajita" w:cs="Aparajita"/>
          <w:sz w:val="28"/>
          <w:szCs w:val="28"/>
        </w:rPr>
      </w:pPr>
      <w:r w:rsidRPr="00003AA9">
        <w:rPr>
          <w:rFonts w:ascii="Aparajita" w:hAnsi="Aparajita" w:cs="Aparajita"/>
          <w:b/>
          <w:bCs/>
          <w:sz w:val="28"/>
          <w:szCs w:val="28"/>
        </w:rPr>
        <w:t xml:space="preserve">Monotheism </w:t>
      </w:r>
      <w:r w:rsidRPr="00003AA9">
        <w:rPr>
          <w:rFonts w:ascii="Aparajita" w:hAnsi="Aparajita" w:cs="Aparajita"/>
          <w:sz w:val="28"/>
          <w:szCs w:val="28"/>
        </w:rPr>
        <w:t>(Ex. 20:3–5) is fundamental, and God speaks emphatically, “Thou shalt have no other gods before me” (Ex. 20:3, NRSV). From a theological perspective, this constitutes an assertion of general sovereignty on the part of God and was central to Israel’s self-understanding as a people bound by the covenant (Durham 1987). In seeking to outlaw idolatry, it determines that God alone is to be worshipped, and thus that Israel is to be distinguished from the polytheistic social world that surrounds it. Ethically, monotheism controls conduct by insisting on fidelity to God, human behaviour being made to coincide with the divine purpose. Wright (2004) maintains that this moral construct fosters a relationship of trust in one God (rather than idolatry’s inherent tendencies to provide separation and division). This applies even today to idols (e.g., materialism) that displace spiritual and ethical priorities.</w:t>
      </w:r>
    </w:p>
    <w:p w14:paraId="536D4583" w14:textId="030275E4" w:rsidR="00BF46B7" w:rsidRPr="00003AA9" w:rsidRDefault="00BF46B7" w:rsidP="00BF46B7">
      <w:pPr>
        <w:pStyle w:val="Normlnweb"/>
        <w:rPr>
          <w:rFonts w:ascii="Aparajita" w:hAnsi="Aparajita" w:cs="Aparajita"/>
          <w:sz w:val="28"/>
          <w:szCs w:val="28"/>
        </w:rPr>
      </w:pPr>
      <w:r w:rsidRPr="00003AA9">
        <w:rPr>
          <w:rFonts w:ascii="Aparajita" w:hAnsi="Aparajita" w:cs="Aparajita"/>
          <w:b/>
          <w:bCs/>
          <w:sz w:val="28"/>
          <w:szCs w:val="28"/>
        </w:rPr>
        <w:t>Sabbath Rest</w:t>
      </w:r>
      <w:r w:rsidRPr="00003AA9">
        <w:rPr>
          <w:rFonts w:ascii="Aparajita" w:hAnsi="Aparajita" w:cs="Aparajita"/>
          <w:sz w:val="28"/>
          <w:szCs w:val="28"/>
        </w:rPr>
        <w:t xml:space="preserve"> (Ex. 20:8–11)] commands, “Remember the sabbath day, and keep it holy” (</w:t>
      </w:r>
      <w:r w:rsidR="00234E01" w:rsidRPr="00003AA9">
        <w:rPr>
          <w:rFonts w:ascii="Aparajita" w:hAnsi="Aparajita" w:cs="Aparajita"/>
          <w:sz w:val="28"/>
          <w:szCs w:val="28"/>
        </w:rPr>
        <w:t>EX.</w:t>
      </w:r>
      <w:r w:rsidRPr="00003AA9">
        <w:rPr>
          <w:rFonts w:ascii="Aparajita" w:hAnsi="Aparajita" w:cs="Aparajita"/>
          <w:sz w:val="28"/>
          <w:szCs w:val="28"/>
        </w:rPr>
        <w:t xml:space="preserve"> 20:8, NRSV). Theologically, it reflects God’s creation rhythm (Gen. 2:2–3), offering up rest as both a divine gift and an act of trust in God’s provision. Childs (2004) highlights the Sabbath as a sign of the covenant, a means of shaping the identity of Israel in its reliance on God. Ethically, it asserts human dignity in requiring rest for </w:t>
      </w:r>
      <w:r w:rsidR="00EA7C30" w:rsidRPr="00003AA9">
        <w:rPr>
          <w:rFonts w:ascii="Aparajita" w:hAnsi="Aparajita" w:cs="Aparajita"/>
          <w:sz w:val="28"/>
          <w:szCs w:val="28"/>
        </w:rPr>
        <w:t>all: Israelites</w:t>
      </w:r>
      <w:r w:rsidRPr="00003AA9">
        <w:rPr>
          <w:rFonts w:ascii="Aparajita" w:hAnsi="Aparajita" w:cs="Aparajita"/>
          <w:sz w:val="28"/>
          <w:szCs w:val="28"/>
        </w:rPr>
        <w:t xml:space="preserve">, slaves, and </w:t>
      </w:r>
      <w:r w:rsidR="00EA7C30" w:rsidRPr="00003AA9">
        <w:rPr>
          <w:rFonts w:ascii="Aparajita" w:hAnsi="Aparajita" w:cs="Aparajita"/>
          <w:sz w:val="28"/>
          <w:szCs w:val="28"/>
        </w:rPr>
        <w:t>animals, and</w:t>
      </w:r>
      <w:r w:rsidRPr="00003AA9">
        <w:rPr>
          <w:rFonts w:ascii="Aparajita" w:hAnsi="Aparajita" w:cs="Aparajita"/>
          <w:sz w:val="28"/>
          <w:szCs w:val="28"/>
        </w:rPr>
        <w:t xml:space="preserve"> prohibiting exploitive labour. This </w:t>
      </w:r>
      <w:r w:rsidR="00EA7C30" w:rsidRPr="00003AA9">
        <w:rPr>
          <w:rFonts w:ascii="Aparajita" w:hAnsi="Aparajita" w:cs="Aparajita"/>
          <w:sz w:val="28"/>
          <w:szCs w:val="28"/>
        </w:rPr>
        <w:t>contrasts with</w:t>
      </w:r>
      <w:r w:rsidRPr="00003AA9">
        <w:rPr>
          <w:rFonts w:ascii="Aparajita" w:hAnsi="Aparajita" w:cs="Aparajita"/>
          <w:sz w:val="28"/>
          <w:szCs w:val="28"/>
        </w:rPr>
        <w:t xml:space="preserve"> cultural currents that promote overwork and instead recognise the intrinsic value of time off for the restoration of the private body and spirit—a principle that has far-reaching implications for contemporary labour ethics.</w:t>
      </w:r>
    </w:p>
    <w:p w14:paraId="3D716F52" w14:textId="77777777" w:rsidR="00EA7C30" w:rsidRPr="00003AA9" w:rsidRDefault="00BF46B7" w:rsidP="00BF46B7">
      <w:pPr>
        <w:pStyle w:val="Normlnweb"/>
        <w:rPr>
          <w:rFonts w:ascii="Aparajita" w:hAnsi="Aparajita" w:cs="Aparajita"/>
          <w:sz w:val="28"/>
          <w:szCs w:val="28"/>
        </w:rPr>
      </w:pPr>
      <w:r w:rsidRPr="00003AA9">
        <w:rPr>
          <w:rFonts w:ascii="Aparajita" w:hAnsi="Aparajita" w:cs="Aparajita"/>
          <w:b/>
          <w:bCs/>
          <w:sz w:val="28"/>
          <w:szCs w:val="28"/>
        </w:rPr>
        <w:t>Honouring Parents</w:t>
      </w:r>
      <w:r w:rsidRPr="00003AA9">
        <w:rPr>
          <w:rFonts w:ascii="Aparajita" w:hAnsi="Aparajita" w:cs="Aparajita"/>
          <w:sz w:val="28"/>
          <w:szCs w:val="28"/>
        </w:rPr>
        <w:t xml:space="preserve"> (Ex. 20:12)), honour your father and your mother, so that your days may be long (NRSV), </w:t>
      </w:r>
      <w:r w:rsidR="00EA7C30" w:rsidRPr="00003AA9">
        <w:rPr>
          <w:rFonts w:ascii="Aparajita" w:hAnsi="Aparajita" w:cs="Aparajita"/>
          <w:sz w:val="28"/>
          <w:szCs w:val="28"/>
        </w:rPr>
        <w:t>reflects</w:t>
      </w:r>
      <w:r w:rsidRPr="00003AA9">
        <w:rPr>
          <w:rFonts w:ascii="Aparajita" w:hAnsi="Aparajita" w:cs="Aparajita"/>
          <w:sz w:val="28"/>
          <w:szCs w:val="28"/>
        </w:rPr>
        <w:t xml:space="preserve"> the social order that God has put in place. Theologically, it is rooted in a reverence for divinely appointed authority structures. Morally, it helps maintain family integration and promotes stability and intergenerational support (Wright, 2004). This commandment encourages us to be thankful and accountable, instead of allowing society to continue to be divided. Its promise of a long life connects personal ethics with communal well-being, a principle with contemporary implications for the resolution of family breakdowns.</w:t>
      </w:r>
      <w:r w:rsidR="00EA7C30" w:rsidRPr="00003AA9">
        <w:rPr>
          <w:rFonts w:ascii="Aparajita" w:hAnsi="Aparajita" w:cs="Aparajita"/>
          <w:sz w:val="28"/>
          <w:szCs w:val="28"/>
        </w:rPr>
        <w:t xml:space="preserve">  </w:t>
      </w:r>
    </w:p>
    <w:p w14:paraId="6EC2F6D2" w14:textId="6DE320E2" w:rsidR="00BF46B7" w:rsidRPr="00003AA9" w:rsidRDefault="00BF46B7" w:rsidP="00BF46B7">
      <w:pPr>
        <w:pStyle w:val="Normlnweb"/>
        <w:rPr>
          <w:rFonts w:ascii="Aparajita" w:hAnsi="Aparajita" w:cs="Aparajita"/>
          <w:sz w:val="28"/>
          <w:szCs w:val="28"/>
        </w:rPr>
      </w:pPr>
      <w:r w:rsidRPr="00003AA9">
        <w:rPr>
          <w:rFonts w:ascii="Aparajita" w:hAnsi="Aparajita" w:cs="Aparajita"/>
          <w:b/>
          <w:bCs/>
          <w:sz w:val="28"/>
          <w:szCs w:val="28"/>
        </w:rPr>
        <w:t xml:space="preserve">Prohibitions </w:t>
      </w:r>
      <w:r w:rsidRPr="00003AA9">
        <w:rPr>
          <w:rFonts w:ascii="Aparajita" w:hAnsi="Aparajita" w:cs="Aparajita"/>
          <w:sz w:val="28"/>
          <w:szCs w:val="28"/>
        </w:rPr>
        <w:t xml:space="preserve">(Ex. 20:13–17) “You shall not commit murder… steal… bear false witness…” (NRSV) by which we seek to protect God’s justice and the reverence due to human life and human relationships. Theologically, they flow from the fact that God is a God of order and righteousness, </w:t>
      </w:r>
      <w:r w:rsidRPr="00003AA9">
        <w:rPr>
          <w:rFonts w:ascii="Aparajita" w:hAnsi="Aparajita" w:cs="Aparajita"/>
          <w:sz w:val="28"/>
          <w:szCs w:val="28"/>
        </w:rPr>
        <w:lastRenderedPageBreak/>
        <w:t>and that which harms the community must be restricted. Morally, they set the limits of good actions and encourage trust and justice (Rae, 2009). The prohibitions on murder and stealing protect human dignity; the prohibition on false witness guarantees truthfulness, which is indispensable for community harmony. These objective-oriented regulations provide an unambiguous moral code relevant to contemporary problems such as violence and deception.</w:t>
      </w:r>
    </w:p>
    <w:p w14:paraId="4883D465" w14:textId="77777777"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Covenant and Divine Authority are the foundation of the Decalogue and are expressed in the introduction: “I am the Lord who brought you out of... slavery” (Ex. 20:2, NRSV). Theologically, this grounds the commandments in God’s work of redemption, making His authority as the lawgiver clear. Ethically, then, it demands obedience in thanksgiving for divine deliverance, and it couches ethics as gratitude for salvation. This covenantal relationship involves an emphasis on, and process of, accountability, which teleologically moulds Israel’s being and moral existence (Durham, 1987). Today, it calls believers to action consistent with the will of God, building communities where justice and faithfulness reign.</w:t>
      </w:r>
    </w:p>
    <w:p w14:paraId="0477F525" w14:textId="77777777"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Monotheism, Sabbath, family pride, prohibitions and covenants are the elements that contribute to justice, trust and the preservation of the community. By anchoring ethics in the authority of God, Exodus 20 provides a structure for living morally that remains applicable to today’s ethical questions of social justice and moral rectitude.</w:t>
      </w:r>
    </w:p>
    <w:p w14:paraId="67DE9B2C" w14:textId="77777777" w:rsidR="00BF46B7" w:rsidRPr="00003AA9" w:rsidRDefault="00BF46B7" w:rsidP="00BF46B7">
      <w:pPr>
        <w:pStyle w:val="Normlnweb"/>
        <w:rPr>
          <w:rFonts w:ascii="Aparajita" w:hAnsi="Aparajita" w:cs="Aparajita"/>
          <w:b/>
          <w:bCs/>
          <w:sz w:val="28"/>
          <w:szCs w:val="28"/>
        </w:rPr>
      </w:pPr>
      <w:r w:rsidRPr="00003AA9">
        <w:rPr>
          <w:rFonts w:ascii="Aparajita" w:hAnsi="Aparajita" w:cs="Aparajita"/>
          <w:b/>
          <w:bCs/>
          <w:sz w:val="28"/>
          <w:szCs w:val="28"/>
        </w:rPr>
        <w:t>Theological and Ethical Topics in Matthew 5</w:t>
      </w:r>
    </w:p>
    <w:p w14:paraId="61F3D14E" w14:textId="784D3676"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 xml:space="preserve">The fifth chapter of Matthew, including the Beatitudes and Jesus’ words in the Sermon on the Mount, paints an ethic and theology of transformation for the Kingdom of God. One example is the contrast between Jesus’ teaching about Old Testament ethics and the teaching of His contemporaries, who generally just reinforced the Old Testament, its laws and its case laws. Via his emphasis on </w:t>
      </w:r>
      <w:r w:rsidR="00C16432" w:rsidRPr="00003AA9">
        <w:rPr>
          <w:rFonts w:ascii="Aparajita" w:hAnsi="Aparajita" w:cs="Aparajita"/>
          <w:sz w:val="28"/>
          <w:szCs w:val="28"/>
        </w:rPr>
        <w:t>virtues: humility</w:t>
      </w:r>
      <w:r w:rsidRPr="00003AA9">
        <w:rPr>
          <w:rFonts w:ascii="Aparajita" w:hAnsi="Aparajita" w:cs="Aparajita"/>
          <w:sz w:val="28"/>
          <w:szCs w:val="28"/>
        </w:rPr>
        <w:t>, mercy and inner righteousness — Jesus gives Old Testament ethics a new twist: no longer a matter of external compliance, it is now something that happens in and through the heart. In reaction to this silencing interpretation, this chapter demystifies the Beatitudes, the ethic radicalisation of Jesus and the concern for internal morality by emphasising their theological profundity and ethical implications on the Christian life.</w:t>
      </w:r>
    </w:p>
    <w:p w14:paraId="61B193DF" w14:textId="695B938A"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 xml:space="preserve">In the Beatitudes (Matt. 5:3–12), we find the values of God’s Kingdom expressed in the Beatitudes: “Blessed are the poor in spirit… the meek… the merciful…” (Matt. 5:3–7, NRSV). They are also pregnant with theological </w:t>
      </w:r>
      <w:r w:rsidR="00EA7C30" w:rsidRPr="00003AA9">
        <w:rPr>
          <w:rFonts w:ascii="Aparajita" w:hAnsi="Aparajita" w:cs="Aparajita"/>
          <w:sz w:val="28"/>
          <w:szCs w:val="28"/>
        </w:rPr>
        <w:t>significance;</w:t>
      </w:r>
      <w:r w:rsidRPr="00003AA9">
        <w:rPr>
          <w:rFonts w:ascii="Aparajita" w:hAnsi="Aparajita" w:cs="Aparajita"/>
          <w:sz w:val="28"/>
          <w:szCs w:val="28"/>
        </w:rPr>
        <w:t xml:space="preserve"> from the way they express God’s concern for the lowly and oppressed to their overturning of the dominant status of power and riches in the world (Stott 1997). For example, “Blessed are the peacemakers, for they shall be called sons of God” (Matt. 5:9) emphasises God’s work of restoration, and peacemakers are those who model the divine work of reconciliation. Ethically, the Beatitudes demand virtues such as compassion and humility, exhorting believers to favour the poor and to eschew prideful ambition. Stott (1997) continues that these traits redefine what it means to be blessed, completely opposed to the idea of material success and </w:t>
      </w:r>
      <w:r w:rsidRPr="00003AA9">
        <w:rPr>
          <w:rFonts w:ascii="Aparajita" w:hAnsi="Aparajita" w:cs="Aparajita"/>
          <w:sz w:val="28"/>
          <w:szCs w:val="28"/>
        </w:rPr>
        <w:lastRenderedPageBreak/>
        <w:t>aligned with spiritual harmonisation with the kingdom of God. That principle is still applicable to encouraging Christians today to be advocates for justice and peace in divided societies.</w:t>
      </w:r>
    </w:p>
    <w:p w14:paraId="7482B97C" w14:textId="746CBA62"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 xml:space="preserve">In Jesus’ Ethical Radicalism (Matt. 5:17–48), the meaning of the Law becomes more intense because of the repeated expression, “You have heard that it was said… but I say to you…” (e.g., Matt. 5:21–22, NRSV). Theologically, Jesus embodies the Law, not by destroying it, but by disclosing its underlying intent (Allison, 1999). For example, he expands the command not to murder to include anger (Matt. 5:22) and adultery as extending to lust (Matt. 5:28), emphasising heart-level righteousness. Moral positionally (that is, as a matter of position), this demands that one be truthful in both thought and deed. The instruction “love your enemies and pray for those who persecute you” (Matt. 5:44) Exemplifying this ethic, it mirrors God’s limitless love and demands that the people of God rise above retribution </w:t>
      </w:r>
      <w:r w:rsidR="00EA7C30" w:rsidRPr="00003AA9">
        <w:rPr>
          <w:rFonts w:ascii="Aparajita" w:hAnsi="Aparajita" w:cs="Aparajita"/>
          <w:sz w:val="28"/>
          <w:szCs w:val="28"/>
        </w:rPr>
        <w:t>to</w:t>
      </w:r>
      <w:r w:rsidRPr="00003AA9">
        <w:rPr>
          <w:rFonts w:ascii="Aparajita" w:hAnsi="Aparajita" w:cs="Aparajita"/>
          <w:sz w:val="28"/>
          <w:szCs w:val="28"/>
        </w:rPr>
        <w:t xml:space="preserve"> extend grace. For Allison (1999), this instruction makes ethics take on a new orientation, leading human action to converge with the divine character and radicality of love. This has never been more needed than now in a world full of conflict from personal relationships to international rebuilding.</w:t>
      </w:r>
    </w:p>
    <w:p w14:paraId="5612C454" w14:textId="77777777"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Interior Morality and Humility are the lifeblood of the Sermon, especially in teachings like: “Blessed are the pure in heart, for they shall see God” (Matt. 5:8, NRSV). Theologically, this is an expression of God’s desire for real, honest relationships that go beyond external conformity to those of the heart (Davies &amp; Allison, 1988). Ethically, it opposes legalism, exhorting the faithful to pursue character and thus outward conduct. For example, Jesus’ teaching on reconciliation with others before coming to the altar to give gifts (Matt. 5:23–24) values interpersonal wholeness more than ritual. Davies and Allison (1988) point to this as a demand for a holistic righteousness, having the right motives behind it matching the performance. This emphasis on inward change continues to be timely, challenging the modern Christian to deal openly with matters of hypocrisy and insincere morality in both individual and corporate life.</w:t>
      </w:r>
    </w:p>
    <w:p w14:paraId="2902B524" w14:textId="77777777"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Therefore, with the Beatitudes and Jesus’ thoughts in Matt 5, ethics is reconciled with grace and the Law to create an introvert Paradigm that is about love and humility instead. They undercut cultural maxims by demanding compassion, reconciliation, and purity of the heart. Their theological dimension—based on the nature of God—and moral claims still stimulate Christian moral reflection and provide insights for addressing modern concerns such as social justice, forgiveness and genuine spirituality.</w:t>
      </w:r>
    </w:p>
    <w:p w14:paraId="2D0A7CA7" w14:textId="77777777" w:rsidR="00C16432" w:rsidRPr="00003AA9" w:rsidRDefault="00C16432" w:rsidP="00BF46B7">
      <w:pPr>
        <w:pStyle w:val="Normlnweb"/>
        <w:rPr>
          <w:rFonts w:ascii="Aparajita" w:hAnsi="Aparajita" w:cs="Aparajita"/>
          <w:b/>
          <w:bCs/>
          <w:sz w:val="28"/>
          <w:szCs w:val="28"/>
        </w:rPr>
      </w:pPr>
      <w:r w:rsidRPr="00605D92">
        <w:rPr>
          <w:rFonts w:ascii="Aparajita" w:hAnsi="Aparajita" w:cs="Aparajita"/>
          <w:b/>
          <w:bCs/>
          <w:sz w:val="28"/>
          <w:szCs w:val="28"/>
        </w:rPr>
        <w:t xml:space="preserve">Comparative Analysis </w:t>
      </w:r>
    </w:p>
    <w:p w14:paraId="4EC12650" w14:textId="79898D9B" w:rsidR="00BF46B7" w:rsidRPr="00003AA9" w:rsidRDefault="00BF46B7" w:rsidP="00BF46B7">
      <w:pPr>
        <w:pStyle w:val="Normlnweb"/>
        <w:rPr>
          <w:rFonts w:ascii="Aparajita" w:hAnsi="Aparajita" w:cs="Aparajita"/>
          <w:sz w:val="28"/>
          <w:szCs w:val="28"/>
        </w:rPr>
      </w:pPr>
      <w:r w:rsidRPr="00003AA9">
        <w:rPr>
          <w:rFonts w:ascii="Aparajita" w:hAnsi="Aparajita" w:cs="Aparajita"/>
          <w:sz w:val="28"/>
          <w:szCs w:val="28"/>
        </w:rPr>
        <w:t>The Decalogue in Exodus 20 and Matt 5 provides theological and ethical precepts for the Jewish and Christian traditions. We have the Ten Commandments (Exodus 20) as establishing a covenantal moral foundation, while the Sermon on the Mount—Beatitudes and all (Matthew 5)—as reinterpreting these same morals from the context of God’s Kingdom. This study contrasts their law and grace, outward behaviour and inner disposition, and justice and mercy, and reveals the continuity and development of the Scripture ethics.</w:t>
      </w:r>
    </w:p>
    <w:p w14:paraId="62E7A26D" w14:textId="218C27D6" w:rsidR="00BF46B7" w:rsidRPr="00003AA9" w:rsidRDefault="00BF46B7" w:rsidP="00BF46B7">
      <w:pPr>
        <w:pStyle w:val="Normlnweb"/>
        <w:rPr>
          <w:rFonts w:ascii="Aparajita" w:hAnsi="Aparajita" w:cs="Aparajita"/>
          <w:sz w:val="28"/>
          <w:szCs w:val="28"/>
        </w:rPr>
      </w:pPr>
      <w:r w:rsidRPr="00003AA9">
        <w:rPr>
          <w:rFonts w:ascii="Aparajita" w:hAnsi="Aparajita" w:cs="Aparajita"/>
          <w:b/>
          <w:bCs/>
          <w:sz w:val="28"/>
          <w:szCs w:val="28"/>
        </w:rPr>
        <w:lastRenderedPageBreak/>
        <w:t xml:space="preserve">Law vs. </w:t>
      </w:r>
      <w:r w:rsidR="00C16432" w:rsidRPr="00003AA9">
        <w:rPr>
          <w:rFonts w:ascii="Aparajita" w:hAnsi="Aparajita" w:cs="Aparajita"/>
          <w:b/>
          <w:bCs/>
          <w:sz w:val="28"/>
          <w:szCs w:val="28"/>
        </w:rPr>
        <w:t>Grace</w:t>
      </w:r>
      <w:r w:rsidRPr="00003AA9">
        <w:rPr>
          <w:rFonts w:ascii="Aparajita" w:hAnsi="Aparajita" w:cs="Aparajita"/>
          <w:sz w:val="28"/>
          <w:szCs w:val="28"/>
        </w:rPr>
        <w:t xml:space="preserve">: The Decalogue of Exodus 20 is a law code established within the covenant between God and Israel, with its focus on obedience to divine decrees. Its prepositional phrase commences, </w:t>
      </w:r>
      <w:r w:rsidR="00C16432" w:rsidRPr="00003AA9">
        <w:rPr>
          <w:rFonts w:ascii="Aparajita" w:hAnsi="Aparajita" w:cs="Aparajita"/>
          <w:sz w:val="28"/>
          <w:szCs w:val="28"/>
        </w:rPr>
        <w:t>“I</w:t>
      </w:r>
      <w:r w:rsidRPr="00003AA9">
        <w:rPr>
          <w:rFonts w:ascii="Aparajita" w:hAnsi="Aparajita" w:cs="Aparajita"/>
          <w:sz w:val="28"/>
          <w:szCs w:val="28"/>
        </w:rPr>
        <w:t xml:space="preserve"> am the Lord your God who took you out of … slavery” (Ex. 20:2, NRSV), portraying obedience as a response to divine salvation (Childs, 2004). By contrast, grace is ushered in right at the beginning of Matthew 5 with Jesus’ words: “I have come not to abolish [the Law] but to fulfil it” (Matt. 5:17, NRSV). Jesus points towards the heart, where grace works on transforming the internal so that deeper alignment begets moral action (Hays 1996). Exodus, in contrast, orders morality by legislation; in Matthew, grace is a step beyond, representing a further stage of development in which righteousness is not merely prescribed but is available through divine empowerment.</w:t>
      </w:r>
    </w:p>
    <w:p w14:paraId="6B4F27DB" w14:textId="05EEBB0F" w:rsidR="00BF46B7" w:rsidRPr="00003AA9" w:rsidRDefault="00C16432" w:rsidP="00BF46B7">
      <w:pPr>
        <w:pStyle w:val="Normlnweb"/>
        <w:rPr>
          <w:rFonts w:ascii="Aparajita" w:hAnsi="Aparajita" w:cs="Aparajita"/>
          <w:sz w:val="28"/>
          <w:szCs w:val="28"/>
        </w:rPr>
      </w:pPr>
      <w:r w:rsidRPr="00605D92">
        <w:rPr>
          <w:rFonts w:ascii="Aparajita" w:hAnsi="Aparajita" w:cs="Aparajita"/>
          <w:b/>
          <w:bCs/>
          <w:sz w:val="28"/>
          <w:szCs w:val="28"/>
        </w:rPr>
        <w:t>External Actions vs. Inner Attitude</w:t>
      </w:r>
      <w:r w:rsidR="00BF46B7" w:rsidRPr="00003AA9">
        <w:rPr>
          <w:rFonts w:ascii="Aparajita" w:hAnsi="Aparajita" w:cs="Aparajita"/>
          <w:sz w:val="28"/>
          <w:szCs w:val="28"/>
        </w:rPr>
        <w:t>: The Decalogue contains items that are outside of persons, including “You shall not murder” (Ex. 20:13 NET) to set forth a clear demarcation of communal life. Matthew 5 carries this ethic to the heart, where anger is murder (Matt. 5:22) and of lust with adultery (Matt. 5:28). The texts both seek to conform human behaviour to the will of God, but Matthew takes this further to the area of motivation (Stott, 1997). This connection guarantees moral stability, while the emphasis on inwardness signals a development that contests with mere exterior ceremony and fosters an all-round morality adapted to current moral issues.</w:t>
      </w:r>
    </w:p>
    <w:p w14:paraId="56B8EADA" w14:textId="77777777" w:rsidR="00BF46B7" w:rsidRPr="00003AA9" w:rsidRDefault="00BF46B7" w:rsidP="00BF46B7">
      <w:pPr>
        <w:pStyle w:val="Normlnweb"/>
        <w:rPr>
          <w:rFonts w:ascii="Aparajita" w:hAnsi="Aparajita" w:cs="Aparajita"/>
          <w:sz w:val="28"/>
          <w:szCs w:val="28"/>
        </w:rPr>
      </w:pPr>
      <w:r w:rsidRPr="00003AA9">
        <w:rPr>
          <w:rFonts w:ascii="Aparajita" w:hAnsi="Aparajita" w:cs="Aparajita"/>
          <w:b/>
          <w:bCs/>
          <w:sz w:val="28"/>
          <w:szCs w:val="28"/>
        </w:rPr>
        <w:t>Justice vs. Mercy</w:t>
      </w:r>
      <w:r w:rsidRPr="00003AA9">
        <w:rPr>
          <w:rFonts w:ascii="Aparajita" w:hAnsi="Aparajita" w:cs="Aparajita"/>
          <w:sz w:val="28"/>
          <w:szCs w:val="28"/>
        </w:rPr>
        <w:t>: Exodus 20 leans heavily towards justice in the form of things that protect the community as a whole—forbidding theft and false witness (Ex. 20:15–16) demonstrate that God is a God of order (Wright, 2004). Mercy takes precedence in Matthew 5, where “Blessed are the merciful, for they will be shown mercy” is the form (Matt. 5:7, NRSV) and to “love your enemies” (Matt. 5:44). It is carrying forward the Old Testament concept of justice with the addition of mercy as its centre, which demonstrates to us God’s redemptive love (Gill, 2011). The movement from justice to mercy illustrates a Kingdom ethic of justice that goes beyond retribution and is relevant to present demands for reconciliation.</w:t>
      </w:r>
    </w:p>
    <w:p w14:paraId="0F16956D" w14:textId="77777777" w:rsidR="00BF46B7" w:rsidRPr="00003AA9" w:rsidRDefault="00BF46B7" w:rsidP="00BF46B7">
      <w:pPr>
        <w:pStyle w:val="Normlnweb"/>
        <w:rPr>
          <w:rFonts w:ascii="Aparajita" w:hAnsi="Aparajita" w:cs="Aparajita"/>
          <w:sz w:val="28"/>
          <w:szCs w:val="28"/>
        </w:rPr>
      </w:pPr>
      <w:r w:rsidRPr="00003AA9">
        <w:rPr>
          <w:rFonts w:ascii="Aparajita" w:hAnsi="Aparajita" w:cs="Aparajita"/>
          <w:b/>
          <w:bCs/>
          <w:sz w:val="28"/>
          <w:szCs w:val="28"/>
        </w:rPr>
        <w:t>Continuity and progress</w:t>
      </w:r>
      <w:r w:rsidRPr="00003AA9">
        <w:rPr>
          <w:rFonts w:ascii="Aparajita" w:hAnsi="Aparajita" w:cs="Aparajita"/>
          <w:sz w:val="28"/>
          <w:szCs w:val="28"/>
        </w:rPr>
        <w:t>: Both books confirm God’s sovereignty and man’s accountability. THE FIFTH COMMANDMENT: HONOUR THY FATHER AND THY MOTHER (Ex. 20:12) harmonises with Jesus’ wider command to love others. Jesus extends this as a shorthand for enemies (Matt. 5:44), expanding the ethical scope. This continuity is grounded in the divine will, whereas Matthew’s reordering of the Law in love and humility embodies the spirit of the Law and provides us with a dynamic ethical vision for the diverse moral challenges of today.</w:t>
      </w:r>
    </w:p>
    <w:p w14:paraId="563D6F48" w14:textId="77777777" w:rsidR="00D5111F" w:rsidRPr="00003AA9" w:rsidRDefault="00D5111F" w:rsidP="00D5111F">
      <w:pPr>
        <w:pStyle w:val="Normlnweb"/>
        <w:rPr>
          <w:rFonts w:ascii="Aparajita" w:hAnsi="Aparajita" w:cs="Aparajita"/>
          <w:b/>
          <w:bCs/>
          <w:sz w:val="28"/>
          <w:szCs w:val="28"/>
        </w:rPr>
      </w:pPr>
      <w:r w:rsidRPr="00003AA9">
        <w:rPr>
          <w:rFonts w:ascii="Aparajita" w:hAnsi="Aparajita" w:cs="Aparajita"/>
          <w:b/>
          <w:bCs/>
          <w:sz w:val="28"/>
          <w:szCs w:val="28"/>
        </w:rPr>
        <w:t>Theological and Ethical Reflection</w:t>
      </w:r>
    </w:p>
    <w:p w14:paraId="0DE303BD" w14:textId="3A9796D6" w:rsidR="00D5111F" w:rsidRPr="00003AA9" w:rsidRDefault="00D5111F" w:rsidP="00D5111F">
      <w:pPr>
        <w:pStyle w:val="Normlnweb"/>
        <w:rPr>
          <w:rFonts w:ascii="Aparajita" w:hAnsi="Aparajita" w:cs="Aparajita"/>
          <w:sz w:val="28"/>
          <w:szCs w:val="28"/>
        </w:rPr>
      </w:pPr>
      <w:r w:rsidRPr="00003AA9">
        <w:rPr>
          <w:rFonts w:ascii="Aparajita" w:hAnsi="Aparajita" w:cs="Aparajita"/>
          <w:sz w:val="28"/>
          <w:szCs w:val="28"/>
        </w:rPr>
        <w:t xml:space="preserve">The text in Exodus 20 and Matthew 5 possesses the wisdom and revelation found </w:t>
      </w:r>
      <w:r w:rsidR="00C16432" w:rsidRPr="00003AA9">
        <w:rPr>
          <w:rFonts w:ascii="Aparajita" w:hAnsi="Aparajita" w:cs="Aparajita"/>
          <w:sz w:val="28"/>
          <w:szCs w:val="28"/>
        </w:rPr>
        <w:t>in God</w:t>
      </w:r>
      <w:r w:rsidRPr="00003AA9">
        <w:rPr>
          <w:rFonts w:ascii="Aparajita" w:hAnsi="Aparajita" w:cs="Aparajita"/>
          <w:sz w:val="28"/>
          <w:szCs w:val="28"/>
        </w:rPr>
        <w:t xml:space="preserve"> and how we are to behave as his creation, depiction core principles for contemporary theology and ethics. These are complemented with a set of texts that together provide a complete overview of the moral challenges encountered throughout contemporary life.</w:t>
      </w:r>
    </w:p>
    <w:p w14:paraId="5A2B5D72" w14:textId="77777777" w:rsidR="00D5111F" w:rsidRPr="00003AA9" w:rsidRDefault="00D5111F" w:rsidP="00D5111F">
      <w:pPr>
        <w:pStyle w:val="Normlnweb"/>
        <w:rPr>
          <w:rFonts w:ascii="Aparajita" w:hAnsi="Aparajita" w:cs="Aparajita"/>
          <w:b/>
          <w:bCs/>
          <w:sz w:val="28"/>
          <w:szCs w:val="28"/>
        </w:rPr>
      </w:pPr>
      <w:r w:rsidRPr="00003AA9">
        <w:rPr>
          <w:rFonts w:ascii="Aparajita" w:hAnsi="Aparajita" w:cs="Aparajita"/>
          <w:b/>
          <w:bCs/>
          <w:sz w:val="28"/>
          <w:szCs w:val="28"/>
        </w:rPr>
        <w:t>Conclusion</w:t>
      </w:r>
    </w:p>
    <w:p w14:paraId="4CACC3B7" w14:textId="77777777" w:rsidR="00D5111F" w:rsidRPr="00003AA9" w:rsidRDefault="00D5111F" w:rsidP="00D5111F">
      <w:pPr>
        <w:pStyle w:val="Normlnweb"/>
        <w:rPr>
          <w:rFonts w:ascii="Aparajita" w:hAnsi="Aparajita" w:cs="Aparajita"/>
          <w:sz w:val="28"/>
          <w:szCs w:val="28"/>
        </w:rPr>
      </w:pPr>
      <w:r w:rsidRPr="00003AA9">
        <w:rPr>
          <w:rFonts w:ascii="Aparajita" w:hAnsi="Aparajita" w:cs="Aparajita"/>
          <w:sz w:val="28"/>
          <w:szCs w:val="28"/>
        </w:rPr>
        <w:lastRenderedPageBreak/>
        <w:t>The Ten Commandments of Exodus 20 constitute a divine law-based moral leg that is concerned with justice, covenant fulfilment, and community good. This is good news because the Beatitudes and Sermon on the Mount of Matthew 5 interpret these principles in a grace-filled way: Matthew 5 is more about inner transformation, mercy and love. Comparison demonstrates continuity in God’s ethical vision—expressed in divine command, human obligation—while Jesus brings this vision to a deeper spiritual level with a Kingdom ethic of humility and reconciliation. Both texts continue to provide great fodder for theological reflection and enduring principles for the contemporary work of social justice and personal morality. Through their fusing of law and grace, they offer an integrated ethic for life in the world today.</w:t>
      </w:r>
    </w:p>
    <w:p w14:paraId="4C176C8B" w14:textId="77777777" w:rsidR="00D5111F" w:rsidRPr="00D5111F" w:rsidRDefault="00D5111F" w:rsidP="00D5111F">
      <w:pPr>
        <w:spacing w:before="100" w:beforeAutospacing="1" w:after="100" w:afterAutospacing="1" w:line="240" w:lineRule="auto"/>
        <w:outlineLvl w:val="0"/>
        <w:rPr>
          <w:rFonts w:ascii="Aparajita" w:eastAsia="Times New Roman" w:hAnsi="Aparajita" w:cs="Aparajita"/>
          <w:b/>
          <w:bCs/>
          <w:kern w:val="36"/>
          <w:sz w:val="28"/>
          <w:szCs w:val="28"/>
          <w:lang w:eastAsia="en-GB"/>
          <w14:ligatures w14:val="none"/>
        </w:rPr>
      </w:pPr>
      <w:r w:rsidRPr="00D5111F">
        <w:rPr>
          <w:rFonts w:ascii="Aparajita" w:eastAsia="Times New Roman" w:hAnsi="Aparajita" w:cs="Aparajita"/>
          <w:b/>
          <w:bCs/>
          <w:kern w:val="36"/>
          <w:sz w:val="28"/>
          <w:szCs w:val="28"/>
          <w:lang w:eastAsia="en-GB"/>
          <w14:ligatures w14:val="none"/>
        </w:rPr>
        <w:t>References</w:t>
      </w:r>
    </w:p>
    <w:p w14:paraId="39AC0011" w14:textId="77777777" w:rsidR="00D5111F" w:rsidRPr="00D5111F"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 xml:space="preserve">Allison, D.C., 1999. </w:t>
      </w:r>
      <w:r w:rsidRPr="00D5111F">
        <w:rPr>
          <w:rFonts w:ascii="Aparajita" w:eastAsia="Times New Roman" w:hAnsi="Aparajita" w:cs="Aparajita"/>
          <w:i/>
          <w:iCs/>
          <w:kern w:val="0"/>
          <w:sz w:val="28"/>
          <w:szCs w:val="28"/>
          <w:lang w:eastAsia="en-GB"/>
          <w14:ligatures w14:val="none"/>
        </w:rPr>
        <w:t>The Sermon on the Mount: Inspiring the Moral Imagination</w:t>
      </w:r>
      <w:r w:rsidRPr="00D5111F">
        <w:rPr>
          <w:rFonts w:ascii="Aparajita" w:eastAsia="Times New Roman" w:hAnsi="Aparajita" w:cs="Aparajita"/>
          <w:kern w:val="0"/>
          <w:sz w:val="28"/>
          <w:szCs w:val="28"/>
          <w:lang w:eastAsia="en-GB"/>
          <w14:ligatures w14:val="none"/>
        </w:rPr>
        <w:t>. New York: Crossroad.</w:t>
      </w:r>
    </w:p>
    <w:p w14:paraId="168B516A" w14:textId="77777777" w:rsidR="00D5111F" w:rsidRPr="00D5111F"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 xml:space="preserve">Childs, B.S., 2004. </w:t>
      </w:r>
      <w:r w:rsidRPr="00D5111F">
        <w:rPr>
          <w:rFonts w:ascii="Aparajita" w:eastAsia="Times New Roman" w:hAnsi="Aparajita" w:cs="Aparajita"/>
          <w:i/>
          <w:iCs/>
          <w:kern w:val="0"/>
          <w:sz w:val="28"/>
          <w:szCs w:val="28"/>
          <w:lang w:eastAsia="en-GB"/>
          <w14:ligatures w14:val="none"/>
        </w:rPr>
        <w:t>The Book of Exodus: A Critical, Theological Commentary</w:t>
      </w:r>
      <w:r w:rsidRPr="00D5111F">
        <w:rPr>
          <w:rFonts w:ascii="Aparajita" w:eastAsia="Times New Roman" w:hAnsi="Aparajita" w:cs="Aparajita"/>
          <w:kern w:val="0"/>
          <w:sz w:val="28"/>
          <w:szCs w:val="28"/>
          <w:lang w:eastAsia="en-GB"/>
          <w14:ligatures w14:val="none"/>
        </w:rPr>
        <w:t>. Louisville: Westminster John Knox Press.</w:t>
      </w:r>
    </w:p>
    <w:p w14:paraId="79BEFCB0" w14:textId="77777777" w:rsidR="00D5111F" w:rsidRPr="00D5111F"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 xml:space="preserve">Davies, W.D. and Allison, D.C., 1988. </w:t>
      </w:r>
      <w:r w:rsidRPr="00D5111F">
        <w:rPr>
          <w:rFonts w:ascii="Aparajita" w:eastAsia="Times New Roman" w:hAnsi="Aparajita" w:cs="Aparajita"/>
          <w:i/>
          <w:iCs/>
          <w:kern w:val="0"/>
          <w:sz w:val="28"/>
          <w:szCs w:val="28"/>
          <w:lang w:eastAsia="en-GB"/>
          <w14:ligatures w14:val="none"/>
        </w:rPr>
        <w:t>A Critical and Exegetical Commentary on the Gospel According to Saint Matthew</w:t>
      </w:r>
      <w:r w:rsidRPr="00D5111F">
        <w:rPr>
          <w:rFonts w:ascii="Aparajita" w:eastAsia="Times New Roman" w:hAnsi="Aparajita" w:cs="Aparajita"/>
          <w:kern w:val="0"/>
          <w:sz w:val="28"/>
          <w:szCs w:val="28"/>
          <w:lang w:eastAsia="en-GB"/>
          <w14:ligatures w14:val="none"/>
        </w:rPr>
        <w:t>. Edinburgh: T&amp;T Clark.</w:t>
      </w:r>
    </w:p>
    <w:p w14:paraId="2EF0DA15" w14:textId="77777777" w:rsidR="00D5111F" w:rsidRPr="00D5111F"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 xml:space="preserve">Gill, R., 2011. </w:t>
      </w:r>
      <w:r w:rsidRPr="00D5111F">
        <w:rPr>
          <w:rFonts w:ascii="Aparajita" w:eastAsia="Times New Roman" w:hAnsi="Aparajita" w:cs="Aparajita"/>
          <w:i/>
          <w:iCs/>
          <w:kern w:val="0"/>
          <w:sz w:val="28"/>
          <w:szCs w:val="28"/>
          <w:lang w:eastAsia="en-GB"/>
          <w14:ligatures w14:val="none"/>
        </w:rPr>
        <w:t>The Cambridge Companion to Christian Ethics</w:t>
      </w:r>
      <w:r w:rsidRPr="00D5111F">
        <w:rPr>
          <w:rFonts w:ascii="Aparajita" w:eastAsia="Times New Roman" w:hAnsi="Aparajita" w:cs="Aparajita"/>
          <w:kern w:val="0"/>
          <w:sz w:val="28"/>
          <w:szCs w:val="28"/>
          <w:lang w:eastAsia="en-GB"/>
          <w14:ligatures w14:val="none"/>
        </w:rPr>
        <w:t>. Cambridge: Cambridge University Press.</w:t>
      </w:r>
    </w:p>
    <w:p w14:paraId="68EB3211" w14:textId="77777777" w:rsidR="00D5111F" w:rsidRPr="00D5111F"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 xml:space="preserve">Hays, R.B., 1996. </w:t>
      </w:r>
      <w:r w:rsidRPr="00D5111F">
        <w:rPr>
          <w:rFonts w:ascii="Aparajita" w:eastAsia="Times New Roman" w:hAnsi="Aparajita" w:cs="Aparajita"/>
          <w:i/>
          <w:iCs/>
          <w:kern w:val="0"/>
          <w:sz w:val="28"/>
          <w:szCs w:val="28"/>
          <w:lang w:eastAsia="en-GB"/>
          <w14:ligatures w14:val="none"/>
        </w:rPr>
        <w:t>The Moral Vision of the New Testament</w:t>
      </w:r>
      <w:r w:rsidRPr="00D5111F">
        <w:rPr>
          <w:rFonts w:ascii="Aparajita" w:eastAsia="Times New Roman" w:hAnsi="Aparajita" w:cs="Aparajita"/>
          <w:kern w:val="0"/>
          <w:sz w:val="28"/>
          <w:szCs w:val="28"/>
          <w:lang w:eastAsia="en-GB"/>
          <w14:ligatures w14:val="none"/>
        </w:rPr>
        <w:t>. San Francisco: HarperOne.</w:t>
      </w:r>
    </w:p>
    <w:p w14:paraId="21EC993C" w14:textId="77777777" w:rsidR="00D5111F" w:rsidRPr="00D5111F"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 xml:space="preserve">Stott, J., 1997. </w:t>
      </w:r>
      <w:r w:rsidRPr="00D5111F">
        <w:rPr>
          <w:rFonts w:ascii="Aparajita" w:eastAsia="Times New Roman" w:hAnsi="Aparajita" w:cs="Aparajita"/>
          <w:i/>
          <w:iCs/>
          <w:kern w:val="0"/>
          <w:sz w:val="28"/>
          <w:szCs w:val="28"/>
          <w:lang w:eastAsia="en-GB"/>
          <w14:ligatures w14:val="none"/>
        </w:rPr>
        <w:t>The Message of the Sermon on the Mount</w:t>
      </w:r>
      <w:r w:rsidRPr="00D5111F">
        <w:rPr>
          <w:rFonts w:ascii="Aparajita" w:eastAsia="Times New Roman" w:hAnsi="Aparajita" w:cs="Aparajita"/>
          <w:kern w:val="0"/>
          <w:sz w:val="28"/>
          <w:szCs w:val="28"/>
          <w:lang w:eastAsia="en-GB"/>
          <w14:ligatures w14:val="none"/>
        </w:rPr>
        <w:t>. Leicester: Inter-Varsity Press.</w:t>
      </w:r>
    </w:p>
    <w:p w14:paraId="0CBF4B39" w14:textId="77777777" w:rsidR="00D5111F" w:rsidRPr="00D5111F"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The Holy Bible: New Revised Standard Version, 1989. Nashville: Thomas Nelson Publishers.</w:t>
      </w:r>
    </w:p>
    <w:p w14:paraId="21B57491" w14:textId="77777777" w:rsidR="00D5111F" w:rsidRPr="00003AA9" w:rsidRDefault="00D5111F" w:rsidP="00D5111F">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D5111F">
        <w:rPr>
          <w:rFonts w:ascii="Aparajita" w:eastAsia="Times New Roman" w:hAnsi="Aparajita" w:cs="Aparajita"/>
          <w:kern w:val="0"/>
          <w:sz w:val="28"/>
          <w:szCs w:val="28"/>
          <w:lang w:eastAsia="en-GB"/>
          <w14:ligatures w14:val="none"/>
        </w:rPr>
        <w:t xml:space="preserve">Wright, C.J.H., 2004. </w:t>
      </w:r>
      <w:r w:rsidRPr="00D5111F">
        <w:rPr>
          <w:rFonts w:ascii="Aparajita" w:eastAsia="Times New Roman" w:hAnsi="Aparajita" w:cs="Aparajita"/>
          <w:i/>
          <w:iCs/>
          <w:kern w:val="0"/>
          <w:sz w:val="28"/>
          <w:szCs w:val="28"/>
          <w:lang w:eastAsia="en-GB"/>
          <w14:ligatures w14:val="none"/>
        </w:rPr>
        <w:t>Old Testament Ethics for the People of God</w:t>
      </w:r>
      <w:r w:rsidRPr="00D5111F">
        <w:rPr>
          <w:rFonts w:ascii="Aparajita" w:eastAsia="Times New Roman" w:hAnsi="Aparajita" w:cs="Aparajita"/>
          <w:kern w:val="0"/>
          <w:sz w:val="28"/>
          <w:szCs w:val="28"/>
          <w:lang w:eastAsia="en-GB"/>
          <w14:ligatures w14:val="none"/>
        </w:rPr>
        <w:t>. Nottingham: Inter-Varsity Press.</w:t>
      </w:r>
    </w:p>
    <w:p w14:paraId="1F160E40" w14:textId="77777777" w:rsidR="00C16432" w:rsidRPr="00C16432" w:rsidRDefault="00C16432" w:rsidP="00C16432">
      <w:pPr>
        <w:spacing w:before="100" w:beforeAutospacing="1" w:after="100" w:afterAutospacing="1" w:line="240" w:lineRule="auto"/>
        <w:outlineLvl w:val="3"/>
        <w:rPr>
          <w:rFonts w:ascii="Aparajita" w:eastAsia="Times New Roman" w:hAnsi="Aparajita" w:cs="Aparajita"/>
          <w:b/>
          <w:bCs/>
          <w:kern w:val="0"/>
          <w:sz w:val="28"/>
          <w:szCs w:val="28"/>
          <w:lang w:eastAsia="en-GB"/>
          <w14:ligatures w14:val="none"/>
        </w:rPr>
      </w:pPr>
      <w:r w:rsidRPr="00C16432">
        <w:rPr>
          <w:rFonts w:ascii="Aparajita" w:eastAsia="Times New Roman" w:hAnsi="Aparajita" w:cs="Aparajita"/>
          <w:b/>
          <w:bCs/>
          <w:kern w:val="0"/>
          <w:sz w:val="28"/>
          <w:szCs w:val="28"/>
          <w:lang w:eastAsia="en-GB"/>
          <w14:ligatures w14:val="none"/>
        </w:rPr>
        <w:t>Primary Sources (Biblical texts)</w:t>
      </w:r>
    </w:p>
    <w:p w14:paraId="2C2D6C1E" w14:textId="77777777" w:rsidR="00C16432" w:rsidRPr="00C16432" w:rsidRDefault="00C16432" w:rsidP="00C16432">
      <w:pPr>
        <w:numPr>
          <w:ilvl w:val="0"/>
          <w:numId w:val="1"/>
        </w:num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C16432">
        <w:rPr>
          <w:rFonts w:ascii="Aparajita" w:eastAsia="Times New Roman" w:hAnsi="Aparajita" w:cs="Aparajita"/>
          <w:i/>
          <w:iCs/>
          <w:kern w:val="0"/>
          <w:sz w:val="28"/>
          <w:szCs w:val="28"/>
          <w:lang w:eastAsia="en-GB"/>
          <w14:ligatures w14:val="none"/>
        </w:rPr>
        <w:t>The Holy Bible: New Revised Standard Version (NRSV)</w:t>
      </w:r>
      <w:r w:rsidRPr="00C16432">
        <w:rPr>
          <w:rFonts w:ascii="Aparajita" w:eastAsia="Times New Roman" w:hAnsi="Aparajita" w:cs="Aparajita"/>
          <w:kern w:val="0"/>
          <w:sz w:val="28"/>
          <w:szCs w:val="28"/>
          <w:lang w:eastAsia="en-GB"/>
          <w14:ligatures w14:val="none"/>
        </w:rPr>
        <w:t xml:space="preserve"> (or the version your course uses)</w:t>
      </w:r>
    </w:p>
    <w:p w14:paraId="65997D95" w14:textId="77777777" w:rsidR="00C16432" w:rsidRPr="00C16432" w:rsidRDefault="00C16432" w:rsidP="00C16432">
      <w:pPr>
        <w:spacing w:beforeAutospacing="1" w:after="100" w:afterAutospacing="1" w:line="240" w:lineRule="auto"/>
        <w:ind w:left="1440"/>
        <w:rPr>
          <w:rFonts w:ascii="Aparajita" w:eastAsia="Times New Roman" w:hAnsi="Aparajita" w:cs="Aparajita"/>
          <w:kern w:val="0"/>
          <w:sz w:val="28"/>
          <w:szCs w:val="28"/>
          <w:lang w:eastAsia="en-GB"/>
          <w14:ligatures w14:val="none"/>
        </w:rPr>
      </w:pPr>
      <w:r w:rsidRPr="00C16432">
        <w:rPr>
          <w:rFonts w:ascii="Aparajita" w:eastAsia="Times New Roman" w:hAnsi="Aparajita" w:cs="Aparajita"/>
          <w:kern w:val="0"/>
          <w:sz w:val="28"/>
          <w:szCs w:val="28"/>
          <w:lang w:eastAsia="en-GB"/>
          <w14:ligatures w14:val="none"/>
        </w:rPr>
        <w:t>Example:</w:t>
      </w:r>
      <w:r w:rsidRPr="00C16432">
        <w:rPr>
          <w:rFonts w:ascii="Aparajita" w:eastAsia="Times New Roman" w:hAnsi="Aparajita" w:cs="Aparajita"/>
          <w:kern w:val="0"/>
          <w:sz w:val="28"/>
          <w:szCs w:val="28"/>
          <w:lang w:eastAsia="en-GB"/>
          <w14:ligatures w14:val="none"/>
        </w:rPr>
        <w:br/>
        <w:t>The Bible (NRSV), Exodus 20:12</w:t>
      </w:r>
      <w:r w:rsidRPr="00C16432">
        <w:rPr>
          <w:rFonts w:ascii="Aparajita" w:eastAsia="Times New Roman" w:hAnsi="Aparajita" w:cs="Aparajita"/>
          <w:kern w:val="0"/>
          <w:sz w:val="28"/>
          <w:szCs w:val="28"/>
          <w:lang w:eastAsia="en-GB"/>
          <w14:ligatures w14:val="none"/>
        </w:rPr>
        <w:br/>
        <w:t>The Bible (NRSV), Matthew 5:9</w:t>
      </w:r>
    </w:p>
    <w:p w14:paraId="149B0FBD" w14:textId="77777777" w:rsidR="00C16432" w:rsidRPr="00D5111F" w:rsidRDefault="00C16432" w:rsidP="00D5111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CFD496" w14:textId="77777777" w:rsidR="000F4D41" w:rsidRDefault="000F4D41"/>
    <w:sectPr w:rsidR="000F4D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arajita">
    <w:panose1 w:val="02020603050405020304"/>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C3652"/>
    <w:multiLevelType w:val="multilevel"/>
    <w:tmpl w:val="36DE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4332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6B7"/>
    <w:rsid w:val="00003AA9"/>
    <w:rsid w:val="000F4D41"/>
    <w:rsid w:val="00234E01"/>
    <w:rsid w:val="005B4C58"/>
    <w:rsid w:val="008B4E76"/>
    <w:rsid w:val="00B40C21"/>
    <w:rsid w:val="00BF46B7"/>
    <w:rsid w:val="00C16432"/>
    <w:rsid w:val="00D5111F"/>
    <w:rsid w:val="00EA7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63316"/>
  <w15:chartTrackingRefBased/>
  <w15:docId w15:val="{0EAC31B8-CAB6-4340-BCD2-70D1FC21E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BF46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BF46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BF46B7"/>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BF46B7"/>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BF46B7"/>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BF46B7"/>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BF46B7"/>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BF46B7"/>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BF46B7"/>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BF46B7"/>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BF46B7"/>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BF46B7"/>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BF46B7"/>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BF46B7"/>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BF46B7"/>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BF46B7"/>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BF46B7"/>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BF46B7"/>
    <w:rPr>
      <w:rFonts w:eastAsiaTheme="majorEastAsia" w:cstheme="majorBidi"/>
      <w:color w:val="272727" w:themeColor="text1" w:themeTint="D8"/>
    </w:rPr>
  </w:style>
  <w:style w:type="paragraph" w:styleId="Nzev">
    <w:name w:val="Title"/>
    <w:basedOn w:val="Normln"/>
    <w:next w:val="Normln"/>
    <w:link w:val="NzevChar"/>
    <w:uiPriority w:val="10"/>
    <w:qFormat/>
    <w:rsid w:val="00BF4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BF46B7"/>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BF46B7"/>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BF46B7"/>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BF46B7"/>
    <w:pPr>
      <w:spacing w:before="160"/>
      <w:jc w:val="center"/>
    </w:pPr>
    <w:rPr>
      <w:i/>
      <w:iCs/>
      <w:color w:val="404040" w:themeColor="text1" w:themeTint="BF"/>
    </w:rPr>
  </w:style>
  <w:style w:type="character" w:customStyle="1" w:styleId="CittChar">
    <w:name w:val="Citát Char"/>
    <w:basedOn w:val="Standardnpsmoodstavce"/>
    <w:link w:val="Citt"/>
    <w:uiPriority w:val="29"/>
    <w:rsid w:val="00BF46B7"/>
    <w:rPr>
      <w:i/>
      <w:iCs/>
      <w:color w:val="404040" w:themeColor="text1" w:themeTint="BF"/>
    </w:rPr>
  </w:style>
  <w:style w:type="paragraph" w:styleId="Odstavecseseznamem">
    <w:name w:val="List Paragraph"/>
    <w:basedOn w:val="Normln"/>
    <w:uiPriority w:val="34"/>
    <w:qFormat/>
    <w:rsid w:val="00BF46B7"/>
    <w:pPr>
      <w:ind w:left="720"/>
      <w:contextualSpacing/>
    </w:pPr>
  </w:style>
  <w:style w:type="character" w:styleId="Zdraznnintenzivn">
    <w:name w:val="Intense Emphasis"/>
    <w:basedOn w:val="Standardnpsmoodstavce"/>
    <w:uiPriority w:val="21"/>
    <w:qFormat/>
    <w:rsid w:val="00BF46B7"/>
    <w:rPr>
      <w:i/>
      <w:iCs/>
      <w:color w:val="0F4761" w:themeColor="accent1" w:themeShade="BF"/>
    </w:rPr>
  </w:style>
  <w:style w:type="paragraph" w:styleId="Vrazncitt">
    <w:name w:val="Intense Quote"/>
    <w:basedOn w:val="Normln"/>
    <w:next w:val="Normln"/>
    <w:link w:val="VrazncittChar"/>
    <w:uiPriority w:val="30"/>
    <w:qFormat/>
    <w:rsid w:val="00BF46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BF46B7"/>
    <w:rPr>
      <w:i/>
      <w:iCs/>
      <w:color w:val="0F4761" w:themeColor="accent1" w:themeShade="BF"/>
    </w:rPr>
  </w:style>
  <w:style w:type="character" w:styleId="Odkazintenzivn">
    <w:name w:val="Intense Reference"/>
    <w:basedOn w:val="Standardnpsmoodstavce"/>
    <w:uiPriority w:val="32"/>
    <w:qFormat/>
    <w:rsid w:val="00BF46B7"/>
    <w:rPr>
      <w:b/>
      <w:bCs/>
      <w:smallCaps/>
      <w:color w:val="0F4761" w:themeColor="accent1" w:themeShade="BF"/>
      <w:spacing w:val="5"/>
    </w:rPr>
  </w:style>
  <w:style w:type="paragraph" w:styleId="Normlnweb">
    <w:name w:val="Normal (Web)"/>
    <w:basedOn w:val="Normln"/>
    <w:uiPriority w:val="99"/>
    <w:semiHidden/>
    <w:unhideWhenUsed/>
    <w:rsid w:val="00BF46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53186">
      <w:bodyDiv w:val="1"/>
      <w:marLeft w:val="0"/>
      <w:marRight w:val="0"/>
      <w:marTop w:val="0"/>
      <w:marBottom w:val="0"/>
      <w:divBdr>
        <w:top w:val="none" w:sz="0" w:space="0" w:color="auto"/>
        <w:left w:val="none" w:sz="0" w:space="0" w:color="auto"/>
        <w:bottom w:val="none" w:sz="0" w:space="0" w:color="auto"/>
        <w:right w:val="none" w:sz="0" w:space="0" w:color="auto"/>
      </w:divBdr>
    </w:div>
    <w:div w:id="398212123">
      <w:bodyDiv w:val="1"/>
      <w:marLeft w:val="0"/>
      <w:marRight w:val="0"/>
      <w:marTop w:val="0"/>
      <w:marBottom w:val="0"/>
      <w:divBdr>
        <w:top w:val="none" w:sz="0" w:space="0" w:color="auto"/>
        <w:left w:val="none" w:sz="0" w:space="0" w:color="auto"/>
        <w:bottom w:val="none" w:sz="0" w:space="0" w:color="auto"/>
        <w:right w:val="none" w:sz="0" w:space="0" w:color="auto"/>
      </w:divBdr>
    </w:div>
    <w:div w:id="541213490">
      <w:bodyDiv w:val="1"/>
      <w:marLeft w:val="0"/>
      <w:marRight w:val="0"/>
      <w:marTop w:val="0"/>
      <w:marBottom w:val="0"/>
      <w:divBdr>
        <w:top w:val="none" w:sz="0" w:space="0" w:color="auto"/>
        <w:left w:val="none" w:sz="0" w:space="0" w:color="auto"/>
        <w:bottom w:val="none" w:sz="0" w:space="0" w:color="auto"/>
        <w:right w:val="none" w:sz="0" w:space="0" w:color="auto"/>
      </w:divBdr>
      <w:divsChild>
        <w:div w:id="9544785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4021819">
      <w:bodyDiv w:val="1"/>
      <w:marLeft w:val="0"/>
      <w:marRight w:val="0"/>
      <w:marTop w:val="0"/>
      <w:marBottom w:val="0"/>
      <w:divBdr>
        <w:top w:val="none" w:sz="0" w:space="0" w:color="auto"/>
        <w:left w:val="none" w:sz="0" w:space="0" w:color="auto"/>
        <w:bottom w:val="none" w:sz="0" w:space="0" w:color="auto"/>
        <w:right w:val="none" w:sz="0" w:space="0" w:color="auto"/>
      </w:divBdr>
    </w:div>
    <w:div w:id="1090155939">
      <w:bodyDiv w:val="1"/>
      <w:marLeft w:val="0"/>
      <w:marRight w:val="0"/>
      <w:marTop w:val="0"/>
      <w:marBottom w:val="0"/>
      <w:divBdr>
        <w:top w:val="none" w:sz="0" w:space="0" w:color="auto"/>
        <w:left w:val="none" w:sz="0" w:space="0" w:color="auto"/>
        <w:bottom w:val="none" w:sz="0" w:space="0" w:color="auto"/>
        <w:right w:val="none" w:sz="0" w:space="0" w:color="auto"/>
      </w:divBdr>
    </w:div>
    <w:div w:id="1124930227">
      <w:bodyDiv w:val="1"/>
      <w:marLeft w:val="0"/>
      <w:marRight w:val="0"/>
      <w:marTop w:val="0"/>
      <w:marBottom w:val="0"/>
      <w:divBdr>
        <w:top w:val="none" w:sz="0" w:space="0" w:color="auto"/>
        <w:left w:val="none" w:sz="0" w:space="0" w:color="auto"/>
        <w:bottom w:val="none" w:sz="0" w:space="0" w:color="auto"/>
        <w:right w:val="none" w:sz="0" w:space="0" w:color="auto"/>
      </w:divBdr>
    </w:div>
    <w:div w:id="1253784180">
      <w:bodyDiv w:val="1"/>
      <w:marLeft w:val="0"/>
      <w:marRight w:val="0"/>
      <w:marTop w:val="0"/>
      <w:marBottom w:val="0"/>
      <w:divBdr>
        <w:top w:val="none" w:sz="0" w:space="0" w:color="auto"/>
        <w:left w:val="none" w:sz="0" w:space="0" w:color="auto"/>
        <w:bottom w:val="none" w:sz="0" w:space="0" w:color="auto"/>
        <w:right w:val="none" w:sz="0" w:space="0" w:color="auto"/>
      </w:divBdr>
    </w:div>
    <w:div w:id="1737194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2477</Words>
  <Characters>14620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Pavlina Balazova</cp:lastModifiedBy>
  <cp:revision>2</cp:revision>
  <dcterms:created xsi:type="dcterms:W3CDTF">2025-07-01T18:32:00Z</dcterms:created>
  <dcterms:modified xsi:type="dcterms:W3CDTF">2025-07-01T18:32:00Z</dcterms:modified>
</cp:coreProperties>
</file>