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DA0EED" w14:textId="6F644EC3" w:rsidR="00954B46" w:rsidRPr="00FA3CDE" w:rsidRDefault="00FA3CDE" w:rsidP="00954B46">
      <w:pPr>
        <w:pStyle w:val="Title"/>
        <w:rPr>
          <w:noProof/>
          <w:sz w:val="44"/>
          <w:szCs w:val="44"/>
        </w:rPr>
      </w:pPr>
      <w:r>
        <w:rPr>
          <w:noProof/>
          <w:sz w:val="44"/>
          <w:szCs w:val="44"/>
        </w:rPr>
        <w:t xml:space="preserve">       </w:t>
      </w:r>
      <w:r w:rsidRPr="00FA3CDE">
        <w:rPr>
          <w:noProof/>
          <w:sz w:val="44"/>
          <w:szCs w:val="44"/>
        </w:rPr>
        <w:t>BA Business Management</w:t>
      </w:r>
      <w:r>
        <w:rPr>
          <w:noProof/>
          <w:sz w:val="44"/>
          <w:szCs w:val="44"/>
        </w:rPr>
        <w:t xml:space="preserve"> UWTSD</w:t>
      </w:r>
    </w:p>
    <w:p w14:paraId="147B68B3" w14:textId="57478FCB" w:rsidR="00954B46" w:rsidRPr="00FA3CDE" w:rsidRDefault="00FA3CDE" w:rsidP="00954B46">
      <w:pPr>
        <w:pStyle w:val="Title"/>
        <w:jc w:val="left"/>
        <w:rPr>
          <w:noProof/>
          <w:sz w:val="40"/>
          <w:szCs w:val="40"/>
        </w:rPr>
      </w:pPr>
      <w:r>
        <w:rPr>
          <w:noProof/>
          <w:sz w:val="40"/>
          <w:szCs w:val="40"/>
        </w:rPr>
        <w:t xml:space="preserve">         </w:t>
      </w:r>
      <w:r w:rsidR="00954B46" w:rsidRPr="00FA3CDE">
        <w:rPr>
          <w:noProof/>
          <w:sz w:val="40"/>
          <w:szCs w:val="40"/>
        </w:rPr>
        <w:t>LCBB4002</w:t>
      </w:r>
      <w:r w:rsidR="00954B46" w:rsidRPr="00FA3CDE">
        <w:rPr>
          <w:b w:val="0"/>
          <w:noProof/>
          <w:sz w:val="40"/>
          <w:szCs w:val="40"/>
        </w:rPr>
        <w:t xml:space="preserve"> </w:t>
      </w:r>
      <w:r w:rsidR="00954B46" w:rsidRPr="00FA3CDE">
        <w:rPr>
          <w:noProof/>
          <w:sz w:val="40"/>
          <w:szCs w:val="40"/>
        </w:rPr>
        <w:t>Community Engagement</w:t>
      </w:r>
    </w:p>
    <w:p w14:paraId="5D6C6342" w14:textId="77777777" w:rsidR="000348AA" w:rsidRPr="000348AA" w:rsidRDefault="000348AA" w:rsidP="000348AA"/>
    <w:p w14:paraId="2228B8B7" w14:textId="77777777" w:rsidR="00954B46" w:rsidRDefault="00954B46" w:rsidP="00954B46">
      <w:pPr>
        <w:pStyle w:val="Title"/>
        <w:rPr>
          <w:b w:val="0"/>
          <w:noProof/>
        </w:rPr>
      </w:pPr>
    </w:p>
    <w:p w14:paraId="0F4300E0" w14:textId="77777777" w:rsidR="00954B46" w:rsidRDefault="00954B46" w:rsidP="00954B46">
      <w:pPr>
        <w:pStyle w:val="Title"/>
        <w:rPr>
          <w:b w:val="0"/>
          <w:noProof/>
        </w:rPr>
      </w:pPr>
    </w:p>
    <w:p w14:paraId="1885544A" w14:textId="77777777" w:rsidR="00954B46" w:rsidRDefault="00954B46" w:rsidP="00954B46">
      <w:pPr>
        <w:pStyle w:val="Title"/>
        <w:rPr>
          <w:b w:val="0"/>
          <w:noProof/>
        </w:rPr>
      </w:pPr>
    </w:p>
    <w:p w14:paraId="4DFF563A" w14:textId="77777777" w:rsidR="00954B46" w:rsidRDefault="00954B46" w:rsidP="00954B46">
      <w:pPr>
        <w:pStyle w:val="Title"/>
        <w:rPr>
          <w:b w:val="0"/>
          <w:noProof/>
        </w:rPr>
      </w:pPr>
    </w:p>
    <w:p w14:paraId="579BC383" w14:textId="77777777" w:rsidR="00954B46" w:rsidRDefault="00954B46" w:rsidP="00954B46">
      <w:pPr>
        <w:pStyle w:val="Title"/>
        <w:rPr>
          <w:b w:val="0"/>
          <w:noProof/>
        </w:rPr>
      </w:pPr>
    </w:p>
    <w:p w14:paraId="0DA86DA2" w14:textId="77777777" w:rsidR="00954B46" w:rsidRDefault="00954B46" w:rsidP="00954B46">
      <w:pPr>
        <w:pStyle w:val="Title"/>
        <w:rPr>
          <w:b w:val="0"/>
          <w:noProof/>
        </w:rPr>
      </w:pPr>
    </w:p>
    <w:p w14:paraId="118288B1" w14:textId="77777777" w:rsidR="00954B46" w:rsidRDefault="00954B46" w:rsidP="00954B46">
      <w:pPr>
        <w:pStyle w:val="Title"/>
        <w:rPr>
          <w:b w:val="0"/>
          <w:noProof/>
        </w:rPr>
      </w:pPr>
    </w:p>
    <w:p w14:paraId="57C2A18D" w14:textId="264D3C60" w:rsidR="00954B46" w:rsidRPr="00FA3CDE" w:rsidRDefault="00954B46" w:rsidP="00954B46">
      <w:pPr>
        <w:rPr>
          <w:noProof/>
          <w:sz w:val="32"/>
          <w:szCs w:val="32"/>
        </w:rPr>
      </w:pPr>
      <w:r w:rsidRPr="00FA3CDE">
        <w:rPr>
          <w:noProof/>
          <w:sz w:val="32"/>
          <w:szCs w:val="32"/>
        </w:rPr>
        <w:t xml:space="preserve">Student </w:t>
      </w:r>
      <w:r w:rsidR="00FA3CDE" w:rsidRPr="00FA3CDE">
        <w:rPr>
          <w:noProof/>
          <w:sz w:val="32"/>
          <w:szCs w:val="32"/>
        </w:rPr>
        <w:t xml:space="preserve">ID </w:t>
      </w:r>
      <w:r w:rsidRPr="00FA3CDE">
        <w:rPr>
          <w:noProof/>
          <w:sz w:val="32"/>
          <w:szCs w:val="32"/>
        </w:rPr>
        <w:t>:</w:t>
      </w:r>
      <w:r w:rsidR="00FA3CDE" w:rsidRPr="00FA3CDE">
        <w:rPr>
          <w:noProof/>
          <w:sz w:val="32"/>
          <w:szCs w:val="32"/>
        </w:rPr>
        <w:t xml:space="preserve"> 2131598</w:t>
      </w:r>
    </w:p>
    <w:p w14:paraId="620B65C7" w14:textId="77777777" w:rsidR="00FA3CDE" w:rsidRPr="00FA3CDE" w:rsidRDefault="00954B46" w:rsidP="00954B46">
      <w:pPr>
        <w:rPr>
          <w:noProof/>
          <w:sz w:val="32"/>
          <w:szCs w:val="32"/>
        </w:rPr>
      </w:pPr>
      <w:r w:rsidRPr="00FA3CDE">
        <w:rPr>
          <w:noProof/>
          <w:sz w:val="32"/>
          <w:szCs w:val="32"/>
        </w:rPr>
        <w:t>Student name:</w:t>
      </w:r>
      <w:r w:rsidR="00FA3CDE" w:rsidRPr="00FA3CDE">
        <w:rPr>
          <w:noProof/>
          <w:sz w:val="32"/>
          <w:szCs w:val="32"/>
        </w:rPr>
        <w:t xml:space="preserve"> Silviya Petkova  Group 1</w:t>
      </w:r>
    </w:p>
    <w:p w14:paraId="60BC815A" w14:textId="09B748D1" w:rsidR="00954B46" w:rsidRDefault="00FA3CDE" w:rsidP="00954B46">
      <w:pPr>
        <w:rPr>
          <w:noProof/>
        </w:rPr>
      </w:pPr>
      <w:r w:rsidRPr="00FA3CDE">
        <w:rPr>
          <w:noProof/>
          <w:sz w:val="32"/>
          <w:szCs w:val="32"/>
        </w:rPr>
        <w:t xml:space="preserve">Submmited : </w:t>
      </w:r>
      <w:r w:rsidR="00271D81">
        <w:rPr>
          <w:noProof/>
          <w:sz w:val="32"/>
          <w:szCs w:val="32"/>
        </w:rPr>
        <w:t>22</w:t>
      </w:r>
      <w:r w:rsidRPr="00FA3CDE">
        <w:rPr>
          <w:noProof/>
          <w:sz w:val="32"/>
          <w:szCs w:val="32"/>
        </w:rPr>
        <w:t>/11/2022</w:t>
      </w:r>
      <w:r w:rsidR="00954B46">
        <w:rPr>
          <w:noProof/>
        </w:rPr>
        <w:br w:type="page"/>
      </w:r>
    </w:p>
    <w:sdt>
      <w:sdtPr>
        <w:rPr>
          <w:rFonts w:ascii="Arial" w:eastAsiaTheme="minorHAnsi" w:hAnsi="Arial" w:cstheme="minorBidi"/>
          <w:color w:val="auto"/>
          <w:sz w:val="24"/>
          <w:szCs w:val="22"/>
          <w:lang w:val="en-GB"/>
        </w:rPr>
        <w:id w:val="-1720968034"/>
        <w:docPartObj>
          <w:docPartGallery w:val="Table of Contents"/>
          <w:docPartUnique/>
        </w:docPartObj>
      </w:sdtPr>
      <w:sdtEndPr>
        <w:rPr>
          <w:b/>
          <w:bCs/>
          <w:noProof/>
        </w:rPr>
      </w:sdtEndPr>
      <w:sdtContent>
        <w:p w14:paraId="3ABB3F73" w14:textId="77777777" w:rsidR="00954B46" w:rsidRDefault="00954B46">
          <w:pPr>
            <w:pStyle w:val="TOCHeading"/>
          </w:pPr>
          <w:r>
            <w:t>Contents</w:t>
          </w:r>
        </w:p>
        <w:p w14:paraId="3C7DEBE1" w14:textId="77777777" w:rsidR="000348AA" w:rsidRDefault="00954B46">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9244747" w:history="1">
            <w:r w:rsidR="000348AA" w:rsidRPr="00B22C94">
              <w:rPr>
                <w:rStyle w:val="Hyperlink"/>
                <w:noProof/>
              </w:rPr>
              <w:t>Introduction</w:t>
            </w:r>
            <w:r w:rsidR="000348AA">
              <w:rPr>
                <w:noProof/>
                <w:webHidden/>
              </w:rPr>
              <w:tab/>
            </w:r>
            <w:r w:rsidR="000348AA">
              <w:rPr>
                <w:noProof/>
                <w:webHidden/>
              </w:rPr>
              <w:fldChar w:fldCharType="begin"/>
            </w:r>
            <w:r w:rsidR="000348AA">
              <w:rPr>
                <w:noProof/>
                <w:webHidden/>
              </w:rPr>
              <w:instrText xml:space="preserve"> PAGEREF _Toc119244747 \h </w:instrText>
            </w:r>
            <w:r w:rsidR="000348AA">
              <w:rPr>
                <w:noProof/>
                <w:webHidden/>
              </w:rPr>
            </w:r>
            <w:r w:rsidR="000348AA">
              <w:rPr>
                <w:noProof/>
                <w:webHidden/>
              </w:rPr>
              <w:fldChar w:fldCharType="separate"/>
            </w:r>
            <w:r w:rsidR="000348AA">
              <w:rPr>
                <w:noProof/>
                <w:webHidden/>
              </w:rPr>
              <w:t>3</w:t>
            </w:r>
            <w:r w:rsidR="000348AA">
              <w:rPr>
                <w:noProof/>
                <w:webHidden/>
              </w:rPr>
              <w:fldChar w:fldCharType="end"/>
            </w:r>
          </w:hyperlink>
        </w:p>
        <w:p w14:paraId="45CEED0E" w14:textId="77777777" w:rsidR="000348AA" w:rsidRDefault="00000000">
          <w:pPr>
            <w:pStyle w:val="TOC1"/>
            <w:tabs>
              <w:tab w:val="right" w:leader="dot" w:pos="9350"/>
            </w:tabs>
            <w:rPr>
              <w:rFonts w:asciiTheme="minorHAnsi" w:eastAsiaTheme="minorEastAsia" w:hAnsiTheme="minorHAnsi"/>
              <w:noProof/>
              <w:sz w:val="22"/>
              <w:lang w:val="en-US"/>
            </w:rPr>
          </w:pPr>
          <w:hyperlink w:anchor="_Toc119244748" w:history="1">
            <w:r w:rsidR="000348AA" w:rsidRPr="00B22C94">
              <w:rPr>
                <w:rStyle w:val="Hyperlink"/>
                <w:noProof/>
              </w:rPr>
              <w:t>Programme summary</w:t>
            </w:r>
            <w:r w:rsidR="000348AA">
              <w:rPr>
                <w:noProof/>
                <w:webHidden/>
              </w:rPr>
              <w:tab/>
            </w:r>
            <w:r w:rsidR="000348AA">
              <w:rPr>
                <w:noProof/>
                <w:webHidden/>
              </w:rPr>
              <w:fldChar w:fldCharType="begin"/>
            </w:r>
            <w:r w:rsidR="000348AA">
              <w:rPr>
                <w:noProof/>
                <w:webHidden/>
              </w:rPr>
              <w:instrText xml:space="preserve"> PAGEREF _Toc119244748 \h </w:instrText>
            </w:r>
            <w:r w:rsidR="000348AA">
              <w:rPr>
                <w:noProof/>
                <w:webHidden/>
              </w:rPr>
            </w:r>
            <w:r w:rsidR="000348AA">
              <w:rPr>
                <w:noProof/>
                <w:webHidden/>
              </w:rPr>
              <w:fldChar w:fldCharType="separate"/>
            </w:r>
            <w:r w:rsidR="000348AA">
              <w:rPr>
                <w:noProof/>
                <w:webHidden/>
              </w:rPr>
              <w:t>4</w:t>
            </w:r>
            <w:r w:rsidR="000348AA">
              <w:rPr>
                <w:noProof/>
                <w:webHidden/>
              </w:rPr>
              <w:fldChar w:fldCharType="end"/>
            </w:r>
          </w:hyperlink>
        </w:p>
        <w:p w14:paraId="2E691584" w14:textId="77777777" w:rsidR="000348AA" w:rsidRDefault="00000000">
          <w:pPr>
            <w:pStyle w:val="TOC1"/>
            <w:tabs>
              <w:tab w:val="right" w:leader="dot" w:pos="9350"/>
            </w:tabs>
            <w:rPr>
              <w:rFonts w:asciiTheme="minorHAnsi" w:eastAsiaTheme="minorEastAsia" w:hAnsiTheme="minorHAnsi"/>
              <w:noProof/>
              <w:sz w:val="22"/>
              <w:lang w:val="en-US"/>
            </w:rPr>
          </w:pPr>
          <w:hyperlink w:anchor="_Toc119244749" w:history="1">
            <w:r w:rsidR="000348AA" w:rsidRPr="00B22C94">
              <w:rPr>
                <w:rStyle w:val="Hyperlink"/>
                <w:noProof/>
              </w:rPr>
              <w:t>Principles, standards, and stakeholders’ participation in commonwealth games</w:t>
            </w:r>
            <w:r w:rsidR="000348AA">
              <w:rPr>
                <w:noProof/>
                <w:webHidden/>
              </w:rPr>
              <w:tab/>
            </w:r>
            <w:r w:rsidR="000348AA">
              <w:rPr>
                <w:noProof/>
                <w:webHidden/>
              </w:rPr>
              <w:fldChar w:fldCharType="begin"/>
            </w:r>
            <w:r w:rsidR="000348AA">
              <w:rPr>
                <w:noProof/>
                <w:webHidden/>
              </w:rPr>
              <w:instrText xml:space="preserve"> PAGEREF _Toc119244749 \h </w:instrText>
            </w:r>
            <w:r w:rsidR="000348AA">
              <w:rPr>
                <w:noProof/>
                <w:webHidden/>
              </w:rPr>
            </w:r>
            <w:r w:rsidR="000348AA">
              <w:rPr>
                <w:noProof/>
                <w:webHidden/>
              </w:rPr>
              <w:fldChar w:fldCharType="separate"/>
            </w:r>
            <w:r w:rsidR="000348AA">
              <w:rPr>
                <w:noProof/>
                <w:webHidden/>
              </w:rPr>
              <w:t>5</w:t>
            </w:r>
            <w:r w:rsidR="000348AA">
              <w:rPr>
                <w:noProof/>
                <w:webHidden/>
              </w:rPr>
              <w:fldChar w:fldCharType="end"/>
            </w:r>
          </w:hyperlink>
        </w:p>
        <w:p w14:paraId="106B4438" w14:textId="77777777" w:rsidR="000348AA" w:rsidRDefault="00000000">
          <w:pPr>
            <w:pStyle w:val="TOC1"/>
            <w:tabs>
              <w:tab w:val="right" w:leader="dot" w:pos="9350"/>
            </w:tabs>
            <w:rPr>
              <w:rFonts w:asciiTheme="minorHAnsi" w:eastAsiaTheme="minorEastAsia" w:hAnsiTheme="minorHAnsi"/>
              <w:noProof/>
              <w:sz w:val="22"/>
              <w:lang w:val="en-US"/>
            </w:rPr>
          </w:pPr>
          <w:hyperlink w:anchor="_Toc119244750" w:history="1">
            <w:r w:rsidR="000348AA" w:rsidRPr="00B22C94">
              <w:rPr>
                <w:rStyle w:val="Hyperlink"/>
                <w:noProof/>
              </w:rPr>
              <w:t>Strategies suitable for stakeholders’ engagement using various social media platforms</w:t>
            </w:r>
            <w:r w:rsidR="000348AA">
              <w:rPr>
                <w:noProof/>
                <w:webHidden/>
              </w:rPr>
              <w:tab/>
            </w:r>
            <w:r w:rsidR="000348AA">
              <w:rPr>
                <w:noProof/>
                <w:webHidden/>
              </w:rPr>
              <w:fldChar w:fldCharType="begin"/>
            </w:r>
            <w:r w:rsidR="000348AA">
              <w:rPr>
                <w:noProof/>
                <w:webHidden/>
              </w:rPr>
              <w:instrText xml:space="preserve"> PAGEREF _Toc119244750 \h </w:instrText>
            </w:r>
            <w:r w:rsidR="000348AA">
              <w:rPr>
                <w:noProof/>
                <w:webHidden/>
              </w:rPr>
            </w:r>
            <w:r w:rsidR="000348AA">
              <w:rPr>
                <w:noProof/>
                <w:webHidden/>
              </w:rPr>
              <w:fldChar w:fldCharType="separate"/>
            </w:r>
            <w:r w:rsidR="000348AA">
              <w:rPr>
                <w:noProof/>
                <w:webHidden/>
              </w:rPr>
              <w:t>6</w:t>
            </w:r>
            <w:r w:rsidR="000348AA">
              <w:rPr>
                <w:noProof/>
                <w:webHidden/>
              </w:rPr>
              <w:fldChar w:fldCharType="end"/>
            </w:r>
          </w:hyperlink>
        </w:p>
        <w:p w14:paraId="7E24D4F5" w14:textId="77777777" w:rsidR="000348AA" w:rsidRDefault="00000000">
          <w:pPr>
            <w:pStyle w:val="TOC1"/>
            <w:tabs>
              <w:tab w:val="right" w:leader="dot" w:pos="9350"/>
            </w:tabs>
            <w:rPr>
              <w:rFonts w:asciiTheme="minorHAnsi" w:eastAsiaTheme="minorEastAsia" w:hAnsiTheme="minorHAnsi"/>
              <w:noProof/>
              <w:sz w:val="22"/>
              <w:lang w:val="en-US"/>
            </w:rPr>
          </w:pPr>
          <w:hyperlink w:anchor="_Toc119244751" w:history="1">
            <w:r w:rsidR="000348AA" w:rsidRPr="00B22C94">
              <w:rPr>
                <w:rStyle w:val="Hyperlink"/>
                <w:noProof/>
              </w:rPr>
              <w:t>Community participation, collaboration, diversity and inclusion to enable socio-cultural integration and multi-culturalism</w:t>
            </w:r>
            <w:r w:rsidR="000348AA">
              <w:rPr>
                <w:noProof/>
                <w:webHidden/>
              </w:rPr>
              <w:tab/>
            </w:r>
            <w:r w:rsidR="000348AA">
              <w:rPr>
                <w:noProof/>
                <w:webHidden/>
              </w:rPr>
              <w:fldChar w:fldCharType="begin"/>
            </w:r>
            <w:r w:rsidR="000348AA">
              <w:rPr>
                <w:noProof/>
                <w:webHidden/>
              </w:rPr>
              <w:instrText xml:space="preserve"> PAGEREF _Toc119244751 \h </w:instrText>
            </w:r>
            <w:r w:rsidR="000348AA">
              <w:rPr>
                <w:noProof/>
                <w:webHidden/>
              </w:rPr>
            </w:r>
            <w:r w:rsidR="000348AA">
              <w:rPr>
                <w:noProof/>
                <w:webHidden/>
              </w:rPr>
              <w:fldChar w:fldCharType="separate"/>
            </w:r>
            <w:r w:rsidR="000348AA">
              <w:rPr>
                <w:noProof/>
                <w:webHidden/>
              </w:rPr>
              <w:t>9</w:t>
            </w:r>
            <w:r w:rsidR="000348AA">
              <w:rPr>
                <w:noProof/>
                <w:webHidden/>
              </w:rPr>
              <w:fldChar w:fldCharType="end"/>
            </w:r>
          </w:hyperlink>
        </w:p>
        <w:p w14:paraId="660AB92E" w14:textId="77777777" w:rsidR="000348AA" w:rsidRDefault="00000000">
          <w:pPr>
            <w:pStyle w:val="TOC1"/>
            <w:tabs>
              <w:tab w:val="right" w:leader="dot" w:pos="9350"/>
            </w:tabs>
            <w:rPr>
              <w:rFonts w:asciiTheme="minorHAnsi" w:eastAsiaTheme="minorEastAsia" w:hAnsiTheme="minorHAnsi"/>
              <w:noProof/>
              <w:sz w:val="22"/>
              <w:lang w:val="en-US"/>
            </w:rPr>
          </w:pPr>
          <w:hyperlink w:anchor="_Toc119244752" w:history="1">
            <w:r w:rsidR="000348AA" w:rsidRPr="00B22C94">
              <w:rPr>
                <w:rStyle w:val="Hyperlink"/>
                <w:noProof/>
              </w:rPr>
              <w:t>Internal and external factors that influence community development</w:t>
            </w:r>
            <w:r w:rsidR="000348AA">
              <w:rPr>
                <w:noProof/>
                <w:webHidden/>
              </w:rPr>
              <w:tab/>
            </w:r>
            <w:r w:rsidR="000348AA">
              <w:rPr>
                <w:noProof/>
                <w:webHidden/>
              </w:rPr>
              <w:fldChar w:fldCharType="begin"/>
            </w:r>
            <w:r w:rsidR="000348AA">
              <w:rPr>
                <w:noProof/>
                <w:webHidden/>
              </w:rPr>
              <w:instrText xml:space="preserve"> PAGEREF _Toc119244752 \h </w:instrText>
            </w:r>
            <w:r w:rsidR="000348AA">
              <w:rPr>
                <w:noProof/>
                <w:webHidden/>
              </w:rPr>
            </w:r>
            <w:r w:rsidR="000348AA">
              <w:rPr>
                <w:noProof/>
                <w:webHidden/>
              </w:rPr>
              <w:fldChar w:fldCharType="separate"/>
            </w:r>
            <w:r w:rsidR="000348AA">
              <w:rPr>
                <w:noProof/>
                <w:webHidden/>
              </w:rPr>
              <w:t>10</w:t>
            </w:r>
            <w:r w:rsidR="000348AA">
              <w:rPr>
                <w:noProof/>
                <w:webHidden/>
              </w:rPr>
              <w:fldChar w:fldCharType="end"/>
            </w:r>
          </w:hyperlink>
        </w:p>
        <w:p w14:paraId="446F156B" w14:textId="77777777" w:rsidR="000348AA" w:rsidRDefault="00000000">
          <w:pPr>
            <w:pStyle w:val="TOC1"/>
            <w:tabs>
              <w:tab w:val="right" w:leader="dot" w:pos="9350"/>
            </w:tabs>
            <w:rPr>
              <w:rFonts w:asciiTheme="minorHAnsi" w:eastAsiaTheme="minorEastAsia" w:hAnsiTheme="minorHAnsi"/>
              <w:noProof/>
              <w:sz w:val="22"/>
              <w:lang w:val="en-US"/>
            </w:rPr>
          </w:pPr>
          <w:hyperlink w:anchor="_Toc119244753" w:history="1">
            <w:r w:rsidR="000348AA" w:rsidRPr="00B22C94">
              <w:rPr>
                <w:rStyle w:val="Hyperlink"/>
                <w:noProof/>
              </w:rPr>
              <w:t>Importance of adopting a forward-looking approach</w:t>
            </w:r>
            <w:r w:rsidR="000348AA">
              <w:rPr>
                <w:noProof/>
                <w:webHidden/>
              </w:rPr>
              <w:tab/>
            </w:r>
            <w:r w:rsidR="000348AA">
              <w:rPr>
                <w:noProof/>
                <w:webHidden/>
              </w:rPr>
              <w:fldChar w:fldCharType="begin"/>
            </w:r>
            <w:r w:rsidR="000348AA">
              <w:rPr>
                <w:noProof/>
                <w:webHidden/>
              </w:rPr>
              <w:instrText xml:space="preserve"> PAGEREF _Toc119244753 \h </w:instrText>
            </w:r>
            <w:r w:rsidR="000348AA">
              <w:rPr>
                <w:noProof/>
                <w:webHidden/>
              </w:rPr>
            </w:r>
            <w:r w:rsidR="000348AA">
              <w:rPr>
                <w:noProof/>
                <w:webHidden/>
              </w:rPr>
              <w:fldChar w:fldCharType="separate"/>
            </w:r>
            <w:r w:rsidR="000348AA">
              <w:rPr>
                <w:noProof/>
                <w:webHidden/>
              </w:rPr>
              <w:t>11</w:t>
            </w:r>
            <w:r w:rsidR="000348AA">
              <w:rPr>
                <w:noProof/>
                <w:webHidden/>
              </w:rPr>
              <w:fldChar w:fldCharType="end"/>
            </w:r>
          </w:hyperlink>
        </w:p>
        <w:p w14:paraId="74957F70" w14:textId="77777777" w:rsidR="000348AA" w:rsidRDefault="00000000">
          <w:pPr>
            <w:pStyle w:val="TOC1"/>
            <w:tabs>
              <w:tab w:val="right" w:leader="dot" w:pos="9350"/>
            </w:tabs>
            <w:rPr>
              <w:rFonts w:asciiTheme="minorHAnsi" w:eastAsiaTheme="minorEastAsia" w:hAnsiTheme="minorHAnsi"/>
              <w:noProof/>
              <w:sz w:val="22"/>
              <w:lang w:val="en-US"/>
            </w:rPr>
          </w:pPr>
          <w:hyperlink w:anchor="_Toc119244754" w:history="1">
            <w:r w:rsidR="000348AA" w:rsidRPr="00B22C94">
              <w:rPr>
                <w:rStyle w:val="Hyperlink"/>
                <w:noProof/>
              </w:rPr>
              <w:t>Use of social media in community education</w:t>
            </w:r>
            <w:r w:rsidR="000348AA">
              <w:rPr>
                <w:noProof/>
                <w:webHidden/>
              </w:rPr>
              <w:tab/>
            </w:r>
            <w:r w:rsidR="000348AA">
              <w:rPr>
                <w:noProof/>
                <w:webHidden/>
              </w:rPr>
              <w:fldChar w:fldCharType="begin"/>
            </w:r>
            <w:r w:rsidR="000348AA">
              <w:rPr>
                <w:noProof/>
                <w:webHidden/>
              </w:rPr>
              <w:instrText xml:space="preserve"> PAGEREF _Toc119244754 \h </w:instrText>
            </w:r>
            <w:r w:rsidR="000348AA">
              <w:rPr>
                <w:noProof/>
                <w:webHidden/>
              </w:rPr>
            </w:r>
            <w:r w:rsidR="000348AA">
              <w:rPr>
                <w:noProof/>
                <w:webHidden/>
              </w:rPr>
              <w:fldChar w:fldCharType="separate"/>
            </w:r>
            <w:r w:rsidR="000348AA">
              <w:rPr>
                <w:noProof/>
                <w:webHidden/>
              </w:rPr>
              <w:t>11</w:t>
            </w:r>
            <w:r w:rsidR="000348AA">
              <w:rPr>
                <w:noProof/>
                <w:webHidden/>
              </w:rPr>
              <w:fldChar w:fldCharType="end"/>
            </w:r>
          </w:hyperlink>
        </w:p>
        <w:p w14:paraId="2646D62A" w14:textId="77777777" w:rsidR="000348AA" w:rsidRDefault="00000000">
          <w:pPr>
            <w:pStyle w:val="TOC1"/>
            <w:tabs>
              <w:tab w:val="right" w:leader="dot" w:pos="9350"/>
            </w:tabs>
            <w:rPr>
              <w:rFonts w:asciiTheme="minorHAnsi" w:eastAsiaTheme="minorEastAsia" w:hAnsiTheme="minorHAnsi"/>
              <w:noProof/>
              <w:sz w:val="22"/>
              <w:lang w:val="en-US"/>
            </w:rPr>
          </w:pPr>
          <w:hyperlink w:anchor="_Toc119244755" w:history="1">
            <w:r w:rsidR="000348AA" w:rsidRPr="00B22C94">
              <w:rPr>
                <w:rStyle w:val="Hyperlink"/>
                <w:noProof/>
              </w:rPr>
              <w:t>Recommendations</w:t>
            </w:r>
            <w:r w:rsidR="000348AA">
              <w:rPr>
                <w:noProof/>
                <w:webHidden/>
              </w:rPr>
              <w:tab/>
            </w:r>
            <w:r w:rsidR="000348AA">
              <w:rPr>
                <w:noProof/>
                <w:webHidden/>
              </w:rPr>
              <w:fldChar w:fldCharType="begin"/>
            </w:r>
            <w:r w:rsidR="000348AA">
              <w:rPr>
                <w:noProof/>
                <w:webHidden/>
              </w:rPr>
              <w:instrText xml:space="preserve"> PAGEREF _Toc119244755 \h </w:instrText>
            </w:r>
            <w:r w:rsidR="000348AA">
              <w:rPr>
                <w:noProof/>
                <w:webHidden/>
              </w:rPr>
            </w:r>
            <w:r w:rsidR="000348AA">
              <w:rPr>
                <w:noProof/>
                <w:webHidden/>
              </w:rPr>
              <w:fldChar w:fldCharType="separate"/>
            </w:r>
            <w:r w:rsidR="000348AA">
              <w:rPr>
                <w:noProof/>
                <w:webHidden/>
              </w:rPr>
              <w:t>12</w:t>
            </w:r>
            <w:r w:rsidR="000348AA">
              <w:rPr>
                <w:noProof/>
                <w:webHidden/>
              </w:rPr>
              <w:fldChar w:fldCharType="end"/>
            </w:r>
          </w:hyperlink>
        </w:p>
        <w:p w14:paraId="0692C115" w14:textId="77777777" w:rsidR="000348AA" w:rsidRDefault="00000000">
          <w:pPr>
            <w:pStyle w:val="TOC1"/>
            <w:tabs>
              <w:tab w:val="right" w:leader="dot" w:pos="9350"/>
            </w:tabs>
            <w:rPr>
              <w:rFonts w:asciiTheme="minorHAnsi" w:eastAsiaTheme="minorEastAsia" w:hAnsiTheme="minorHAnsi"/>
              <w:noProof/>
              <w:sz w:val="22"/>
              <w:lang w:val="en-US"/>
            </w:rPr>
          </w:pPr>
          <w:hyperlink w:anchor="_Toc119244756" w:history="1">
            <w:r w:rsidR="000348AA" w:rsidRPr="00B22C94">
              <w:rPr>
                <w:rStyle w:val="Hyperlink"/>
                <w:noProof/>
              </w:rPr>
              <w:t>Conclusion</w:t>
            </w:r>
            <w:r w:rsidR="000348AA">
              <w:rPr>
                <w:noProof/>
                <w:webHidden/>
              </w:rPr>
              <w:tab/>
            </w:r>
            <w:r w:rsidR="000348AA">
              <w:rPr>
                <w:noProof/>
                <w:webHidden/>
              </w:rPr>
              <w:fldChar w:fldCharType="begin"/>
            </w:r>
            <w:r w:rsidR="000348AA">
              <w:rPr>
                <w:noProof/>
                <w:webHidden/>
              </w:rPr>
              <w:instrText xml:space="preserve"> PAGEREF _Toc119244756 \h </w:instrText>
            </w:r>
            <w:r w:rsidR="000348AA">
              <w:rPr>
                <w:noProof/>
                <w:webHidden/>
              </w:rPr>
            </w:r>
            <w:r w:rsidR="000348AA">
              <w:rPr>
                <w:noProof/>
                <w:webHidden/>
              </w:rPr>
              <w:fldChar w:fldCharType="separate"/>
            </w:r>
            <w:r w:rsidR="000348AA">
              <w:rPr>
                <w:noProof/>
                <w:webHidden/>
              </w:rPr>
              <w:t>13</w:t>
            </w:r>
            <w:r w:rsidR="000348AA">
              <w:rPr>
                <w:noProof/>
                <w:webHidden/>
              </w:rPr>
              <w:fldChar w:fldCharType="end"/>
            </w:r>
          </w:hyperlink>
        </w:p>
        <w:p w14:paraId="47060278" w14:textId="77777777" w:rsidR="000348AA" w:rsidRDefault="00000000">
          <w:pPr>
            <w:pStyle w:val="TOC1"/>
            <w:tabs>
              <w:tab w:val="right" w:leader="dot" w:pos="9350"/>
            </w:tabs>
            <w:rPr>
              <w:rFonts w:asciiTheme="minorHAnsi" w:eastAsiaTheme="minorEastAsia" w:hAnsiTheme="minorHAnsi"/>
              <w:noProof/>
              <w:sz w:val="22"/>
              <w:lang w:val="en-US"/>
            </w:rPr>
          </w:pPr>
          <w:hyperlink w:anchor="_Toc119244757" w:history="1">
            <w:r w:rsidR="000348AA" w:rsidRPr="00B22C94">
              <w:rPr>
                <w:rStyle w:val="Hyperlink"/>
                <w:noProof/>
              </w:rPr>
              <w:t>References</w:t>
            </w:r>
            <w:r w:rsidR="000348AA">
              <w:rPr>
                <w:noProof/>
                <w:webHidden/>
              </w:rPr>
              <w:tab/>
            </w:r>
            <w:r w:rsidR="000348AA">
              <w:rPr>
                <w:noProof/>
                <w:webHidden/>
              </w:rPr>
              <w:fldChar w:fldCharType="begin"/>
            </w:r>
            <w:r w:rsidR="000348AA">
              <w:rPr>
                <w:noProof/>
                <w:webHidden/>
              </w:rPr>
              <w:instrText xml:space="preserve"> PAGEREF _Toc119244757 \h </w:instrText>
            </w:r>
            <w:r w:rsidR="000348AA">
              <w:rPr>
                <w:noProof/>
                <w:webHidden/>
              </w:rPr>
            </w:r>
            <w:r w:rsidR="000348AA">
              <w:rPr>
                <w:noProof/>
                <w:webHidden/>
              </w:rPr>
              <w:fldChar w:fldCharType="separate"/>
            </w:r>
            <w:r w:rsidR="000348AA">
              <w:rPr>
                <w:noProof/>
                <w:webHidden/>
              </w:rPr>
              <w:t>14</w:t>
            </w:r>
            <w:r w:rsidR="000348AA">
              <w:rPr>
                <w:noProof/>
                <w:webHidden/>
              </w:rPr>
              <w:fldChar w:fldCharType="end"/>
            </w:r>
          </w:hyperlink>
        </w:p>
        <w:p w14:paraId="4C998624" w14:textId="77777777" w:rsidR="00954B46" w:rsidRDefault="00954B46">
          <w:r>
            <w:rPr>
              <w:b/>
              <w:bCs/>
              <w:noProof/>
            </w:rPr>
            <w:fldChar w:fldCharType="end"/>
          </w:r>
        </w:p>
      </w:sdtContent>
    </w:sdt>
    <w:p w14:paraId="38BBF709" w14:textId="77777777" w:rsidR="00B81E55" w:rsidRDefault="00B81E55">
      <w:pPr>
        <w:spacing w:line="259" w:lineRule="auto"/>
        <w:jc w:val="left"/>
      </w:pPr>
      <w:r>
        <w:br w:type="page"/>
      </w:r>
    </w:p>
    <w:p w14:paraId="1E00D396" w14:textId="77777777" w:rsidR="005117B1" w:rsidRDefault="005117B1" w:rsidP="005117B1">
      <w:pPr>
        <w:pStyle w:val="Heading1"/>
      </w:pPr>
      <w:bookmarkStart w:id="0" w:name="_Toc119244747"/>
      <w:r>
        <w:lastRenderedPageBreak/>
        <w:t>Introduction</w:t>
      </w:r>
      <w:bookmarkEnd w:id="0"/>
    </w:p>
    <w:p w14:paraId="20C1E7A1" w14:textId="77777777" w:rsidR="00CC0318" w:rsidRDefault="001D646D" w:rsidP="001D646D">
      <w:r w:rsidRPr="001D646D">
        <w:t xml:space="preserve">Most communities </w:t>
      </w:r>
      <w:r w:rsidR="0053347E" w:rsidRPr="0053347E">
        <w:t xml:space="preserve">participate in community programmes to address the underlying </w:t>
      </w:r>
      <w:r w:rsidR="00DE56BB">
        <w:t>social and economic difficulties</w:t>
      </w:r>
      <w:r w:rsidRPr="001D646D">
        <w:t xml:space="preserve">. However, a skilled community engagement practitioner is required to assist them </w:t>
      </w:r>
      <w:r>
        <w:t>in executing</w:t>
      </w:r>
      <w:r w:rsidR="00E61701">
        <w:t xml:space="preserve"> most of the actions</w:t>
      </w:r>
      <w:r w:rsidRPr="001D646D">
        <w:t xml:space="preserve"> to achieve effectiveness, sustainability, and impact. This article focuses on how community engagement practitioners supported communities during the Birmingham Commonwealth Games. The report's case study will be a series of community programmes which attempted to bring the Commonwealth together via a spectacular sporting event.</w:t>
      </w:r>
      <w:r>
        <w:t xml:space="preserve"> </w:t>
      </w:r>
      <w:r w:rsidR="00CC0318" w:rsidRPr="00CC0318">
        <w:t xml:space="preserve">"Sporting the future youth zone" is the </w:t>
      </w:r>
      <w:r w:rsidR="00650E4E">
        <w:t>project’s motto</w:t>
      </w:r>
      <w:r w:rsidR="00CC0318" w:rsidRPr="00CC0318">
        <w:t xml:space="preserve">, which targets and involves youth from many backgrounds to ensure a stable, enjoyable, and inclusive environment. The programme engages youth via </w:t>
      </w:r>
      <w:r w:rsidR="00650E4E">
        <w:t>various</w:t>
      </w:r>
      <w:r w:rsidR="00CC0318" w:rsidRPr="00CC0318">
        <w:t xml:space="preserve"> tasks, including basketball, volleyball, tennis, pool, air football, and PS5.</w:t>
      </w:r>
      <w:r w:rsidR="00CC0318">
        <w:t xml:space="preserve"> B</w:t>
      </w:r>
      <w:r w:rsidRPr="001D646D">
        <w:t xml:space="preserve">ased on the stakeholder correlations, the report will examine the strategies used across social media platforms to create </w:t>
      </w:r>
      <w:r w:rsidR="00650E4E">
        <w:t>thriving</w:t>
      </w:r>
      <w:r w:rsidRPr="001D646D">
        <w:t xml:space="preserve"> community engagement. In addition, the paper will highlight </w:t>
      </w:r>
      <w:r>
        <w:t>various</w:t>
      </w:r>
      <w:r w:rsidRPr="001D646D">
        <w:t xml:space="preserve"> effective strategies for fostering multiculturalism, racial and ethnic diversity, and social cohesion within local communities. In the end, the report will detail why community engagement practitioners </w:t>
      </w:r>
      <w:r w:rsidR="00954B46">
        <w:t xml:space="preserve">must </w:t>
      </w:r>
      <w:r w:rsidRPr="001D646D">
        <w:t xml:space="preserve">take an active approach when informing locals about the internal and external forces that </w:t>
      </w:r>
      <w:r w:rsidR="0053347E">
        <w:t>shape</w:t>
      </w:r>
      <w:r w:rsidRPr="001D646D">
        <w:t xml:space="preserve"> their communities.</w:t>
      </w:r>
    </w:p>
    <w:p w14:paraId="49DFBF90" w14:textId="77777777" w:rsidR="005117B1" w:rsidRDefault="005117B1" w:rsidP="001D646D">
      <w:r>
        <w:br w:type="page"/>
      </w:r>
    </w:p>
    <w:p w14:paraId="27C4DA5F" w14:textId="77777777" w:rsidR="00993797" w:rsidRDefault="007F6726" w:rsidP="00E4723F">
      <w:pPr>
        <w:pStyle w:val="Heading1"/>
      </w:pPr>
      <w:bookmarkStart w:id="1" w:name="_Toc119244748"/>
      <w:r>
        <w:lastRenderedPageBreak/>
        <w:t>Programme summary</w:t>
      </w:r>
      <w:bookmarkEnd w:id="1"/>
    </w:p>
    <w:p w14:paraId="45FA26EF" w14:textId="77777777" w:rsidR="00BF4DF0" w:rsidRDefault="00E4723F" w:rsidP="00BF4DF0">
      <w:r w:rsidRPr="00E4723F">
        <w:t xml:space="preserve">Birmingham is gearing up for a monumental 2022, with the Commonwealth Games, the Birmingham Cultural Festival, and other events scheduled all year. Birmingham's strategic position makes it very well to host the Games and reap the rewards not only for itself and the surrounding area but also for the rest of the United Kingdom and the Commonwealth. They look forward to showing Birmingham's humanism and pride in the upcoming months and years since it </w:t>
      </w:r>
      <w:r w:rsidR="00650E4E">
        <w:t>genuinely</w:t>
      </w:r>
      <w:r w:rsidRPr="00E4723F">
        <w:t xml:space="preserve"> is the Commonwealth's city. </w:t>
      </w:r>
      <w:r w:rsidR="0053347E" w:rsidRPr="0053347E">
        <w:t xml:space="preserve">As the event's honoured sponsor, Birmingham City Council </w:t>
      </w:r>
      <w:r w:rsidRPr="00E4723F">
        <w:t xml:space="preserve">has established a £6 million Tournament Community Fund. </w:t>
      </w:r>
      <w:r w:rsidR="00DE56BB" w:rsidRPr="00E4723F">
        <w:t xml:space="preserve">Every aspect of the legacy programme is designed to enable locals to </w:t>
      </w:r>
      <w:r w:rsidR="00DE56BB">
        <w:t>participate</w:t>
      </w:r>
      <w:r w:rsidR="00DE56BB" w:rsidRPr="00E4723F">
        <w:t xml:space="preserve"> in the event or enjoy the advantages of the legacy with minimal difficulty.</w:t>
      </w:r>
      <w:r w:rsidR="00DE56BB" w:rsidRPr="00E61701">
        <w:t xml:space="preserve"> 11 nations and 400 athletes attended the inaugural games. </w:t>
      </w:r>
      <w:r w:rsidR="00DE56BB">
        <w:t xml:space="preserve">It already has </w:t>
      </w:r>
      <w:r w:rsidR="00DE56BB" w:rsidRPr="00E61701">
        <w:t>over 6,600 competitors from 72 countries and territories</w:t>
      </w:r>
      <w:r w:rsidR="00DE56BB">
        <w:t xml:space="preserve"> (Cole and Barras</w:t>
      </w:r>
      <w:r w:rsidR="00DE56BB" w:rsidRPr="00DE56BB">
        <w:t>, 2022</w:t>
      </w:r>
      <w:r w:rsidR="00DE56BB">
        <w:t>)</w:t>
      </w:r>
      <w:r w:rsidR="00DE56BB" w:rsidRPr="00E61701">
        <w:t>.</w:t>
      </w:r>
      <w:r w:rsidR="00DE56BB">
        <w:t xml:space="preserve"> </w:t>
      </w:r>
      <w:r w:rsidR="00BF4DF0">
        <w:t xml:space="preserve"> </w:t>
      </w:r>
      <w:r w:rsidR="00BF4DF0" w:rsidRPr="00BF4DF0">
        <w:t xml:space="preserve">This </w:t>
      </w:r>
      <w:r w:rsidR="00BF4DF0">
        <w:t xml:space="preserve">project youth zone </w:t>
      </w:r>
      <w:r w:rsidR="00BF4DF0" w:rsidRPr="00BF4DF0">
        <w:t xml:space="preserve">enhances the health and well-being of youths by providing a variety of physical activities, as well as their mental and social well-being since </w:t>
      </w:r>
      <w:r w:rsidR="00BF4DF0">
        <w:t xml:space="preserve">the </w:t>
      </w:r>
      <w:r w:rsidR="00BF4DF0" w:rsidRPr="00BF4DF0">
        <w:t>sport is crucial in supporting and inspiring youth.</w:t>
      </w:r>
    </w:p>
    <w:p w14:paraId="28B4700C" w14:textId="77777777" w:rsidR="00650E4E" w:rsidRDefault="00650E4E" w:rsidP="00650E4E">
      <w:pPr>
        <w:keepNext/>
        <w:spacing w:line="259" w:lineRule="auto"/>
        <w:jc w:val="center"/>
      </w:pPr>
      <w:r>
        <w:rPr>
          <w:noProof/>
          <w:lang w:val="en-US"/>
        </w:rPr>
        <w:drawing>
          <wp:inline distT="0" distB="0" distL="0" distR="0" wp14:anchorId="46FC6EC5" wp14:editId="5D325B53">
            <wp:extent cx="4416762" cy="2390094"/>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83).png"/>
                    <pic:cNvPicPr/>
                  </pic:nvPicPr>
                  <pic:blipFill rotWithShape="1">
                    <a:blip r:embed="rId4" cstate="print">
                      <a:extLst>
                        <a:ext uri="{28A0092B-C50C-407E-A947-70E740481C1C}">
                          <a14:useLocalDpi xmlns:a14="http://schemas.microsoft.com/office/drawing/2010/main" val="0"/>
                        </a:ext>
                      </a:extLst>
                    </a:blip>
                    <a:srcRect l="11865" t="15161" r="13809" b="13336"/>
                    <a:stretch/>
                  </pic:blipFill>
                  <pic:spPr bwMode="auto">
                    <a:xfrm>
                      <a:off x="0" y="0"/>
                      <a:ext cx="4417625" cy="2390561"/>
                    </a:xfrm>
                    <a:prstGeom prst="rect">
                      <a:avLst/>
                    </a:prstGeom>
                    <a:ln>
                      <a:noFill/>
                    </a:ln>
                    <a:extLst>
                      <a:ext uri="{53640926-AAD7-44D8-BBD7-CCE9431645EC}">
                        <a14:shadowObscured xmlns:a14="http://schemas.microsoft.com/office/drawing/2010/main"/>
                      </a:ext>
                    </a:extLst>
                  </pic:spPr>
                </pic:pic>
              </a:graphicData>
            </a:graphic>
          </wp:inline>
        </w:drawing>
      </w:r>
    </w:p>
    <w:p w14:paraId="2D3B524E" w14:textId="77777777" w:rsidR="00650E4E" w:rsidRDefault="00650E4E" w:rsidP="00650E4E">
      <w:pPr>
        <w:pStyle w:val="Subtitle"/>
      </w:pPr>
      <w:r>
        <w:t xml:space="preserve">Figure </w:t>
      </w:r>
      <w:r>
        <w:fldChar w:fldCharType="begin"/>
      </w:r>
      <w:r>
        <w:instrText xml:space="preserve"> SEQ Figure \* ARABIC </w:instrText>
      </w:r>
      <w:r>
        <w:fldChar w:fldCharType="separate"/>
      </w:r>
      <w:r>
        <w:rPr>
          <w:noProof/>
        </w:rPr>
        <w:t>1</w:t>
      </w:r>
      <w:r>
        <w:fldChar w:fldCharType="end"/>
      </w:r>
      <w:r>
        <w:t>: Sporting Future Youth Zone (Hayes, 2022</w:t>
      </w:r>
      <w:r w:rsidRPr="00650E4E">
        <w:t>)</w:t>
      </w:r>
    </w:p>
    <w:p w14:paraId="57D13AEC" w14:textId="77777777" w:rsidR="00650E4E" w:rsidRDefault="00650E4E" w:rsidP="00650E4E">
      <w:pPr>
        <w:spacing w:line="259" w:lineRule="auto"/>
        <w:jc w:val="center"/>
        <w:rPr>
          <w:rFonts w:eastAsiaTheme="majorEastAsia" w:cstheme="majorBidi"/>
          <w:color w:val="2E74B5" w:themeColor="accent1" w:themeShade="BF"/>
          <w:sz w:val="32"/>
          <w:szCs w:val="32"/>
        </w:rPr>
      </w:pPr>
      <w:r>
        <w:br w:type="page"/>
      </w:r>
    </w:p>
    <w:p w14:paraId="10CE5F9B" w14:textId="77777777" w:rsidR="007F6726" w:rsidRDefault="007F6726" w:rsidP="00E4723F">
      <w:pPr>
        <w:pStyle w:val="Heading1"/>
      </w:pPr>
      <w:bookmarkStart w:id="2" w:name="_Toc119244749"/>
      <w:r w:rsidRPr="007F6726">
        <w:lastRenderedPageBreak/>
        <w:t xml:space="preserve">Principles, standards, </w:t>
      </w:r>
      <w:r>
        <w:t xml:space="preserve">and stakeholders’ participation in </w:t>
      </w:r>
      <w:r w:rsidRPr="007F6726">
        <w:t>commonwealth games</w:t>
      </w:r>
      <w:bookmarkEnd w:id="2"/>
    </w:p>
    <w:p w14:paraId="5836780D" w14:textId="77777777" w:rsidR="00D76E99" w:rsidRDefault="00D76E99" w:rsidP="007F6726">
      <w:r w:rsidRPr="00D76E99">
        <w:t xml:space="preserve">Based on </w:t>
      </w:r>
      <w:r>
        <w:t xml:space="preserve">the </w:t>
      </w:r>
      <w:r w:rsidRPr="00D76E99">
        <w:t xml:space="preserve">analysis of stakeholder responses to a study, we may conclude the following about the values and criteria </w:t>
      </w:r>
      <w:r w:rsidR="00650E4E">
        <w:t>necessary</w:t>
      </w:r>
      <w:r w:rsidRPr="00D76E99">
        <w:t xml:space="preserve"> </w:t>
      </w:r>
      <w:r w:rsidR="00650E4E">
        <w:t>for</w:t>
      </w:r>
      <w:r w:rsidRPr="00D76E99">
        <w:t xml:space="preserve"> those involved in community projects related to the recent commonwealth games.</w:t>
      </w:r>
    </w:p>
    <w:p w14:paraId="3CA87426" w14:textId="77777777" w:rsidR="00BF4DF0" w:rsidRDefault="00E4723F" w:rsidP="007F6726">
      <w:r w:rsidRPr="00E61701">
        <w:rPr>
          <w:b/>
        </w:rPr>
        <w:t>Compreh</w:t>
      </w:r>
      <w:r w:rsidR="003B7DE1" w:rsidRPr="00E61701">
        <w:rPr>
          <w:b/>
        </w:rPr>
        <w:t>ensive preparation and planning:</w:t>
      </w:r>
      <w:r w:rsidR="00D76E99" w:rsidRPr="00D76E99">
        <w:t xml:space="preserve"> Leaders of community programmes </w:t>
      </w:r>
      <w:r w:rsidR="003B7DE1">
        <w:t>ensure</w:t>
      </w:r>
      <w:r w:rsidR="00D76E99" w:rsidRPr="00D76E99">
        <w:t xml:space="preserve"> the initiatives are well-defined and oriented toward the community's goals. The Birmingham region is severely impacted by the prevalence of heavy metal homes and the lack of adequate educational opportunities for its residents. </w:t>
      </w:r>
      <w:r w:rsidR="00DE56BB" w:rsidRPr="00D76E99">
        <w:t xml:space="preserve">Planning for the implementation of various actions which will help </w:t>
      </w:r>
      <w:r w:rsidR="00DE56BB" w:rsidRPr="00E61701">
        <w:t>support and work as a team involves the resident, community-based groups, local government, and leaders from various</w:t>
      </w:r>
      <w:r w:rsidR="00DE56BB" w:rsidRPr="00D76E99">
        <w:t xml:space="preserve"> institutions</w:t>
      </w:r>
      <w:r w:rsidR="00DE56BB">
        <w:t xml:space="preserve"> (</w:t>
      </w:r>
      <w:r w:rsidR="00DE56BB" w:rsidRPr="00DE56BB">
        <w:t>C</w:t>
      </w:r>
      <w:r w:rsidR="00DE56BB">
        <w:t>arson and Webster</w:t>
      </w:r>
      <w:r w:rsidR="00DE56BB" w:rsidRPr="00DE56BB">
        <w:t>, 2019</w:t>
      </w:r>
      <w:r w:rsidR="00DE56BB">
        <w:t>).</w:t>
      </w:r>
      <w:r w:rsidR="00DE56BB" w:rsidRPr="00D76E99">
        <w:t xml:space="preserve"> </w:t>
      </w:r>
    </w:p>
    <w:p w14:paraId="257C9F16" w14:textId="77777777" w:rsidR="00E4723F" w:rsidRDefault="003B7DE1" w:rsidP="007F6726">
      <w:r w:rsidRPr="00E61701">
        <w:rPr>
          <w:b/>
        </w:rPr>
        <w:t>Shared purpose and cooperation:</w:t>
      </w:r>
      <w:r w:rsidR="00E4723F">
        <w:t xml:space="preserve"> </w:t>
      </w:r>
      <w:r w:rsidR="00DE56BB" w:rsidRPr="00DE56BB">
        <w:t xml:space="preserve">By following this key criterion, all involved parties could work toward a single </w:t>
      </w:r>
      <w:r w:rsidR="00DE56BB">
        <w:t>objective with a clearer vision</w:t>
      </w:r>
      <w:r w:rsidRPr="003B7DE1">
        <w:t>. The Commonwealth Games</w:t>
      </w:r>
      <w:r w:rsidR="00E61701">
        <w:t xml:space="preserve"> plan ensures that all parties</w:t>
      </w:r>
      <w:r w:rsidRPr="003B7DE1">
        <w:t xml:space="preserve"> work together towards a common goal. They've identified problems plaguing their community, and now they're banding together to solve problems by increasing youth access to higher education and generating new jobs.</w:t>
      </w:r>
    </w:p>
    <w:p w14:paraId="38EFDB32" w14:textId="77777777" w:rsidR="00DE56BB" w:rsidRDefault="00954B46" w:rsidP="00DE56BB">
      <w:pPr>
        <w:keepNext/>
        <w:jc w:val="center"/>
      </w:pPr>
      <w:r>
        <w:rPr>
          <w:b/>
          <w:noProof/>
          <w:lang w:val="en-US"/>
        </w:rPr>
        <w:drawing>
          <wp:inline distT="0" distB="0" distL="0" distR="0" wp14:anchorId="6FE65E3C" wp14:editId="73BA10E4">
            <wp:extent cx="3998794" cy="2454218"/>
            <wp:effectExtent l="0" t="0" r="190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79).png"/>
                    <pic:cNvPicPr/>
                  </pic:nvPicPr>
                  <pic:blipFill rotWithShape="1">
                    <a:blip r:embed="rId5" cstate="print">
                      <a:extLst>
                        <a:ext uri="{28A0092B-C50C-407E-A947-70E740481C1C}">
                          <a14:useLocalDpi xmlns:a14="http://schemas.microsoft.com/office/drawing/2010/main" val="0"/>
                        </a:ext>
                      </a:extLst>
                    </a:blip>
                    <a:srcRect l="22735" t="20822" r="23766" b="20806"/>
                    <a:stretch/>
                  </pic:blipFill>
                  <pic:spPr bwMode="auto">
                    <a:xfrm>
                      <a:off x="0" y="0"/>
                      <a:ext cx="4007199" cy="2459376"/>
                    </a:xfrm>
                    <a:prstGeom prst="rect">
                      <a:avLst/>
                    </a:prstGeom>
                    <a:ln>
                      <a:noFill/>
                    </a:ln>
                    <a:extLst>
                      <a:ext uri="{53640926-AAD7-44D8-BBD7-CCE9431645EC}">
                        <a14:shadowObscured xmlns:a14="http://schemas.microsoft.com/office/drawing/2010/main"/>
                      </a:ext>
                    </a:extLst>
                  </pic:spPr>
                </pic:pic>
              </a:graphicData>
            </a:graphic>
          </wp:inline>
        </w:drawing>
      </w:r>
    </w:p>
    <w:p w14:paraId="64B8DC96" w14:textId="77777777" w:rsidR="00954B46" w:rsidRDefault="00DE56BB" w:rsidP="00DE56BB">
      <w:pPr>
        <w:pStyle w:val="Subtitle"/>
        <w:rPr>
          <w:b/>
        </w:rPr>
      </w:pPr>
      <w:r>
        <w:t xml:space="preserve">Figure </w:t>
      </w:r>
      <w:r>
        <w:fldChar w:fldCharType="begin"/>
      </w:r>
      <w:r>
        <w:instrText xml:space="preserve"> SEQ Figure \* ARABIC </w:instrText>
      </w:r>
      <w:r>
        <w:fldChar w:fldCharType="separate"/>
      </w:r>
      <w:r w:rsidR="00650E4E">
        <w:rPr>
          <w:noProof/>
        </w:rPr>
        <w:t>2</w:t>
      </w:r>
      <w:r>
        <w:fldChar w:fldCharType="end"/>
      </w:r>
      <w:r>
        <w:t>: Stakeholder's participations (Hollander</w:t>
      </w:r>
      <w:r w:rsidRPr="00DE56BB">
        <w:t>, 2019</w:t>
      </w:r>
      <w:r>
        <w:t>)</w:t>
      </w:r>
    </w:p>
    <w:p w14:paraId="22F35503" w14:textId="77777777" w:rsidR="00E4723F" w:rsidRDefault="00E4723F" w:rsidP="00E4723F">
      <w:r w:rsidRPr="00E61701">
        <w:rPr>
          <w:b/>
        </w:rPr>
        <w:lastRenderedPageBreak/>
        <w:t>Demographic diversity and inclusio</w:t>
      </w:r>
      <w:r w:rsidR="003B7DE1" w:rsidRPr="00E61701">
        <w:rPr>
          <w:b/>
        </w:rPr>
        <w:t>n:</w:t>
      </w:r>
      <w:r w:rsidR="003B7DE1">
        <w:t xml:space="preserve"> </w:t>
      </w:r>
      <w:r w:rsidR="003B7DE1" w:rsidRPr="003B7DE1">
        <w:t>The populace overall that an inclusive approach is the best way to roll out a programme. Including a broad range of viewpoints helps accomplish this goal, which benefits the decision-making processes and the people it serves via increased legit</w:t>
      </w:r>
      <w:r w:rsidR="003B7DE1">
        <w:t xml:space="preserve">imacy and public representation. </w:t>
      </w:r>
      <w:r w:rsidR="00DE56BB" w:rsidRPr="00DE56BB">
        <w:t>City officials, youth groups, women, those with disabilities, and those without handicaps all work together.</w:t>
      </w:r>
    </w:p>
    <w:p w14:paraId="6C112ADB" w14:textId="77777777" w:rsidR="00E4723F" w:rsidRDefault="003B7DE1" w:rsidP="00E4723F">
      <w:r w:rsidRPr="00E61701">
        <w:rPr>
          <w:b/>
        </w:rPr>
        <w:t>Transparency and Learning:</w:t>
      </w:r>
      <w:r w:rsidR="00E4723F" w:rsidRPr="00E61701">
        <w:rPr>
          <w:b/>
        </w:rPr>
        <w:t xml:space="preserve"> </w:t>
      </w:r>
      <w:r w:rsidRPr="003B7DE1">
        <w:t xml:space="preserve">The community of Birmingham established transparency by outlining a straightforward procedure for how its activities will be carried out </w:t>
      </w:r>
      <w:r w:rsidR="0053347E">
        <w:t>in</w:t>
      </w:r>
      <w:r w:rsidRPr="003B7DE1">
        <w:t xml:space="preserve"> the community</w:t>
      </w:r>
      <w:r w:rsidR="006E17DA">
        <w:t xml:space="preserve"> (Sharma, et al., 2022).</w:t>
      </w:r>
      <w:r w:rsidRPr="003B7DE1">
        <w:t xml:space="preserve"> </w:t>
      </w:r>
      <w:r w:rsidR="0053347E">
        <w:t>Public members</w:t>
      </w:r>
      <w:r w:rsidRPr="003B7DE1">
        <w:t xml:space="preserve"> encourage one another to work together by exchanging and building upon ideas.</w:t>
      </w:r>
    </w:p>
    <w:p w14:paraId="69A5FA6F" w14:textId="77777777" w:rsidR="00E4723F" w:rsidRDefault="00E4723F" w:rsidP="00E4723F">
      <w:r w:rsidRPr="00E61701">
        <w:rPr>
          <w:b/>
        </w:rPr>
        <w:t>Participatory cu</w:t>
      </w:r>
      <w:r w:rsidR="003B7DE1" w:rsidRPr="00E61701">
        <w:rPr>
          <w:b/>
        </w:rPr>
        <w:t xml:space="preserve">lture and sustained engagement: </w:t>
      </w:r>
      <w:r w:rsidR="0053347E">
        <w:t>Continuous</w:t>
      </w:r>
      <w:r w:rsidR="003B7DE1" w:rsidRPr="003B7DE1">
        <w:t xml:space="preserve"> engagement and participation aid stakeholders in coordinating their efforts to increase the program's long-term viability. </w:t>
      </w:r>
      <w:r w:rsidR="00DE56BB" w:rsidRPr="00DE56BB">
        <w:t xml:space="preserve">This guiding idea makes a high-quality, ongoing community engagement approach </w:t>
      </w:r>
      <w:r w:rsidR="0053347E" w:rsidRPr="0053347E">
        <w:t>possible</w:t>
      </w:r>
      <w:r w:rsidR="003B7DE1" w:rsidRPr="003B7DE1">
        <w:t>. Below is a diagram depicting the connection between collaboration and involving key stakeholders.</w:t>
      </w:r>
    </w:p>
    <w:p w14:paraId="1F855D4D" w14:textId="77777777" w:rsidR="007F6726" w:rsidRDefault="007F6726" w:rsidP="00DE56BB">
      <w:pPr>
        <w:pStyle w:val="Heading1"/>
      </w:pPr>
      <w:bookmarkStart w:id="3" w:name="_Toc119244750"/>
      <w:r>
        <w:t>Strategies suitable for stakeholders’ engagement using various social media platforms</w:t>
      </w:r>
      <w:bookmarkEnd w:id="3"/>
    </w:p>
    <w:p w14:paraId="5A5918CE" w14:textId="77777777" w:rsidR="00DB2C63" w:rsidRDefault="006E17DA" w:rsidP="00773EAE">
      <w:r>
        <w:t>The diversity of</w:t>
      </w:r>
      <w:r w:rsidR="00DB2C63" w:rsidRPr="00DB2C63">
        <w:t xml:space="preserve"> stakeholders is an important consideration when choosing the most appropriate communication channels to encourage their participation. Engaging the community calls for regular dialogue to keep everyone on the same page and informed of the program's development. </w:t>
      </w:r>
      <w:r w:rsidR="00BF4DF0">
        <w:t xml:space="preserve"> </w:t>
      </w:r>
      <w:r w:rsidR="00BF4DF0" w:rsidRPr="00BF4DF0">
        <w:t xml:space="preserve">Support Future Youth Zone &amp; exhibit </w:t>
      </w:r>
      <w:r w:rsidR="00634FFC">
        <w:t>genuine</w:t>
      </w:r>
      <w:r w:rsidR="00BF4DF0" w:rsidRPr="00BF4DF0">
        <w:t xml:space="preserve"> concern for the problems that impact your employees and community. In Future Youth Zone, communication is essential to success.</w:t>
      </w:r>
      <w:r w:rsidR="00BF4DF0">
        <w:t xml:space="preserve"> </w:t>
      </w:r>
      <w:r w:rsidR="00DB2C63" w:rsidRPr="00DB2C63">
        <w:t xml:space="preserve">Stakeholder analysis for the Commonwealth Games programme in Birmingham reveals that the project's reach is far-reaching, its proximity substantial, and its collaborators hailing from </w:t>
      </w:r>
      <w:r w:rsidR="0053347E">
        <w:t>various</w:t>
      </w:r>
      <w:r w:rsidR="00DB2C63" w:rsidRPr="00DB2C63">
        <w:t xml:space="preserve"> ethnic </w:t>
      </w:r>
      <w:r w:rsidR="00DB2C63">
        <w:t>backgrounds</w:t>
      </w:r>
      <w:r w:rsidR="00DB2C63" w:rsidRPr="00DB2C63">
        <w:t>, necessitating more than one communication channel</w:t>
      </w:r>
      <w:r w:rsidR="00695ECF">
        <w:t xml:space="preserve"> (Falla et al., 2022)</w:t>
      </w:r>
      <w:r w:rsidR="00DB2C63" w:rsidRPr="00DB2C63">
        <w:t xml:space="preserve">. Their professional relationship, however, is marked by cooperation, collaboration, and a common goal. </w:t>
      </w:r>
    </w:p>
    <w:p w14:paraId="27197BC4" w14:textId="77777777" w:rsidR="00BF4DF0" w:rsidRDefault="00E61701" w:rsidP="00BF4DF0">
      <w:r w:rsidRPr="00E61701">
        <w:rPr>
          <w:b/>
        </w:rPr>
        <w:t>Facebook platform:</w:t>
      </w:r>
      <w:r w:rsidR="003B7DE1">
        <w:t xml:space="preserve"> </w:t>
      </w:r>
      <w:r w:rsidR="003B7DE1" w:rsidRPr="00DB2C63">
        <w:t xml:space="preserve">The most evolved social network is Facebook. Facebook encourages individual and commercial participation by supporting a unified approach to </w:t>
      </w:r>
      <w:r w:rsidR="003B7DE1" w:rsidRPr="00DB2C63">
        <w:lastRenderedPageBreak/>
        <w:t xml:space="preserve">stakeholder interaction. </w:t>
      </w:r>
      <w:r w:rsidR="00DE56BB">
        <w:t>Updating</w:t>
      </w:r>
      <w:r w:rsidR="00DE56BB" w:rsidRPr="00DE56BB">
        <w:t xml:space="preserve"> one's profile to gain access to content fro</w:t>
      </w:r>
      <w:r w:rsidR="00DE56BB">
        <w:t xml:space="preserve">m </w:t>
      </w:r>
      <w:r w:rsidR="00634FFC">
        <w:t>specific</w:t>
      </w:r>
      <w:r w:rsidR="00DE56BB">
        <w:t xml:space="preserve"> sources is simplified</w:t>
      </w:r>
      <w:r w:rsidR="003B7DE1" w:rsidRPr="00DB2C63">
        <w:t>. Since Facebook users may provide input on posts by either "liking" or "sharing," the social media platform is a good fit for the Commonwealth Games shows to distribute information</w:t>
      </w:r>
      <w:r w:rsidR="006E17DA">
        <w:t xml:space="preserve"> (Chauhan, 2021</w:t>
      </w:r>
      <w:r w:rsidR="006E17DA" w:rsidRPr="006E17DA">
        <w:t>)</w:t>
      </w:r>
      <w:r w:rsidR="003B7DE1" w:rsidRPr="00DB2C63">
        <w:t xml:space="preserve">. </w:t>
      </w:r>
      <w:r w:rsidR="0053347E">
        <w:t>They’ll</w:t>
      </w:r>
      <w:r w:rsidR="003B7DE1" w:rsidRPr="003B7DE1">
        <w:t xml:space="preserve"> utilise Facebook as a social platform to reach a </w:t>
      </w:r>
      <w:r w:rsidR="00634FFC">
        <w:t>broad</w:t>
      </w:r>
      <w:r w:rsidR="003B7DE1" w:rsidRPr="003B7DE1">
        <w:t xml:space="preserve"> audience by marketing on Facebook and using </w:t>
      </w:r>
      <w:r w:rsidR="00634FFC">
        <w:t>live-stream</w:t>
      </w:r>
      <w:r w:rsidR="003B7DE1" w:rsidRPr="003B7DE1">
        <w:t xml:space="preserve"> </w:t>
      </w:r>
      <w:r w:rsidR="003B7DE1">
        <w:t>videos</w:t>
      </w:r>
      <w:r w:rsidR="003B7DE1" w:rsidRPr="003B7DE1">
        <w:t xml:space="preserve"> to promote their product.</w:t>
      </w:r>
      <w:r w:rsidR="00BF4DF0" w:rsidRPr="00BF4DF0">
        <w:t xml:space="preserve"> </w:t>
      </w:r>
      <w:r w:rsidR="00BF4DF0">
        <w:t xml:space="preserve">They </w:t>
      </w:r>
      <w:r w:rsidR="00BF4DF0" w:rsidRPr="00BF4DF0">
        <w:t>utilise the power of sport to engage 8-</w:t>
      </w:r>
      <w:r w:rsidR="00BF4DF0">
        <w:t>18-year-olds</w:t>
      </w:r>
      <w:r w:rsidR="00BF4DF0" w:rsidRPr="00BF4DF0">
        <w:t xml:space="preserve"> from different communities in </w:t>
      </w:r>
      <w:r w:rsidR="00BF4DF0">
        <w:t>sports</w:t>
      </w:r>
      <w:r w:rsidR="00BF4DF0" w:rsidRPr="00BF4DF0">
        <w:t xml:space="preserve"> and physical activity</w:t>
      </w:r>
      <w:r w:rsidR="00634FFC">
        <w:t>,</w:t>
      </w:r>
      <w:r w:rsidR="00BF4DF0">
        <w:t xml:space="preserve"> and it is easy to attract them via Facebook.</w:t>
      </w:r>
    </w:p>
    <w:p w14:paraId="17ADDB62" w14:textId="77777777" w:rsidR="003B7DE1" w:rsidRDefault="003B7DE1" w:rsidP="003B7DE1"/>
    <w:p w14:paraId="03C5F587" w14:textId="77777777" w:rsidR="00DE56BB" w:rsidRDefault="0053347E" w:rsidP="00DE56BB">
      <w:pPr>
        <w:keepNext/>
        <w:jc w:val="center"/>
      </w:pPr>
      <w:r>
        <w:rPr>
          <w:noProof/>
          <w:lang w:val="en-US"/>
        </w:rPr>
        <w:drawing>
          <wp:inline distT="0" distB="0" distL="0" distR="0" wp14:anchorId="4426E6A6" wp14:editId="236B56D5">
            <wp:extent cx="3630304" cy="1921327"/>
            <wp:effectExtent l="0" t="0" r="825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78).png"/>
                    <pic:cNvPicPr/>
                  </pic:nvPicPr>
                  <pic:blipFill rotWithShape="1">
                    <a:blip r:embed="rId6" cstate="print">
                      <a:extLst>
                        <a:ext uri="{28A0092B-C50C-407E-A947-70E740481C1C}">
                          <a14:useLocalDpi xmlns:a14="http://schemas.microsoft.com/office/drawing/2010/main" val="0"/>
                        </a:ext>
                      </a:extLst>
                    </a:blip>
                    <a:srcRect l="9645" t="10614" r="7922" b="11826"/>
                    <a:stretch/>
                  </pic:blipFill>
                  <pic:spPr bwMode="auto">
                    <a:xfrm>
                      <a:off x="0" y="0"/>
                      <a:ext cx="3638642" cy="1925740"/>
                    </a:xfrm>
                    <a:prstGeom prst="rect">
                      <a:avLst/>
                    </a:prstGeom>
                    <a:ln>
                      <a:noFill/>
                    </a:ln>
                    <a:extLst>
                      <a:ext uri="{53640926-AAD7-44D8-BBD7-CCE9431645EC}">
                        <a14:shadowObscured xmlns:a14="http://schemas.microsoft.com/office/drawing/2010/main"/>
                      </a:ext>
                    </a:extLst>
                  </pic:spPr>
                </pic:pic>
              </a:graphicData>
            </a:graphic>
          </wp:inline>
        </w:drawing>
      </w:r>
    </w:p>
    <w:p w14:paraId="5C68F4FD" w14:textId="77777777" w:rsidR="0053347E" w:rsidRDefault="00DE56BB" w:rsidP="00DE56BB">
      <w:pPr>
        <w:pStyle w:val="Subtitle"/>
      </w:pPr>
      <w:r>
        <w:t xml:space="preserve">Figure </w:t>
      </w:r>
      <w:r>
        <w:fldChar w:fldCharType="begin"/>
      </w:r>
      <w:r>
        <w:instrText xml:space="preserve"> SEQ Figure \* ARABIC </w:instrText>
      </w:r>
      <w:r>
        <w:fldChar w:fldCharType="separate"/>
      </w:r>
      <w:r w:rsidR="00650E4E">
        <w:rPr>
          <w:noProof/>
        </w:rPr>
        <w:t>3</w:t>
      </w:r>
      <w:r>
        <w:fldChar w:fldCharType="end"/>
      </w:r>
      <w:r>
        <w:t xml:space="preserve">: Various </w:t>
      </w:r>
      <w:r w:rsidRPr="00604C95">
        <w:t>social media platforms</w:t>
      </w:r>
      <w:r>
        <w:t xml:space="preserve"> (Zimba and Gasparyan</w:t>
      </w:r>
      <w:r w:rsidRPr="00DE56BB">
        <w:t>, 2021</w:t>
      </w:r>
      <w:r>
        <w:t>)</w:t>
      </w:r>
    </w:p>
    <w:p w14:paraId="418B698C" w14:textId="77777777" w:rsidR="00DB2C63" w:rsidRDefault="00E61701" w:rsidP="00773EAE">
      <w:r w:rsidRPr="00E61701">
        <w:rPr>
          <w:b/>
        </w:rPr>
        <w:t>WhatsApp:</w:t>
      </w:r>
      <w:r w:rsidR="00773EAE">
        <w:t xml:space="preserve"> </w:t>
      </w:r>
      <w:r w:rsidR="00DB2C63" w:rsidRPr="00DB2C63">
        <w:t xml:space="preserve">This online community serves as a central hub where all members may communicate and share resources. WhatsApp's ability to send instant messages to one or more receivers across borders and time zones is a powerful tool for fostering general overview and friendship. The stakeholders may exchange images of project progress and video call to discuss pressing concerns. WhatsApp's user-friendliness and the </w:t>
      </w:r>
      <w:r w:rsidR="005117B1">
        <w:t>ability to</w:t>
      </w:r>
      <w:r w:rsidR="00DB2C63" w:rsidRPr="00DB2C63">
        <w:t xml:space="preserve"> facilitate one-on-one and group video and voice calls are two of its best features. Many individuals involved in the Commonwealth Games are literate, and WhatsApp offers them a convenient way to stay in touch and keep tabs on the event's development.</w:t>
      </w:r>
    </w:p>
    <w:p w14:paraId="1C5CFF52" w14:textId="77777777" w:rsidR="00DB2C63" w:rsidRDefault="00E61701" w:rsidP="00773EAE">
      <w:r w:rsidRPr="00E61701">
        <w:rPr>
          <w:b/>
        </w:rPr>
        <w:t>LinkedIn platform:</w:t>
      </w:r>
      <w:r w:rsidR="00773EAE">
        <w:t xml:space="preserve"> </w:t>
      </w:r>
      <w:r w:rsidR="000019DD" w:rsidRPr="000019DD">
        <w:t xml:space="preserve">Reduced in-person meetings between stakeholders can be explained by </w:t>
      </w:r>
      <w:r w:rsidR="00DE56BB">
        <w:t>increased</w:t>
      </w:r>
      <w:r w:rsidR="000019DD" w:rsidRPr="000019DD">
        <w:t xml:space="preserve"> accessibility of remote meetings</w:t>
      </w:r>
      <w:r w:rsidR="00DE56BB">
        <w:t>,</w:t>
      </w:r>
      <w:r w:rsidR="000019DD" w:rsidRPr="000019DD">
        <w:t xml:space="preserve"> and collaboration capabilities access to social media platforms. One way to do this is to publicly showcase progress toward achieving. When preparing </w:t>
      </w:r>
      <w:r w:rsidR="00695ECF">
        <w:t xml:space="preserve">for </w:t>
      </w:r>
      <w:r w:rsidR="000019DD" w:rsidRPr="000019DD">
        <w:t xml:space="preserve">a large-scale event like the Commonwealth </w:t>
      </w:r>
      <w:r w:rsidR="000019DD" w:rsidRPr="000019DD">
        <w:lastRenderedPageBreak/>
        <w:t xml:space="preserve">Games, it's beneficial to </w:t>
      </w:r>
      <w:r w:rsidR="00634FFC" w:rsidRPr="00634FFC">
        <w:t>ensure all the parties concerned, which in this case includes both private and public entities, will be well and transmit</w:t>
      </w:r>
      <w:r w:rsidR="000019DD" w:rsidRPr="000019DD">
        <w:t xml:space="preserve"> content</w:t>
      </w:r>
      <w:r w:rsidR="006E17DA">
        <w:t xml:space="preserve"> (South et al.</w:t>
      </w:r>
      <w:r w:rsidR="006E17DA" w:rsidRPr="006E17DA">
        <w:t>,</w:t>
      </w:r>
      <w:r w:rsidR="006E17DA">
        <w:t xml:space="preserve"> 2020</w:t>
      </w:r>
      <w:r w:rsidR="006E17DA" w:rsidRPr="006E17DA">
        <w:t>)</w:t>
      </w:r>
      <w:r w:rsidR="000019DD" w:rsidRPr="000019DD">
        <w:t>.</w:t>
      </w:r>
    </w:p>
    <w:p w14:paraId="36BBB000" w14:textId="77777777" w:rsidR="00F33890" w:rsidRDefault="003B7DE1" w:rsidP="00F33890">
      <w:r w:rsidRPr="00E61701">
        <w:rPr>
          <w:b/>
        </w:rPr>
        <w:t>YouTube:</w:t>
      </w:r>
      <w:r>
        <w:t xml:space="preserve"> </w:t>
      </w:r>
      <w:r w:rsidR="00F33890" w:rsidRPr="00F33890">
        <w:t xml:space="preserve">Live telecasts to </w:t>
      </w:r>
      <w:r w:rsidR="004B1AA8">
        <w:t>many</w:t>
      </w:r>
      <w:r w:rsidR="00F33890" w:rsidRPr="00F33890">
        <w:t xml:space="preserve"> people in one go are used </w:t>
      </w:r>
      <w:r w:rsidR="004B1AA8">
        <w:t>for marketing</w:t>
      </w:r>
      <w:r w:rsidR="00F33890" w:rsidRPr="00F33890">
        <w:t xml:space="preserve"> the offering on this platform. This method is efficient in that it allows for </w:t>
      </w:r>
      <w:r w:rsidR="0053347E">
        <w:t>video and audio sharing</w:t>
      </w:r>
      <w:r w:rsidR="00F33890" w:rsidRPr="00F33890">
        <w:t xml:space="preserve"> at </w:t>
      </w:r>
      <w:r w:rsidR="004B1AA8">
        <w:t xml:space="preserve">a </w:t>
      </w:r>
      <w:r w:rsidR="00F33890" w:rsidRPr="00F33890">
        <w:t>cheap cost and may quickly reach a global audience. These channels increase clicks to the website, which benefits transparency, availability, and the capacity to gauge results based on user feedback.</w:t>
      </w:r>
    </w:p>
    <w:p w14:paraId="595BC737" w14:textId="77777777" w:rsidR="00773EAE" w:rsidRDefault="00773EAE" w:rsidP="00773EAE">
      <w:r>
        <w:br w:type="page"/>
      </w:r>
    </w:p>
    <w:p w14:paraId="30F6734E" w14:textId="77777777" w:rsidR="004B1AA8" w:rsidRDefault="004B1AA8" w:rsidP="004B1AA8">
      <w:pPr>
        <w:pStyle w:val="Heading1"/>
      </w:pPr>
      <w:bookmarkStart w:id="4" w:name="_Toc119244751"/>
      <w:r>
        <w:lastRenderedPageBreak/>
        <w:t>Community participation, collaboration, diversity and inclusion to enable socio-cultural integration and multi-culturalism</w:t>
      </w:r>
      <w:bookmarkEnd w:id="4"/>
    </w:p>
    <w:p w14:paraId="79B24782" w14:textId="77777777" w:rsidR="00BF4DF0" w:rsidRDefault="004B1AA8" w:rsidP="004B1AA8">
      <w:r w:rsidRPr="004B1AA8">
        <w:t xml:space="preserve">Bringing together people of all backgrounds to work on a community-wide problem or goal is what we mean when </w:t>
      </w:r>
      <w:r w:rsidR="0053347E">
        <w:t>discussing</w:t>
      </w:r>
      <w:r w:rsidRPr="004B1AA8">
        <w:t xml:space="preserve"> multicultural community engagement. By doing so, we may better appreciate one another's differences, break down barriers among cultures, and work toward a shared goal.</w:t>
      </w:r>
      <w:r w:rsidR="00BF4DF0">
        <w:t xml:space="preserve"> </w:t>
      </w:r>
    </w:p>
    <w:p w14:paraId="476E2DB4" w14:textId="77777777" w:rsidR="004B1AA8" w:rsidRPr="004B1AA8" w:rsidRDefault="00BF4DF0" w:rsidP="004B1AA8">
      <w:r w:rsidRPr="00BF4DF0">
        <w:t xml:space="preserve">By promoting youth work training and education and establishing competence standards, they encourage </w:t>
      </w:r>
      <w:r w:rsidR="00634FFC" w:rsidRPr="00634FFC">
        <w:t>youth work training and professional development</w:t>
      </w:r>
      <w:r w:rsidRPr="00BF4DF0">
        <w:t xml:space="preserve">. They offer technical help to local and national youth policy and build </w:t>
      </w:r>
      <w:r>
        <w:t>frameworks</w:t>
      </w:r>
      <w:r w:rsidR="00634FFC">
        <w:t>,</w:t>
      </w:r>
      <w:r w:rsidRPr="00BF4DF0">
        <w:t xml:space="preserve"> guidelines, and resources for youth development. </w:t>
      </w:r>
      <w:r w:rsidR="004B1AA8" w:rsidRPr="004B1AA8">
        <w:t xml:space="preserve">As of 2020, Birmingham has more people from different ethnic backgrounds than every city in the United Kingdom. As of the 2011 census, approximately 57.9% of the inhabitants identified as white. Africans, Caribbeans, and Asians make up nearly </w:t>
      </w:r>
      <w:r w:rsidR="00E61701">
        <w:t>per cent</w:t>
      </w:r>
      <w:r w:rsidR="004B1AA8" w:rsidRPr="004B1AA8">
        <w:t xml:space="preserve"> of the population</w:t>
      </w:r>
      <w:r w:rsidR="006E17DA">
        <w:t xml:space="preserve"> (McGannon and Smith</w:t>
      </w:r>
      <w:r w:rsidR="006E17DA" w:rsidRPr="006E17DA">
        <w:t>, 2020</w:t>
      </w:r>
      <w:r w:rsidR="006E17DA">
        <w:t>)</w:t>
      </w:r>
      <w:r w:rsidR="004B1AA8" w:rsidRPr="004B1AA8">
        <w:t>. The community's cultural variety led to the inclusion of the Race at Work Charter by 2021, which helps et</w:t>
      </w:r>
      <w:r w:rsidR="00E61701">
        <w:t>hnically diverse individuals, y</w:t>
      </w:r>
      <w:r w:rsidR="004B1AA8" w:rsidRPr="004B1AA8">
        <w:t>outh, underprivileged populations, the jobless, and the disabled </w:t>
      </w:r>
      <w:r w:rsidR="00E61701">
        <w:t>receive</w:t>
      </w:r>
      <w:r w:rsidR="004B1AA8" w:rsidRPr="004B1AA8">
        <w:t xml:space="preserve"> more attention and help in Birmingham this year. Not only will this help with the Games, but it will also start training </w:t>
      </w:r>
      <w:r w:rsidR="00E61701">
        <w:t>locals</w:t>
      </w:r>
      <w:r w:rsidR="004B1AA8" w:rsidRPr="004B1AA8">
        <w:t xml:space="preserve"> so they can fill positions in the economy.</w:t>
      </w:r>
      <w:r w:rsidR="004B1AA8">
        <w:t xml:space="preserve"> </w:t>
      </w:r>
      <w:r w:rsidR="004B1AA8" w:rsidRPr="004B1AA8">
        <w:t xml:space="preserve">Games organisers want athletics to initiate talks and spur measures to fight injustice and prejudice in the Commonwealth. </w:t>
      </w:r>
      <w:r>
        <w:t>Games will strive for equality.</w:t>
      </w:r>
      <w:r w:rsidR="004B1AA8">
        <w:br w:type="page"/>
      </w:r>
    </w:p>
    <w:p w14:paraId="68DC2662" w14:textId="77777777" w:rsidR="007F6726" w:rsidRDefault="007F6726" w:rsidP="006300AD">
      <w:pPr>
        <w:pStyle w:val="Heading1"/>
      </w:pPr>
      <w:bookmarkStart w:id="5" w:name="_Toc119244752"/>
      <w:r>
        <w:lastRenderedPageBreak/>
        <w:t>Internal and external factors that influence community development</w:t>
      </w:r>
      <w:bookmarkEnd w:id="5"/>
    </w:p>
    <w:p w14:paraId="60B96F31" w14:textId="77777777" w:rsidR="005117B1" w:rsidRDefault="0007745A" w:rsidP="007F6726">
      <w:r w:rsidRPr="0007745A">
        <w:t>Internal elements that impact community development include the diversity of stakeholders' norms, opinions, likes, dislikes, values, and perceptions, which may sometimes impede project implementation. On the other hand, external forces such as political, technological, cultural, and environmental reasons may provide both possibilities and hazards to the success of a project</w:t>
      </w:r>
      <w:r w:rsidR="008E16CC">
        <w:t xml:space="preserve"> (</w:t>
      </w:r>
      <w:r w:rsidR="008E16CC" w:rsidRPr="008E16CC">
        <w:t>Na</w:t>
      </w:r>
      <w:r w:rsidR="008E16CC">
        <w:t>tional League of Cities, 2011)</w:t>
      </w:r>
      <w:r w:rsidRPr="0007745A">
        <w:t>. However, community people must be educated using a forward-looking strategy by community outreach practitioners.</w:t>
      </w:r>
    </w:p>
    <w:p w14:paraId="44EB92BA" w14:textId="77777777" w:rsidR="00E61701" w:rsidRPr="00E61701" w:rsidRDefault="00E61701" w:rsidP="007F6726">
      <w:pPr>
        <w:rPr>
          <w:b/>
          <w:u w:val="single"/>
        </w:rPr>
      </w:pPr>
      <w:r w:rsidRPr="00E61701">
        <w:rPr>
          <w:b/>
          <w:u w:val="single"/>
        </w:rPr>
        <w:t>Internal factors</w:t>
      </w:r>
    </w:p>
    <w:p w14:paraId="1C68C0F0" w14:textId="77777777" w:rsidR="00E61701" w:rsidRPr="00E61701" w:rsidRDefault="00E61701" w:rsidP="00E61701">
      <w:r w:rsidRPr="006E17DA">
        <w:rPr>
          <w:b/>
        </w:rPr>
        <w:t>Participation:</w:t>
      </w:r>
      <w:r>
        <w:t xml:space="preserve"> </w:t>
      </w:r>
      <w:r w:rsidR="0053347E" w:rsidRPr="0053347E">
        <w:t>Birmingham's participation is often specifically related to community development since it plays a crucial role in the process. Community development requires involvement due to the human factor.</w:t>
      </w:r>
    </w:p>
    <w:p w14:paraId="79BE8915" w14:textId="77777777" w:rsidR="00E61701" w:rsidRDefault="00E61701" w:rsidP="007F6726">
      <w:r w:rsidRPr="006E17DA">
        <w:rPr>
          <w:b/>
        </w:rPr>
        <w:t>Interest:</w:t>
      </w:r>
      <w:r>
        <w:t xml:space="preserve"> </w:t>
      </w:r>
      <w:r w:rsidR="0053347E" w:rsidRPr="0053347E">
        <w:t>The effectiveness of a strategy for community development will depend on how often people seem to care about their neighbourhood. When there is a growing interest, community members will willingly put in the effort to make changes.</w:t>
      </w:r>
    </w:p>
    <w:p w14:paraId="1D9DD8ED" w14:textId="77777777" w:rsidR="006E17DA" w:rsidRDefault="006E17DA" w:rsidP="006E17DA">
      <w:pPr>
        <w:keepNext/>
        <w:jc w:val="center"/>
      </w:pPr>
      <w:r>
        <w:rPr>
          <w:noProof/>
          <w:lang w:val="en-US"/>
        </w:rPr>
        <w:drawing>
          <wp:inline distT="0" distB="0" distL="0" distR="0" wp14:anchorId="67EEEBC3" wp14:editId="53D7957E">
            <wp:extent cx="3142015" cy="2503066"/>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80).png"/>
                    <pic:cNvPicPr/>
                  </pic:nvPicPr>
                  <pic:blipFill rotWithShape="1">
                    <a:blip r:embed="rId7" cstate="print">
                      <a:extLst>
                        <a:ext uri="{28A0092B-C50C-407E-A947-70E740481C1C}">
                          <a14:useLocalDpi xmlns:a14="http://schemas.microsoft.com/office/drawing/2010/main" val="0"/>
                        </a:ext>
                      </a:extLst>
                    </a:blip>
                    <a:srcRect l="22707" t="11420" r="24421" b="13700"/>
                    <a:stretch/>
                  </pic:blipFill>
                  <pic:spPr bwMode="auto">
                    <a:xfrm>
                      <a:off x="0" y="0"/>
                      <a:ext cx="3142491" cy="2503445"/>
                    </a:xfrm>
                    <a:prstGeom prst="rect">
                      <a:avLst/>
                    </a:prstGeom>
                    <a:ln>
                      <a:noFill/>
                    </a:ln>
                    <a:extLst>
                      <a:ext uri="{53640926-AAD7-44D8-BBD7-CCE9431645EC}">
                        <a14:shadowObscured xmlns:a14="http://schemas.microsoft.com/office/drawing/2010/main"/>
                      </a:ext>
                    </a:extLst>
                  </pic:spPr>
                </pic:pic>
              </a:graphicData>
            </a:graphic>
          </wp:inline>
        </w:drawing>
      </w:r>
    </w:p>
    <w:p w14:paraId="4B97BDF6" w14:textId="77777777" w:rsidR="006E17DA" w:rsidRDefault="006E17DA" w:rsidP="006E17DA">
      <w:pPr>
        <w:pStyle w:val="Subtitle"/>
      </w:pPr>
      <w:r>
        <w:t xml:space="preserve">Figure </w:t>
      </w:r>
      <w:r>
        <w:fldChar w:fldCharType="begin"/>
      </w:r>
      <w:r>
        <w:instrText xml:space="preserve"> SEQ Figure \* ARABIC </w:instrText>
      </w:r>
      <w:r>
        <w:fldChar w:fldCharType="separate"/>
      </w:r>
      <w:r w:rsidR="00650E4E">
        <w:rPr>
          <w:noProof/>
        </w:rPr>
        <w:t>4</w:t>
      </w:r>
      <w:r>
        <w:fldChar w:fldCharType="end"/>
      </w:r>
      <w:r>
        <w:t>:  F</w:t>
      </w:r>
      <w:r w:rsidRPr="00080491">
        <w:t>actors of community development</w:t>
      </w:r>
      <w:r>
        <w:t xml:space="preserve"> (</w:t>
      </w:r>
      <w:r w:rsidRPr="006E17DA">
        <w:t>Br</w:t>
      </w:r>
      <w:r>
        <w:t>own and Baker, 2019</w:t>
      </w:r>
      <w:r w:rsidRPr="006E17DA">
        <w:t>)</w:t>
      </w:r>
    </w:p>
    <w:p w14:paraId="175F533F" w14:textId="77777777" w:rsidR="00E61701" w:rsidRDefault="006E17DA" w:rsidP="007F6726">
      <w:r w:rsidRPr="006E17DA">
        <w:rPr>
          <w:b/>
        </w:rPr>
        <w:lastRenderedPageBreak/>
        <w:t>Attitude:</w:t>
      </w:r>
      <w:r w:rsidR="0053347E" w:rsidRPr="0053347E">
        <w:t xml:space="preserve"> People's attitudes may not match their enthusiasm for community development</w:t>
      </w:r>
      <w:r w:rsidR="0053347E">
        <w:t>,</w:t>
      </w:r>
      <w:r w:rsidR="0053347E" w:rsidRPr="0053347E">
        <w:t xml:space="preserve"> even </w:t>
      </w:r>
      <w:r w:rsidR="0053347E">
        <w:t>if</w:t>
      </w:r>
      <w:r w:rsidR="0053347E" w:rsidRPr="0053347E">
        <w:t xml:space="preserve"> they are eager participants.</w:t>
      </w:r>
    </w:p>
    <w:p w14:paraId="3F09594D" w14:textId="77777777" w:rsidR="0053347E" w:rsidRPr="0053347E" w:rsidRDefault="0053347E" w:rsidP="007F6726">
      <w:pPr>
        <w:rPr>
          <w:b/>
          <w:u w:val="single"/>
        </w:rPr>
      </w:pPr>
      <w:r w:rsidRPr="0053347E">
        <w:rPr>
          <w:b/>
          <w:u w:val="single"/>
        </w:rPr>
        <w:t>External factors</w:t>
      </w:r>
    </w:p>
    <w:p w14:paraId="64B3A867" w14:textId="77777777" w:rsidR="00E61701" w:rsidRDefault="0053347E" w:rsidP="007F6726">
      <w:r w:rsidRPr="006E17DA">
        <w:rPr>
          <w:b/>
        </w:rPr>
        <w:t>Culture:</w:t>
      </w:r>
      <w:r>
        <w:t xml:space="preserve"> </w:t>
      </w:r>
      <w:r w:rsidRPr="0053347E">
        <w:t xml:space="preserve">Community culture includes several social factors. Their beliefs, moral standards, expectations, and attitudes differ in impact. </w:t>
      </w:r>
      <w:r>
        <w:t>A community’s cultural norms</w:t>
      </w:r>
      <w:r w:rsidRPr="0053347E">
        <w:t xml:space="preserve"> might affect how the social design process develops.</w:t>
      </w:r>
    </w:p>
    <w:p w14:paraId="5B50518E" w14:textId="77777777" w:rsidR="00E61701" w:rsidRDefault="0053347E" w:rsidP="007F6726">
      <w:r w:rsidRPr="006E17DA">
        <w:rPr>
          <w:b/>
        </w:rPr>
        <w:t>Political:</w:t>
      </w:r>
      <w:r>
        <w:t xml:space="preserve"> </w:t>
      </w:r>
      <w:r w:rsidRPr="0053347E">
        <w:t xml:space="preserve">Everything feels political nowadays, even non-political stuff. Birmingham politicians establish policy, and the political views of individuals in control may constrain management and </w:t>
      </w:r>
      <w:r>
        <w:t>decision-making</w:t>
      </w:r>
      <w:r w:rsidRPr="0053347E">
        <w:t>.</w:t>
      </w:r>
    </w:p>
    <w:p w14:paraId="3355A222" w14:textId="77777777" w:rsidR="006300AD" w:rsidRPr="006E17DA" w:rsidRDefault="007F6726" w:rsidP="006E17DA">
      <w:pPr>
        <w:pStyle w:val="Heading1"/>
      </w:pPr>
      <w:bookmarkStart w:id="6" w:name="_Toc119244753"/>
      <w:r>
        <w:t xml:space="preserve">Importance of adopting </w:t>
      </w:r>
      <w:r w:rsidR="00634FFC">
        <w:t xml:space="preserve">a </w:t>
      </w:r>
      <w:r w:rsidR="00E61701">
        <w:t>forward-looking</w:t>
      </w:r>
      <w:r>
        <w:t xml:space="preserve"> approach</w:t>
      </w:r>
      <w:bookmarkEnd w:id="6"/>
    </w:p>
    <w:p w14:paraId="7739BB41" w14:textId="77777777" w:rsidR="00634FFC" w:rsidRDefault="004B1AA8" w:rsidP="006300AD">
      <w:r>
        <w:t xml:space="preserve">Looking forward means analysing something's current status to predict its future. Community engagement practitioners must analyse various factors </w:t>
      </w:r>
      <w:r w:rsidR="00E61701" w:rsidRPr="00E61701">
        <w:t>affecting the company to plan strategic solutions to</w:t>
      </w:r>
      <w:r>
        <w:t xml:space="preserve"> help the project </w:t>
      </w:r>
      <w:r w:rsidR="00E61701">
        <w:t>advance</w:t>
      </w:r>
      <w:r>
        <w:t xml:space="preserve"> and achieve its objectives and goals. It reduces uncertainty. Professional groups generally consider the forward approach because it helps them understand the vision of their employees, improves their overall satisfaction, motivates them to improve their business output, and helps them retain their staff for just a </w:t>
      </w:r>
      <w:r w:rsidR="00634FFC">
        <w:t>more extended</w:t>
      </w:r>
      <w:r>
        <w:t xml:space="preserve"> period, wh</w:t>
      </w:r>
      <w:r w:rsidR="00E61701">
        <w:t>ich is essential for the organis</w:t>
      </w:r>
      <w:r>
        <w:t>ation's profitability</w:t>
      </w:r>
      <w:r w:rsidR="006E17DA">
        <w:t xml:space="preserve"> (Ruyter et al., 2021</w:t>
      </w:r>
      <w:r w:rsidR="006E17DA" w:rsidRPr="006E17DA">
        <w:t>)</w:t>
      </w:r>
      <w:r>
        <w:t xml:space="preserve">. </w:t>
      </w:r>
      <w:r w:rsidR="00634FFC" w:rsidRPr="00634FFC">
        <w:t xml:space="preserve">Future Youth Zone will function as a purpose-built facility providing 20 programs with every session, spanning sport, health, dancing, arts, music, media, and self-growth. It </w:t>
      </w:r>
      <w:r w:rsidR="00634FFC">
        <w:t xml:space="preserve">is a </w:t>
      </w:r>
      <w:r w:rsidR="00634FFC" w:rsidRPr="00634FFC">
        <w:t>fair outcome and advocacy to promote healthy connections among adolescents, households, and communities.</w:t>
      </w:r>
    </w:p>
    <w:p w14:paraId="7CD1A2B2" w14:textId="77777777" w:rsidR="006300AD" w:rsidRDefault="006300AD" w:rsidP="004B1AA8">
      <w:pPr>
        <w:pStyle w:val="Heading1"/>
      </w:pPr>
      <w:bookmarkStart w:id="7" w:name="_Toc119244754"/>
      <w:r>
        <w:t>Use of social media in community education</w:t>
      </w:r>
      <w:bookmarkEnd w:id="7"/>
    </w:p>
    <w:p w14:paraId="115B910F" w14:textId="77777777" w:rsidR="00634FFC" w:rsidRDefault="004B1AA8" w:rsidP="00634FFC">
      <w:r w:rsidRPr="004B1AA8">
        <w:t xml:space="preserve">Instructors' use of various social media platforms has increased students' participation in the group. Social media in education have improved </w:t>
      </w:r>
      <w:r>
        <w:t>people’s</w:t>
      </w:r>
      <w:r w:rsidRPr="004B1AA8">
        <w:t xml:space="preserve"> technical abilities and given them a better feeling of teamwork, which is vital in community involvement activities</w:t>
      </w:r>
      <w:r w:rsidR="00695ECF">
        <w:t xml:space="preserve"> (Carlini et al., 2022</w:t>
      </w:r>
      <w:r w:rsidR="00695ECF" w:rsidRPr="00695ECF">
        <w:t>)</w:t>
      </w:r>
      <w:r w:rsidRPr="004B1AA8">
        <w:t xml:space="preserve">. Students also continue their studies in a diversified atmosphere, with pupils from other cultures. As a result of community education's incorporation of social media, it became obvious that students may independently undertake research and make </w:t>
      </w:r>
      <w:r w:rsidRPr="004B1AA8">
        <w:lastRenderedPageBreak/>
        <w:t xml:space="preserve">an effort to comprehend the range of perspectives offered by peers from </w:t>
      </w:r>
      <w:r>
        <w:t>various</w:t>
      </w:r>
      <w:r w:rsidRPr="004B1AA8">
        <w:t xml:space="preserve"> backgrounds.</w:t>
      </w:r>
    </w:p>
    <w:p w14:paraId="00D8B2D0" w14:textId="77777777" w:rsidR="007F6726" w:rsidRDefault="006300AD" w:rsidP="00634FFC">
      <w:pPr>
        <w:pStyle w:val="Heading1"/>
      </w:pPr>
      <w:bookmarkStart w:id="8" w:name="_Toc119244755"/>
      <w:r>
        <w:t>Recommendations</w:t>
      </w:r>
      <w:bookmarkEnd w:id="8"/>
    </w:p>
    <w:p w14:paraId="1450782F" w14:textId="77777777" w:rsidR="00F33890" w:rsidRDefault="006300AD" w:rsidP="006300AD">
      <w:r w:rsidRPr="006300AD">
        <w:t xml:space="preserve">Evaluation of community participation is vital for Commonwealth Games. The Games increase local, regional, and national GDP. So, stakeholders may encourage their volunteers to be efficient and nice. Making it easy for others to engage would help them form relationships with charitable groups and aid the needy. There must be a way to communicate with </w:t>
      </w:r>
      <w:r w:rsidR="00E61701">
        <w:t xml:space="preserve">the </w:t>
      </w:r>
      <w:r w:rsidRPr="006300AD">
        <w:t xml:space="preserve">community and learn about their needs. Understanding the social problem requires investigation. People are becoming sick and dying from the coronavirus epidemic. With the appropriate usage </w:t>
      </w:r>
      <w:r w:rsidR="00E61701">
        <w:t xml:space="preserve">of </w:t>
      </w:r>
      <w:r w:rsidRPr="006300AD">
        <w:t>social media platforms like Facebook, Twitter, and Google, community participation may be fostered</w:t>
      </w:r>
      <w:r w:rsidR="00E61701">
        <w:t>,</w:t>
      </w:r>
      <w:r w:rsidRPr="006300AD">
        <w:t xml:space="preserve"> and others could be made aware of community concerns to assist them </w:t>
      </w:r>
      <w:r w:rsidR="00E61701">
        <w:t>in participating and giving</w:t>
      </w:r>
      <w:r w:rsidRPr="006300AD">
        <w:t xml:space="preserve"> to rescue the area in need.</w:t>
      </w:r>
      <w:r w:rsidR="00F33890">
        <w:br w:type="page"/>
      </w:r>
    </w:p>
    <w:p w14:paraId="6E1F5367" w14:textId="77777777" w:rsidR="00F33890" w:rsidRDefault="00F33890" w:rsidP="00F33890">
      <w:pPr>
        <w:pStyle w:val="Heading1"/>
      </w:pPr>
      <w:bookmarkStart w:id="9" w:name="_Toc119244756"/>
      <w:r>
        <w:lastRenderedPageBreak/>
        <w:t>Conclusion</w:t>
      </w:r>
      <w:bookmarkEnd w:id="9"/>
      <w:r>
        <w:t xml:space="preserve"> </w:t>
      </w:r>
    </w:p>
    <w:p w14:paraId="42CF81D4" w14:textId="77777777" w:rsidR="00B81E55" w:rsidRDefault="00B81E55" w:rsidP="007F6726">
      <w:r w:rsidRPr="00B81E55">
        <w:t xml:space="preserve">Community participation is essential for </w:t>
      </w:r>
      <w:r w:rsidR="00E61701">
        <w:t>solving</w:t>
      </w:r>
      <w:r w:rsidRPr="00B81E55">
        <w:t xml:space="preserve"> the </w:t>
      </w:r>
      <w:r w:rsidR="00E61701">
        <w:t>community’s socioeconomic difficulties</w:t>
      </w:r>
      <w:r w:rsidRPr="00B81E55">
        <w:t xml:space="preserve">. The Birmingham Commonwealth Games programme has been criticised for </w:t>
      </w:r>
      <w:r>
        <w:t>handling</w:t>
      </w:r>
      <w:r w:rsidRPr="00B81E55">
        <w:t xml:space="preserve"> several problems, including a lack of funding, the spread of Covid-19, a lack of consensus on how to award medals, and the participation of athletes from many countries.</w:t>
      </w:r>
      <w:r>
        <w:t xml:space="preserve"> </w:t>
      </w:r>
      <w:r w:rsidR="00634FFC" w:rsidRPr="00634FFC">
        <w:t>The study also covered the "sporting future youth zone" project based on the Onside concept. Barking and Dagenham Council fund half of the Youth Zone's building expenses, while the John Petchey Fund and the Queen's Trust will each provide £1.5 million.</w:t>
      </w:r>
      <w:r w:rsidR="00634FFC">
        <w:t xml:space="preserve">  </w:t>
      </w:r>
      <w:r w:rsidRPr="00B81E55">
        <w:t xml:space="preserve">Therefore, the programme should make sure it is responding to public needs and giving stakeholders a clear idea of what they may anticipate </w:t>
      </w:r>
      <w:r>
        <w:t>happening</w:t>
      </w:r>
      <w:r w:rsidRPr="00B81E55">
        <w:t xml:space="preserve"> as a result. Second</w:t>
      </w:r>
      <w:r w:rsidR="00E61701" w:rsidRPr="00E61701">
        <w:t xml:space="preserve">, </w:t>
      </w:r>
      <w:r w:rsidR="00DE56BB" w:rsidRPr="00DE56BB">
        <w:t>thinking about a narrower, more focused endeavour to achieve the desired outcomes is wise</w:t>
      </w:r>
      <w:r w:rsidRPr="00B81E55">
        <w:t xml:space="preserve">. </w:t>
      </w:r>
      <w:r>
        <w:t>Lastly</w:t>
      </w:r>
      <w:r w:rsidRPr="00B81E55">
        <w:t>, initiatives should be developed to address pressing issues in the community and provide measurable results in a reasonable amount of time.</w:t>
      </w:r>
    </w:p>
    <w:p w14:paraId="2DB4775C" w14:textId="77777777" w:rsidR="00B81E55" w:rsidRDefault="00B81E55">
      <w:pPr>
        <w:spacing w:line="259" w:lineRule="auto"/>
        <w:jc w:val="left"/>
      </w:pPr>
      <w:r>
        <w:br w:type="page"/>
      </w:r>
    </w:p>
    <w:p w14:paraId="7F53D9FD" w14:textId="77777777" w:rsidR="00F33890" w:rsidRDefault="00B81E55" w:rsidP="00B81E55">
      <w:pPr>
        <w:pStyle w:val="Heading1"/>
      </w:pPr>
      <w:bookmarkStart w:id="10" w:name="_Toc119244757"/>
      <w:r>
        <w:lastRenderedPageBreak/>
        <w:t>References</w:t>
      </w:r>
      <w:bookmarkEnd w:id="10"/>
    </w:p>
    <w:p w14:paraId="4EDEA962" w14:textId="77777777" w:rsidR="00695ECF" w:rsidRDefault="00695ECF" w:rsidP="00695ECF">
      <w:pPr>
        <w:rPr>
          <w:shd w:val="clear" w:color="auto" w:fill="FFFFFF"/>
        </w:rPr>
      </w:pPr>
      <w:r>
        <w:rPr>
          <w:shd w:val="clear" w:color="auto" w:fill="FFFFFF"/>
        </w:rPr>
        <w:t>Brown, M.E. and Baker, B.L., 2019. “People first”: Factors that promote or inhibit community transformation. </w:t>
      </w:r>
      <w:r>
        <w:rPr>
          <w:i/>
          <w:iCs/>
          <w:shd w:val="clear" w:color="auto" w:fill="FFFFFF"/>
        </w:rPr>
        <w:t>Community Development</w:t>
      </w:r>
      <w:r>
        <w:rPr>
          <w:shd w:val="clear" w:color="auto" w:fill="FFFFFF"/>
        </w:rPr>
        <w:t>, </w:t>
      </w:r>
      <w:r>
        <w:rPr>
          <w:i/>
          <w:iCs/>
          <w:shd w:val="clear" w:color="auto" w:fill="FFFFFF"/>
        </w:rPr>
        <w:t>50</w:t>
      </w:r>
      <w:r>
        <w:rPr>
          <w:shd w:val="clear" w:color="auto" w:fill="FFFFFF"/>
        </w:rPr>
        <w:t>(3), pp.297-314.</w:t>
      </w:r>
    </w:p>
    <w:p w14:paraId="4F14F2C9" w14:textId="77777777" w:rsidR="00695ECF" w:rsidRDefault="00695ECF" w:rsidP="00695ECF">
      <w:pPr>
        <w:rPr>
          <w:shd w:val="clear" w:color="auto" w:fill="FFFFFF"/>
        </w:rPr>
      </w:pPr>
      <w:r>
        <w:rPr>
          <w:shd w:val="clear" w:color="auto" w:fill="FFFFFF"/>
        </w:rPr>
        <w:t>Carlini, J., Thomson, A., O’Neil, A. and Green, A., 2022. Understanding the interplay between event communications and local business decision-making using signalling theory: the case of the 2018 Commonwealth Games. </w:t>
      </w:r>
      <w:r>
        <w:rPr>
          <w:i/>
          <w:iCs/>
          <w:shd w:val="clear" w:color="auto" w:fill="FFFFFF"/>
        </w:rPr>
        <w:t>European Sport Management Quarterly</w:t>
      </w:r>
      <w:r>
        <w:rPr>
          <w:shd w:val="clear" w:color="auto" w:fill="FFFFFF"/>
        </w:rPr>
        <w:t>, pp.1-21.</w:t>
      </w:r>
    </w:p>
    <w:p w14:paraId="71B2EF38" w14:textId="77777777" w:rsidR="00695ECF" w:rsidRDefault="00695ECF" w:rsidP="00695ECF">
      <w:pPr>
        <w:rPr>
          <w:shd w:val="clear" w:color="auto" w:fill="FFFFFF"/>
        </w:rPr>
      </w:pPr>
      <w:r>
        <w:rPr>
          <w:shd w:val="clear" w:color="auto" w:fill="FFFFFF"/>
        </w:rPr>
        <w:t>Carson, R. and Webster, C.A. eds., 2019. </w:t>
      </w:r>
      <w:r>
        <w:rPr>
          <w:i/>
          <w:iCs/>
          <w:shd w:val="clear" w:color="auto" w:fill="FFFFFF"/>
        </w:rPr>
        <w:t>Comprehensive school physical activity programs: Putting evidence-based research into practice</w:t>
      </w:r>
      <w:r>
        <w:rPr>
          <w:shd w:val="clear" w:color="auto" w:fill="FFFFFF"/>
        </w:rPr>
        <w:t>. Human Kinetics Publishers.</w:t>
      </w:r>
    </w:p>
    <w:p w14:paraId="78902E40" w14:textId="77777777" w:rsidR="00695ECF" w:rsidRDefault="00695ECF" w:rsidP="00695ECF">
      <w:pPr>
        <w:rPr>
          <w:shd w:val="clear" w:color="auto" w:fill="FFFFFF"/>
        </w:rPr>
      </w:pPr>
      <w:r>
        <w:rPr>
          <w:shd w:val="clear" w:color="auto" w:fill="FFFFFF"/>
        </w:rPr>
        <w:t>Chauhan, V., 2021. Playing to the Gallery: Visual-Culture, Aesthetics, and the Spectacle:(Re) Reading Commonwealth Games 2010, New Delhi. </w:t>
      </w:r>
      <w:r>
        <w:rPr>
          <w:i/>
          <w:iCs/>
          <w:shd w:val="clear" w:color="auto" w:fill="FFFFFF"/>
        </w:rPr>
        <w:t>Summerhill</w:t>
      </w:r>
      <w:r>
        <w:rPr>
          <w:shd w:val="clear" w:color="auto" w:fill="FFFFFF"/>
        </w:rPr>
        <w:t>, </w:t>
      </w:r>
      <w:r>
        <w:rPr>
          <w:i/>
          <w:iCs/>
          <w:shd w:val="clear" w:color="auto" w:fill="FFFFFF"/>
        </w:rPr>
        <w:t>27</w:t>
      </w:r>
      <w:r>
        <w:rPr>
          <w:shd w:val="clear" w:color="auto" w:fill="FFFFFF"/>
        </w:rPr>
        <w:t>(2), pp.97-103.</w:t>
      </w:r>
    </w:p>
    <w:p w14:paraId="4E4B57A4" w14:textId="77777777" w:rsidR="00695ECF" w:rsidRDefault="00695ECF" w:rsidP="00695ECF">
      <w:pPr>
        <w:rPr>
          <w:shd w:val="clear" w:color="auto" w:fill="FFFFFF"/>
        </w:rPr>
      </w:pPr>
      <w:r>
        <w:rPr>
          <w:shd w:val="clear" w:color="auto" w:fill="FFFFFF"/>
        </w:rPr>
        <w:t>Cole, A. and Barras, M., 2022. The commonwealth games: A history of human movement. </w:t>
      </w:r>
      <w:r>
        <w:rPr>
          <w:i/>
          <w:iCs/>
          <w:shd w:val="clear" w:color="auto" w:fill="FFFFFF"/>
        </w:rPr>
        <w:t>Interaction</w:t>
      </w:r>
      <w:r>
        <w:rPr>
          <w:shd w:val="clear" w:color="auto" w:fill="FFFFFF"/>
        </w:rPr>
        <w:t>, </w:t>
      </w:r>
      <w:r>
        <w:rPr>
          <w:i/>
          <w:iCs/>
          <w:shd w:val="clear" w:color="auto" w:fill="FFFFFF"/>
        </w:rPr>
        <w:t>50</w:t>
      </w:r>
      <w:r>
        <w:rPr>
          <w:shd w:val="clear" w:color="auto" w:fill="FFFFFF"/>
        </w:rPr>
        <w:t>(2), pp.20-21.</w:t>
      </w:r>
    </w:p>
    <w:p w14:paraId="3B6E1B4D" w14:textId="77777777" w:rsidR="00695ECF" w:rsidRDefault="00695ECF" w:rsidP="00695ECF">
      <w:pPr>
        <w:rPr>
          <w:shd w:val="clear" w:color="auto" w:fill="FFFFFF"/>
        </w:rPr>
      </w:pPr>
      <w:r>
        <w:rPr>
          <w:shd w:val="clear" w:color="auto" w:fill="FFFFFF"/>
        </w:rPr>
        <w:t>Falla, M., Prior, J. and Jacobs, B., 2022. Assessing the impact of sporting mega-events on the social and physical capital of communities in host cities: the Gold Coast 2018 Commonwealth Games experience. </w:t>
      </w:r>
      <w:r>
        <w:rPr>
          <w:i/>
          <w:iCs/>
          <w:shd w:val="clear" w:color="auto" w:fill="FFFFFF"/>
        </w:rPr>
        <w:t>Commonwealth Journal of Local Governance</w:t>
      </w:r>
      <w:r>
        <w:rPr>
          <w:shd w:val="clear" w:color="auto" w:fill="FFFFFF"/>
        </w:rPr>
        <w:t>, pp.5-27.</w:t>
      </w:r>
    </w:p>
    <w:p w14:paraId="0A1A21F5" w14:textId="77777777" w:rsidR="00650E4E" w:rsidRDefault="00650E4E" w:rsidP="00695ECF">
      <w:pPr>
        <w:rPr>
          <w:shd w:val="clear" w:color="auto" w:fill="FFFFFF"/>
        </w:rPr>
      </w:pPr>
      <w:r w:rsidRPr="00650E4E">
        <w:rPr>
          <w:shd w:val="clear" w:color="auto" w:fill="FFFFFF"/>
        </w:rPr>
        <w:t>Hayes, D., 2022. Youth Work and Sport. Children and Young People Now Select, 2022(6), pp.27-30.</w:t>
      </w:r>
    </w:p>
    <w:p w14:paraId="27956456" w14:textId="77777777" w:rsidR="00695ECF" w:rsidRDefault="00695ECF" w:rsidP="00695ECF">
      <w:pPr>
        <w:rPr>
          <w:shd w:val="clear" w:color="auto" w:fill="FFFFFF"/>
        </w:rPr>
      </w:pPr>
      <w:r>
        <w:rPr>
          <w:shd w:val="clear" w:color="auto" w:fill="FFFFFF"/>
        </w:rPr>
        <w:t>Hollander, W., 2019. ‘One size does not fit all’: Commonwealth Games Associations’ Gold Coast 2018 team development from a stakeholder perspective. </w:t>
      </w:r>
      <w:r>
        <w:rPr>
          <w:i/>
          <w:iCs/>
          <w:shd w:val="clear" w:color="auto" w:fill="FFFFFF"/>
        </w:rPr>
        <w:t>African Journal for Physical Activity and Health Sciences (AJPHES)</w:t>
      </w:r>
      <w:r>
        <w:rPr>
          <w:shd w:val="clear" w:color="auto" w:fill="FFFFFF"/>
        </w:rPr>
        <w:t>, </w:t>
      </w:r>
      <w:r>
        <w:rPr>
          <w:i/>
          <w:iCs/>
          <w:shd w:val="clear" w:color="auto" w:fill="FFFFFF"/>
        </w:rPr>
        <w:t>25</w:t>
      </w:r>
      <w:r>
        <w:rPr>
          <w:shd w:val="clear" w:color="auto" w:fill="FFFFFF"/>
        </w:rPr>
        <w:t>(1), pp.1-12.</w:t>
      </w:r>
    </w:p>
    <w:p w14:paraId="2936F0CA" w14:textId="77777777" w:rsidR="00695ECF" w:rsidRDefault="00695ECF" w:rsidP="00695ECF">
      <w:pPr>
        <w:rPr>
          <w:shd w:val="clear" w:color="auto" w:fill="FFFFFF"/>
        </w:rPr>
      </w:pPr>
      <w:r>
        <w:rPr>
          <w:shd w:val="clear" w:color="auto" w:fill="FFFFFF"/>
        </w:rPr>
        <w:t>McGannon, K.R. and Smith, B., 2020. Expanding socio-cultural identity research in sport psycho-logy: The potential of athlete autobiographies. </w:t>
      </w:r>
      <w:r>
        <w:rPr>
          <w:i/>
          <w:iCs/>
          <w:shd w:val="clear" w:color="auto" w:fill="FFFFFF"/>
        </w:rPr>
        <w:t>Quaderns de Psicologia</w:t>
      </w:r>
      <w:r>
        <w:rPr>
          <w:shd w:val="clear" w:color="auto" w:fill="FFFFFF"/>
        </w:rPr>
        <w:t>, </w:t>
      </w:r>
      <w:r>
        <w:rPr>
          <w:i/>
          <w:iCs/>
          <w:shd w:val="clear" w:color="auto" w:fill="FFFFFF"/>
        </w:rPr>
        <w:t>22</w:t>
      </w:r>
      <w:r>
        <w:rPr>
          <w:shd w:val="clear" w:color="auto" w:fill="FFFFFF"/>
        </w:rPr>
        <w:t>(3), p.e1556.</w:t>
      </w:r>
    </w:p>
    <w:p w14:paraId="3BC03C0A" w14:textId="77777777" w:rsidR="008E16CC" w:rsidRDefault="008E16CC" w:rsidP="008E16CC">
      <w:pPr>
        <w:rPr>
          <w:shd w:val="clear" w:color="auto" w:fill="FFFFFF"/>
        </w:rPr>
      </w:pPr>
      <w:r w:rsidRPr="008E16CC">
        <w:rPr>
          <w:shd w:val="clear" w:color="auto" w:fill="FFFFFF"/>
        </w:rPr>
        <w:lastRenderedPageBreak/>
        <w:t>N</w:t>
      </w:r>
      <w:r>
        <w:rPr>
          <w:shd w:val="clear" w:color="auto" w:fill="FFFFFF"/>
        </w:rPr>
        <w:t>ational League of Cities,. 2011</w:t>
      </w:r>
      <w:r w:rsidRPr="008E16CC">
        <w:rPr>
          <w:shd w:val="clear" w:color="auto" w:fill="FFFFFF"/>
        </w:rPr>
        <w:t>. Beyond civility: From public engagement to problem solving. www.nlc.org -http://www.nlc.org/find-city-solutions/resea</w:t>
      </w:r>
      <w:r>
        <w:rPr>
          <w:shd w:val="clear" w:color="auto" w:fill="FFFFFF"/>
        </w:rPr>
        <w:t>rch-innovation/governance-civic</w:t>
      </w:r>
      <w:r w:rsidRPr="008E16CC">
        <w:rPr>
          <w:shd w:val="clear" w:color="auto" w:fill="FFFFFF"/>
        </w:rPr>
        <w:t>e</w:t>
      </w:r>
      <w:r>
        <w:rPr>
          <w:shd w:val="clear" w:color="auto" w:fill="FFFFFF"/>
        </w:rPr>
        <w:t>ngagement/beyond-civility-from-</w:t>
      </w:r>
      <w:r w:rsidRPr="008E16CC">
        <w:rPr>
          <w:shd w:val="clear" w:color="auto" w:fill="FFFFFF"/>
        </w:rPr>
        <w:t>public-engagement-to-problem-solving</w:t>
      </w:r>
    </w:p>
    <w:p w14:paraId="58CC307C" w14:textId="77777777" w:rsidR="00695ECF" w:rsidRDefault="00695ECF" w:rsidP="00695ECF">
      <w:pPr>
        <w:rPr>
          <w:shd w:val="clear" w:color="auto" w:fill="FFFFFF"/>
        </w:rPr>
      </w:pPr>
      <w:r>
        <w:rPr>
          <w:shd w:val="clear" w:color="auto" w:fill="FFFFFF"/>
        </w:rPr>
        <w:t>Ruyter, A., Hearne, D., Beer, J. and Zaman, Y., 2021. Brexit, Birmingham and the 2022 Commonwealth Games: an opportunity for regeneration and rejuvenation?. </w:t>
      </w:r>
      <w:r>
        <w:rPr>
          <w:i/>
          <w:iCs/>
          <w:shd w:val="clear" w:color="auto" w:fill="FFFFFF"/>
        </w:rPr>
        <w:t>Managing Sport and Leisure</w:t>
      </w:r>
      <w:r>
        <w:rPr>
          <w:shd w:val="clear" w:color="auto" w:fill="FFFFFF"/>
        </w:rPr>
        <w:t>, </w:t>
      </w:r>
      <w:r>
        <w:rPr>
          <w:i/>
          <w:iCs/>
          <w:shd w:val="clear" w:color="auto" w:fill="FFFFFF"/>
        </w:rPr>
        <w:t>26</w:t>
      </w:r>
      <w:r>
        <w:rPr>
          <w:shd w:val="clear" w:color="auto" w:fill="FFFFFF"/>
        </w:rPr>
        <w:t>(5), pp.413-428.</w:t>
      </w:r>
    </w:p>
    <w:p w14:paraId="2C6CF19F" w14:textId="77777777" w:rsidR="00695ECF" w:rsidRDefault="00695ECF" w:rsidP="00695ECF">
      <w:pPr>
        <w:rPr>
          <w:shd w:val="clear" w:color="auto" w:fill="FFFFFF"/>
        </w:rPr>
      </w:pPr>
      <w:r>
        <w:rPr>
          <w:shd w:val="clear" w:color="auto" w:fill="FFFFFF"/>
        </w:rPr>
        <w:t>Sharma, Y., Mishra, M. and Utthasani, U., 2022. A Status Study of Indian Commonwealth Games Ranking Weightlifters on Relative Strength of Different Weight Categories. </w:t>
      </w:r>
      <w:r>
        <w:rPr>
          <w:i/>
          <w:iCs/>
          <w:shd w:val="clear" w:color="auto" w:fill="FFFFFF"/>
        </w:rPr>
        <w:t>Journal of Positive School Psychology</w:t>
      </w:r>
      <w:r>
        <w:rPr>
          <w:shd w:val="clear" w:color="auto" w:fill="FFFFFF"/>
        </w:rPr>
        <w:t>, </w:t>
      </w:r>
      <w:r>
        <w:rPr>
          <w:i/>
          <w:iCs/>
          <w:shd w:val="clear" w:color="auto" w:fill="FFFFFF"/>
        </w:rPr>
        <w:t>6</w:t>
      </w:r>
      <w:r>
        <w:rPr>
          <w:shd w:val="clear" w:color="auto" w:fill="FFFFFF"/>
        </w:rPr>
        <w:t>(3), pp.9469-9477.</w:t>
      </w:r>
    </w:p>
    <w:p w14:paraId="6A7E1BCE" w14:textId="77777777" w:rsidR="00695ECF" w:rsidRDefault="00695ECF" w:rsidP="00695ECF">
      <w:pPr>
        <w:rPr>
          <w:shd w:val="clear" w:color="auto" w:fill="FFFFFF"/>
        </w:rPr>
      </w:pPr>
      <w:r>
        <w:rPr>
          <w:shd w:val="clear" w:color="auto" w:fill="FFFFFF"/>
        </w:rPr>
        <w:t>South, J., Woodall, J., Southby, K., Jones, R., Yates, G., Kinsella, K. and May, E., 2020. Volunteerism, social context and health impacts: a qualitative study of Glasgow Commonwealth Games event volunteers. </w:t>
      </w:r>
      <w:r>
        <w:rPr>
          <w:i/>
          <w:iCs/>
          <w:shd w:val="clear" w:color="auto" w:fill="FFFFFF"/>
        </w:rPr>
        <w:t>Cities &amp; Health</w:t>
      </w:r>
      <w:r>
        <w:rPr>
          <w:shd w:val="clear" w:color="auto" w:fill="FFFFFF"/>
        </w:rPr>
        <w:t>, pp.1-13.</w:t>
      </w:r>
    </w:p>
    <w:p w14:paraId="02FD8CC6" w14:textId="77777777" w:rsidR="00695ECF" w:rsidRDefault="00695ECF" w:rsidP="00695ECF">
      <w:r>
        <w:rPr>
          <w:shd w:val="clear" w:color="auto" w:fill="FFFFFF"/>
        </w:rPr>
        <w:t>Zimba, O. and Gasparyan, A.Y., 2021. Social media platforms: a primer for researchers. </w:t>
      </w:r>
      <w:r>
        <w:rPr>
          <w:i/>
          <w:iCs/>
          <w:shd w:val="clear" w:color="auto" w:fill="FFFFFF"/>
        </w:rPr>
        <w:t>Reumatologia/Rheumatology</w:t>
      </w:r>
      <w:r>
        <w:rPr>
          <w:shd w:val="clear" w:color="auto" w:fill="FFFFFF"/>
        </w:rPr>
        <w:t>, </w:t>
      </w:r>
      <w:r>
        <w:rPr>
          <w:i/>
          <w:iCs/>
          <w:shd w:val="clear" w:color="auto" w:fill="FFFFFF"/>
        </w:rPr>
        <w:t>59</w:t>
      </w:r>
      <w:r>
        <w:rPr>
          <w:shd w:val="clear" w:color="auto" w:fill="FFFFFF"/>
        </w:rPr>
        <w:t>(2), pp.68-72.</w:t>
      </w:r>
    </w:p>
    <w:p w14:paraId="540E40B9" w14:textId="77777777" w:rsidR="00B81E55" w:rsidRDefault="00B81E55" w:rsidP="007F6726"/>
    <w:p w14:paraId="41D5ED46" w14:textId="77777777" w:rsidR="007F6726" w:rsidRPr="007F6726" w:rsidRDefault="007F6726" w:rsidP="007F6726"/>
    <w:sectPr w:rsidR="007F6726" w:rsidRPr="007F672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6726"/>
    <w:rsid w:val="000019DD"/>
    <w:rsid w:val="000348AA"/>
    <w:rsid w:val="0007745A"/>
    <w:rsid w:val="001D646D"/>
    <w:rsid w:val="00271D81"/>
    <w:rsid w:val="003B7DE1"/>
    <w:rsid w:val="004B1AA8"/>
    <w:rsid w:val="005117B1"/>
    <w:rsid w:val="0053347E"/>
    <w:rsid w:val="006300AD"/>
    <w:rsid w:val="00634FFC"/>
    <w:rsid w:val="00650E4E"/>
    <w:rsid w:val="00695ECF"/>
    <w:rsid w:val="006E17DA"/>
    <w:rsid w:val="00773EAE"/>
    <w:rsid w:val="007F6726"/>
    <w:rsid w:val="008E16CC"/>
    <w:rsid w:val="00954B46"/>
    <w:rsid w:val="00993797"/>
    <w:rsid w:val="00B81E55"/>
    <w:rsid w:val="00BF4DF0"/>
    <w:rsid w:val="00CC0318"/>
    <w:rsid w:val="00D76E99"/>
    <w:rsid w:val="00DB2C63"/>
    <w:rsid w:val="00DE56BB"/>
    <w:rsid w:val="00E4723F"/>
    <w:rsid w:val="00E61701"/>
    <w:rsid w:val="00F33890"/>
    <w:rsid w:val="00FA3C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5FC3A"/>
  <w15:chartTrackingRefBased/>
  <w15:docId w15:val="{619E57C1-A297-4DAE-BD1F-FB2C91A17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726"/>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7F6726"/>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F6726"/>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6726"/>
    <w:rPr>
      <w:rFonts w:ascii="Arial" w:eastAsiaTheme="majorEastAsia" w:hAnsi="Arial"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7F6726"/>
    <w:rPr>
      <w:rFonts w:ascii="Arial" w:eastAsiaTheme="majorEastAsia" w:hAnsi="Arial" w:cstheme="majorBidi"/>
      <w:color w:val="2E74B5" w:themeColor="accent1" w:themeShade="BF"/>
      <w:sz w:val="28"/>
      <w:szCs w:val="26"/>
      <w:lang w:val="en-GB"/>
    </w:rPr>
  </w:style>
  <w:style w:type="paragraph" w:styleId="Subtitle">
    <w:name w:val="Subtitle"/>
    <w:basedOn w:val="Normal"/>
    <w:next w:val="Normal"/>
    <w:link w:val="SubtitleChar"/>
    <w:uiPriority w:val="11"/>
    <w:qFormat/>
    <w:rsid w:val="007F6726"/>
    <w:pPr>
      <w:numPr>
        <w:ilvl w:val="1"/>
      </w:numPr>
      <w:jc w:val="center"/>
    </w:pPr>
    <w:rPr>
      <w:rFonts w:eastAsiaTheme="minorEastAsia"/>
      <w:spacing w:val="15"/>
      <w:sz w:val="20"/>
    </w:rPr>
  </w:style>
  <w:style w:type="character" w:customStyle="1" w:styleId="SubtitleChar">
    <w:name w:val="Subtitle Char"/>
    <w:basedOn w:val="DefaultParagraphFont"/>
    <w:link w:val="Subtitle"/>
    <w:uiPriority w:val="11"/>
    <w:rsid w:val="007F6726"/>
    <w:rPr>
      <w:rFonts w:ascii="Arial" w:eastAsiaTheme="minorEastAsia" w:hAnsi="Arial"/>
      <w:spacing w:val="15"/>
      <w:sz w:val="20"/>
      <w:lang w:val="en-GB"/>
    </w:rPr>
  </w:style>
  <w:style w:type="paragraph" w:styleId="NoSpacing">
    <w:name w:val="No Spacing"/>
    <w:uiPriority w:val="1"/>
    <w:qFormat/>
    <w:rsid w:val="00773EAE"/>
    <w:pPr>
      <w:spacing w:after="0" w:line="240" w:lineRule="auto"/>
      <w:jc w:val="both"/>
    </w:pPr>
    <w:rPr>
      <w:rFonts w:ascii="Arial" w:hAnsi="Arial"/>
      <w:sz w:val="24"/>
      <w:lang w:val="en-GB"/>
    </w:rPr>
  </w:style>
  <w:style w:type="paragraph" w:styleId="TOCHeading">
    <w:name w:val="TOC Heading"/>
    <w:basedOn w:val="Heading1"/>
    <w:next w:val="Normal"/>
    <w:uiPriority w:val="39"/>
    <w:unhideWhenUsed/>
    <w:qFormat/>
    <w:rsid w:val="00B81E55"/>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B81E55"/>
    <w:pPr>
      <w:spacing w:after="100"/>
    </w:pPr>
  </w:style>
  <w:style w:type="paragraph" w:styleId="TOC2">
    <w:name w:val="toc 2"/>
    <w:basedOn w:val="Normal"/>
    <w:next w:val="Normal"/>
    <w:autoRedefine/>
    <w:uiPriority w:val="39"/>
    <w:unhideWhenUsed/>
    <w:rsid w:val="00B81E55"/>
    <w:pPr>
      <w:spacing w:after="100"/>
      <w:ind w:left="240"/>
    </w:pPr>
  </w:style>
  <w:style w:type="character" w:styleId="Hyperlink">
    <w:name w:val="Hyperlink"/>
    <w:basedOn w:val="DefaultParagraphFont"/>
    <w:uiPriority w:val="99"/>
    <w:unhideWhenUsed/>
    <w:rsid w:val="00B81E55"/>
    <w:rPr>
      <w:color w:val="0563C1" w:themeColor="hyperlink"/>
      <w:u w:val="single"/>
    </w:rPr>
  </w:style>
  <w:style w:type="paragraph" w:styleId="Title">
    <w:name w:val="Title"/>
    <w:basedOn w:val="Normal"/>
    <w:next w:val="Normal"/>
    <w:link w:val="TitleChar"/>
    <w:uiPriority w:val="10"/>
    <w:qFormat/>
    <w:rsid w:val="00954B46"/>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954B46"/>
    <w:rPr>
      <w:rFonts w:ascii="Arial" w:eastAsiaTheme="majorEastAsia" w:hAnsi="Arial" w:cstheme="majorBidi"/>
      <w:b/>
      <w:spacing w:val="-10"/>
      <w:kern w:val="28"/>
      <w:sz w:val="56"/>
      <w:szCs w:val="56"/>
      <w:lang w:val="en-GB"/>
    </w:rPr>
  </w:style>
  <w:style w:type="paragraph" w:styleId="Caption">
    <w:name w:val="caption"/>
    <w:basedOn w:val="Normal"/>
    <w:next w:val="Normal"/>
    <w:uiPriority w:val="35"/>
    <w:unhideWhenUsed/>
    <w:qFormat/>
    <w:rsid w:val="00DE56B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5646052">
      <w:bodyDiv w:val="1"/>
      <w:marLeft w:val="0"/>
      <w:marRight w:val="0"/>
      <w:marTop w:val="0"/>
      <w:marBottom w:val="0"/>
      <w:divBdr>
        <w:top w:val="none" w:sz="0" w:space="0" w:color="auto"/>
        <w:left w:val="none" w:sz="0" w:space="0" w:color="auto"/>
        <w:bottom w:val="none" w:sz="0" w:space="0" w:color="auto"/>
        <w:right w:val="none" w:sz="0" w:space="0" w:color="auto"/>
      </w:divBdr>
    </w:div>
    <w:div w:id="1678076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2869</Words>
  <Characters>16356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Silviya Petkova (2131598)</cp:lastModifiedBy>
  <cp:revision>6</cp:revision>
  <dcterms:created xsi:type="dcterms:W3CDTF">2022-11-13T09:12:00Z</dcterms:created>
  <dcterms:modified xsi:type="dcterms:W3CDTF">2022-11-22T08:11:00Z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3e293974-69bf-4658-aeb4-d4ea644dd748</vt:lpwstr>
  </property>
</Properties>
</file>