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556F8" w14:textId="77777777" w:rsidR="008E3CF6" w:rsidRDefault="008E3CF6">
      <w:pPr>
        <w:jc w:val="center"/>
        <w:rPr>
          <w:rFonts w:ascii="Times New Roman" w:hAnsi="Times New Roman" w:cs="Times New Roman"/>
          <w:b/>
          <w:bCs/>
          <w:color w:val="000000" w:themeColor="text1"/>
          <w:sz w:val="32"/>
          <w:szCs w:val="32"/>
        </w:rPr>
      </w:pPr>
    </w:p>
    <w:p w14:paraId="1A363473" w14:textId="77777777" w:rsidR="008E3CF6" w:rsidRDefault="008E3CF6">
      <w:pPr>
        <w:jc w:val="center"/>
        <w:rPr>
          <w:rFonts w:ascii="Times New Roman" w:hAnsi="Times New Roman" w:cs="Times New Roman"/>
          <w:b/>
          <w:bCs/>
          <w:color w:val="000000" w:themeColor="text1"/>
          <w:sz w:val="32"/>
          <w:szCs w:val="32"/>
        </w:rPr>
      </w:pPr>
    </w:p>
    <w:p w14:paraId="2C86D6C7" w14:textId="77777777" w:rsidR="008E3CF6" w:rsidRDefault="008E3CF6">
      <w:pPr>
        <w:jc w:val="center"/>
        <w:rPr>
          <w:rFonts w:ascii="Times New Roman" w:hAnsi="Times New Roman" w:cs="Times New Roman"/>
          <w:b/>
          <w:bCs/>
          <w:color w:val="000000" w:themeColor="text1"/>
          <w:sz w:val="32"/>
          <w:szCs w:val="32"/>
        </w:rPr>
      </w:pPr>
    </w:p>
    <w:p w14:paraId="4BEA5035" w14:textId="77777777" w:rsidR="008E3CF6" w:rsidRDefault="00000000">
      <w:pPr>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The Impact of </w:t>
      </w:r>
      <w:r>
        <w:rPr>
          <w:rFonts w:ascii="Times New Roman" w:hAnsi="Times New Roman" w:cs="Times New Roman" w:hint="eastAsia"/>
          <w:b/>
          <w:bCs/>
          <w:color w:val="000000" w:themeColor="text1"/>
          <w:sz w:val="36"/>
          <w:szCs w:val="36"/>
        </w:rPr>
        <w:t>W</w:t>
      </w:r>
      <w:r>
        <w:rPr>
          <w:rFonts w:ascii="Times New Roman" w:hAnsi="Times New Roman" w:cs="Times New Roman"/>
          <w:b/>
          <w:bCs/>
          <w:color w:val="000000" w:themeColor="text1"/>
          <w:sz w:val="36"/>
          <w:szCs w:val="36"/>
        </w:rPr>
        <w:t xml:space="preserve">elfare and </w:t>
      </w:r>
      <w:r>
        <w:rPr>
          <w:rFonts w:ascii="Times New Roman" w:hAnsi="Times New Roman" w:cs="Times New Roman" w:hint="eastAsia"/>
          <w:b/>
          <w:bCs/>
          <w:color w:val="000000" w:themeColor="text1"/>
          <w:sz w:val="36"/>
          <w:szCs w:val="36"/>
        </w:rPr>
        <w:t>C</w:t>
      </w:r>
      <w:r>
        <w:rPr>
          <w:rFonts w:ascii="Times New Roman" w:hAnsi="Times New Roman" w:cs="Times New Roman"/>
          <w:b/>
          <w:bCs/>
          <w:color w:val="000000" w:themeColor="text1"/>
          <w:sz w:val="36"/>
          <w:szCs w:val="36"/>
        </w:rPr>
        <w:t>ompensation on Employee Productivity in Securities Companies: A Critical Analysis Based on China Securities Co., Ltd.</w:t>
      </w:r>
    </w:p>
    <w:p w14:paraId="7713D8C4" w14:textId="77777777" w:rsidR="008E3CF6" w:rsidRDefault="008E3CF6">
      <w:pPr>
        <w:spacing w:line="360" w:lineRule="auto"/>
        <w:ind w:firstLineChars="135" w:firstLine="297"/>
        <w:rPr>
          <w:rFonts w:ascii="Times New Roman" w:hAnsi="Times New Roman" w:cs="Times New Roman"/>
          <w:color w:val="000000" w:themeColor="text1"/>
          <w:sz w:val="22"/>
          <w:szCs w:val="22"/>
        </w:rPr>
      </w:pPr>
    </w:p>
    <w:p w14:paraId="4F6FDD66" w14:textId="77777777" w:rsidR="008E3CF6" w:rsidRDefault="008E3CF6">
      <w:pPr>
        <w:spacing w:line="360" w:lineRule="auto"/>
        <w:ind w:firstLineChars="135" w:firstLine="297"/>
        <w:rPr>
          <w:rFonts w:ascii="Times New Roman" w:hAnsi="Times New Roman" w:cs="Times New Roman"/>
          <w:color w:val="000000" w:themeColor="text1"/>
          <w:sz w:val="22"/>
          <w:szCs w:val="22"/>
        </w:rPr>
      </w:pPr>
    </w:p>
    <w:p w14:paraId="118D782F" w14:textId="77777777" w:rsidR="008E3CF6" w:rsidRDefault="008E3CF6">
      <w:pPr>
        <w:spacing w:line="360" w:lineRule="auto"/>
        <w:ind w:firstLineChars="135" w:firstLine="297"/>
        <w:rPr>
          <w:rFonts w:ascii="Times New Roman" w:hAnsi="Times New Roman" w:cs="Times New Roman"/>
          <w:color w:val="000000" w:themeColor="text1"/>
          <w:sz w:val="22"/>
          <w:szCs w:val="22"/>
        </w:rPr>
      </w:pPr>
    </w:p>
    <w:p w14:paraId="7B486CA7" w14:textId="77777777" w:rsidR="008E3CF6" w:rsidRDefault="008E3CF6">
      <w:pPr>
        <w:spacing w:line="360" w:lineRule="auto"/>
        <w:ind w:firstLineChars="135" w:firstLine="297"/>
        <w:rPr>
          <w:rFonts w:ascii="Times New Roman" w:hAnsi="Times New Roman" w:cs="Times New Roman"/>
          <w:color w:val="000000" w:themeColor="text1"/>
          <w:sz w:val="22"/>
          <w:szCs w:val="22"/>
        </w:rPr>
      </w:pPr>
    </w:p>
    <w:p w14:paraId="247D2ABF" w14:textId="77777777" w:rsidR="008E3CF6" w:rsidRDefault="008E3CF6">
      <w:pPr>
        <w:spacing w:line="360" w:lineRule="auto"/>
        <w:ind w:firstLineChars="135" w:firstLine="297"/>
        <w:rPr>
          <w:rFonts w:ascii="Times New Roman" w:hAnsi="Times New Roman" w:cs="Times New Roman"/>
          <w:color w:val="000000" w:themeColor="text1"/>
          <w:sz w:val="22"/>
          <w:szCs w:val="22"/>
        </w:rPr>
      </w:pPr>
    </w:p>
    <w:p w14:paraId="70DDA066" w14:textId="77777777" w:rsidR="008E3CF6" w:rsidRDefault="008E3CF6">
      <w:pPr>
        <w:spacing w:line="360" w:lineRule="auto"/>
        <w:ind w:firstLineChars="135" w:firstLine="297"/>
        <w:rPr>
          <w:rFonts w:ascii="Times New Roman" w:hAnsi="Times New Roman" w:cs="Times New Roman"/>
          <w:color w:val="000000" w:themeColor="text1"/>
          <w:sz w:val="22"/>
          <w:szCs w:val="22"/>
        </w:rPr>
      </w:pPr>
    </w:p>
    <w:p w14:paraId="015F600C" w14:textId="77777777" w:rsidR="008E3CF6" w:rsidRDefault="008E3CF6">
      <w:pPr>
        <w:spacing w:line="360" w:lineRule="auto"/>
        <w:ind w:firstLineChars="135" w:firstLine="297"/>
        <w:rPr>
          <w:rFonts w:ascii="Times New Roman" w:hAnsi="Times New Roman" w:cs="Times New Roman"/>
          <w:color w:val="000000" w:themeColor="text1"/>
          <w:sz w:val="22"/>
          <w:szCs w:val="22"/>
        </w:rPr>
      </w:pPr>
    </w:p>
    <w:p w14:paraId="42F44A8E" w14:textId="77777777" w:rsidR="008E3CF6" w:rsidRDefault="008E3CF6">
      <w:pPr>
        <w:spacing w:line="360" w:lineRule="auto"/>
        <w:ind w:firstLineChars="135" w:firstLine="297"/>
        <w:rPr>
          <w:rFonts w:ascii="Times New Roman" w:hAnsi="Times New Roman" w:cs="Times New Roman"/>
          <w:color w:val="000000" w:themeColor="text1"/>
          <w:sz w:val="22"/>
          <w:szCs w:val="22"/>
        </w:rPr>
      </w:pPr>
    </w:p>
    <w:p w14:paraId="30DD0B25" w14:textId="77777777" w:rsidR="008E3CF6" w:rsidRDefault="008E3CF6">
      <w:pPr>
        <w:spacing w:line="360" w:lineRule="auto"/>
        <w:ind w:firstLineChars="135" w:firstLine="297"/>
        <w:rPr>
          <w:rFonts w:ascii="Times New Roman" w:hAnsi="Times New Roman" w:cs="Times New Roman"/>
          <w:color w:val="000000" w:themeColor="text1"/>
          <w:sz w:val="22"/>
          <w:szCs w:val="22"/>
        </w:rPr>
      </w:pPr>
    </w:p>
    <w:p w14:paraId="2B015C6A" w14:textId="77777777" w:rsidR="008E3CF6" w:rsidRDefault="008E3CF6">
      <w:pPr>
        <w:spacing w:line="360" w:lineRule="auto"/>
        <w:ind w:firstLineChars="135" w:firstLine="297"/>
        <w:rPr>
          <w:rFonts w:ascii="Times New Roman" w:hAnsi="Times New Roman" w:cs="Times New Roman"/>
          <w:color w:val="000000" w:themeColor="text1"/>
          <w:sz w:val="22"/>
          <w:szCs w:val="22"/>
        </w:rPr>
      </w:pPr>
    </w:p>
    <w:p w14:paraId="6E431D68" w14:textId="77777777" w:rsidR="008E3CF6" w:rsidRDefault="008E3CF6">
      <w:pPr>
        <w:spacing w:line="360" w:lineRule="auto"/>
        <w:ind w:firstLineChars="135" w:firstLine="297"/>
        <w:rPr>
          <w:rFonts w:ascii="Times New Roman" w:hAnsi="Times New Roman" w:cs="Times New Roman"/>
          <w:color w:val="000000" w:themeColor="text1"/>
          <w:sz w:val="22"/>
          <w:szCs w:val="22"/>
        </w:rPr>
      </w:pPr>
    </w:p>
    <w:p w14:paraId="1FCC02E3" w14:textId="16D328B8" w:rsidR="008E3CF6" w:rsidRDefault="00000000">
      <w:pPr>
        <w:spacing w:line="360" w:lineRule="auto"/>
        <w:ind w:firstLineChars="620" w:firstLine="1984"/>
        <w:rPr>
          <w:rFonts w:ascii="Times New Roman" w:hAnsi="Times New Roman" w:cs="Times New Roman"/>
          <w:color w:val="000000" w:themeColor="text1"/>
          <w:sz w:val="32"/>
          <w:szCs w:val="32"/>
        </w:rPr>
      </w:pPr>
      <w:proofErr w:type="spellStart"/>
      <w:proofErr w:type="gramStart"/>
      <w:r>
        <w:rPr>
          <w:rFonts w:ascii="Times New Roman" w:hAnsi="Times New Roman" w:cs="Times New Roman" w:hint="eastAsia"/>
          <w:color w:val="000000" w:themeColor="text1"/>
          <w:sz w:val="32"/>
          <w:szCs w:val="32"/>
        </w:rPr>
        <w:t>N</w:t>
      </w:r>
      <w:r>
        <w:rPr>
          <w:rFonts w:ascii="Times New Roman" w:hAnsi="Times New Roman" w:cs="Times New Roman"/>
          <w:color w:val="000000" w:themeColor="text1"/>
          <w:sz w:val="32"/>
          <w:szCs w:val="32"/>
        </w:rPr>
        <w:t>ame:</w:t>
      </w:r>
      <w:r w:rsidR="00FD6F76">
        <w:rPr>
          <w:rFonts w:ascii="Times New Roman" w:hAnsi="Times New Roman" w:cs="Times New Roman"/>
          <w:color w:val="000000" w:themeColor="text1"/>
          <w:sz w:val="32"/>
          <w:szCs w:val="32"/>
        </w:rPr>
        <w:t>H</w:t>
      </w:r>
      <w:r w:rsidR="00FD6F76">
        <w:rPr>
          <w:rFonts w:ascii="Times New Roman" w:hAnsi="Times New Roman" w:cs="Times New Roman" w:hint="eastAsia"/>
          <w:color w:val="000000" w:themeColor="text1"/>
          <w:sz w:val="32"/>
          <w:szCs w:val="32"/>
        </w:rPr>
        <w:t>uang</w:t>
      </w:r>
      <w:proofErr w:type="spellEnd"/>
      <w:proofErr w:type="gramEnd"/>
      <w:r w:rsidR="00FD6F76">
        <w:rPr>
          <w:rFonts w:ascii="Times New Roman" w:hAnsi="Times New Roman" w:cs="Times New Roman"/>
          <w:color w:val="000000" w:themeColor="text1"/>
          <w:sz w:val="32"/>
          <w:szCs w:val="32"/>
        </w:rPr>
        <w:t xml:space="preserve"> </w:t>
      </w:r>
      <w:proofErr w:type="spellStart"/>
      <w:r w:rsidR="00FD6F76">
        <w:rPr>
          <w:rFonts w:ascii="Times New Roman" w:hAnsi="Times New Roman" w:cs="Times New Roman"/>
          <w:color w:val="000000" w:themeColor="text1"/>
          <w:sz w:val="32"/>
          <w:szCs w:val="32"/>
        </w:rPr>
        <w:t>D</w:t>
      </w:r>
      <w:r w:rsidR="00FD6F76">
        <w:rPr>
          <w:rFonts w:ascii="Times New Roman" w:hAnsi="Times New Roman" w:cs="Times New Roman" w:hint="eastAsia"/>
          <w:color w:val="000000" w:themeColor="text1"/>
          <w:sz w:val="32"/>
          <w:szCs w:val="32"/>
        </w:rPr>
        <w:t>ongxue</w:t>
      </w:r>
      <w:proofErr w:type="spellEnd"/>
    </w:p>
    <w:p w14:paraId="70978BB7" w14:textId="0EE836DC" w:rsidR="008E3CF6" w:rsidRDefault="00000000">
      <w:pPr>
        <w:spacing w:line="360" w:lineRule="auto"/>
        <w:ind w:firstLineChars="620" w:firstLine="1984"/>
        <w:rPr>
          <w:rFonts w:ascii="Times New Roman" w:hAnsi="Times New Roman" w:cs="Times New Roman"/>
          <w:color w:val="000000" w:themeColor="text1"/>
          <w:sz w:val="32"/>
          <w:szCs w:val="32"/>
        </w:rPr>
      </w:pPr>
      <w:r>
        <w:rPr>
          <w:rFonts w:ascii="Times New Roman" w:hAnsi="Times New Roman" w:cs="Times New Roman" w:hint="eastAsia"/>
          <w:color w:val="000000" w:themeColor="text1"/>
          <w:sz w:val="32"/>
          <w:szCs w:val="32"/>
        </w:rPr>
        <w:t>S</w:t>
      </w:r>
      <w:r>
        <w:rPr>
          <w:rFonts w:ascii="Times New Roman" w:hAnsi="Times New Roman" w:cs="Times New Roman"/>
          <w:color w:val="000000" w:themeColor="text1"/>
          <w:sz w:val="32"/>
          <w:szCs w:val="32"/>
        </w:rPr>
        <w:t xml:space="preserve">tudent number: </w:t>
      </w:r>
      <w:r w:rsidR="00FD6F76">
        <w:rPr>
          <w:rFonts w:ascii="Times New Roman" w:hAnsi="Times New Roman" w:cs="Times New Roman"/>
          <w:color w:val="000000" w:themeColor="text1"/>
          <w:sz w:val="32"/>
          <w:szCs w:val="32"/>
        </w:rPr>
        <w:t>2229180</w:t>
      </w:r>
    </w:p>
    <w:p w14:paraId="00D7CFBD" w14:textId="77777777" w:rsidR="008E3CF6" w:rsidRDefault="00000000">
      <w:pPr>
        <w:spacing w:line="360" w:lineRule="auto"/>
        <w:ind w:firstLineChars="620" w:firstLine="1984"/>
        <w:rPr>
          <w:rFonts w:ascii="Times New Roman" w:hAnsi="Times New Roman" w:cs="Times New Roman"/>
          <w:color w:val="000000" w:themeColor="text1"/>
          <w:sz w:val="32"/>
          <w:szCs w:val="32"/>
        </w:rPr>
      </w:pPr>
      <w:r>
        <w:rPr>
          <w:rFonts w:ascii="Times New Roman" w:hAnsi="Times New Roman" w:cs="Times New Roman" w:hint="eastAsia"/>
          <w:color w:val="000000" w:themeColor="text1"/>
          <w:sz w:val="32"/>
          <w:szCs w:val="32"/>
        </w:rPr>
        <w:t>M</w:t>
      </w:r>
      <w:r>
        <w:rPr>
          <w:rFonts w:ascii="Times New Roman" w:hAnsi="Times New Roman" w:cs="Times New Roman"/>
          <w:color w:val="000000" w:themeColor="text1"/>
          <w:sz w:val="32"/>
          <w:szCs w:val="32"/>
        </w:rPr>
        <w:t>odule code: BMMB7007</w:t>
      </w:r>
    </w:p>
    <w:p w14:paraId="72493AA2" w14:textId="77777777" w:rsidR="008E3CF6" w:rsidRDefault="00000000">
      <w:pPr>
        <w:spacing w:line="360" w:lineRule="auto"/>
        <w:ind w:firstLineChars="200" w:firstLine="640"/>
        <w:rPr>
          <w:rFonts w:ascii="Times New Roman" w:hAnsi="Times New Roman" w:cs="Times New Roman"/>
          <w:color w:val="000000" w:themeColor="text1"/>
          <w:sz w:val="22"/>
          <w:szCs w:val="22"/>
        </w:rPr>
      </w:pPr>
      <w:r>
        <w:rPr>
          <w:rFonts w:ascii="Times New Roman" w:hAnsi="Times New Roman" w:cs="Times New Roman" w:hint="eastAsia"/>
          <w:color w:val="000000" w:themeColor="text1"/>
          <w:sz w:val="32"/>
          <w:szCs w:val="32"/>
        </w:rPr>
        <w:t>M</w:t>
      </w:r>
      <w:r>
        <w:rPr>
          <w:rFonts w:ascii="Times New Roman" w:hAnsi="Times New Roman" w:cs="Times New Roman"/>
          <w:color w:val="000000" w:themeColor="text1"/>
          <w:sz w:val="32"/>
          <w:szCs w:val="32"/>
        </w:rPr>
        <w:t>odule name: Human Resource Management</w:t>
      </w:r>
    </w:p>
    <w:p w14:paraId="7E5B42CC" w14:textId="77777777" w:rsidR="008E3CF6" w:rsidRDefault="008E3CF6">
      <w:pPr>
        <w:spacing w:line="360" w:lineRule="auto"/>
        <w:rPr>
          <w:rFonts w:ascii="Times New Roman" w:hAnsi="Times New Roman" w:cs="Times New Roman"/>
          <w:color w:val="000000" w:themeColor="text1"/>
          <w:sz w:val="22"/>
          <w:szCs w:val="22"/>
        </w:rPr>
        <w:sectPr w:rsidR="008E3CF6">
          <w:footerReference w:type="even" r:id="rId6"/>
          <w:pgSz w:w="11906" w:h="16838"/>
          <w:pgMar w:top="1440" w:right="1800" w:bottom="1440" w:left="1800" w:header="851" w:footer="992" w:gutter="0"/>
          <w:cols w:space="425"/>
          <w:docGrid w:type="lines" w:linePitch="312"/>
        </w:sectPr>
      </w:pPr>
    </w:p>
    <w:p w14:paraId="0E1E91B6" w14:textId="77777777" w:rsidR="008E3CF6" w:rsidRDefault="00000000">
      <w:pPr>
        <w:pStyle w:val="1"/>
        <w:rPr>
          <w:color w:val="000000" w:themeColor="text1"/>
        </w:rPr>
      </w:pPr>
      <w:bookmarkStart w:id="0" w:name="_Toc152277270"/>
      <w:bookmarkStart w:id="1" w:name="_Toc147807612"/>
      <w:r>
        <w:rPr>
          <w:color w:val="000000" w:themeColor="text1"/>
        </w:rPr>
        <w:lastRenderedPageBreak/>
        <w:t>Abstract</w:t>
      </w:r>
      <w:bookmarkEnd w:id="0"/>
      <w:bookmarkEnd w:id="1"/>
    </w:p>
    <w:p w14:paraId="45C8A17F"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This report thoroughly investigates the impact of employee welfare and compensation levels at China Securities Co., Ltd. on employee productivity. By analyzing the relationship between the current compensation and benefits and productivity, the report highlights existing shortcomings, including a lack of appeal to senior talent and misalignment with corporate strategic objectives. These issues have led to a decrease in employee motivation and productivity, adversely affecting talent attraction, retention, and the overall effectiveness of the organization.</w:t>
      </w:r>
      <w:r>
        <w:rPr>
          <w:rFonts w:ascii="Times New Roman" w:hAnsi="Times New Roman" w:cs="Times New Roman" w:hint="eastAsia"/>
          <w:color w:val="000000" w:themeColor="text1"/>
          <w:sz w:val="22"/>
          <w:szCs w:val="22"/>
        </w:rPr>
        <w:t xml:space="preserve"> </w:t>
      </w:r>
      <w:r>
        <w:rPr>
          <w:rFonts w:ascii="Times New Roman" w:hAnsi="Times New Roman" w:cs="Times New Roman"/>
          <w:color w:val="000000" w:themeColor="text1"/>
          <w:sz w:val="22"/>
          <w:szCs w:val="22"/>
        </w:rPr>
        <w:t>The report underscores the importance of enhancing compensation and benefits levels, emphasizing its critical role in boosting employee engagement, increasing productivity, maintaining competitive talent, and achieving the company's long-term strategic goals. It recommends that China Securities Co., Ltd. should implement a series of measures to improve its compensation and benefits levels, including increasing existing benefits and bonus levels by a certain coefficient, enhancing the flexibility and transparency of the compensation structure, and expanding non-monetary benefits. In proposing these recommendations, the report considers the company's resource constraints, current needs, and challenges faced, suggesting feasible improvement measures within the existing resource framework. The report also clearly identifies potential risks and costs associated with these recommendations, including the risk of performance metrics imbalance, implementation costs, and changes in employee attitudes and morale.</w:t>
      </w:r>
    </w:p>
    <w:p w14:paraId="3CE86FAF" w14:textId="77777777" w:rsidR="008E3CF6" w:rsidRDefault="00000000">
      <w:pPr>
        <w:spacing w:line="360" w:lineRule="auto"/>
        <w:ind w:firstLineChars="135" w:firstLine="297"/>
        <w:rPr>
          <w:rFonts w:ascii="Times New Roman" w:hAnsi="Times New Roman" w:cs="Times New Roman"/>
          <w:color w:val="000000" w:themeColor="text1"/>
          <w:sz w:val="22"/>
          <w:szCs w:val="22"/>
        </w:rPr>
      </w:pPr>
      <w:r>
        <w:rPr>
          <w:rFonts w:ascii="Times New Roman" w:hAnsi="Times New Roman" w:cs="Times New Roman"/>
          <w:b/>
          <w:bCs/>
          <w:color w:val="000000" w:themeColor="text1"/>
          <w:sz w:val="22"/>
          <w:szCs w:val="22"/>
        </w:rPr>
        <w:t>Keywords:</w:t>
      </w:r>
      <w:r>
        <w:rPr>
          <w:rFonts w:ascii="Times New Roman" w:hAnsi="Times New Roman" w:cs="Times New Roman"/>
          <w:color w:val="000000" w:themeColor="text1"/>
          <w:sz w:val="22"/>
          <w:szCs w:val="22"/>
        </w:rPr>
        <w:t xml:space="preserve"> Compensation</w:t>
      </w:r>
      <w:r>
        <w:rPr>
          <w:rFonts w:ascii="Times New Roman" w:hAnsi="Times New Roman" w:cs="Times New Roman" w:hint="eastAsia"/>
          <w:color w:val="000000" w:themeColor="text1"/>
          <w:sz w:val="22"/>
          <w:szCs w:val="22"/>
        </w:rPr>
        <w:t>;</w:t>
      </w:r>
      <w:r>
        <w:rPr>
          <w:rFonts w:ascii="Times New Roman" w:hAnsi="Times New Roman" w:cs="Times New Roman"/>
          <w:color w:val="000000" w:themeColor="text1"/>
          <w:sz w:val="22"/>
          <w:szCs w:val="22"/>
        </w:rPr>
        <w:t xml:space="preserve"> Employee Productivity; Securities Industry</w:t>
      </w:r>
    </w:p>
    <w:p w14:paraId="3C1171A7" w14:textId="77777777" w:rsidR="008E3CF6" w:rsidRDefault="008E3CF6">
      <w:pPr>
        <w:spacing w:line="360" w:lineRule="auto"/>
        <w:rPr>
          <w:rFonts w:ascii="Times New Roman" w:hAnsi="Times New Roman" w:cs="Times New Roman"/>
          <w:color w:val="000000" w:themeColor="text1"/>
          <w:sz w:val="22"/>
          <w:szCs w:val="22"/>
        </w:rPr>
      </w:pPr>
    </w:p>
    <w:p w14:paraId="0441EEC9" w14:textId="77777777" w:rsidR="008E3CF6" w:rsidRDefault="008E3CF6">
      <w:pPr>
        <w:spacing w:line="360" w:lineRule="auto"/>
        <w:rPr>
          <w:rFonts w:ascii="Times New Roman" w:hAnsi="Times New Roman" w:cs="Times New Roman"/>
          <w:color w:val="000000" w:themeColor="text1"/>
          <w:sz w:val="22"/>
          <w:szCs w:val="22"/>
        </w:rPr>
      </w:pPr>
    </w:p>
    <w:p w14:paraId="707243B2" w14:textId="77777777" w:rsidR="008E3CF6" w:rsidRDefault="008E3CF6">
      <w:pPr>
        <w:spacing w:line="360" w:lineRule="auto"/>
        <w:rPr>
          <w:rFonts w:ascii="Times New Roman" w:hAnsi="Times New Roman" w:cs="Times New Roman"/>
          <w:color w:val="000000" w:themeColor="text1"/>
          <w:sz w:val="22"/>
          <w:szCs w:val="22"/>
        </w:rPr>
        <w:sectPr w:rsidR="008E3CF6">
          <w:footerReference w:type="default" r:id="rId7"/>
          <w:pgSz w:w="11906" w:h="16838"/>
          <w:pgMar w:top="1440" w:right="1800" w:bottom="1440" w:left="1800" w:header="851" w:footer="992" w:gutter="0"/>
          <w:pgNumType w:fmt="upperRoman" w:start="1"/>
          <w:cols w:space="425"/>
          <w:docGrid w:type="lines" w:linePitch="312"/>
        </w:sectPr>
      </w:pPr>
    </w:p>
    <w:sdt>
      <w:sdtPr>
        <w:rPr>
          <w:rFonts w:ascii="Times New Roman" w:eastAsiaTheme="minorEastAsia" w:hAnsi="Times New Roman" w:cs="Times New Roman"/>
          <w:b w:val="0"/>
          <w:bCs w:val="0"/>
          <w:color w:val="000000" w:themeColor="text1"/>
          <w:kern w:val="2"/>
          <w:sz w:val="21"/>
          <w:szCs w:val="24"/>
          <w:lang w:val="zh-CN"/>
        </w:rPr>
        <w:id w:val="-1778172056"/>
        <w:docPartObj>
          <w:docPartGallery w:val="Table of Contents"/>
          <w:docPartUnique/>
        </w:docPartObj>
      </w:sdtPr>
      <w:sdtEndPr>
        <w:rPr>
          <w:rFonts w:asciiTheme="minorHAnsi" w:hAnsiTheme="minorHAnsi" w:cstheme="minorBidi"/>
          <w:lang w:val="en-US"/>
        </w:rPr>
      </w:sdtEndPr>
      <w:sdtContent>
        <w:p w14:paraId="6A9C0A15" w14:textId="77777777" w:rsidR="008E3CF6" w:rsidRDefault="00000000">
          <w:pPr>
            <w:pStyle w:val="TOC10"/>
            <w:jc w:val="center"/>
            <w:rPr>
              <w:rFonts w:ascii="Times New Roman" w:hAnsi="Times New Roman" w:cs="Times New Roman"/>
              <w:color w:val="000000" w:themeColor="text1"/>
              <w:lang w:val="zh-CN"/>
            </w:rPr>
          </w:pPr>
          <w:r>
            <w:rPr>
              <w:rFonts w:ascii="Times New Roman" w:hAnsi="Times New Roman" w:cs="Times New Roman"/>
              <w:color w:val="000000" w:themeColor="text1"/>
              <w:lang w:val="zh-CN"/>
            </w:rPr>
            <w:t>Contents</w:t>
          </w:r>
        </w:p>
        <w:p w14:paraId="7F3BC2BC" w14:textId="77777777" w:rsidR="008E3CF6" w:rsidRDefault="00000000">
          <w:pPr>
            <w:pStyle w:val="TOC1"/>
            <w:tabs>
              <w:tab w:val="right" w:leader="dot" w:pos="8296"/>
            </w:tabs>
            <w:spacing w:line="360" w:lineRule="auto"/>
            <w:rPr>
              <w:rFonts w:ascii="Times New Roman" w:eastAsiaTheme="minorEastAsia" w:hAnsi="Times New Roman" w:cs="Times New Roman"/>
              <w:b w:val="0"/>
              <w:bCs w:val="0"/>
              <w:caps w:val="0"/>
              <w:color w:val="000000" w:themeColor="text1"/>
              <w:sz w:val="22"/>
              <w:szCs w:val="22"/>
            </w:rPr>
          </w:pPr>
          <w:r>
            <w:rPr>
              <w:b w:val="0"/>
              <w:bCs w:val="0"/>
              <w:color w:val="000000" w:themeColor="text1"/>
            </w:rPr>
            <w:fldChar w:fldCharType="begin"/>
          </w:r>
          <w:r>
            <w:rPr>
              <w:color w:val="000000" w:themeColor="text1"/>
            </w:rPr>
            <w:instrText>TOC \o "1-3" \h \z \u</w:instrText>
          </w:r>
          <w:r>
            <w:rPr>
              <w:b w:val="0"/>
              <w:bCs w:val="0"/>
              <w:color w:val="000000" w:themeColor="text1"/>
            </w:rPr>
            <w:fldChar w:fldCharType="separate"/>
          </w:r>
          <w:hyperlink w:anchor="_Toc152277270" w:history="1">
            <w:r>
              <w:rPr>
                <w:rStyle w:val="aa"/>
                <w:rFonts w:ascii="Times New Roman" w:hAnsi="Times New Roman" w:cs="Times New Roman"/>
                <w:caps w:val="0"/>
                <w:color w:val="000000" w:themeColor="text1"/>
                <w:sz w:val="22"/>
                <w:szCs w:val="22"/>
              </w:rPr>
              <w:t>Abstract</w:t>
            </w:r>
            <w:r>
              <w:rPr>
                <w:rFonts w:ascii="Times New Roman" w:hAnsi="Times New Roman" w:cs="Times New Roman"/>
                <w:caps w:val="0"/>
                <w:color w:val="000000" w:themeColor="text1"/>
                <w:sz w:val="22"/>
                <w:szCs w:val="22"/>
              </w:rPr>
              <w:tab/>
            </w:r>
            <w:r>
              <w:rPr>
                <w:rFonts w:ascii="Times New Roman" w:hAnsi="Times New Roman" w:cs="Times New Roman"/>
                <w:caps w:val="0"/>
                <w:color w:val="000000" w:themeColor="text1"/>
                <w:sz w:val="22"/>
                <w:szCs w:val="22"/>
              </w:rPr>
              <w:fldChar w:fldCharType="begin"/>
            </w:r>
            <w:r>
              <w:rPr>
                <w:rFonts w:ascii="Times New Roman" w:hAnsi="Times New Roman" w:cs="Times New Roman"/>
                <w:caps w:val="0"/>
                <w:color w:val="000000" w:themeColor="text1"/>
                <w:sz w:val="22"/>
                <w:szCs w:val="22"/>
              </w:rPr>
              <w:instrText xml:space="preserve"> PAGEREF _Toc152277270 \h </w:instrText>
            </w:r>
            <w:r>
              <w:rPr>
                <w:rFonts w:ascii="Times New Roman" w:hAnsi="Times New Roman" w:cs="Times New Roman"/>
                <w:caps w:val="0"/>
                <w:color w:val="000000" w:themeColor="text1"/>
                <w:sz w:val="22"/>
                <w:szCs w:val="22"/>
              </w:rPr>
            </w:r>
            <w:r>
              <w:rPr>
                <w:rFonts w:ascii="Times New Roman" w:hAnsi="Times New Roman" w:cs="Times New Roman"/>
                <w:caps w:val="0"/>
                <w:color w:val="000000" w:themeColor="text1"/>
                <w:sz w:val="22"/>
                <w:szCs w:val="22"/>
              </w:rPr>
              <w:fldChar w:fldCharType="separate"/>
            </w:r>
            <w:r>
              <w:rPr>
                <w:rFonts w:ascii="Times New Roman" w:hAnsi="Times New Roman" w:cs="Times New Roman"/>
                <w:caps w:val="0"/>
                <w:color w:val="000000" w:themeColor="text1"/>
                <w:sz w:val="22"/>
                <w:szCs w:val="22"/>
              </w:rPr>
              <w:t>I</w:t>
            </w:r>
            <w:r>
              <w:rPr>
                <w:rFonts w:ascii="Times New Roman" w:hAnsi="Times New Roman" w:cs="Times New Roman"/>
                <w:caps w:val="0"/>
                <w:color w:val="000000" w:themeColor="text1"/>
                <w:sz w:val="22"/>
                <w:szCs w:val="22"/>
              </w:rPr>
              <w:fldChar w:fldCharType="end"/>
            </w:r>
          </w:hyperlink>
        </w:p>
        <w:p w14:paraId="32AA90D9" w14:textId="77777777" w:rsidR="008E3CF6" w:rsidRDefault="00000000">
          <w:pPr>
            <w:pStyle w:val="TOC1"/>
            <w:tabs>
              <w:tab w:val="right" w:leader="dot" w:pos="8296"/>
            </w:tabs>
            <w:spacing w:line="360" w:lineRule="auto"/>
            <w:rPr>
              <w:rFonts w:ascii="Times New Roman" w:eastAsiaTheme="minorEastAsia" w:hAnsi="Times New Roman" w:cs="Times New Roman"/>
              <w:b w:val="0"/>
              <w:bCs w:val="0"/>
              <w:caps w:val="0"/>
              <w:color w:val="000000" w:themeColor="text1"/>
              <w:sz w:val="22"/>
              <w:szCs w:val="22"/>
            </w:rPr>
          </w:pPr>
          <w:hyperlink w:anchor="_Toc152277271" w:history="1">
            <w:r>
              <w:rPr>
                <w:rStyle w:val="aa"/>
                <w:rFonts w:ascii="Times New Roman" w:hAnsi="Times New Roman" w:cs="Times New Roman"/>
                <w:caps w:val="0"/>
                <w:color w:val="000000" w:themeColor="text1"/>
                <w:sz w:val="22"/>
                <w:szCs w:val="22"/>
              </w:rPr>
              <w:t>I. Introduction</w:t>
            </w:r>
            <w:r>
              <w:rPr>
                <w:rFonts w:ascii="Times New Roman" w:hAnsi="Times New Roman" w:cs="Times New Roman"/>
                <w:caps w:val="0"/>
                <w:color w:val="000000" w:themeColor="text1"/>
                <w:sz w:val="22"/>
                <w:szCs w:val="22"/>
              </w:rPr>
              <w:tab/>
            </w:r>
            <w:r>
              <w:rPr>
                <w:rFonts w:ascii="Times New Roman" w:hAnsi="Times New Roman" w:cs="Times New Roman"/>
                <w:caps w:val="0"/>
                <w:color w:val="000000" w:themeColor="text1"/>
                <w:sz w:val="22"/>
                <w:szCs w:val="22"/>
              </w:rPr>
              <w:fldChar w:fldCharType="begin"/>
            </w:r>
            <w:r>
              <w:rPr>
                <w:rFonts w:ascii="Times New Roman" w:hAnsi="Times New Roman" w:cs="Times New Roman"/>
                <w:caps w:val="0"/>
                <w:color w:val="000000" w:themeColor="text1"/>
                <w:sz w:val="22"/>
                <w:szCs w:val="22"/>
              </w:rPr>
              <w:instrText xml:space="preserve"> PAGEREF _Toc152277271 \h </w:instrText>
            </w:r>
            <w:r>
              <w:rPr>
                <w:rFonts w:ascii="Times New Roman" w:hAnsi="Times New Roman" w:cs="Times New Roman"/>
                <w:caps w:val="0"/>
                <w:color w:val="000000" w:themeColor="text1"/>
                <w:sz w:val="22"/>
                <w:szCs w:val="22"/>
              </w:rPr>
            </w:r>
            <w:r>
              <w:rPr>
                <w:rFonts w:ascii="Times New Roman" w:hAnsi="Times New Roman" w:cs="Times New Roman"/>
                <w:caps w:val="0"/>
                <w:color w:val="000000" w:themeColor="text1"/>
                <w:sz w:val="22"/>
                <w:szCs w:val="22"/>
              </w:rPr>
              <w:fldChar w:fldCharType="separate"/>
            </w:r>
            <w:r>
              <w:rPr>
                <w:rFonts w:ascii="Times New Roman" w:hAnsi="Times New Roman" w:cs="Times New Roman"/>
                <w:caps w:val="0"/>
                <w:color w:val="000000" w:themeColor="text1"/>
                <w:sz w:val="22"/>
                <w:szCs w:val="22"/>
              </w:rPr>
              <w:t>1</w:t>
            </w:r>
            <w:r>
              <w:rPr>
                <w:rFonts w:ascii="Times New Roman" w:hAnsi="Times New Roman" w:cs="Times New Roman"/>
                <w:caps w:val="0"/>
                <w:color w:val="000000" w:themeColor="text1"/>
                <w:sz w:val="22"/>
                <w:szCs w:val="22"/>
              </w:rPr>
              <w:fldChar w:fldCharType="end"/>
            </w:r>
          </w:hyperlink>
        </w:p>
        <w:p w14:paraId="548393B2" w14:textId="77777777" w:rsidR="008E3CF6" w:rsidRDefault="00000000">
          <w:pPr>
            <w:pStyle w:val="TOC1"/>
            <w:tabs>
              <w:tab w:val="right" w:leader="dot" w:pos="8296"/>
            </w:tabs>
            <w:spacing w:line="360" w:lineRule="auto"/>
            <w:rPr>
              <w:rFonts w:ascii="Times New Roman" w:eastAsiaTheme="minorEastAsia" w:hAnsi="Times New Roman" w:cs="Times New Roman"/>
              <w:b w:val="0"/>
              <w:bCs w:val="0"/>
              <w:caps w:val="0"/>
              <w:color w:val="000000" w:themeColor="text1"/>
              <w:sz w:val="22"/>
              <w:szCs w:val="22"/>
            </w:rPr>
          </w:pPr>
          <w:hyperlink w:anchor="_Toc152277272" w:history="1">
            <w:r>
              <w:rPr>
                <w:rStyle w:val="aa"/>
                <w:rFonts w:ascii="Times New Roman" w:hAnsi="Times New Roman" w:cs="Times New Roman"/>
                <w:caps w:val="0"/>
                <w:color w:val="000000" w:themeColor="text1"/>
                <w:sz w:val="22"/>
                <w:szCs w:val="22"/>
              </w:rPr>
              <w:t>II. Organizational Profile</w:t>
            </w:r>
            <w:r>
              <w:rPr>
                <w:rFonts w:ascii="Times New Roman" w:hAnsi="Times New Roman" w:cs="Times New Roman"/>
                <w:caps w:val="0"/>
                <w:color w:val="000000" w:themeColor="text1"/>
                <w:sz w:val="22"/>
                <w:szCs w:val="22"/>
              </w:rPr>
              <w:tab/>
            </w:r>
            <w:r>
              <w:rPr>
                <w:rFonts w:ascii="Times New Roman" w:hAnsi="Times New Roman" w:cs="Times New Roman"/>
                <w:caps w:val="0"/>
                <w:color w:val="000000" w:themeColor="text1"/>
                <w:sz w:val="22"/>
                <w:szCs w:val="22"/>
              </w:rPr>
              <w:fldChar w:fldCharType="begin"/>
            </w:r>
            <w:r>
              <w:rPr>
                <w:rFonts w:ascii="Times New Roman" w:hAnsi="Times New Roman" w:cs="Times New Roman"/>
                <w:caps w:val="0"/>
                <w:color w:val="000000" w:themeColor="text1"/>
                <w:sz w:val="22"/>
                <w:szCs w:val="22"/>
              </w:rPr>
              <w:instrText xml:space="preserve"> PAGEREF _Toc152277272 \h </w:instrText>
            </w:r>
            <w:r>
              <w:rPr>
                <w:rFonts w:ascii="Times New Roman" w:hAnsi="Times New Roman" w:cs="Times New Roman"/>
                <w:caps w:val="0"/>
                <w:color w:val="000000" w:themeColor="text1"/>
                <w:sz w:val="22"/>
                <w:szCs w:val="22"/>
              </w:rPr>
            </w:r>
            <w:r>
              <w:rPr>
                <w:rFonts w:ascii="Times New Roman" w:hAnsi="Times New Roman" w:cs="Times New Roman"/>
                <w:caps w:val="0"/>
                <w:color w:val="000000" w:themeColor="text1"/>
                <w:sz w:val="22"/>
                <w:szCs w:val="22"/>
              </w:rPr>
              <w:fldChar w:fldCharType="separate"/>
            </w:r>
            <w:r>
              <w:rPr>
                <w:rFonts w:ascii="Times New Roman" w:hAnsi="Times New Roman" w:cs="Times New Roman"/>
                <w:caps w:val="0"/>
                <w:color w:val="000000" w:themeColor="text1"/>
                <w:sz w:val="22"/>
                <w:szCs w:val="22"/>
              </w:rPr>
              <w:t>1</w:t>
            </w:r>
            <w:r>
              <w:rPr>
                <w:rFonts w:ascii="Times New Roman" w:hAnsi="Times New Roman" w:cs="Times New Roman"/>
                <w:caps w:val="0"/>
                <w:color w:val="000000" w:themeColor="text1"/>
                <w:sz w:val="22"/>
                <w:szCs w:val="22"/>
              </w:rPr>
              <w:fldChar w:fldCharType="end"/>
            </w:r>
          </w:hyperlink>
        </w:p>
        <w:p w14:paraId="56C5FCB6" w14:textId="77777777" w:rsidR="008E3CF6" w:rsidRDefault="00000000">
          <w:pPr>
            <w:pStyle w:val="TOC1"/>
            <w:tabs>
              <w:tab w:val="right" w:leader="dot" w:pos="8296"/>
            </w:tabs>
            <w:spacing w:line="360" w:lineRule="auto"/>
            <w:rPr>
              <w:rFonts w:ascii="Times New Roman" w:eastAsiaTheme="minorEastAsia" w:hAnsi="Times New Roman" w:cs="Times New Roman"/>
              <w:b w:val="0"/>
              <w:bCs w:val="0"/>
              <w:caps w:val="0"/>
              <w:color w:val="000000" w:themeColor="text1"/>
              <w:sz w:val="22"/>
              <w:szCs w:val="22"/>
            </w:rPr>
          </w:pPr>
          <w:hyperlink w:anchor="_Toc152277273" w:history="1">
            <w:r>
              <w:rPr>
                <w:rStyle w:val="aa"/>
                <w:rFonts w:ascii="Times New Roman" w:hAnsi="Times New Roman" w:cs="Times New Roman"/>
                <w:caps w:val="0"/>
                <w:color w:val="000000" w:themeColor="text1"/>
                <w:sz w:val="22"/>
                <w:szCs w:val="22"/>
              </w:rPr>
              <w:t>III. Main Discussion</w:t>
            </w:r>
            <w:r>
              <w:rPr>
                <w:rFonts w:ascii="Times New Roman" w:hAnsi="Times New Roman" w:cs="Times New Roman"/>
                <w:caps w:val="0"/>
                <w:color w:val="000000" w:themeColor="text1"/>
                <w:sz w:val="22"/>
                <w:szCs w:val="22"/>
              </w:rPr>
              <w:tab/>
            </w:r>
            <w:r>
              <w:rPr>
                <w:rFonts w:ascii="Times New Roman" w:hAnsi="Times New Roman" w:cs="Times New Roman"/>
                <w:caps w:val="0"/>
                <w:color w:val="000000" w:themeColor="text1"/>
                <w:sz w:val="22"/>
                <w:szCs w:val="22"/>
              </w:rPr>
              <w:fldChar w:fldCharType="begin"/>
            </w:r>
            <w:r>
              <w:rPr>
                <w:rFonts w:ascii="Times New Roman" w:hAnsi="Times New Roman" w:cs="Times New Roman"/>
                <w:caps w:val="0"/>
                <w:color w:val="000000" w:themeColor="text1"/>
                <w:sz w:val="22"/>
                <w:szCs w:val="22"/>
              </w:rPr>
              <w:instrText xml:space="preserve"> PAGEREF _Toc152277273 \h </w:instrText>
            </w:r>
            <w:r>
              <w:rPr>
                <w:rFonts w:ascii="Times New Roman" w:hAnsi="Times New Roman" w:cs="Times New Roman"/>
                <w:caps w:val="0"/>
                <w:color w:val="000000" w:themeColor="text1"/>
                <w:sz w:val="22"/>
                <w:szCs w:val="22"/>
              </w:rPr>
            </w:r>
            <w:r>
              <w:rPr>
                <w:rFonts w:ascii="Times New Roman" w:hAnsi="Times New Roman" w:cs="Times New Roman"/>
                <w:caps w:val="0"/>
                <w:color w:val="000000" w:themeColor="text1"/>
                <w:sz w:val="22"/>
                <w:szCs w:val="22"/>
              </w:rPr>
              <w:fldChar w:fldCharType="separate"/>
            </w:r>
            <w:r>
              <w:rPr>
                <w:rFonts w:ascii="Times New Roman" w:hAnsi="Times New Roman" w:cs="Times New Roman"/>
                <w:caps w:val="0"/>
                <w:color w:val="000000" w:themeColor="text1"/>
                <w:sz w:val="22"/>
                <w:szCs w:val="22"/>
              </w:rPr>
              <w:t>2</w:t>
            </w:r>
            <w:r>
              <w:rPr>
                <w:rFonts w:ascii="Times New Roman" w:hAnsi="Times New Roman" w:cs="Times New Roman"/>
                <w:caps w:val="0"/>
                <w:color w:val="000000" w:themeColor="text1"/>
                <w:sz w:val="22"/>
                <w:szCs w:val="22"/>
              </w:rPr>
              <w:fldChar w:fldCharType="end"/>
            </w:r>
          </w:hyperlink>
        </w:p>
        <w:p w14:paraId="047CC549" w14:textId="77777777" w:rsidR="008E3CF6" w:rsidRDefault="00000000">
          <w:pPr>
            <w:pStyle w:val="TOC2"/>
            <w:tabs>
              <w:tab w:val="right" w:leader="dot" w:pos="8296"/>
            </w:tabs>
            <w:spacing w:line="360" w:lineRule="auto"/>
            <w:rPr>
              <w:rFonts w:ascii="Times New Roman" w:eastAsiaTheme="minorEastAsia" w:hAnsi="Times New Roman" w:cs="Times New Roman"/>
              <w:smallCaps w:val="0"/>
              <w:color w:val="000000" w:themeColor="text1"/>
              <w:sz w:val="22"/>
              <w:szCs w:val="22"/>
            </w:rPr>
          </w:pPr>
          <w:hyperlink w:anchor="_Toc152277274" w:history="1">
            <w:r>
              <w:rPr>
                <w:rStyle w:val="aa"/>
                <w:rFonts w:ascii="Times New Roman" w:hAnsi="Times New Roman" w:cs="Times New Roman"/>
                <w:smallCaps w:val="0"/>
                <w:color w:val="000000" w:themeColor="text1"/>
                <w:sz w:val="22"/>
                <w:szCs w:val="22"/>
              </w:rPr>
              <w:t>3.1 Priority Improvement Areas</w:t>
            </w:r>
            <w:r>
              <w:rPr>
                <w:rFonts w:ascii="Times New Roman" w:hAnsi="Times New Roman" w:cs="Times New Roman"/>
                <w:smallCaps w:val="0"/>
                <w:color w:val="000000" w:themeColor="text1"/>
                <w:sz w:val="22"/>
                <w:szCs w:val="22"/>
              </w:rPr>
              <w:tab/>
            </w:r>
            <w:r>
              <w:rPr>
                <w:rFonts w:ascii="Times New Roman" w:hAnsi="Times New Roman" w:cs="Times New Roman"/>
                <w:smallCaps w:val="0"/>
                <w:color w:val="000000" w:themeColor="text1"/>
                <w:sz w:val="22"/>
                <w:szCs w:val="22"/>
              </w:rPr>
              <w:fldChar w:fldCharType="begin"/>
            </w:r>
            <w:r>
              <w:rPr>
                <w:rFonts w:ascii="Times New Roman" w:hAnsi="Times New Roman" w:cs="Times New Roman"/>
                <w:smallCaps w:val="0"/>
                <w:color w:val="000000" w:themeColor="text1"/>
                <w:sz w:val="22"/>
                <w:szCs w:val="22"/>
              </w:rPr>
              <w:instrText xml:space="preserve"> PAGEREF _Toc152277274 \h </w:instrText>
            </w:r>
            <w:r>
              <w:rPr>
                <w:rFonts w:ascii="Times New Roman" w:hAnsi="Times New Roman" w:cs="Times New Roman"/>
                <w:smallCaps w:val="0"/>
                <w:color w:val="000000" w:themeColor="text1"/>
                <w:sz w:val="22"/>
                <w:szCs w:val="22"/>
              </w:rPr>
            </w:r>
            <w:r>
              <w:rPr>
                <w:rFonts w:ascii="Times New Roman" w:hAnsi="Times New Roman" w:cs="Times New Roman"/>
                <w:smallCaps w:val="0"/>
                <w:color w:val="000000" w:themeColor="text1"/>
                <w:sz w:val="22"/>
                <w:szCs w:val="22"/>
              </w:rPr>
              <w:fldChar w:fldCharType="separate"/>
            </w:r>
            <w:r>
              <w:rPr>
                <w:rFonts w:ascii="Times New Roman" w:hAnsi="Times New Roman" w:cs="Times New Roman"/>
                <w:smallCaps w:val="0"/>
                <w:color w:val="000000" w:themeColor="text1"/>
                <w:sz w:val="22"/>
                <w:szCs w:val="22"/>
              </w:rPr>
              <w:t>2</w:t>
            </w:r>
            <w:r>
              <w:rPr>
                <w:rFonts w:ascii="Times New Roman" w:hAnsi="Times New Roman" w:cs="Times New Roman"/>
                <w:smallCaps w:val="0"/>
                <w:color w:val="000000" w:themeColor="text1"/>
                <w:sz w:val="22"/>
                <w:szCs w:val="22"/>
              </w:rPr>
              <w:fldChar w:fldCharType="end"/>
            </w:r>
          </w:hyperlink>
        </w:p>
        <w:p w14:paraId="41A93BF7" w14:textId="77777777" w:rsidR="008E3CF6" w:rsidRDefault="00000000">
          <w:pPr>
            <w:pStyle w:val="TOC2"/>
            <w:tabs>
              <w:tab w:val="right" w:leader="dot" w:pos="8296"/>
            </w:tabs>
            <w:spacing w:line="360" w:lineRule="auto"/>
            <w:rPr>
              <w:rFonts w:ascii="Times New Roman" w:eastAsiaTheme="minorEastAsia" w:hAnsi="Times New Roman" w:cs="Times New Roman"/>
              <w:smallCaps w:val="0"/>
              <w:color w:val="000000" w:themeColor="text1"/>
              <w:sz w:val="22"/>
              <w:szCs w:val="22"/>
            </w:rPr>
          </w:pPr>
          <w:hyperlink w:anchor="_Toc152277275" w:history="1">
            <w:r>
              <w:rPr>
                <w:rStyle w:val="aa"/>
                <w:rFonts w:ascii="Times New Roman" w:hAnsi="Times New Roman" w:cs="Times New Roman"/>
                <w:smallCaps w:val="0"/>
                <w:color w:val="000000" w:themeColor="text1"/>
                <w:sz w:val="22"/>
                <w:szCs w:val="22"/>
              </w:rPr>
              <w:t>3.2 Necessity for Improvement and Current Shortcomings</w:t>
            </w:r>
            <w:r>
              <w:rPr>
                <w:rFonts w:ascii="Times New Roman" w:hAnsi="Times New Roman" w:cs="Times New Roman"/>
                <w:smallCaps w:val="0"/>
                <w:color w:val="000000" w:themeColor="text1"/>
                <w:sz w:val="22"/>
                <w:szCs w:val="22"/>
              </w:rPr>
              <w:tab/>
            </w:r>
            <w:r>
              <w:rPr>
                <w:rFonts w:ascii="Times New Roman" w:hAnsi="Times New Roman" w:cs="Times New Roman"/>
                <w:smallCaps w:val="0"/>
                <w:color w:val="000000" w:themeColor="text1"/>
                <w:sz w:val="22"/>
                <w:szCs w:val="22"/>
              </w:rPr>
              <w:fldChar w:fldCharType="begin"/>
            </w:r>
            <w:r>
              <w:rPr>
                <w:rFonts w:ascii="Times New Roman" w:hAnsi="Times New Roman" w:cs="Times New Roman"/>
                <w:smallCaps w:val="0"/>
                <w:color w:val="000000" w:themeColor="text1"/>
                <w:sz w:val="22"/>
                <w:szCs w:val="22"/>
              </w:rPr>
              <w:instrText xml:space="preserve"> PAGEREF _Toc152277275 \h </w:instrText>
            </w:r>
            <w:r>
              <w:rPr>
                <w:rFonts w:ascii="Times New Roman" w:hAnsi="Times New Roman" w:cs="Times New Roman"/>
                <w:smallCaps w:val="0"/>
                <w:color w:val="000000" w:themeColor="text1"/>
                <w:sz w:val="22"/>
                <w:szCs w:val="22"/>
              </w:rPr>
            </w:r>
            <w:r>
              <w:rPr>
                <w:rFonts w:ascii="Times New Roman" w:hAnsi="Times New Roman" w:cs="Times New Roman"/>
                <w:smallCaps w:val="0"/>
                <w:color w:val="000000" w:themeColor="text1"/>
                <w:sz w:val="22"/>
                <w:szCs w:val="22"/>
              </w:rPr>
              <w:fldChar w:fldCharType="separate"/>
            </w:r>
            <w:r>
              <w:rPr>
                <w:rFonts w:ascii="Times New Roman" w:hAnsi="Times New Roman" w:cs="Times New Roman"/>
                <w:smallCaps w:val="0"/>
                <w:color w:val="000000" w:themeColor="text1"/>
                <w:sz w:val="22"/>
                <w:szCs w:val="22"/>
              </w:rPr>
              <w:t>5</w:t>
            </w:r>
            <w:r>
              <w:rPr>
                <w:rFonts w:ascii="Times New Roman" w:hAnsi="Times New Roman" w:cs="Times New Roman"/>
                <w:smallCaps w:val="0"/>
                <w:color w:val="000000" w:themeColor="text1"/>
                <w:sz w:val="22"/>
                <w:szCs w:val="22"/>
              </w:rPr>
              <w:fldChar w:fldCharType="end"/>
            </w:r>
          </w:hyperlink>
        </w:p>
        <w:p w14:paraId="146E4049" w14:textId="77777777" w:rsidR="008E3CF6" w:rsidRDefault="00000000">
          <w:pPr>
            <w:pStyle w:val="TOC2"/>
            <w:tabs>
              <w:tab w:val="right" w:leader="dot" w:pos="8296"/>
            </w:tabs>
            <w:spacing w:line="360" w:lineRule="auto"/>
            <w:rPr>
              <w:rFonts w:ascii="Times New Roman" w:eastAsiaTheme="minorEastAsia" w:hAnsi="Times New Roman" w:cs="Times New Roman"/>
              <w:smallCaps w:val="0"/>
              <w:color w:val="000000" w:themeColor="text1"/>
              <w:sz w:val="22"/>
              <w:szCs w:val="22"/>
            </w:rPr>
          </w:pPr>
          <w:hyperlink w:anchor="_Toc152277276" w:history="1">
            <w:r>
              <w:rPr>
                <w:rStyle w:val="aa"/>
                <w:rFonts w:ascii="Times New Roman" w:hAnsi="Times New Roman" w:cs="Times New Roman"/>
                <w:smallCaps w:val="0"/>
                <w:color w:val="000000" w:themeColor="text1"/>
                <w:sz w:val="22"/>
                <w:szCs w:val="22"/>
              </w:rPr>
              <w:t>3.3 Impact of Shortcomings on Organizational Performance and Effectiveness</w:t>
            </w:r>
            <w:r>
              <w:rPr>
                <w:rFonts w:ascii="Times New Roman" w:hAnsi="Times New Roman" w:cs="Times New Roman"/>
                <w:smallCaps w:val="0"/>
                <w:color w:val="000000" w:themeColor="text1"/>
                <w:sz w:val="22"/>
                <w:szCs w:val="22"/>
              </w:rPr>
              <w:tab/>
            </w:r>
            <w:r>
              <w:rPr>
                <w:rFonts w:ascii="Times New Roman" w:hAnsi="Times New Roman" w:cs="Times New Roman"/>
                <w:smallCaps w:val="0"/>
                <w:color w:val="000000" w:themeColor="text1"/>
                <w:sz w:val="22"/>
                <w:szCs w:val="22"/>
              </w:rPr>
              <w:fldChar w:fldCharType="begin"/>
            </w:r>
            <w:r>
              <w:rPr>
                <w:rFonts w:ascii="Times New Roman" w:hAnsi="Times New Roman" w:cs="Times New Roman"/>
                <w:smallCaps w:val="0"/>
                <w:color w:val="000000" w:themeColor="text1"/>
                <w:sz w:val="22"/>
                <w:szCs w:val="22"/>
              </w:rPr>
              <w:instrText xml:space="preserve"> PAGEREF _Toc152277276 \h </w:instrText>
            </w:r>
            <w:r>
              <w:rPr>
                <w:rFonts w:ascii="Times New Roman" w:hAnsi="Times New Roman" w:cs="Times New Roman"/>
                <w:smallCaps w:val="0"/>
                <w:color w:val="000000" w:themeColor="text1"/>
                <w:sz w:val="22"/>
                <w:szCs w:val="22"/>
              </w:rPr>
            </w:r>
            <w:r>
              <w:rPr>
                <w:rFonts w:ascii="Times New Roman" w:hAnsi="Times New Roman" w:cs="Times New Roman"/>
                <w:smallCaps w:val="0"/>
                <w:color w:val="000000" w:themeColor="text1"/>
                <w:sz w:val="22"/>
                <w:szCs w:val="22"/>
              </w:rPr>
              <w:fldChar w:fldCharType="separate"/>
            </w:r>
            <w:r>
              <w:rPr>
                <w:rFonts w:ascii="Times New Roman" w:hAnsi="Times New Roman" w:cs="Times New Roman"/>
                <w:smallCaps w:val="0"/>
                <w:color w:val="000000" w:themeColor="text1"/>
                <w:sz w:val="22"/>
                <w:szCs w:val="22"/>
              </w:rPr>
              <w:t>6</w:t>
            </w:r>
            <w:r>
              <w:rPr>
                <w:rFonts w:ascii="Times New Roman" w:hAnsi="Times New Roman" w:cs="Times New Roman"/>
                <w:smallCaps w:val="0"/>
                <w:color w:val="000000" w:themeColor="text1"/>
                <w:sz w:val="22"/>
                <w:szCs w:val="22"/>
              </w:rPr>
              <w:fldChar w:fldCharType="end"/>
            </w:r>
          </w:hyperlink>
        </w:p>
        <w:p w14:paraId="64A4E3EB" w14:textId="77777777" w:rsidR="008E3CF6" w:rsidRDefault="00000000">
          <w:pPr>
            <w:pStyle w:val="TOC2"/>
            <w:tabs>
              <w:tab w:val="right" w:leader="dot" w:pos="8296"/>
            </w:tabs>
            <w:spacing w:line="360" w:lineRule="auto"/>
            <w:rPr>
              <w:rFonts w:ascii="Times New Roman" w:eastAsiaTheme="minorEastAsia" w:hAnsi="Times New Roman" w:cs="Times New Roman"/>
              <w:smallCaps w:val="0"/>
              <w:color w:val="000000" w:themeColor="text1"/>
              <w:sz w:val="22"/>
              <w:szCs w:val="22"/>
            </w:rPr>
          </w:pPr>
          <w:hyperlink w:anchor="_Toc152277277" w:history="1">
            <w:r>
              <w:rPr>
                <w:rStyle w:val="aa"/>
                <w:rFonts w:ascii="Times New Roman" w:hAnsi="Times New Roman" w:cs="Times New Roman"/>
                <w:smallCaps w:val="0"/>
                <w:color w:val="000000" w:themeColor="text1"/>
                <w:sz w:val="22"/>
                <w:szCs w:val="22"/>
              </w:rPr>
              <w:t>3.4 What specific benefits will improving this priority area bring to your organization?</w:t>
            </w:r>
            <w:r>
              <w:rPr>
                <w:rFonts w:ascii="Times New Roman" w:hAnsi="Times New Roman" w:cs="Times New Roman"/>
                <w:smallCaps w:val="0"/>
                <w:color w:val="000000" w:themeColor="text1"/>
                <w:sz w:val="22"/>
                <w:szCs w:val="22"/>
              </w:rPr>
              <w:tab/>
            </w:r>
            <w:r>
              <w:rPr>
                <w:rFonts w:ascii="Times New Roman" w:hAnsi="Times New Roman" w:cs="Times New Roman"/>
                <w:smallCaps w:val="0"/>
                <w:color w:val="000000" w:themeColor="text1"/>
                <w:sz w:val="22"/>
                <w:szCs w:val="22"/>
              </w:rPr>
              <w:fldChar w:fldCharType="begin"/>
            </w:r>
            <w:r>
              <w:rPr>
                <w:rFonts w:ascii="Times New Roman" w:hAnsi="Times New Roman" w:cs="Times New Roman"/>
                <w:smallCaps w:val="0"/>
                <w:color w:val="000000" w:themeColor="text1"/>
                <w:sz w:val="22"/>
                <w:szCs w:val="22"/>
              </w:rPr>
              <w:instrText xml:space="preserve"> PAGEREF _Toc152277277 \h </w:instrText>
            </w:r>
            <w:r>
              <w:rPr>
                <w:rFonts w:ascii="Times New Roman" w:hAnsi="Times New Roman" w:cs="Times New Roman"/>
                <w:smallCaps w:val="0"/>
                <w:color w:val="000000" w:themeColor="text1"/>
                <w:sz w:val="22"/>
                <w:szCs w:val="22"/>
              </w:rPr>
            </w:r>
            <w:r>
              <w:rPr>
                <w:rFonts w:ascii="Times New Roman" w:hAnsi="Times New Roman" w:cs="Times New Roman"/>
                <w:smallCaps w:val="0"/>
                <w:color w:val="000000" w:themeColor="text1"/>
                <w:sz w:val="22"/>
                <w:szCs w:val="22"/>
              </w:rPr>
              <w:fldChar w:fldCharType="separate"/>
            </w:r>
            <w:r>
              <w:rPr>
                <w:rFonts w:ascii="Times New Roman" w:hAnsi="Times New Roman" w:cs="Times New Roman"/>
                <w:smallCaps w:val="0"/>
                <w:color w:val="000000" w:themeColor="text1"/>
                <w:sz w:val="22"/>
                <w:szCs w:val="22"/>
              </w:rPr>
              <w:t>7</w:t>
            </w:r>
            <w:r>
              <w:rPr>
                <w:rFonts w:ascii="Times New Roman" w:hAnsi="Times New Roman" w:cs="Times New Roman"/>
                <w:smallCaps w:val="0"/>
                <w:color w:val="000000" w:themeColor="text1"/>
                <w:sz w:val="22"/>
                <w:szCs w:val="22"/>
              </w:rPr>
              <w:fldChar w:fldCharType="end"/>
            </w:r>
          </w:hyperlink>
        </w:p>
        <w:p w14:paraId="24C89F71" w14:textId="77777777" w:rsidR="008E3CF6" w:rsidRDefault="00000000">
          <w:pPr>
            <w:pStyle w:val="TOC1"/>
            <w:tabs>
              <w:tab w:val="right" w:leader="dot" w:pos="8296"/>
            </w:tabs>
            <w:spacing w:line="360" w:lineRule="auto"/>
            <w:rPr>
              <w:rFonts w:ascii="Times New Roman" w:eastAsiaTheme="minorEastAsia" w:hAnsi="Times New Roman" w:cs="Times New Roman"/>
              <w:b w:val="0"/>
              <w:bCs w:val="0"/>
              <w:caps w:val="0"/>
              <w:color w:val="000000" w:themeColor="text1"/>
              <w:sz w:val="22"/>
              <w:szCs w:val="22"/>
            </w:rPr>
          </w:pPr>
          <w:hyperlink w:anchor="_Toc152277278" w:history="1">
            <w:r>
              <w:rPr>
                <w:rStyle w:val="aa"/>
                <w:rFonts w:ascii="Times New Roman" w:hAnsi="Times New Roman" w:cs="Times New Roman"/>
                <w:caps w:val="0"/>
                <w:color w:val="000000" w:themeColor="text1"/>
                <w:sz w:val="22"/>
                <w:szCs w:val="22"/>
              </w:rPr>
              <w:t>IV. Conclusion</w:t>
            </w:r>
            <w:r>
              <w:rPr>
                <w:rFonts w:ascii="Times New Roman" w:hAnsi="Times New Roman" w:cs="Times New Roman"/>
                <w:caps w:val="0"/>
                <w:color w:val="000000" w:themeColor="text1"/>
                <w:sz w:val="22"/>
                <w:szCs w:val="22"/>
              </w:rPr>
              <w:tab/>
            </w:r>
            <w:r>
              <w:rPr>
                <w:rFonts w:ascii="Times New Roman" w:hAnsi="Times New Roman" w:cs="Times New Roman"/>
                <w:caps w:val="0"/>
                <w:color w:val="000000" w:themeColor="text1"/>
                <w:sz w:val="22"/>
                <w:szCs w:val="22"/>
              </w:rPr>
              <w:fldChar w:fldCharType="begin"/>
            </w:r>
            <w:r>
              <w:rPr>
                <w:rFonts w:ascii="Times New Roman" w:hAnsi="Times New Roman" w:cs="Times New Roman"/>
                <w:caps w:val="0"/>
                <w:color w:val="000000" w:themeColor="text1"/>
                <w:sz w:val="22"/>
                <w:szCs w:val="22"/>
              </w:rPr>
              <w:instrText xml:space="preserve"> PAGEREF _Toc152277278 \h </w:instrText>
            </w:r>
            <w:r>
              <w:rPr>
                <w:rFonts w:ascii="Times New Roman" w:hAnsi="Times New Roman" w:cs="Times New Roman"/>
                <w:caps w:val="0"/>
                <w:color w:val="000000" w:themeColor="text1"/>
                <w:sz w:val="22"/>
                <w:szCs w:val="22"/>
              </w:rPr>
            </w:r>
            <w:r>
              <w:rPr>
                <w:rFonts w:ascii="Times New Roman" w:hAnsi="Times New Roman" w:cs="Times New Roman"/>
                <w:caps w:val="0"/>
                <w:color w:val="000000" w:themeColor="text1"/>
                <w:sz w:val="22"/>
                <w:szCs w:val="22"/>
              </w:rPr>
              <w:fldChar w:fldCharType="separate"/>
            </w:r>
            <w:r>
              <w:rPr>
                <w:rFonts w:ascii="Times New Roman" w:hAnsi="Times New Roman" w:cs="Times New Roman"/>
                <w:caps w:val="0"/>
                <w:color w:val="000000" w:themeColor="text1"/>
                <w:sz w:val="22"/>
                <w:szCs w:val="22"/>
              </w:rPr>
              <w:t>7</w:t>
            </w:r>
            <w:r>
              <w:rPr>
                <w:rFonts w:ascii="Times New Roman" w:hAnsi="Times New Roman" w:cs="Times New Roman"/>
                <w:caps w:val="0"/>
                <w:color w:val="000000" w:themeColor="text1"/>
                <w:sz w:val="22"/>
                <w:szCs w:val="22"/>
              </w:rPr>
              <w:fldChar w:fldCharType="end"/>
            </w:r>
          </w:hyperlink>
        </w:p>
        <w:p w14:paraId="3F996933" w14:textId="77777777" w:rsidR="008E3CF6" w:rsidRDefault="00000000">
          <w:pPr>
            <w:pStyle w:val="TOC1"/>
            <w:tabs>
              <w:tab w:val="right" w:leader="dot" w:pos="8296"/>
            </w:tabs>
            <w:spacing w:line="360" w:lineRule="auto"/>
            <w:rPr>
              <w:rFonts w:ascii="Times New Roman" w:eastAsiaTheme="minorEastAsia" w:hAnsi="Times New Roman" w:cs="Times New Roman"/>
              <w:b w:val="0"/>
              <w:bCs w:val="0"/>
              <w:caps w:val="0"/>
              <w:color w:val="000000" w:themeColor="text1"/>
              <w:sz w:val="22"/>
              <w:szCs w:val="22"/>
            </w:rPr>
          </w:pPr>
          <w:hyperlink w:anchor="_Toc152277279" w:history="1">
            <w:r>
              <w:rPr>
                <w:rStyle w:val="aa"/>
                <w:rFonts w:ascii="Times New Roman" w:hAnsi="Times New Roman" w:cs="Times New Roman"/>
                <w:caps w:val="0"/>
                <w:color w:val="000000" w:themeColor="text1"/>
                <w:sz w:val="22"/>
                <w:szCs w:val="22"/>
              </w:rPr>
              <w:t>V. Recommendations</w:t>
            </w:r>
            <w:r>
              <w:rPr>
                <w:rFonts w:ascii="Times New Roman" w:hAnsi="Times New Roman" w:cs="Times New Roman"/>
                <w:caps w:val="0"/>
                <w:color w:val="000000" w:themeColor="text1"/>
                <w:sz w:val="22"/>
                <w:szCs w:val="22"/>
              </w:rPr>
              <w:tab/>
            </w:r>
            <w:r>
              <w:rPr>
                <w:rFonts w:ascii="Times New Roman" w:hAnsi="Times New Roman" w:cs="Times New Roman"/>
                <w:caps w:val="0"/>
                <w:color w:val="000000" w:themeColor="text1"/>
                <w:sz w:val="22"/>
                <w:szCs w:val="22"/>
              </w:rPr>
              <w:fldChar w:fldCharType="begin"/>
            </w:r>
            <w:r>
              <w:rPr>
                <w:rFonts w:ascii="Times New Roman" w:hAnsi="Times New Roman" w:cs="Times New Roman"/>
                <w:caps w:val="0"/>
                <w:color w:val="000000" w:themeColor="text1"/>
                <w:sz w:val="22"/>
                <w:szCs w:val="22"/>
              </w:rPr>
              <w:instrText xml:space="preserve"> PAGEREF _Toc152277279 \h </w:instrText>
            </w:r>
            <w:r>
              <w:rPr>
                <w:rFonts w:ascii="Times New Roman" w:hAnsi="Times New Roman" w:cs="Times New Roman"/>
                <w:caps w:val="0"/>
                <w:color w:val="000000" w:themeColor="text1"/>
                <w:sz w:val="22"/>
                <w:szCs w:val="22"/>
              </w:rPr>
            </w:r>
            <w:r>
              <w:rPr>
                <w:rFonts w:ascii="Times New Roman" w:hAnsi="Times New Roman" w:cs="Times New Roman"/>
                <w:caps w:val="0"/>
                <w:color w:val="000000" w:themeColor="text1"/>
                <w:sz w:val="22"/>
                <w:szCs w:val="22"/>
              </w:rPr>
              <w:fldChar w:fldCharType="separate"/>
            </w:r>
            <w:r>
              <w:rPr>
                <w:rFonts w:ascii="Times New Roman" w:hAnsi="Times New Roman" w:cs="Times New Roman"/>
                <w:caps w:val="0"/>
                <w:color w:val="000000" w:themeColor="text1"/>
                <w:sz w:val="22"/>
                <w:szCs w:val="22"/>
              </w:rPr>
              <w:t>8</w:t>
            </w:r>
            <w:r>
              <w:rPr>
                <w:rFonts w:ascii="Times New Roman" w:hAnsi="Times New Roman" w:cs="Times New Roman"/>
                <w:caps w:val="0"/>
                <w:color w:val="000000" w:themeColor="text1"/>
                <w:sz w:val="22"/>
                <w:szCs w:val="22"/>
              </w:rPr>
              <w:fldChar w:fldCharType="end"/>
            </w:r>
          </w:hyperlink>
        </w:p>
        <w:p w14:paraId="7B659760" w14:textId="77777777" w:rsidR="008E3CF6" w:rsidRDefault="00000000">
          <w:pPr>
            <w:pStyle w:val="TOC1"/>
            <w:tabs>
              <w:tab w:val="right" w:leader="dot" w:pos="8296"/>
            </w:tabs>
            <w:spacing w:line="360" w:lineRule="auto"/>
            <w:rPr>
              <w:rFonts w:ascii="Times New Roman" w:eastAsiaTheme="minorEastAsia" w:hAnsi="Times New Roman" w:cs="Times New Roman"/>
              <w:b w:val="0"/>
              <w:bCs w:val="0"/>
              <w:caps w:val="0"/>
              <w:color w:val="000000" w:themeColor="text1"/>
              <w:sz w:val="22"/>
              <w:szCs w:val="22"/>
            </w:rPr>
          </w:pPr>
          <w:hyperlink w:anchor="_Toc152277280" w:history="1">
            <w:r>
              <w:rPr>
                <w:rStyle w:val="aa"/>
                <w:rFonts w:ascii="Times New Roman" w:hAnsi="Times New Roman" w:cs="Times New Roman"/>
                <w:caps w:val="0"/>
                <w:color w:val="000000" w:themeColor="text1"/>
                <w:sz w:val="22"/>
                <w:szCs w:val="22"/>
              </w:rPr>
              <w:t>Key References Consulted</w:t>
            </w:r>
            <w:r>
              <w:rPr>
                <w:rFonts w:ascii="Times New Roman" w:hAnsi="Times New Roman" w:cs="Times New Roman"/>
                <w:caps w:val="0"/>
                <w:color w:val="000000" w:themeColor="text1"/>
                <w:sz w:val="22"/>
                <w:szCs w:val="22"/>
              </w:rPr>
              <w:tab/>
            </w:r>
            <w:r>
              <w:rPr>
                <w:rFonts w:ascii="Times New Roman" w:hAnsi="Times New Roman" w:cs="Times New Roman"/>
                <w:caps w:val="0"/>
                <w:color w:val="000000" w:themeColor="text1"/>
                <w:sz w:val="22"/>
                <w:szCs w:val="22"/>
              </w:rPr>
              <w:fldChar w:fldCharType="begin"/>
            </w:r>
            <w:r>
              <w:rPr>
                <w:rFonts w:ascii="Times New Roman" w:hAnsi="Times New Roman" w:cs="Times New Roman"/>
                <w:caps w:val="0"/>
                <w:color w:val="000000" w:themeColor="text1"/>
                <w:sz w:val="22"/>
                <w:szCs w:val="22"/>
              </w:rPr>
              <w:instrText xml:space="preserve"> PAGEREF _Toc152277280 \h </w:instrText>
            </w:r>
            <w:r>
              <w:rPr>
                <w:rFonts w:ascii="Times New Roman" w:hAnsi="Times New Roman" w:cs="Times New Roman"/>
                <w:caps w:val="0"/>
                <w:color w:val="000000" w:themeColor="text1"/>
                <w:sz w:val="22"/>
                <w:szCs w:val="22"/>
              </w:rPr>
            </w:r>
            <w:r>
              <w:rPr>
                <w:rFonts w:ascii="Times New Roman" w:hAnsi="Times New Roman" w:cs="Times New Roman"/>
                <w:caps w:val="0"/>
                <w:color w:val="000000" w:themeColor="text1"/>
                <w:sz w:val="22"/>
                <w:szCs w:val="22"/>
              </w:rPr>
              <w:fldChar w:fldCharType="separate"/>
            </w:r>
            <w:r>
              <w:rPr>
                <w:rFonts w:ascii="Times New Roman" w:hAnsi="Times New Roman" w:cs="Times New Roman"/>
                <w:caps w:val="0"/>
                <w:color w:val="000000" w:themeColor="text1"/>
                <w:sz w:val="22"/>
                <w:szCs w:val="22"/>
              </w:rPr>
              <w:t>9</w:t>
            </w:r>
            <w:r>
              <w:rPr>
                <w:rFonts w:ascii="Times New Roman" w:hAnsi="Times New Roman" w:cs="Times New Roman"/>
                <w:caps w:val="0"/>
                <w:color w:val="000000" w:themeColor="text1"/>
                <w:sz w:val="22"/>
                <w:szCs w:val="22"/>
              </w:rPr>
              <w:fldChar w:fldCharType="end"/>
            </w:r>
          </w:hyperlink>
        </w:p>
        <w:p w14:paraId="036D3384" w14:textId="77777777" w:rsidR="008E3CF6" w:rsidRDefault="00000000">
          <w:pPr>
            <w:pStyle w:val="TOC1"/>
            <w:tabs>
              <w:tab w:val="right" w:leader="dot" w:pos="8296"/>
            </w:tabs>
            <w:spacing w:line="360" w:lineRule="auto"/>
            <w:rPr>
              <w:rFonts w:eastAsiaTheme="minorEastAsia"/>
              <w:b w:val="0"/>
              <w:bCs w:val="0"/>
              <w:caps w:val="0"/>
              <w:color w:val="000000" w:themeColor="text1"/>
              <w:sz w:val="21"/>
              <w:szCs w:val="24"/>
            </w:rPr>
          </w:pPr>
          <w:hyperlink w:anchor="_Toc152277281" w:history="1">
            <w:r>
              <w:rPr>
                <w:rStyle w:val="aa"/>
                <w:rFonts w:ascii="Times New Roman" w:hAnsi="Times New Roman" w:cs="Times New Roman"/>
                <w:caps w:val="0"/>
                <w:color w:val="000000" w:themeColor="text1"/>
                <w:sz w:val="22"/>
                <w:szCs w:val="22"/>
              </w:rPr>
              <w:t>Appendices</w:t>
            </w:r>
            <w:r>
              <w:rPr>
                <w:rFonts w:ascii="Times New Roman" w:hAnsi="Times New Roman" w:cs="Times New Roman"/>
                <w:caps w:val="0"/>
                <w:color w:val="000000" w:themeColor="text1"/>
                <w:sz w:val="22"/>
                <w:szCs w:val="22"/>
              </w:rPr>
              <w:tab/>
            </w:r>
            <w:r>
              <w:rPr>
                <w:rFonts w:ascii="Times New Roman" w:hAnsi="Times New Roman" w:cs="Times New Roman"/>
                <w:caps w:val="0"/>
                <w:color w:val="000000" w:themeColor="text1"/>
                <w:sz w:val="22"/>
                <w:szCs w:val="22"/>
              </w:rPr>
              <w:fldChar w:fldCharType="begin"/>
            </w:r>
            <w:r>
              <w:rPr>
                <w:rFonts w:ascii="Times New Roman" w:hAnsi="Times New Roman" w:cs="Times New Roman"/>
                <w:caps w:val="0"/>
                <w:color w:val="000000" w:themeColor="text1"/>
                <w:sz w:val="22"/>
                <w:szCs w:val="22"/>
              </w:rPr>
              <w:instrText xml:space="preserve"> PAGEREF _Toc152277281 \h </w:instrText>
            </w:r>
            <w:r>
              <w:rPr>
                <w:rFonts w:ascii="Times New Roman" w:hAnsi="Times New Roman" w:cs="Times New Roman"/>
                <w:caps w:val="0"/>
                <w:color w:val="000000" w:themeColor="text1"/>
                <w:sz w:val="22"/>
                <w:szCs w:val="22"/>
              </w:rPr>
            </w:r>
            <w:r>
              <w:rPr>
                <w:rFonts w:ascii="Times New Roman" w:hAnsi="Times New Roman" w:cs="Times New Roman"/>
                <w:caps w:val="0"/>
                <w:color w:val="000000" w:themeColor="text1"/>
                <w:sz w:val="22"/>
                <w:szCs w:val="22"/>
              </w:rPr>
              <w:fldChar w:fldCharType="separate"/>
            </w:r>
            <w:r>
              <w:rPr>
                <w:rFonts w:ascii="Times New Roman" w:hAnsi="Times New Roman" w:cs="Times New Roman"/>
                <w:caps w:val="0"/>
                <w:color w:val="000000" w:themeColor="text1"/>
                <w:sz w:val="22"/>
                <w:szCs w:val="22"/>
              </w:rPr>
              <w:t>13</w:t>
            </w:r>
            <w:r>
              <w:rPr>
                <w:rFonts w:ascii="Times New Roman" w:hAnsi="Times New Roman" w:cs="Times New Roman"/>
                <w:caps w:val="0"/>
                <w:color w:val="000000" w:themeColor="text1"/>
                <w:sz w:val="22"/>
                <w:szCs w:val="22"/>
              </w:rPr>
              <w:fldChar w:fldCharType="end"/>
            </w:r>
          </w:hyperlink>
        </w:p>
        <w:p w14:paraId="0F5E0953" w14:textId="77777777" w:rsidR="008E3CF6" w:rsidRDefault="00000000">
          <w:pPr>
            <w:rPr>
              <w:color w:val="000000" w:themeColor="text1"/>
            </w:rPr>
          </w:pPr>
          <w:r>
            <w:rPr>
              <w:b/>
              <w:bCs/>
              <w:color w:val="000000" w:themeColor="text1"/>
            </w:rPr>
            <w:fldChar w:fldCharType="end"/>
          </w:r>
        </w:p>
      </w:sdtContent>
    </w:sdt>
    <w:p w14:paraId="25987BBD" w14:textId="77777777" w:rsidR="008E3CF6" w:rsidRDefault="008E3CF6">
      <w:pPr>
        <w:spacing w:line="360" w:lineRule="auto"/>
        <w:rPr>
          <w:rFonts w:ascii="Times New Roman" w:hAnsi="Times New Roman" w:cs="Times New Roman"/>
          <w:color w:val="000000" w:themeColor="text1"/>
          <w:sz w:val="22"/>
          <w:szCs w:val="22"/>
        </w:rPr>
      </w:pPr>
    </w:p>
    <w:p w14:paraId="65CFB92E" w14:textId="77777777" w:rsidR="008E3CF6" w:rsidRDefault="008E3CF6">
      <w:pPr>
        <w:spacing w:line="360" w:lineRule="auto"/>
        <w:rPr>
          <w:rFonts w:ascii="Times New Roman" w:hAnsi="Times New Roman" w:cs="Times New Roman"/>
          <w:color w:val="000000" w:themeColor="text1"/>
          <w:sz w:val="22"/>
          <w:szCs w:val="22"/>
        </w:rPr>
      </w:pPr>
    </w:p>
    <w:p w14:paraId="6D000A67" w14:textId="77777777" w:rsidR="008E3CF6" w:rsidRDefault="008E3CF6">
      <w:pPr>
        <w:spacing w:line="360" w:lineRule="auto"/>
        <w:rPr>
          <w:rFonts w:ascii="Times New Roman" w:hAnsi="Times New Roman" w:cs="Times New Roman"/>
          <w:color w:val="000000" w:themeColor="text1"/>
          <w:sz w:val="22"/>
          <w:szCs w:val="22"/>
        </w:rPr>
        <w:sectPr w:rsidR="008E3CF6">
          <w:footerReference w:type="default" r:id="rId8"/>
          <w:pgSz w:w="11906" w:h="16838"/>
          <w:pgMar w:top="1440" w:right="1800" w:bottom="1440" w:left="1800" w:header="851" w:footer="992" w:gutter="0"/>
          <w:cols w:space="425"/>
          <w:docGrid w:type="lines" w:linePitch="312"/>
        </w:sectPr>
      </w:pPr>
    </w:p>
    <w:p w14:paraId="359BF273" w14:textId="77777777" w:rsidR="008E3CF6" w:rsidRDefault="00000000">
      <w:pPr>
        <w:pStyle w:val="1"/>
        <w:rPr>
          <w:color w:val="000000" w:themeColor="text1"/>
        </w:rPr>
      </w:pPr>
      <w:bookmarkStart w:id="2" w:name="_Toc152277271"/>
      <w:r>
        <w:rPr>
          <w:color w:val="000000" w:themeColor="text1"/>
        </w:rPr>
        <w:lastRenderedPageBreak/>
        <w:t>I. Introduction</w:t>
      </w:r>
      <w:bookmarkEnd w:id="2"/>
    </w:p>
    <w:p w14:paraId="3AB1084F"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The dynamic evolution of the securities industry, driven by technological advances, globalization, and regulatory changes, necessitates a more nuanced understanding of human capital management. In today's highly competitive business environment, strategic management of human resources becomes a cornerstone for organizational success (Pombo &amp; Gomes, 2022; Tetik &amp; Zaim, 2021). This report is based on the hypothesis that robust compensation and welfare incentives are crucial for enhancing employee productivity and, subsequently, improving organizational performance. The pivotal role of compensation and welfare incentives in shaping employee behavior and performance is well-documented in literature. </w:t>
      </w:r>
      <w:proofErr w:type="spellStart"/>
      <w:r>
        <w:rPr>
          <w:rFonts w:ascii="Times New Roman" w:hAnsi="Times New Roman" w:cs="Times New Roman"/>
          <w:color w:val="000000" w:themeColor="text1"/>
          <w:sz w:val="22"/>
          <w:szCs w:val="22"/>
        </w:rPr>
        <w:t>Nugrahani</w:t>
      </w:r>
      <w:proofErr w:type="spellEnd"/>
      <w:r>
        <w:rPr>
          <w:rFonts w:ascii="Times New Roman" w:hAnsi="Times New Roman" w:cs="Times New Roman"/>
          <w:color w:val="000000" w:themeColor="text1"/>
          <w:sz w:val="22"/>
          <w:szCs w:val="22"/>
        </w:rPr>
        <w:t xml:space="preserve"> et al. highlight the direct correlation between compensation and welfare with the quality of employee output (</w:t>
      </w:r>
      <w:proofErr w:type="spellStart"/>
      <w:r>
        <w:rPr>
          <w:rFonts w:ascii="Times New Roman" w:hAnsi="Times New Roman" w:cs="Times New Roman"/>
          <w:color w:val="000000" w:themeColor="text1"/>
          <w:sz w:val="22"/>
          <w:szCs w:val="22"/>
        </w:rPr>
        <w:t>Nugrahani</w:t>
      </w:r>
      <w:proofErr w:type="spellEnd"/>
      <w:r>
        <w:rPr>
          <w:rFonts w:ascii="Times New Roman" w:hAnsi="Times New Roman" w:cs="Times New Roman"/>
          <w:color w:val="000000" w:themeColor="text1"/>
          <w:sz w:val="22"/>
          <w:szCs w:val="22"/>
        </w:rPr>
        <w:t xml:space="preserve"> et al., 2023). Moreover, the complexity of employee compensation and benefits, including fixed salaries and various incentive benefits, is noted (Abdillah et al., 2023). The research of </w:t>
      </w:r>
      <w:proofErr w:type="spellStart"/>
      <w:r>
        <w:rPr>
          <w:rFonts w:ascii="Times New Roman" w:hAnsi="Times New Roman" w:cs="Times New Roman"/>
          <w:color w:val="000000" w:themeColor="text1"/>
          <w:sz w:val="22"/>
          <w:szCs w:val="22"/>
        </w:rPr>
        <w:t>Mimortinnilawati</w:t>
      </w:r>
      <w:proofErr w:type="spellEnd"/>
      <w:r>
        <w:rPr>
          <w:rFonts w:ascii="Times New Roman" w:hAnsi="Times New Roman" w:cs="Times New Roman"/>
          <w:color w:val="000000" w:themeColor="text1"/>
          <w:sz w:val="22"/>
          <w:szCs w:val="22"/>
        </w:rPr>
        <w:t xml:space="preserve"> et al. confirms the significant positive impact of compensation and benefits on employee performance (</w:t>
      </w:r>
      <w:proofErr w:type="spellStart"/>
      <w:r>
        <w:rPr>
          <w:rFonts w:ascii="Times New Roman" w:hAnsi="Times New Roman" w:cs="Times New Roman"/>
          <w:color w:val="000000" w:themeColor="text1"/>
          <w:sz w:val="22"/>
          <w:szCs w:val="22"/>
        </w:rPr>
        <w:t>Mimortinnilawati</w:t>
      </w:r>
      <w:proofErr w:type="spellEnd"/>
      <w:r>
        <w:rPr>
          <w:rFonts w:ascii="Times New Roman" w:hAnsi="Times New Roman" w:cs="Times New Roman"/>
          <w:color w:val="000000" w:themeColor="text1"/>
          <w:sz w:val="22"/>
          <w:szCs w:val="22"/>
        </w:rPr>
        <w:t xml:space="preserve"> et al., 2023).</w:t>
      </w:r>
    </w:p>
    <w:p w14:paraId="34989312"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The study adopts a comprehensive approach, analyzing the company’s compensation and benefits and their impact on productivity. It utilizes data from the Wind platform, alongside regression analysis to quantify the relationship between compensation incentives and employee productivity (Jiang et al., 2022; </w:t>
      </w:r>
      <w:proofErr w:type="spellStart"/>
      <w:r>
        <w:rPr>
          <w:rFonts w:ascii="Times New Roman" w:hAnsi="Times New Roman" w:cs="Times New Roman"/>
          <w:color w:val="000000" w:themeColor="text1"/>
          <w:sz w:val="22"/>
          <w:szCs w:val="22"/>
        </w:rPr>
        <w:t>Yiasemidou</w:t>
      </w:r>
      <w:proofErr w:type="spellEnd"/>
      <w:r>
        <w:rPr>
          <w:rFonts w:ascii="Times New Roman" w:hAnsi="Times New Roman" w:cs="Times New Roman"/>
          <w:color w:val="000000" w:themeColor="text1"/>
          <w:sz w:val="22"/>
          <w:szCs w:val="22"/>
        </w:rPr>
        <w:t xml:space="preserve"> et al., 2017). The aim is to provide an in-depth understanding of the impact of China Securities Co., Ltd.'s compensation and benefits on employee productivity, seeking to offer valuable insights for the broader discussion of strategic management of human resources in the competitive business environment.</w:t>
      </w:r>
    </w:p>
    <w:p w14:paraId="5C4EE13E" w14:textId="77777777" w:rsidR="008E3CF6" w:rsidRDefault="008E3CF6">
      <w:pPr>
        <w:spacing w:line="360" w:lineRule="auto"/>
        <w:rPr>
          <w:rFonts w:ascii="Times New Roman" w:hAnsi="Times New Roman" w:cs="Times New Roman"/>
          <w:color w:val="000000" w:themeColor="text1"/>
          <w:sz w:val="22"/>
          <w:szCs w:val="22"/>
        </w:rPr>
      </w:pPr>
    </w:p>
    <w:p w14:paraId="59240135" w14:textId="77777777" w:rsidR="008E3CF6" w:rsidRDefault="00000000">
      <w:pPr>
        <w:pStyle w:val="1"/>
        <w:rPr>
          <w:color w:val="000000" w:themeColor="text1"/>
        </w:rPr>
      </w:pPr>
      <w:bookmarkStart w:id="3" w:name="_Toc152277272"/>
      <w:r>
        <w:rPr>
          <w:color w:val="000000" w:themeColor="text1"/>
        </w:rPr>
        <w:t>II. Organizational Profile</w:t>
      </w:r>
      <w:bookmarkEnd w:id="3"/>
    </w:p>
    <w:p w14:paraId="554F277E"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China Securities Co., Ltd. is a significant player in China's securities industry. As a prominent entity in the financial sector, it boasts an extensive organizational scale, including a diverse workforce spread across China. The workforce is characterized by diversity, encompassing </w:t>
      </w:r>
      <w:r>
        <w:rPr>
          <w:rFonts w:ascii="Times New Roman" w:hAnsi="Times New Roman" w:cs="Times New Roman"/>
          <w:color w:val="000000" w:themeColor="text1"/>
          <w:sz w:val="22"/>
          <w:szCs w:val="22"/>
        </w:rPr>
        <w:lastRenderedPageBreak/>
        <w:t>various age groups, skills, and professional backgrounds, reflecting the multifaceted nature of the securities sector (Yang &amp; Chen, 2023).</w:t>
      </w:r>
    </w:p>
    <w:p w14:paraId="58AAF36D"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In terms of Human Resource Management (HRM), China Securities Co., Ltd. operates with a structured and strategic approach. The human resources function within the organization is not confined to a single role or individual but is managed by a dedicated HR team. Similar to other large corporations, the HR team is responsible for comprehensive human resource management, including recruitment, training, performance management, and compensation incentives (Chang, 2023). The HRM function holds a strategic position within the organizational hierarchy, ensuring that human capital management aligns with broader business goals and corporate strategy. Importantly, the HRM function has representation at the board level, signifying its critical role and the organizational emphasis on human capital. This structure indicates the organization’s commitment to positioning human resources as a key component of its overall success and competitiveness in the dynamic securities market.</w:t>
      </w:r>
    </w:p>
    <w:p w14:paraId="31497098" w14:textId="77777777" w:rsidR="008E3CF6" w:rsidRDefault="008E3CF6">
      <w:pPr>
        <w:spacing w:line="360" w:lineRule="auto"/>
        <w:rPr>
          <w:rFonts w:ascii="Times New Roman" w:hAnsi="Times New Roman" w:cs="Times New Roman"/>
          <w:color w:val="000000" w:themeColor="text1"/>
          <w:sz w:val="22"/>
          <w:szCs w:val="22"/>
        </w:rPr>
      </w:pPr>
    </w:p>
    <w:p w14:paraId="69714272" w14:textId="77777777" w:rsidR="008E3CF6" w:rsidRDefault="00000000">
      <w:pPr>
        <w:pStyle w:val="1"/>
        <w:rPr>
          <w:color w:val="000000" w:themeColor="text1"/>
        </w:rPr>
      </w:pPr>
      <w:bookmarkStart w:id="4" w:name="_Toc152277273"/>
      <w:r>
        <w:rPr>
          <w:color w:val="000000" w:themeColor="text1"/>
        </w:rPr>
        <w:t>III. Main Discussion</w:t>
      </w:r>
      <w:bookmarkEnd w:id="4"/>
    </w:p>
    <w:p w14:paraId="390EF757" w14:textId="77777777" w:rsidR="008E3CF6" w:rsidRDefault="00000000">
      <w:pPr>
        <w:pStyle w:val="2"/>
        <w:rPr>
          <w:color w:val="000000" w:themeColor="text1"/>
        </w:rPr>
      </w:pPr>
      <w:bookmarkStart w:id="5" w:name="_Toc152277274"/>
      <w:r>
        <w:rPr>
          <w:color w:val="000000" w:themeColor="text1"/>
        </w:rPr>
        <w:t>3.1 Priority Improvement Areas</w:t>
      </w:r>
      <w:bookmarkEnd w:id="5"/>
    </w:p>
    <w:p w14:paraId="0E339BFA"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A primary area for improvement in China Securities Co., Ltd. is the effectiveness of its compensation and benefits incentives. Despite the company's comprehensive approach to employee remuneration and benefits, there is a need to refine these strategies to better align with the rapidly evolving securities industry and the growing diversity of workforce needs. Due to confidentiality agreements, specific details of employees' salaries and benefits cannot be disclosed in this report (as this would lead to a breach of confidentiality terms), but the basic structure of compensation and benefits is permissible for disclosure. For China Securities, the compensation structure is comprehensive, encompassing various components:</w:t>
      </w:r>
    </w:p>
    <w:p w14:paraId="6CF3715A"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Salary: The fixed component of an employee's compensation, typically determined by the role, experience, and market benchmarks.</w:t>
      </w:r>
    </w:p>
    <w:p w14:paraId="525077FD"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Bonus: A variable component, often linked to individual, team, or organizational performance.</w:t>
      </w:r>
    </w:p>
    <w:p w14:paraId="74180D22"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lastRenderedPageBreak/>
        <w:t>Allowances and Subsidies: Additional payments made to employees for specific purposes, such as housing or transportation.</w:t>
      </w:r>
    </w:p>
    <w:p w14:paraId="59BCC497"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Employee Welfare Expenses: Costs associated with providing benefits to employees, such as health and wellness programs.</w:t>
      </w:r>
    </w:p>
    <w:p w14:paraId="39CEBCC8"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Social Insurance Fee: Contributions made by the employer towards social insurance schemes.</w:t>
      </w:r>
    </w:p>
    <w:p w14:paraId="4B2D1C06"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Medical Insurance Fee: Premiums paid for medical insurance coverage for employees.</w:t>
      </w:r>
    </w:p>
    <w:p w14:paraId="1C98E414"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Work Injury Insurance Fee: Insurance coverage for work-related injuries.</w:t>
      </w:r>
    </w:p>
    <w:p w14:paraId="30729B33"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Maternity Insurance Fee: Coverage for maternity-related expenses.</w:t>
      </w:r>
    </w:p>
    <w:p w14:paraId="37B8B564"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Housing Provident Fund: Contributions made towards housing funds for employees.</w:t>
      </w:r>
    </w:p>
    <w:p w14:paraId="44138A34"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Union Funds and Employee Education Expenses: Funds allocated for union activities and employee training and development.</w:t>
      </w:r>
    </w:p>
    <w:p w14:paraId="3CA9D4AB"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Post-employment Benefit Provision Plans: Benefits provided to </w:t>
      </w:r>
      <w:proofErr w:type="gramStart"/>
      <w:r>
        <w:rPr>
          <w:rFonts w:ascii="Times New Roman" w:hAnsi="Times New Roman" w:cs="Times New Roman"/>
          <w:color w:val="000000" w:themeColor="text1"/>
          <w:sz w:val="22"/>
          <w:szCs w:val="22"/>
        </w:rPr>
        <w:t>employees</w:t>
      </w:r>
      <w:proofErr w:type="gramEnd"/>
      <w:r>
        <w:rPr>
          <w:rFonts w:ascii="Times New Roman" w:hAnsi="Times New Roman" w:cs="Times New Roman"/>
          <w:color w:val="000000" w:themeColor="text1"/>
          <w:sz w:val="22"/>
          <w:szCs w:val="22"/>
        </w:rPr>
        <w:t xml:space="preserve"> post-retirement or upon leaving the company.</w:t>
      </w:r>
    </w:p>
    <w:p w14:paraId="5A506D8D"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Basic Pension Insurance Fee: Contributions towards the pension fund.</w:t>
      </w:r>
    </w:p>
    <w:p w14:paraId="5A87945C"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Unemployment Insurance Fee: Insurance coverage for periods of unemployment.</w:t>
      </w:r>
    </w:p>
    <w:p w14:paraId="1E537AF8"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Corporate Annuity: A retirement benefit provided by the company to its </w:t>
      </w:r>
      <w:proofErr w:type="gramStart"/>
      <w:r>
        <w:rPr>
          <w:rFonts w:ascii="Times New Roman" w:hAnsi="Times New Roman" w:cs="Times New Roman"/>
          <w:color w:val="000000" w:themeColor="text1"/>
          <w:sz w:val="22"/>
          <w:szCs w:val="22"/>
        </w:rPr>
        <w:t>employees(</w:t>
      </w:r>
      <w:proofErr w:type="spellStart"/>
      <w:proofErr w:type="gramEnd"/>
      <w:r>
        <w:rPr>
          <w:rFonts w:ascii="Times New Roman" w:hAnsi="Times New Roman" w:cs="Times New Roman"/>
          <w:color w:val="000000" w:themeColor="text1"/>
          <w:sz w:val="22"/>
          <w:szCs w:val="22"/>
        </w:rPr>
        <w:t>Pocztowski</w:t>
      </w:r>
      <w:proofErr w:type="spellEnd"/>
      <w:r>
        <w:rPr>
          <w:rFonts w:ascii="Times New Roman" w:hAnsi="Times New Roman" w:cs="Times New Roman"/>
          <w:color w:val="000000" w:themeColor="text1"/>
          <w:sz w:val="22"/>
          <w:szCs w:val="22"/>
        </w:rPr>
        <w:t xml:space="preserve"> et al., 2020).</w:t>
      </w:r>
    </w:p>
    <w:p w14:paraId="03A14501"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By offering a comprehensive package, the company not only ensures competitive remuneration but also addresses various needs of its employees, from healthcare to retirement </w:t>
      </w:r>
      <w:proofErr w:type="gramStart"/>
      <w:r>
        <w:rPr>
          <w:rFonts w:ascii="Times New Roman" w:hAnsi="Times New Roman" w:cs="Times New Roman"/>
          <w:color w:val="000000" w:themeColor="text1"/>
          <w:sz w:val="22"/>
          <w:szCs w:val="22"/>
        </w:rPr>
        <w:t>planning(</w:t>
      </w:r>
      <w:proofErr w:type="gramEnd"/>
      <w:r>
        <w:rPr>
          <w:rFonts w:ascii="Times New Roman" w:hAnsi="Times New Roman" w:cs="Times New Roman"/>
          <w:color w:val="000000" w:themeColor="text1"/>
          <w:sz w:val="22"/>
          <w:szCs w:val="22"/>
        </w:rPr>
        <w:t>Aggarwal et al., 2023</w:t>
      </w:r>
      <w:r>
        <w:rPr>
          <w:rFonts w:ascii="Times New Roman" w:hAnsi="Times New Roman" w:cs="Times New Roman" w:hint="eastAsia"/>
          <w:color w:val="000000" w:themeColor="text1"/>
          <w:sz w:val="22"/>
          <w:szCs w:val="22"/>
        </w:rPr>
        <w:t>;</w:t>
      </w:r>
      <w:r>
        <w:rPr>
          <w:rFonts w:ascii="Times New Roman" w:hAnsi="Times New Roman" w:cs="Times New Roman"/>
          <w:color w:val="000000" w:themeColor="text1"/>
          <w:sz w:val="22"/>
          <w:szCs w:val="22"/>
        </w:rPr>
        <w:t xml:space="preserve"> </w:t>
      </w:r>
      <w:proofErr w:type="spellStart"/>
      <w:r>
        <w:rPr>
          <w:rFonts w:ascii="Times New Roman" w:hAnsi="Times New Roman" w:cs="Times New Roman"/>
          <w:color w:val="000000" w:themeColor="text1"/>
          <w:sz w:val="22"/>
          <w:szCs w:val="22"/>
        </w:rPr>
        <w:t>Amstad</w:t>
      </w:r>
      <w:proofErr w:type="spellEnd"/>
      <w:r>
        <w:rPr>
          <w:rFonts w:ascii="Times New Roman" w:hAnsi="Times New Roman" w:cs="Times New Roman"/>
          <w:color w:val="000000" w:themeColor="text1"/>
          <w:sz w:val="22"/>
          <w:szCs w:val="22"/>
        </w:rPr>
        <w:t>, 2020).</w:t>
      </w:r>
    </w:p>
    <w:p w14:paraId="5CE0E0B9"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Based on the publicly disclosed financial data of the company, a regression model can be used to determine the specific correlation between salary, benefits, and employee productivity. The model is as follows:</w:t>
      </w:r>
    </w:p>
    <w:p w14:paraId="3A19FD3D" w14:textId="77777777" w:rsidR="008E3CF6" w:rsidRDefault="00000000">
      <w:pPr>
        <w:spacing w:line="360" w:lineRule="auto"/>
        <w:rPr>
          <w:rFonts w:ascii="Times New Roman" w:hAnsi="Times New Roman" w:cs="Times New Roman"/>
          <w:color w:val="000000" w:themeColor="text1"/>
          <w:sz w:val="22"/>
          <w:szCs w:val="22"/>
        </w:rPr>
      </w:pPr>
      <m:oMathPara>
        <m:oMath>
          <m:r>
            <w:rPr>
              <w:rFonts w:ascii="Cambria Math" w:hAnsi="Cambria Math" w:cs="Times New Roman"/>
              <w:color w:val="000000" w:themeColor="text1"/>
              <w:sz w:val="22"/>
              <w:szCs w:val="22"/>
            </w:rPr>
            <m:t>Employee</m:t>
          </m:r>
          <m:r>
            <m:rPr>
              <m:sty m:val="p"/>
            </m:rPr>
            <w:rPr>
              <w:rFonts w:ascii="Cambria Math" w:hAnsi="Cambria Math" w:cs="Times New Roman"/>
              <w:color w:val="000000" w:themeColor="text1"/>
              <w:sz w:val="22"/>
              <w:szCs w:val="22"/>
            </w:rPr>
            <m:t xml:space="preserve"> </m:t>
          </m:r>
          <m:r>
            <w:rPr>
              <w:rFonts w:ascii="Cambria Math" w:hAnsi="Cambria Math" w:cs="Times New Roman"/>
              <w:color w:val="000000" w:themeColor="text1"/>
              <w:sz w:val="22"/>
              <w:szCs w:val="22"/>
            </w:rPr>
            <m:t>Productivity</m:t>
          </m:r>
          <m:r>
            <m:rPr>
              <m:sty m:val="p"/>
            </m:rPr>
            <w:rPr>
              <w:rFonts w:ascii="Cambria Math" w:hAnsi="Cambria Math" w:cs="Times New Roman"/>
              <w:color w:val="000000" w:themeColor="text1"/>
              <w:sz w:val="22"/>
              <w:szCs w:val="22"/>
            </w:rPr>
            <m:t>=</m:t>
          </m:r>
          <m:sSub>
            <m:sSubPr>
              <m:ctrlPr>
                <w:rPr>
                  <w:rFonts w:ascii="Cambria Math" w:hAnsi="Cambria Math" w:cs="Times New Roman"/>
                  <w:color w:val="000000" w:themeColor="text1"/>
                  <w:sz w:val="22"/>
                  <w:szCs w:val="22"/>
                </w:rPr>
              </m:ctrlPr>
            </m:sSubPr>
            <m:e>
              <m:r>
                <w:rPr>
                  <w:rFonts w:ascii="Cambria Math" w:hAnsi="Cambria Math" w:cs="Times New Roman"/>
                  <w:color w:val="000000" w:themeColor="text1"/>
                  <w:sz w:val="22"/>
                  <w:szCs w:val="22"/>
                </w:rPr>
                <m:t>β</m:t>
              </m:r>
            </m:e>
            <m:sub>
              <m:r>
                <m:rPr>
                  <m:sty m:val="p"/>
                </m:rPr>
                <w:rPr>
                  <w:rFonts w:ascii="Cambria Math" w:hAnsi="Cambria Math" w:cs="Times New Roman"/>
                  <w:color w:val="000000" w:themeColor="text1"/>
                  <w:sz w:val="22"/>
                  <w:szCs w:val="22"/>
                </w:rPr>
                <m:t>0</m:t>
              </m:r>
            </m:sub>
          </m:sSub>
          <m:r>
            <m:rPr>
              <m:sty m:val="p"/>
            </m:rPr>
            <w:rPr>
              <w:rFonts w:ascii="Cambria Math" w:hAnsi="Cambria Math" w:cs="Times New Roman"/>
              <w:color w:val="000000" w:themeColor="text1"/>
              <w:sz w:val="22"/>
              <w:szCs w:val="22"/>
            </w:rPr>
            <m:t>+</m:t>
          </m:r>
          <m:sSub>
            <m:sSubPr>
              <m:ctrlPr>
                <w:rPr>
                  <w:rFonts w:ascii="Cambria Math" w:hAnsi="Cambria Math" w:cs="Times New Roman"/>
                  <w:color w:val="000000" w:themeColor="text1"/>
                  <w:sz w:val="22"/>
                  <w:szCs w:val="22"/>
                </w:rPr>
              </m:ctrlPr>
            </m:sSubPr>
            <m:e>
              <m:r>
                <w:rPr>
                  <w:rFonts w:ascii="Cambria Math" w:hAnsi="Cambria Math" w:cs="Times New Roman"/>
                  <w:color w:val="000000" w:themeColor="text1"/>
                  <w:sz w:val="22"/>
                  <w:szCs w:val="22"/>
                </w:rPr>
                <m:t>β</m:t>
              </m:r>
            </m:e>
            <m:sub>
              <m:r>
                <m:rPr>
                  <m:sty m:val="p"/>
                </m:rPr>
                <w:rPr>
                  <w:rFonts w:ascii="Cambria Math" w:hAnsi="Cambria Math" w:cs="Times New Roman"/>
                  <w:color w:val="000000" w:themeColor="text1"/>
                  <w:sz w:val="22"/>
                  <w:szCs w:val="22"/>
                </w:rPr>
                <m:t>1</m:t>
              </m:r>
            </m:sub>
          </m:sSub>
          <m:r>
            <m:rPr>
              <m:sty m:val="p"/>
            </m:rPr>
            <w:rPr>
              <w:rFonts w:ascii="Cambria Math" w:hAnsi="Cambria Math" w:cs="Times New Roman"/>
              <w:color w:val="000000" w:themeColor="text1"/>
              <w:sz w:val="22"/>
              <w:szCs w:val="22"/>
            </w:rPr>
            <m:t>×</m:t>
          </m:r>
          <m:r>
            <w:rPr>
              <w:rFonts w:ascii="Cambria Math" w:hAnsi="Cambria Math" w:cs="Times New Roman"/>
              <w:color w:val="000000" w:themeColor="text1"/>
              <w:sz w:val="22"/>
              <w:szCs w:val="22"/>
            </w:rPr>
            <m:t>Employee</m:t>
          </m:r>
          <m:r>
            <m:rPr>
              <m:sty m:val="p"/>
            </m:rPr>
            <w:rPr>
              <w:rFonts w:ascii="Cambria Math" w:hAnsi="Cambria Math" w:cs="Times New Roman"/>
              <w:color w:val="000000" w:themeColor="text1"/>
              <w:sz w:val="22"/>
              <w:szCs w:val="22"/>
            </w:rPr>
            <m:t xml:space="preserve"> </m:t>
          </m:r>
          <m:r>
            <w:rPr>
              <w:rFonts w:ascii="Cambria Math" w:hAnsi="Cambria Math" w:cs="Times New Roman"/>
              <w:color w:val="000000" w:themeColor="text1"/>
              <w:sz w:val="22"/>
              <w:szCs w:val="22"/>
            </w:rPr>
            <m:t>Compensation</m:t>
          </m:r>
          <m:r>
            <m:rPr>
              <m:sty m:val="p"/>
            </m:rPr>
            <w:rPr>
              <w:rFonts w:ascii="Cambria Math" w:hAnsi="Cambria Math" w:cs="Times New Roman"/>
              <w:color w:val="000000" w:themeColor="text1"/>
              <w:sz w:val="22"/>
              <w:szCs w:val="22"/>
            </w:rPr>
            <m:t xml:space="preserve"> </m:t>
          </m:r>
          <m:r>
            <w:rPr>
              <w:rFonts w:ascii="Cambria Math" w:hAnsi="Cambria Math" w:cs="Times New Roman"/>
              <w:color w:val="000000" w:themeColor="text1"/>
              <w:sz w:val="22"/>
              <w:szCs w:val="22"/>
            </w:rPr>
            <m:t>Costs</m:t>
          </m:r>
          <m:r>
            <m:rPr>
              <m:sty m:val="p"/>
            </m:rPr>
            <w:rPr>
              <w:rFonts w:ascii="Cambria Math" w:hAnsi="Cambria Math" w:cs="Times New Roman"/>
              <w:color w:val="000000" w:themeColor="text1"/>
              <w:sz w:val="22"/>
              <w:szCs w:val="22"/>
            </w:rPr>
            <m:t>+</m:t>
          </m:r>
          <m:r>
            <w:rPr>
              <w:rFonts w:ascii="Cambria Math" w:hAnsi="Cambria Math" w:cs="Times New Roman"/>
              <w:color w:val="000000" w:themeColor="text1"/>
              <w:sz w:val="22"/>
              <w:szCs w:val="22"/>
            </w:rPr>
            <m:t>ϵ</m:t>
          </m:r>
        </m:oMath>
      </m:oMathPara>
    </w:p>
    <w:p w14:paraId="1214D372" w14:textId="77777777" w:rsidR="008E3CF6" w:rsidRDefault="00000000">
      <w:pPr>
        <w:spacing w:line="360" w:lineRule="auto"/>
        <w:rPr>
          <w:rFonts w:ascii="Times New Roman" w:hAnsi="Times New Roman" w:cs="Times New Roman"/>
          <w:color w:val="000000" w:themeColor="text1"/>
          <w:sz w:val="22"/>
          <w:szCs w:val="22"/>
        </w:rPr>
      </w:pPr>
      <m:oMath>
        <m:sSub>
          <m:sSubPr>
            <m:ctrlPr>
              <w:rPr>
                <w:rFonts w:ascii="Cambria Math" w:hAnsi="Cambria Math" w:cs="Times New Roman"/>
                <w:color w:val="000000" w:themeColor="text1"/>
                <w:sz w:val="22"/>
                <w:szCs w:val="22"/>
              </w:rPr>
            </m:ctrlPr>
          </m:sSubPr>
          <m:e>
            <m:r>
              <w:rPr>
                <w:rFonts w:ascii="Cambria Math" w:hAnsi="Cambria Math" w:cs="Times New Roman"/>
                <w:color w:val="000000" w:themeColor="text1"/>
                <w:sz w:val="22"/>
                <w:szCs w:val="22"/>
              </w:rPr>
              <m:t>β</m:t>
            </m:r>
          </m:e>
          <m:sub>
            <m:r>
              <m:rPr>
                <m:sty m:val="p"/>
              </m:rPr>
              <w:rPr>
                <w:rFonts w:ascii="Cambria Math" w:hAnsi="Cambria Math" w:cs="Times New Roman"/>
                <w:color w:val="000000" w:themeColor="text1"/>
                <w:sz w:val="22"/>
                <w:szCs w:val="22"/>
              </w:rPr>
              <m:t>0</m:t>
            </m:r>
          </m:sub>
        </m:sSub>
        <m:r>
          <m:rPr>
            <m:sty m:val="p"/>
          </m:rPr>
          <w:rPr>
            <w:rFonts w:ascii="Cambria Math" w:hAnsi="Cambria Math" w:cs="Times New Roman"/>
            <w:color w:val="000000" w:themeColor="text1"/>
            <w:sz w:val="22"/>
            <w:szCs w:val="22"/>
          </w:rPr>
          <m:t xml:space="preserve"> </m:t>
        </m:r>
      </m:oMath>
      <w:r>
        <w:rPr>
          <w:rFonts w:ascii="Times New Roman" w:hAnsi="Times New Roman" w:cs="Times New Roman"/>
          <w:color w:val="000000" w:themeColor="text1"/>
          <w:sz w:val="22"/>
          <w:szCs w:val="22"/>
        </w:rPr>
        <w:t>is the intercept.</w:t>
      </w:r>
    </w:p>
    <w:p w14:paraId="44007E6D" w14:textId="77777777" w:rsidR="008E3CF6" w:rsidRDefault="00000000">
      <w:pPr>
        <w:spacing w:line="360" w:lineRule="auto"/>
        <w:rPr>
          <w:rFonts w:ascii="Times New Roman" w:hAnsi="Times New Roman" w:cs="Times New Roman"/>
          <w:color w:val="000000" w:themeColor="text1"/>
          <w:sz w:val="22"/>
          <w:szCs w:val="22"/>
        </w:rPr>
      </w:pPr>
      <m:oMath>
        <m:sSub>
          <m:sSubPr>
            <m:ctrlPr>
              <w:rPr>
                <w:rFonts w:ascii="Cambria Math" w:hAnsi="Cambria Math" w:cs="Times New Roman"/>
                <w:color w:val="000000" w:themeColor="text1"/>
                <w:sz w:val="22"/>
                <w:szCs w:val="22"/>
              </w:rPr>
            </m:ctrlPr>
          </m:sSubPr>
          <m:e>
            <m:r>
              <w:rPr>
                <w:rFonts w:ascii="Cambria Math" w:hAnsi="Cambria Math" w:cs="Times New Roman"/>
                <w:color w:val="000000" w:themeColor="text1"/>
                <w:sz w:val="22"/>
                <w:szCs w:val="22"/>
              </w:rPr>
              <m:t>β</m:t>
            </m:r>
          </m:e>
          <m:sub>
            <m:r>
              <m:rPr>
                <m:sty m:val="p"/>
              </m:rPr>
              <w:rPr>
                <w:rFonts w:ascii="Cambria Math" w:hAnsi="Cambria Math" w:cs="Times New Roman"/>
                <w:color w:val="000000" w:themeColor="text1"/>
                <w:sz w:val="22"/>
                <w:szCs w:val="22"/>
              </w:rPr>
              <m:t>1</m:t>
            </m:r>
          </m:sub>
        </m:sSub>
      </m:oMath>
      <w:r>
        <w:rPr>
          <w:rFonts w:ascii="Times New Roman" w:hAnsi="Times New Roman" w:cs="Times New Roman"/>
          <w:color w:val="000000" w:themeColor="text1"/>
          <w:sz w:val="22"/>
          <w:szCs w:val="22"/>
        </w:rPr>
        <w:t xml:space="preserve"> represents the change in employee productivity for a unit change in employee compensation costs.</w:t>
      </w:r>
    </w:p>
    <w:p w14:paraId="61FEF669" w14:textId="77777777" w:rsidR="008E3CF6" w:rsidRDefault="00000000">
      <w:pPr>
        <w:spacing w:line="360" w:lineRule="auto"/>
        <w:rPr>
          <w:rFonts w:ascii="Times New Roman" w:hAnsi="Times New Roman" w:cs="Times New Roman"/>
          <w:color w:val="000000" w:themeColor="text1"/>
          <w:sz w:val="22"/>
          <w:szCs w:val="22"/>
        </w:rPr>
      </w:pPr>
      <m:oMath>
        <m:r>
          <w:rPr>
            <w:rFonts w:ascii="Cambria Math" w:hAnsi="Cambria Math" w:cs="Times New Roman"/>
            <w:color w:val="000000" w:themeColor="text1"/>
            <w:sz w:val="22"/>
            <w:szCs w:val="22"/>
          </w:rPr>
          <m:t>ϵ</m:t>
        </m:r>
      </m:oMath>
      <w:r>
        <w:rPr>
          <w:rFonts w:ascii="Times New Roman" w:hAnsi="Times New Roman" w:cs="Times New Roman"/>
          <w:color w:val="000000" w:themeColor="text1"/>
          <w:sz w:val="22"/>
          <w:szCs w:val="22"/>
        </w:rPr>
        <w:t xml:space="preserve"> is the error term capturing the unobserved factors.</w:t>
      </w:r>
    </w:p>
    <w:p w14:paraId="0D3FF9AE"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The rationale behind this model is grounded in the hypothesis that compensation incentives, when structured effectively, can lead to enhanced employee productivity. By quantifying this </w:t>
      </w:r>
      <w:r>
        <w:rPr>
          <w:rFonts w:ascii="Times New Roman" w:hAnsi="Times New Roman" w:cs="Times New Roman"/>
          <w:color w:val="000000" w:themeColor="text1"/>
          <w:sz w:val="22"/>
          <w:szCs w:val="22"/>
        </w:rPr>
        <w:lastRenderedPageBreak/>
        <w:t xml:space="preserve">relationship, organizations can make informed decisions regarding their compensation </w:t>
      </w:r>
      <w:proofErr w:type="gramStart"/>
      <w:r>
        <w:rPr>
          <w:rFonts w:ascii="Times New Roman" w:hAnsi="Times New Roman" w:cs="Times New Roman"/>
          <w:color w:val="000000" w:themeColor="text1"/>
          <w:sz w:val="22"/>
          <w:szCs w:val="22"/>
        </w:rPr>
        <w:t>strategies(</w:t>
      </w:r>
      <w:proofErr w:type="spellStart"/>
      <w:proofErr w:type="gramEnd"/>
      <w:r>
        <w:rPr>
          <w:rFonts w:ascii="Times New Roman" w:hAnsi="Times New Roman" w:cs="Times New Roman"/>
          <w:color w:val="000000" w:themeColor="text1"/>
          <w:sz w:val="22"/>
          <w:szCs w:val="22"/>
        </w:rPr>
        <w:t>Yiasemidou</w:t>
      </w:r>
      <w:proofErr w:type="spellEnd"/>
      <w:r>
        <w:rPr>
          <w:rFonts w:ascii="Times New Roman" w:hAnsi="Times New Roman" w:cs="Times New Roman"/>
          <w:color w:val="000000" w:themeColor="text1"/>
          <w:sz w:val="22"/>
          <w:szCs w:val="22"/>
        </w:rPr>
        <w:t xml:space="preserve"> et al., 2017). The results of the model are shown in Table 3-1</w:t>
      </w:r>
      <w:r>
        <w:rPr>
          <w:rFonts w:ascii="Times New Roman" w:hAnsi="Times New Roman" w:cs="Times New Roman"/>
          <w:color w:val="000000" w:themeColor="text1"/>
          <w:sz w:val="22"/>
          <w:szCs w:val="22"/>
        </w:rPr>
        <w:t>。</w:t>
      </w:r>
    </w:p>
    <w:p w14:paraId="6A5A5263" w14:textId="77777777" w:rsidR="008E3CF6" w:rsidRDefault="00000000">
      <w:pPr>
        <w:spacing w:line="360" w:lineRule="auto"/>
        <w:jc w:val="center"/>
        <w:rPr>
          <w:rFonts w:ascii="Times New Roman" w:hAnsi="Times New Roman" w:cs="Times New Roman"/>
          <w:b/>
          <w:bCs/>
          <w:color w:val="000000" w:themeColor="text1"/>
          <w:sz w:val="22"/>
          <w:szCs w:val="22"/>
        </w:rPr>
      </w:pPr>
      <w:r>
        <w:rPr>
          <w:rFonts w:ascii="Times New Roman" w:hAnsi="Times New Roman" w:cs="Times New Roman"/>
          <w:b/>
          <w:bCs/>
          <w:color w:val="000000" w:themeColor="text1"/>
          <w:sz w:val="22"/>
          <w:szCs w:val="22"/>
        </w:rPr>
        <w:t>Table 3-</w:t>
      </w:r>
      <w:proofErr w:type="gramStart"/>
      <w:r>
        <w:rPr>
          <w:rFonts w:ascii="Times New Roman" w:hAnsi="Times New Roman" w:cs="Times New Roman"/>
          <w:b/>
          <w:bCs/>
          <w:color w:val="000000" w:themeColor="text1"/>
          <w:sz w:val="22"/>
          <w:szCs w:val="22"/>
        </w:rPr>
        <w:t>1  Linear</w:t>
      </w:r>
      <w:proofErr w:type="gramEnd"/>
      <w:r>
        <w:rPr>
          <w:rFonts w:ascii="Times New Roman" w:hAnsi="Times New Roman" w:cs="Times New Roman"/>
          <w:b/>
          <w:bCs/>
          <w:color w:val="000000" w:themeColor="text1"/>
          <w:sz w:val="22"/>
          <w:szCs w:val="22"/>
        </w:rPr>
        <w:t xml:space="preserve"> regression analysis results</w:t>
      </w:r>
    </w:p>
    <w:tbl>
      <w:tblPr>
        <w:tblStyle w:val="ab"/>
        <w:tblW w:w="5000" w:type="pct"/>
        <w:tblLook w:val="04A0" w:firstRow="1" w:lastRow="0" w:firstColumn="1" w:lastColumn="0" w:noHBand="0" w:noVBand="1"/>
      </w:tblPr>
      <w:tblGrid>
        <w:gridCol w:w="1340"/>
        <w:gridCol w:w="1054"/>
        <w:gridCol w:w="1178"/>
        <w:gridCol w:w="1614"/>
        <w:gridCol w:w="676"/>
        <w:gridCol w:w="759"/>
        <w:gridCol w:w="616"/>
        <w:gridCol w:w="1069"/>
      </w:tblGrid>
      <w:tr w:rsidR="008E3CF6" w14:paraId="4E9C5EBF" w14:textId="77777777" w:rsidTr="008E3CF6">
        <w:trPr>
          <w:cnfStyle w:val="100000000000" w:firstRow="1" w:lastRow="0" w:firstColumn="0" w:lastColumn="0" w:oddVBand="0" w:evenVBand="0" w:oddHBand="0" w:evenHBand="0" w:firstRowFirstColumn="0" w:firstRowLastColumn="0" w:lastRowFirstColumn="0" w:lastRowLastColumn="0"/>
          <w:trHeight w:val="280"/>
        </w:trPr>
        <w:tc>
          <w:tcPr>
            <w:tcW w:w="803" w:type="pct"/>
            <w:tcBorders>
              <w:top w:val="single" w:sz="4" w:space="0" w:color="000000" w:themeColor="text1"/>
              <w:bottom w:val="nil"/>
            </w:tcBorders>
            <w:noWrap/>
          </w:tcPr>
          <w:p w14:paraId="2617996D"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w:t>
            </w:r>
          </w:p>
        </w:tc>
        <w:tc>
          <w:tcPr>
            <w:tcW w:w="1360" w:type="pct"/>
            <w:gridSpan w:val="2"/>
            <w:tcBorders>
              <w:top w:val="single" w:sz="4" w:space="0" w:color="000000" w:themeColor="text1"/>
              <w:bottom w:val="single" w:sz="4" w:space="0" w:color="auto"/>
            </w:tcBorders>
            <w:noWrap/>
          </w:tcPr>
          <w:p w14:paraId="7265AEEE"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Non-normalized coefficients</w:t>
            </w:r>
          </w:p>
        </w:tc>
        <w:tc>
          <w:tcPr>
            <w:tcW w:w="967" w:type="pct"/>
            <w:tcBorders>
              <w:top w:val="single" w:sz="4" w:space="0" w:color="000000" w:themeColor="text1"/>
              <w:bottom w:val="single" w:sz="4" w:space="0" w:color="auto"/>
            </w:tcBorders>
            <w:noWrap/>
          </w:tcPr>
          <w:p w14:paraId="41F4D37A"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Normalization factor</w:t>
            </w:r>
          </w:p>
        </w:tc>
        <w:tc>
          <w:tcPr>
            <w:tcW w:w="405" w:type="pct"/>
            <w:vMerge w:val="restart"/>
            <w:tcBorders>
              <w:top w:val="single" w:sz="4" w:space="0" w:color="000000" w:themeColor="text1"/>
              <w:bottom w:val="single" w:sz="4" w:space="0" w:color="auto"/>
            </w:tcBorders>
            <w:noWrap/>
          </w:tcPr>
          <w:p w14:paraId="6861C244"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t</w:t>
            </w:r>
          </w:p>
        </w:tc>
        <w:tc>
          <w:tcPr>
            <w:tcW w:w="455" w:type="pct"/>
            <w:vMerge w:val="restart"/>
            <w:tcBorders>
              <w:top w:val="single" w:sz="4" w:space="0" w:color="000000" w:themeColor="text1"/>
              <w:bottom w:val="nil"/>
            </w:tcBorders>
            <w:noWrap/>
          </w:tcPr>
          <w:p w14:paraId="09668778"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p</w:t>
            </w:r>
          </w:p>
        </w:tc>
        <w:tc>
          <w:tcPr>
            <w:tcW w:w="1010" w:type="pct"/>
            <w:gridSpan w:val="2"/>
            <w:tcBorders>
              <w:top w:val="single" w:sz="4" w:space="0" w:color="000000" w:themeColor="text1"/>
              <w:bottom w:val="single" w:sz="4" w:space="0" w:color="auto"/>
            </w:tcBorders>
            <w:noWrap/>
          </w:tcPr>
          <w:p w14:paraId="3D67B520"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Collinear diagnostics</w:t>
            </w:r>
          </w:p>
        </w:tc>
      </w:tr>
      <w:tr w:rsidR="008E3CF6" w14:paraId="07A702B9" w14:textId="77777777" w:rsidTr="008E3CF6">
        <w:trPr>
          <w:trHeight w:val="280"/>
        </w:trPr>
        <w:tc>
          <w:tcPr>
            <w:tcW w:w="803" w:type="pct"/>
            <w:tcBorders>
              <w:top w:val="nil"/>
              <w:bottom w:val="single" w:sz="4" w:space="0" w:color="auto"/>
            </w:tcBorders>
            <w:noWrap/>
          </w:tcPr>
          <w:p w14:paraId="5FEBA239"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w:t>
            </w:r>
          </w:p>
        </w:tc>
        <w:tc>
          <w:tcPr>
            <w:tcW w:w="655" w:type="pct"/>
            <w:tcBorders>
              <w:top w:val="single" w:sz="4" w:space="0" w:color="auto"/>
              <w:bottom w:val="single" w:sz="4" w:space="0" w:color="auto"/>
            </w:tcBorders>
            <w:noWrap/>
          </w:tcPr>
          <w:p w14:paraId="6DBB4091"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B</w:t>
            </w:r>
          </w:p>
        </w:tc>
        <w:tc>
          <w:tcPr>
            <w:tcW w:w="706" w:type="pct"/>
            <w:tcBorders>
              <w:top w:val="single" w:sz="4" w:space="0" w:color="auto"/>
              <w:bottom w:val="single" w:sz="4" w:space="0" w:color="auto"/>
            </w:tcBorders>
            <w:noWrap/>
          </w:tcPr>
          <w:p w14:paraId="43A8EF0A"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Standard error</w:t>
            </w:r>
          </w:p>
        </w:tc>
        <w:tc>
          <w:tcPr>
            <w:tcW w:w="967" w:type="pct"/>
            <w:tcBorders>
              <w:top w:val="single" w:sz="4" w:space="0" w:color="auto"/>
              <w:bottom w:val="single" w:sz="4" w:space="0" w:color="auto"/>
            </w:tcBorders>
            <w:noWrap/>
          </w:tcPr>
          <w:p w14:paraId="42E72FEB"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Beta</w:t>
            </w:r>
          </w:p>
        </w:tc>
        <w:tc>
          <w:tcPr>
            <w:tcW w:w="405" w:type="pct"/>
            <w:vMerge/>
            <w:tcBorders>
              <w:top w:val="nil"/>
              <w:bottom w:val="single" w:sz="4" w:space="0" w:color="auto"/>
            </w:tcBorders>
          </w:tcPr>
          <w:p w14:paraId="3A2629AE" w14:textId="77777777" w:rsidR="008E3CF6" w:rsidRDefault="008E3CF6">
            <w:pPr>
              <w:spacing w:line="360" w:lineRule="auto"/>
              <w:rPr>
                <w:rFonts w:ascii="Times New Roman" w:eastAsia="宋体" w:hAnsi="Times New Roman" w:cs="Times New Roman"/>
                <w:color w:val="000000" w:themeColor="text1"/>
                <w:kern w:val="0"/>
                <w:sz w:val="22"/>
                <w:szCs w:val="22"/>
              </w:rPr>
            </w:pPr>
          </w:p>
        </w:tc>
        <w:tc>
          <w:tcPr>
            <w:tcW w:w="455" w:type="pct"/>
            <w:vMerge/>
            <w:tcBorders>
              <w:top w:val="nil"/>
            </w:tcBorders>
          </w:tcPr>
          <w:p w14:paraId="6519D3D9" w14:textId="77777777" w:rsidR="008E3CF6" w:rsidRDefault="008E3CF6">
            <w:pPr>
              <w:spacing w:line="360" w:lineRule="auto"/>
              <w:rPr>
                <w:rFonts w:ascii="Times New Roman" w:eastAsia="宋体" w:hAnsi="Times New Roman" w:cs="Times New Roman"/>
                <w:color w:val="000000" w:themeColor="text1"/>
                <w:kern w:val="0"/>
                <w:sz w:val="22"/>
                <w:szCs w:val="22"/>
              </w:rPr>
            </w:pPr>
          </w:p>
        </w:tc>
        <w:tc>
          <w:tcPr>
            <w:tcW w:w="360" w:type="pct"/>
            <w:tcBorders>
              <w:top w:val="single" w:sz="4" w:space="0" w:color="auto"/>
              <w:bottom w:val="single" w:sz="4" w:space="0" w:color="auto"/>
            </w:tcBorders>
            <w:noWrap/>
          </w:tcPr>
          <w:p w14:paraId="2AE10B4B"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VIF</w:t>
            </w:r>
          </w:p>
        </w:tc>
        <w:tc>
          <w:tcPr>
            <w:tcW w:w="650" w:type="pct"/>
            <w:tcBorders>
              <w:top w:val="single" w:sz="4" w:space="0" w:color="auto"/>
              <w:bottom w:val="single" w:sz="4" w:space="0" w:color="auto"/>
            </w:tcBorders>
            <w:noWrap/>
          </w:tcPr>
          <w:p w14:paraId="167AFF76"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Tolerance</w:t>
            </w:r>
          </w:p>
        </w:tc>
      </w:tr>
      <w:tr w:rsidR="008E3CF6" w14:paraId="03933C02" w14:textId="77777777" w:rsidTr="008E3CF6">
        <w:trPr>
          <w:trHeight w:val="260"/>
        </w:trPr>
        <w:tc>
          <w:tcPr>
            <w:tcW w:w="803" w:type="pct"/>
            <w:tcBorders>
              <w:top w:val="single" w:sz="4" w:space="0" w:color="auto"/>
            </w:tcBorders>
            <w:noWrap/>
          </w:tcPr>
          <w:p w14:paraId="2D20372B"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constant</w:t>
            </w:r>
          </w:p>
        </w:tc>
        <w:tc>
          <w:tcPr>
            <w:tcW w:w="655" w:type="pct"/>
            <w:tcBorders>
              <w:top w:val="single" w:sz="4" w:space="0" w:color="auto"/>
            </w:tcBorders>
            <w:noWrap/>
          </w:tcPr>
          <w:p w14:paraId="47F13CCB"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-34.989</w:t>
            </w:r>
          </w:p>
        </w:tc>
        <w:tc>
          <w:tcPr>
            <w:tcW w:w="706" w:type="pct"/>
            <w:tcBorders>
              <w:top w:val="single" w:sz="4" w:space="0" w:color="auto"/>
            </w:tcBorders>
            <w:noWrap/>
          </w:tcPr>
          <w:p w14:paraId="0CB61F3A"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16.061</w:t>
            </w:r>
          </w:p>
        </w:tc>
        <w:tc>
          <w:tcPr>
            <w:tcW w:w="967" w:type="pct"/>
            <w:tcBorders>
              <w:top w:val="single" w:sz="4" w:space="0" w:color="auto"/>
            </w:tcBorders>
            <w:noWrap/>
          </w:tcPr>
          <w:p w14:paraId="41D8A1A0"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w:t>
            </w:r>
          </w:p>
        </w:tc>
        <w:tc>
          <w:tcPr>
            <w:tcW w:w="405" w:type="pct"/>
            <w:tcBorders>
              <w:top w:val="single" w:sz="4" w:space="0" w:color="auto"/>
            </w:tcBorders>
            <w:noWrap/>
          </w:tcPr>
          <w:p w14:paraId="2EBD61C0"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-2.178</w:t>
            </w:r>
          </w:p>
        </w:tc>
        <w:tc>
          <w:tcPr>
            <w:tcW w:w="455" w:type="pct"/>
            <w:tcBorders>
              <w:top w:val="single" w:sz="4" w:space="0" w:color="auto"/>
            </w:tcBorders>
            <w:noWrap/>
          </w:tcPr>
          <w:p w14:paraId="325BC86F"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0.052</w:t>
            </w:r>
          </w:p>
        </w:tc>
        <w:tc>
          <w:tcPr>
            <w:tcW w:w="360" w:type="pct"/>
            <w:tcBorders>
              <w:top w:val="single" w:sz="4" w:space="0" w:color="auto"/>
            </w:tcBorders>
            <w:noWrap/>
          </w:tcPr>
          <w:p w14:paraId="06252152"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w:t>
            </w:r>
          </w:p>
        </w:tc>
        <w:tc>
          <w:tcPr>
            <w:tcW w:w="650" w:type="pct"/>
            <w:tcBorders>
              <w:top w:val="single" w:sz="4" w:space="0" w:color="auto"/>
            </w:tcBorders>
            <w:noWrap/>
          </w:tcPr>
          <w:p w14:paraId="597BF5D8"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w:t>
            </w:r>
          </w:p>
        </w:tc>
      </w:tr>
      <w:tr w:rsidR="008E3CF6" w14:paraId="5F7503CF" w14:textId="77777777" w:rsidTr="008E3CF6">
        <w:trPr>
          <w:trHeight w:val="260"/>
        </w:trPr>
        <w:tc>
          <w:tcPr>
            <w:tcW w:w="803" w:type="pct"/>
            <w:noWrap/>
          </w:tcPr>
          <w:p w14:paraId="4271D8B7"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Salary per capita</w:t>
            </w:r>
          </w:p>
        </w:tc>
        <w:tc>
          <w:tcPr>
            <w:tcW w:w="655" w:type="pct"/>
            <w:noWrap/>
          </w:tcPr>
          <w:p w14:paraId="2493C2F8"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3.929</w:t>
            </w:r>
          </w:p>
        </w:tc>
        <w:tc>
          <w:tcPr>
            <w:tcW w:w="706" w:type="pct"/>
            <w:noWrap/>
          </w:tcPr>
          <w:p w14:paraId="53AB5971"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0.335</w:t>
            </w:r>
          </w:p>
        </w:tc>
        <w:tc>
          <w:tcPr>
            <w:tcW w:w="967" w:type="pct"/>
            <w:noWrap/>
          </w:tcPr>
          <w:p w14:paraId="6F932A7A"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0.962</w:t>
            </w:r>
          </w:p>
        </w:tc>
        <w:tc>
          <w:tcPr>
            <w:tcW w:w="405" w:type="pct"/>
            <w:noWrap/>
          </w:tcPr>
          <w:p w14:paraId="7BD16FC5"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11.733</w:t>
            </w:r>
          </w:p>
        </w:tc>
        <w:tc>
          <w:tcPr>
            <w:tcW w:w="455" w:type="pct"/>
            <w:noWrap/>
          </w:tcPr>
          <w:p w14:paraId="2CB9D6AC"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0.000**</w:t>
            </w:r>
          </w:p>
        </w:tc>
        <w:tc>
          <w:tcPr>
            <w:tcW w:w="360" w:type="pct"/>
            <w:noWrap/>
          </w:tcPr>
          <w:p w14:paraId="706D52EF"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1</w:t>
            </w:r>
          </w:p>
        </w:tc>
        <w:tc>
          <w:tcPr>
            <w:tcW w:w="650" w:type="pct"/>
            <w:noWrap/>
          </w:tcPr>
          <w:p w14:paraId="2D137B7C"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1</w:t>
            </w:r>
          </w:p>
        </w:tc>
      </w:tr>
      <w:tr w:rsidR="008E3CF6" w14:paraId="7D2C2278" w14:textId="77777777" w:rsidTr="008E3CF6">
        <w:trPr>
          <w:trHeight w:val="260"/>
        </w:trPr>
        <w:tc>
          <w:tcPr>
            <w:tcW w:w="803" w:type="pct"/>
            <w:noWrap/>
          </w:tcPr>
          <w:p w14:paraId="27200C25"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R</w:t>
            </w:r>
            <w:r>
              <w:rPr>
                <w:rFonts w:ascii="Times New Roman" w:eastAsia="宋体" w:hAnsi="Times New Roman" w:cs="Times New Roman"/>
                <w:color w:val="000000" w:themeColor="text1"/>
                <w:kern w:val="0"/>
                <w:sz w:val="22"/>
                <w:szCs w:val="22"/>
                <w:vertAlign w:val="superscript"/>
              </w:rPr>
              <w:t xml:space="preserve"> 2</w:t>
            </w:r>
          </w:p>
        </w:tc>
        <w:tc>
          <w:tcPr>
            <w:tcW w:w="4197" w:type="pct"/>
            <w:gridSpan w:val="7"/>
            <w:noWrap/>
          </w:tcPr>
          <w:p w14:paraId="137EA928"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0.926</w:t>
            </w:r>
          </w:p>
        </w:tc>
      </w:tr>
      <w:tr w:rsidR="008E3CF6" w14:paraId="41480D89" w14:textId="77777777" w:rsidTr="008E3CF6">
        <w:trPr>
          <w:trHeight w:val="280"/>
        </w:trPr>
        <w:tc>
          <w:tcPr>
            <w:tcW w:w="803" w:type="pct"/>
            <w:noWrap/>
          </w:tcPr>
          <w:p w14:paraId="2133459D"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Adjust R</w:t>
            </w:r>
            <w:r>
              <w:rPr>
                <w:rFonts w:ascii="Times New Roman" w:eastAsia="宋体" w:hAnsi="Times New Roman" w:cs="Times New Roman"/>
                <w:color w:val="000000" w:themeColor="text1"/>
                <w:kern w:val="0"/>
                <w:sz w:val="22"/>
                <w:szCs w:val="22"/>
                <w:vertAlign w:val="superscript"/>
              </w:rPr>
              <w:t xml:space="preserve"> 2</w:t>
            </w:r>
          </w:p>
        </w:tc>
        <w:tc>
          <w:tcPr>
            <w:tcW w:w="4197" w:type="pct"/>
            <w:gridSpan w:val="7"/>
            <w:noWrap/>
          </w:tcPr>
          <w:p w14:paraId="470260CA"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0.919</w:t>
            </w:r>
          </w:p>
        </w:tc>
      </w:tr>
      <w:tr w:rsidR="008E3CF6" w14:paraId="59E49671" w14:textId="77777777" w:rsidTr="008E3CF6">
        <w:trPr>
          <w:trHeight w:val="260"/>
        </w:trPr>
        <w:tc>
          <w:tcPr>
            <w:tcW w:w="803" w:type="pct"/>
            <w:noWrap/>
          </w:tcPr>
          <w:p w14:paraId="043C06AE"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F</w:t>
            </w:r>
          </w:p>
        </w:tc>
        <w:tc>
          <w:tcPr>
            <w:tcW w:w="4197" w:type="pct"/>
            <w:gridSpan w:val="7"/>
            <w:noWrap/>
          </w:tcPr>
          <w:p w14:paraId="0DD906BF"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F (1,</w:t>
            </w:r>
            <w:proofErr w:type="gramStart"/>
            <w:r>
              <w:rPr>
                <w:rFonts w:ascii="Times New Roman" w:eastAsia="宋体" w:hAnsi="Times New Roman" w:cs="Times New Roman"/>
                <w:color w:val="000000" w:themeColor="text1"/>
                <w:kern w:val="0"/>
                <w:sz w:val="22"/>
                <w:szCs w:val="22"/>
              </w:rPr>
              <w:t>11)=</w:t>
            </w:r>
            <w:proofErr w:type="gramEnd"/>
            <w:r>
              <w:rPr>
                <w:rFonts w:ascii="Times New Roman" w:eastAsia="宋体" w:hAnsi="Times New Roman" w:cs="Times New Roman"/>
                <w:color w:val="000000" w:themeColor="text1"/>
                <w:kern w:val="0"/>
                <w:sz w:val="22"/>
                <w:szCs w:val="22"/>
              </w:rPr>
              <w:t>137.665,p=0.000</w:t>
            </w:r>
          </w:p>
        </w:tc>
      </w:tr>
      <w:tr w:rsidR="008E3CF6" w14:paraId="6451A250" w14:textId="77777777" w:rsidTr="008E3CF6">
        <w:trPr>
          <w:trHeight w:val="280"/>
        </w:trPr>
        <w:tc>
          <w:tcPr>
            <w:tcW w:w="803" w:type="pct"/>
            <w:noWrap/>
          </w:tcPr>
          <w:p w14:paraId="316C4AB6"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D-W</w:t>
            </w:r>
          </w:p>
        </w:tc>
        <w:tc>
          <w:tcPr>
            <w:tcW w:w="4197" w:type="pct"/>
            <w:gridSpan w:val="7"/>
            <w:noWrap/>
          </w:tcPr>
          <w:p w14:paraId="227B03E8"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2.063</w:t>
            </w:r>
          </w:p>
        </w:tc>
      </w:tr>
      <w:tr w:rsidR="008E3CF6" w14:paraId="0ACAD2A9" w14:textId="77777777" w:rsidTr="008E3CF6">
        <w:trPr>
          <w:trHeight w:val="260"/>
        </w:trPr>
        <w:tc>
          <w:tcPr>
            <w:tcW w:w="5000" w:type="pct"/>
            <w:gridSpan w:val="8"/>
            <w:noWrap/>
          </w:tcPr>
          <w:p w14:paraId="2ACCB865"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Dependent variable</w:t>
            </w:r>
            <w:r>
              <w:rPr>
                <w:rFonts w:ascii="Times New Roman" w:eastAsia="宋体" w:hAnsi="Times New Roman" w:cs="Times New Roman"/>
                <w:color w:val="000000" w:themeColor="text1"/>
                <w:kern w:val="0"/>
                <w:sz w:val="22"/>
                <w:szCs w:val="22"/>
              </w:rPr>
              <w:t>：</w:t>
            </w:r>
            <w:r>
              <w:rPr>
                <w:rFonts w:ascii="Times New Roman" w:eastAsia="宋体" w:hAnsi="Times New Roman" w:cs="Times New Roman"/>
                <w:color w:val="000000" w:themeColor="text1"/>
                <w:kern w:val="0"/>
                <w:sz w:val="22"/>
                <w:szCs w:val="22"/>
              </w:rPr>
              <w:t>Productivity per capita</w:t>
            </w:r>
          </w:p>
        </w:tc>
      </w:tr>
      <w:tr w:rsidR="008E3CF6" w14:paraId="02957C64" w14:textId="77777777" w:rsidTr="008E3CF6">
        <w:trPr>
          <w:trHeight w:val="260"/>
        </w:trPr>
        <w:tc>
          <w:tcPr>
            <w:tcW w:w="5000" w:type="pct"/>
            <w:gridSpan w:val="8"/>
            <w:noWrap/>
          </w:tcPr>
          <w:p w14:paraId="22005A50" w14:textId="77777777" w:rsidR="008E3CF6" w:rsidRDefault="00000000">
            <w:pPr>
              <w:spacing w:line="360" w:lineRule="auto"/>
              <w:rPr>
                <w:rFonts w:ascii="Times New Roman" w:eastAsia="宋体" w:hAnsi="Times New Roman" w:cs="Times New Roman"/>
                <w:color w:val="000000" w:themeColor="text1"/>
                <w:kern w:val="0"/>
                <w:sz w:val="22"/>
                <w:szCs w:val="22"/>
              </w:rPr>
            </w:pPr>
            <w:r>
              <w:rPr>
                <w:rFonts w:ascii="Times New Roman" w:eastAsia="宋体" w:hAnsi="Times New Roman" w:cs="Times New Roman"/>
                <w:color w:val="000000" w:themeColor="text1"/>
                <w:kern w:val="0"/>
                <w:sz w:val="22"/>
                <w:szCs w:val="22"/>
              </w:rPr>
              <w:t>* p&lt;0.05 ** p&lt;0.01</w:t>
            </w:r>
          </w:p>
        </w:tc>
      </w:tr>
    </w:tbl>
    <w:p w14:paraId="3BD1CD30" w14:textId="77777777" w:rsidR="008E3CF6" w:rsidRDefault="008E3CF6">
      <w:pPr>
        <w:spacing w:line="360" w:lineRule="auto"/>
        <w:rPr>
          <w:rFonts w:ascii="Times New Roman" w:hAnsi="Times New Roman" w:cs="Times New Roman"/>
          <w:color w:val="000000" w:themeColor="text1"/>
          <w:sz w:val="22"/>
          <w:szCs w:val="22"/>
        </w:rPr>
      </w:pPr>
    </w:p>
    <w:p w14:paraId="7AB98181"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The adjusted R</w:t>
      </w:r>
      <w:r>
        <w:rPr>
          <w:rFonts w:ascii="Times New Roman" w:hAnsi="Times New Roman" w:cs="Times New Roman"/>
          <w:color w:val="000000" w:themeColor="text1"/>
          <w:sz w:val="22"/>
          <w:szCs w:val="22"/>
          <w:vertAlign w:val="superscript"/>
        </w:rPr>
        <w:t>2</w:t>
      </w:r>
      <w:r>
        <w:rPr>
          <w:rFonts w:ascii="Times New Roman" w:hAnsi="Times New Roman" w:cs="Times New Roman"/>
          <w:color w:val="000000" w:themeColor="text1"/>
          <w:sz w:val="22"/>
          <w:szCs w:val="22"/>
        </w:rPr>
        <w:t xml:space="preserve"> value of 0.919 suggests that approximately 91.9% of the variance in employee productivity can be explained by the model, indicating a strong fit. the F-statistic value of 137.665 with a p-value of 0.000 indicates that the regression model is statistically significant. the D-W value of 2.063 suggests that there is no autocorrelation in the residuals, which is a desirable property for a regression model. the coefficient for employee compensation is 3.929 with a standard error of 0.335. This suggests that for every unit increase in employee compensation, there is an associated increase of approximately 3.929 units in employee productivity. The t-statistic of 11.733 with a p-value of 0.000 indicates that this relationship is statistically significant at the 1% level.</w:t>
      </w:r>
    </w:p>
    <w:p w14:paraId="39AA2541"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The results indicate a strong positive correlation between the amount of employee </w:t>
      </w:r>
      <w:r>
        <w:rPr>
          <w:rFonts w:ascii="Times New Roman" w:hAnsi="Times New Roman" w:cs="Times New Roman"/>
          <w:color w:val="000000" w:themeColor="text1"/>
          <w:sz w:val="22"/>
          <w:szCs w:val="22"/>
        </w:rPr>
        <w:lastRenderedPageBreak/>
        <w:t>compensation and benefits and productivity. Significant coefficients suggest that as compensation and benefits increase, so does employee productivity. This finding aligns with broader literature, which posits that benefits incentives can enhance employee performance (Horowitz et al., 2019). A higher R2 value further highlights the robustness of this relationship in the context of China Securities Co., Ltd. The Durbin-Watson statistic ensures the model's validity by confirming the absence of autocorrelation.</w:t>
      </w:r>
    </w:p>
    <w:p w14:paraId="4F63FDF6" w14:textId="77777777" w:rsidR="008E3CF6" w:rsidRDefault="008E3CF6">
      <w:pPr>
        <w:spacing w:line="360" w:lineRule="auto"/>
        <w:rPr>
          <w:rFonts w:ascii="Times New Roman" w:hAnsi="Times New Roman" w:cs="Times New Roman"/>
          <w:color w:val="000000" w:themeColor="text1"/>
          <w:sz w:val="22"/>
          <w:szCs w:val="22"/>
        </w:rPr>
      </w:pPr>
    </w:p>
    <w:p w14:paraId="4A12ADEB" w14:textId="77777777" w:rsidR="008E3CF6" w:rsidRDefault="00000000">
      <w:pPr>
        <w:pStyle w:val="2"/>
        <w:rPr>
          <w:color w:val="000000" w:themeColor="text1"/>
        </w:rPr>
      </w:pPr>
      <w:bookmarkStart w:id="6" w:name="_Toc152277275"/>
      <w:r>
        <w:rPr>
          <w:color w:val="000000" w:themeColor="text1"/>
        </w:rPr>
        <w:t>3.2 Necessity for Improvement and Current Shortcomings</w:t>
      </w:r>
      <w:bookmarkEnd w:id="6"/>
    </w:p>
    <w:p w14:paraId="49A6EB42"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The urgency to strengthen compensation and benefits incentives stems from several identified deficiencies in the current system. Initially, as seen in the annex, the average amount of employee compensation and benefits, disclosed in the company's financial data, has shown a steady increase from 2017 to 2021 (Wind, 2023). However, post-2021, there was a decline, with the average amount of compensation and benefits for the full year 2022 dropping from 69.71 million yuan to 59.39 million yuan, a reduction of about 14.8%. This equates to a reduction of approximately 1.8 months' worth of compensation and benefits per employee annually (Wind, 2023). This significant decrease has been a major setback for many employees, hindering the company’s ability to effectively motivate and retain high-performing talents, crucial in the competitive securities industry.</w:t>
      </w:r>
    </w:p>
    <w:p w14:paraId="239C297B" w14:textId="77777777" w:rsidR="008E3CF6" w:rsidRDefault="00000000">
      <w:pPr>
        <w:spacing w:line="360" w:lineRule="auto"/>
        <w:rPr>
          <w:rFonts w:ascii="Times New Roman" w:hAnsi="Times New Roman" w:cs="Times New Roman"/>
          <w:color w:val="000000" w:themeColor="text1"/>
          <w:sz w:val="22"/>
          <w:szCs w:val="22"/>
        </w:rPr>
      </w:pPr>
      <w:bookmarkStart w:id="7" w:name="OLE_LINK1"/>
      <w:r>
        <w:rPr>
          <w:rFonts w:ascii="Times New Roman" w:hAnsi="Times New Roman" w:cs="Times New Roman"/>
          <w:color w:val="000000" w:themeColor="text1"/>
          <w:sz w:val="22"/>
          <w:szCs w:val="22"/>
        </w:rPr>
        <w:t>Furthermore, the decrease in compensation and benefits creates a sense of imbalance for employees despite maintaining high work intensity</w:t>
      </w:r>
      <w:r>
        <w:rPr>
          <w:rFonts w:ascii="Times New Roman" w:hAnsi="Times New Roman" w:cs="Times New Roman" w:hint="eastAsia"/>
          <w:color w:val="000000" w:themeColor="text1"/>
          <w:sz w:val="22"/>
          <w:szCs w:val="22"/>
        </w:rPr>
        <w:t>.</w:t>
      </w:r>
      <w:r>
        <w:rPr>
          <w:rFonts w:ascii="Times New Roman" w:hAnsi="Times New Roman" w:cs="Times New Roman"/>
          <w:color w:val="000000" w:themeColor="text1"/>
          <w:sz w:val="22"/>
          <w:szCs w:val="22"/>
        </w:rPr>
        <w:t xml:space="preserve"> As the sense of imbalance increases, employees are likely to experience disillusionment, shattering their expectations for the future, and facing increased financial burdens, which in turn is likely to lead to a lack of motivation to exceed standard duties, standard duties and limit appropriate recognition and rewards for outstanding performers. In the fast-paced, results-oriented securities industry, robust compensation and benefits incentives are vital for spurring innovation, creativity, and sustained high performance.</w:t>
      </w:r>
    </w:p>
    <w:bookmarkEnd w:id="7"/>
    <w:p w14:paraId="38F019BE"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Additionally, the existing levels of compensation and benefits at China Securities Co., Ltd. are not fully aligned with the organization's strategic objectives. A well-structured compensation </w:t>
      </w:r>
      <w:r>
        <w:rPr>
          <w:rFonts w:ascii="Times New Roman" w:hAnsi="Times New Roman" w:cs="Times New Roman"/>
          <w:color w:val="000000" w:themeColor="text1"/>
          <w:sz w:val="22"/>
          <w:szCs w:val="22"/>
        </w:rPr>
        <w:lastRenderedPageBreak/>
        <w:t>and benefits system should act as a tool for aligning employee goals with company objectives, driving mutual success. However, this is under the premise that the compensation and benefits system can offer employees rewards that match their efforts. If this premise is not met, it could lead to counterproductive effects.</w:t>
      </w:r>
    </w:p>
    <w:p w14:paraId="6E18617E" w14:textId="77777777" w:rsidR="008E3CF6" w:rsidRDefault="008E3CF6">
      <w:pPr>
        <w:spacing w:line="360" w:lineRule="auto"/>
        <w:rPr>
          <w:rFonts w:ascii="Times New Roman" w:hAnsi="Times New Roman" w:cs="Times New Roman"/>
          <w:color w:val="000000" w:themeColor="text1"/>
          <w:sz w:val="22"/>
          <w:szCs w:val="22"/>
        </w:rPr>
      </w:pPr>
    </w:p>
    <w:p w14:paraId="386105F3" w14:textId="77777777" w:rsidR="008E3CF6" w:rsidRDefault="00000000">
      <w:pPr>
        <w:pStyle w:val="2"/>
        <w:rPr>
          <w:color w:val="000000" w:themeColor="text1"/>
        </w:rPr>
      </w:pPr>
      <w:bookmarkStart w:id="8" w:name="_Toc152277276"/>
      <w:r>
        <w:rPr>
          <w:color w:val="000000" w:themeColor="text1"/>
        </w:rPr>
        <w:t>3.3 Impact of Shortcomings on Organizational Performance and Effectiveness</w:t>
      </w:r>
      <w:bookmarkEnd w:id="8"/>
    </w:p>
    <w:p w14:paraId="7D2E19C2"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The current inadequacies in compensation and benefits at China Securities Co., Ltd. have several evident impacts on the organization's performance and effectiveness (Nie et al., 2023). These impacts are multifaceted, affecting not only employee motivation and satisfaction but also the company's overall strategic direction and success.</w:t>
      </w:r>
    </w:p>
    <w:p w14:paraId="6C9F298D"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The most significant aspect is the reduction in employee motivation and productivity. The lack of strong compensation and benefits incentives leads to a decrease in employee motivation, with employees potentially feeling less driven to exceed basic duties. This situation can result in overall productivity reduction, as employees may not feel the necessity to put in extra effort or engage in innovative practices that drive organizational growth. This impact is evident in the company's financial indicators, specifically, the average profit per employee for the fiscal year 2022 dropped from 86.90 million yuan to 53.14 million yuan, a decrease of 33.76 million yuan, nearly 39% (Wind, 2023). This is a direct testament to the weakening of employee productivity.</w:t>
      </w:r>
    </w:p>
    <w:p w14:paraId="3109ECA7"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On another note, the reduction in company compensation and benefits inevitably diminishes its appeal to high-quality professionals. Continued in this vein, when employees feel their efforts are not appropriately recognized or rewarded, they may seek other opportunities. Such talent attrition not only incurs direct costs but also affects organizational knowledge and continuity (</w:t>
      </w:r>
      <w:proofErr w:type="spellStart"/>
      <w:r>
        <w:rPr>
          <w:rFonts w:ascii="Times New Roman" w:hAnsi="Times New Roman" w:cs="Times New Roman"/>
          <w:color w:val="000000" w:themeColor="text1"/>
          <w:sz w:val="22"/>
          <w:szCs w:val="22"/>
        </w:rPr>
        <w:t>Bolatto</w:t>
      </w:r>
      <w:proofErr w:type="spellEnd"/>
      <w:r>
        <w:rPr>
          <w:rFonts w:ascii="Times New Roman" w:hAnsi="Times New Roman" w:cs="Times New Roman"/>
          <w:color w:val="000000" w:themeColor="text1"/>
          <w:sz w:val="22"/>
          <w:szCs w:val="22"/>
        </w:rPr>
        <w:t xml:space="preserve"> &amp; Pignataro, 2023).</w:t>
      </w:r>
    </w:p>
    <w:p w14:paraId="64C881D5"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Furthermore, the company's current strategic goal is to maintain its core competitiveness sustainably, which is paramount in its strategy, and the key to achieving this is excellent team building. However, the current decrease in compensation and benefits affects employee productivity within the organization, making it difficult to maintain a competitive talent pool, thus misaligning employee treatment with the expected strategic objectives. This misalignment </w:t>
      </w:r>
      <w:r>
        <w:rPr>
          <w:rFonts w:ascii="Times New Roman" w:hAnsi="Times New Roman" w:cs="Times New Roman"/>
          <w:color w:val="000000" w:themeColor="text1"/>
          <w:sz w:val="22"/>
          <w:szCs w:val="22"/>
        </w:rPr>
        <w:lastRenderedPageBreak/>
        <w:t>could lead to a disconnect between employee efforts and the company's long-term goals. When employees are not motivated to achieve goals that propel the company's strategic direction, it could lead to poor resource utilization and lack of focused efforts on key initiatives (Sahib et al., 2018). Moreover, this could lead to a decline in morale. Low morale, in turn, might impact the workplace atmosphere, leading to a potential increase in collective demotivation and workplace conflicts (Zhou et al., 2023).</w:t>
      </w:r>
    </w:p>
    <w:p w14:paraId="7B29A6EF" w14:textId="77777777" w:rsidR="008E3CF6" w:rsidRDefault="008E3CF6">
      <w:pPr>
        <w:spacing w:line="360" w:lineRule="auto"/>
        <w:rPr>
          <w:rFonts w:ascii="Times New Roman" w:hAnsi="Times New Roman" w:cs="Times New Roman"/>
          <w:color w:val="000000" w:themeColor="text1"/>
          <w:sz w:val="22"/>
          <w:szCs w:val="22"/>
        </w:rPr>
      </w:pPr>
    </w:p>
    <w:p w14:paraId="07F627DF" w14:textId="77777777" w:rsidR="008E3CF6" w:rsidRDefault="00000000">
      <w:pPr>
        <w:pStyle w:val="2"/>
        <w:rPr>
          <w:color w:val="000000" w:themeColor="text1"/>
        </w:rPr>
      </w:pPr>
      <w:bookmarkStart w:id="9" w:name="_Toc152277277"/>
      <w:r>
        <w:rPr>
          <w:color w:val="000000" w:themeColor="text1"/>
        </w:rPr>
        <w:t xml:space="preserve">3.4 What specific benefits will </w:t>
      </w:r>
      <w:proofErr w:type="gramStart"/>
      <w:r>
        <w:rPr>
          <w:color w:val="000000" w:themeColor="text1"/>
        </w:rPr>
        <w:t>improving</w:t>
      </w:r>
      <w:proofErr w:type="gramEnd"/>
      <w:r>
        <w:rPr>
          <w:color w:val="000000" w:themeColor="text1"/>
        </w:rPr>
        <w:t xml:space="preserve"> this priority area bring to your organization?</w:t>
      </w:r>
      <w:bookmarkEnd w:id="9"/>
    </w:p>
    <w:p w14:paraId="09645208"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Firstly, a robust and organizationally aligned level of compensation and benefits can make China Securities Co., Ltd. more attractive to top talents in the industry. It also plays a crucial role in retaining existing employees by acknowledging and rewarding their contributions. In the securities industry, the attrition of experienced professionals can have a significant impact on organizational knowledge and performance, thus retention is particularly important. Ensuring that employee efforts directly contribute to organizational objectives, this alignment is key to achieving long-term success and maintaining a competitive edge in the securities market.</w:t>
      </w:r>
    </w:p>
    <w:p w14:paraId="68ABC356"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Secondly, sustainable and growth-oriented compensation and benefits can motivate employees to achieve long-term goals and provide incentives aligned with sustainable growth strategies, enabling the company to ensure its continued success and adaptability in the rapidly evolving industry. This adaptability is also key to long-term survival in the Chinese securities industry.</w:t>
      </w:r>
    </w:p>
    <w:p w14:paraId="2071B08E" w14:textId="77777777" w:rsidR="008E3CF6" w:rsidRDefault="008E3CF6">
      <w:pPr>
        <w:spacing w:line="360" w:lineRule="auto"/>
        <w:rPr>
          <w:rFonts w:ascii="Times New Roman" w:hAnsi="Times New Roman" w:cs="Times New Roman"/>
          <w:color w:val="000000" w:themeColor="text1"/>
          <w:sz w:val="22"/>
          <w:szCs w:val="22"/>
        </w:rPr>
      </w:pPr>
    </w:p>
    <w:p w14:paraId="448F0A28" w14:textId="77777777" w:rsidR="008E3CF6" w:rsidRDefault="00000000">
      <w:pPr>
        <w:pStyle w:val="1"/>
        <w:rPr>
          <w:color w:val="000000" w:themeColor="text1"/>
        </w:rPr>
      </w:pPr>
      <w:bookmarkStart w:id="10" w:name="_Toc152277278"/>
      <w:r>
        <w:rPr>
          <w:rFonts w:hint="eastAsia"/>
          <w:color w:val="000000" w:themeColor="text1"/>
        </w:rPr>
        <w:t>IV</w:t>
      </w:r>
      <w:r>
        <w:rPr>
          <w:color w:val="000000" w:themeColor="text1"/>
        </w:rPr>
        <w:t>. Conclusion</w:t>
      </w:r>
      <w:bookmarkEnd w:id="10"/>
    </w:p>
    <w:p w14:paraId="3E8580D1"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This report critically examines the impact of employee welfare and compensation incentives on productivity at China Securities Co., Ltd., identifying the current need for significant improvements in the compensation structure. The report identifies the levels of compensation and benefits of China Securities Co., Ltd. as the primary area for strengthening. Despite the current comprehensive structure of salaries and benefits, the recent decrease in the intensity of </w:t>
      </w:r>
      <w:r>
        <w:rPr>
          <w:rFonts w:ascii="Times New Roman" w:hAnsi="Times New Roman" w:cs="Times New Roman"/>
          <w:color w:val="000000" w:themeColor="text1"/>
          <w:sz w:val="22"/>
          <w:szCs w:val="22"/>
        </w:rPr>
        <w:lastRenderedPageBreak/>
        <w:t>benefits has left the company lacking the necessary flexibility and performance orientation to motivate and retain high-quality labor. This has led to a decrease in employee motivation, challenges in talent retention and attraction, misalignment with organizational goals, and potential effects on employee morale and engagement, impacting the overall effectiveness of the organization and the alignment of employee efforts with corporate strategic objectives (Liu et al., 2023).</w:t>
      </w:r>
    </w:p>
    <w:p w14:paraId="22AB9510"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Addressing these issues and enhancing compensation and benefits are expected to improve employee motivation and productivity, better talent retention, alignment of employee efforts with company goals, increased morale, and a stronger competitive position in the securities industry (Ortega, 2023).</w:t>
      </w:r>
    </w:p>
    <w:p w14:paraId="2B825710" w14:textId="77777777" w:rsidR="008E3CF6" w:rsidRDefault="008E3CF6">
      <w:pPr>
        <w:spacing w:line="360" w:lineRule="auto"/>
        <w:rPr>
          <w:rFonts w:ascii="Times New Roman" w:hAnsi="Times New Roman" w:cs="Times New Roman"/>
          <w:color w:val="000000" w:themeColor="text1"/>
          <w:sz w:val="22"/>
          <w:szCs w:val="22"/>
        </w:rPr>
      </w:pPr>
    </w:p>
    <w:p w14:paraId="4252C8E5" w14:textId="77777777" w:rsidR="008E3CF6" w:rsidRDefault="00000000">
      <w:pPr>
        <w:pStyle w:val="1"/>
        <w:rPr>
          <w:color w:val="000000" w:themeColor="text1"/>
        </w:rPr>
      </w:pPr>
      <w:bookmarkStart w:id="11" w:name="_Toc152277279"/>
      <w:r>
        <w:rPr>
          <w:rFonts w:hint="eastAsia"/>
          <w:color w:val="000000" w:themeColor="text1"/>
        </w:rPr>
        <w:t>V</w:t>
      </w:r>
      <w:r>
        <w:rPr>
          <w:color w:val="000000" w:themeColor="text1"/>
        </w:rPr>
        <w:t>. Recommendations</w:t>
      </w:r>
      <w:bookmarkEnd w:id="11"/>
    </w:p>
    <w:p w14:paraId="7CF1C8FD"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Having identified specific areas for improvement in the compensation incentive structure, the most direct approach to improvement is to enhance the overall organizational level of compensation and benefits, followed by adjusting the structure of compensation and benefits (Chen et al., 2023). In terms of enhancing compensation and benefits levels, the company urgently needs to introduce more performance-based benefits, such as increasing the level of various company bonuses (</w:t>
      </w:r>
      <w:proofErr w:type="spellStart"/>
      <w:r>
        <w:rPr>
          <w:rFonts w:ascii="Times New Roman" w:hAnsi="Times New Roman" w:cs="Times New Roman"/>
          <w:color w:val="000000" w:themeColor="text1"/>
          <w:sz w:val="22"/>
          <w:szCs w:val="22"/>
        </w:rPr>
        <w:t>Malahim</w:t>
      </w:r>
      <w:proofErr w:type="spellEnd"/>
      <w:r>
        <w:rPr>
          <w:rFonts w:ascii="Times New Roman" w:hAnsi="Times New Roman" w:cs="Times New Roman"/>
          <w:color w:val="000000" w:themeColor="text1"/>
          <w:sz w:val="22"/>
          <w:szCs w:val="22"/>
        </w:rPr>
        <w:t xml:space="preserve"> et al., 2023). In terms of enhancing the level of compensation and benefits, company urgently needs to introduce more fixed benefits, such as increasing the level of various company bonuses or raising the </w:t>
      </w:r>
      <w:proofErr w:type="gramStart"/>
      <w:r>
        <w:rPr>
          <w:rFonts w:ascii="Times New Roman" w:hAnsi="Times New Roman" w:cs="Times New Roman"/>
          <w:color w:val="000000" w:themeColor="text1"/>
          <w:sz w:val="22"/>
          <w:szCs w:val="22"/>
        </w:rPr>
        <w:t>amount</w:t>
      </w:r>
      <w:proofErr w:type="gramEnd"/>
      <w:r>
        <w:rPr>
          <w:rFonts w:ascii="Times New Roman" w:hAnsi="Times New Roman" w:cs="Times New Roman"/>
          <w:color w:val="000000" w:themeColor="text1"/>
          <w:sz w:val="22"/>
          <w:szCs w:val="22"/>
        </w:rPr>
        <w:t xml:space="preserve"> of fixed salaries (</w:t>
      </w:r>
      <w:proofErr w:type="spellStart"/>
      <w:r>
        <w:rPr>
          <w:rFonts w:ascii="Times New Roman" w:hAnsi="Times New Roman" w:cs="Times New Roman"/>
          <w:color w:val="000000" w:themeColor="text1"/>
          <w:sz w:val="22"/>
          <w:szCs w:val="22"/>
        </w:rPr>
        <w:t>Malahim</w:t>
      </w:r>
      <w:proofErr w:type="spellEnd"/>
      <w:r>
        <w:rPr>
          <w:rFonts w:ascii="Times New Roman" w:hAnsi="Times New Roman" w:cs="Times New Roman"/>
          <w:color w:val="000000" w:themeColor="text1"/>
          <w:sz w:val="22"/>
          <w:szCs w:val="22"/>
        </w:rPr>
        <w:t xml:space="preserve"> et al., 2023). We can consider elevating the amounts of existing bonus schemes by 1.2 to 1.5 times, aligning them more closely with the profits generated by the company's employees, under the premise of considering individual and team achievements. Additionally, we may consider doubling the current fixed salary amounts while appropriately reducing the unstable performance-based income. Such a shift, on one hand, facilitates the alignment of employee efforts with organizational goals, and on the other hand, provides employees with a sense of security through more stable salary income in an uncertain industry environment, thereby enhancing their loyalty to the company. Building on this, to ensure a balance between </w:t>
      </w:r>
      <w:r>
        <w:rPr>
          <w:rFonts w:ascii="Times New Roman" w:hAnsi="Times New Roman" w:cs="Times New Roman"/>
          <w:color w:val="000000" w:themeColor="text1"/>
          <w:sz w:val="22"/>
          <w:szCs w:val="22"/>
        </w:rPr>
        <w:lastRenderedPageBreak/>
        <w:t>employee workload and output amid market fluctuations and to avoid a decrease in average work output due to unnecessary additional workload, we might consider re-evaluating and establishing new business objectives and plans that better match the current market conditions. Moreover, for individual work plans, allowing employees to participate in plan decision-making will collectively advance the implementation of work plans.</w:t>
      </w:r>
    </w:p>
    <w:p w14:paraId="62B87CE8"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In terms of adjusting the compensation and benefits structure, the company should implement a more adaptive compensation model, capable of rapidly responding to market changes, employee performance, and business needs (</w:t>
      </w:r>
      <w:proofErr w:type="spellStart"/>
      <w:r>
        <w:rPr>
          <w:rFonts w:ascii="Times New Roman" w:hAnsi="Times New Roman" w:cs="Times New Roman"/>
          <w:color w:val="000000" w:themeColor="text1"/>
          <w:sz w:val="22"/>
          <w:szCs w:val="22"/>
        </w:rPr>
        <w:t>Asogba</w:t>
      </w:r>
      <w:proofErr w:type="spellEnd"/>
      <w:r>
        <w:rPr>
          <w:rFonts w:ascii="Times New Roman" w:hAnsi="Times New Roman" w:cs="Times New Roman"/>
          <w:color w:val="000000" w:themeColor="text1"/>
          <w:sz w:val="22"/>
          <w:szCs w:val="22"/>
        </w:rPr>
        <w:t xml:space="preserve"> et al., 2023). In addition to monetary benefit incentives, the company should also consider integrating a wider range of non-monetary rewards, such as more promotion opportunities and additional vacation time (Karpoff, 2023). This would satisfy the diverse needs and motivations of the workforce, increasing job satisfaction and loyalty while stimulating employee enthusiasm.</w:t>
      </w:r>
    </w:p>
    <w:p w14:paraId="5A9CB8CE"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In addition to these two aspects, the company's current transparency in compensation and benefits is low, and public disclosure of compensation and benefits is not allowed. Although this is the norm for most large securities companies in China, it is not conducive to fairness. Establishing a clear and transparent compensation disclosure system will help alleviate any perceptions of inequality and can indirectly enhance employee trust in the company, retaining talents from another perspective.</w:t>
      </w:r>
    </w:p>
    <w:p w14:paraId="496A9F96" w14:textId="77777777" w:rsidR="008E3CF6" w:rsidRDefault="00000000">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It should be noted that while the proposal suggests an increase in compensation and bonus levels, this would result in higher labor costs for the company. Therefore, it is crucial to consider the financial status and profit margins, and to undertake thorough discussions in meetings before implementation to avoid impacting the company's normal operations. Additionally, enhancing transparency in salary discussions can lead to increased conversations about pay among employees. This is deemed inappropriate by some, as discussing money in public or semi-public settings is often considered indecorous. On the other hand, this openness might also fuel jealousy and escalate tensions within the group, necessitating effective management and the use of corporate culture to mitigate these issues. Moreover, allowing employees to participate in the decision-making process for work plans could lead to a lack of consistency and direction in planning. Implementing such measures also requires effective management and mutual understanding among company members.</w:t>
      </w:r>
    </w:p>
    <w:p w14:paraId="1A7914C9" w14:textId="77777777" w:rsidR="008E3CF6" w:rsidRDefault="008E3CF6">
      <w:pPr>
        <w:spacing w:line="360" w:lineRule="auto"/>
        <w:rPr>
          <w:rFonts w:ascii="Times New Roman" w:hAnsi="Times New Roman" w:cs="Times New Roman"/>
          <w:color w:val="000000" w:themeColor="text1"/>
          <w:sz w:val="22"/>
          <w:szCs w:val="22"/>
        </w:rPr>
      </w:pPr>
    </w:p>
    <w:p w14:paraId="321F2DF3" w14:textId="77777777" w:rsidR="008E3CF6" w:rsidRDefault="00000000">
      <w:pPr>
        <w:pStyle w:val="1"/>
        <w:rPr>
          <w:color w:val="000000" w:themeColor="text1"/>
        </w:rPr>
      </w:pPr>
      <w:bookmarkStart w:id="12" w:name="_Toc152277280"/>
      <w:bookmarkStart w:id="13" w:name="_Toc147807631"/>
      <w:r>
        <w:rPr>
          <w:color w:val="000000" w:themeColor="text1"/>
        </w:rPr>
        <w:t>Key References Consulted</w:t>
      </w:r>
      <w:bookmarkEnd w:id="12"/>
      <w:bookmarkEnd w:id="13"/>
    </w:p>
    <w:p w14:paraId="71328F54"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 xml:space="preserve">Abdillah, R. M. N., </w:t>
      </w:r>
      <w:proofErr w:type="spellStart"/>
      <w:r>
        <w:rPr>
          <w:rFonts w:ascii="Times New Roman" w:hAnsi="Times New Roman" w:cs="Times New Roman"/>
          <w:color w:val="000000" w:themeColor="text1"/>
          <w:sz w:val="22"/>
          <w:szCs w:val="22"/>
          <w:shd w:val="clear" w:color="auto" w:fill="FFFFFF"/>
        </w:rPr>
        <w:t>Ihwanudin</w:t>
      </w:r>
      <w:proofErr w:type="spellEnd"/>
      <w:r>
        <w:rPr>
          <w:rFonts w:ascii="Times New Roman" w:hAnsi="Times New Roman" w:cs="Times New Roman"/>
          <w:color w:val="000000" w:themeColor="text1"/>
          <w:sz w:val="22"/>
          <w:szCs w:val="22"/>
          <w:shd w:val="clear" w:color="auto" w:fill="FFFFFF"/>
        </w:rPr>
        <w:t xml:space="preserve">, N., and Yusup, A. (2023) </w:t>
      </w:r>
      <w:r>
        <w:rPr>
          <w:rFonts w:ascii="Times New Roman" w:hAnsi="Times New Roman" w:cs="Times New Roman" w:hint="eastAsia"/>
          <w:color w:val="000000" w:themeColor="text1"/>
          <w:sz w:val="22"/>
          <w:szCs w:val="22"/>
          <w:shd w:val="clear" w:color="auto" w:fill="FFFFFF"/>
        </w:rPr>
        <w:t>‘</w:t>
      </w:r>
      <w:proofErr w:type="spellStart"/>
      <w:r>
        <w:rPr>
          <w:rFonts w:ascii="Times New Roman" w:hAnsi="Times New Roman" w:cs="Times New Roman"/>
          <w:color w:val="000000" w:themeColor="text1"/>
          <w:sz w:val="22"/>
          <w:szCs w:val="22"/>
          <w:shd w:val="clear" w:color="auto" w:fill="FFFFFF"/>
        </w:rPr>
        <w:t>Tinjauan</w:t>
      </w:r>
      <w:proofErr w:type="spellEnd"/>
      <w:r>
        <w:rPr>
          <w:rFonts w:ascii="Times New Roman" w:hAnsi="Times New Roman" w:cs="Times New Roman"/>
          <w:color w:val="000000" w:themeColor="text1"/>
          <w:sz w:val="22"/>
          <w:szCs w:val="22"/>
          <w:shd w:val="clear" w:color="auto" w:fill="FFFFFF"/>
        </w:rPr>
        <w:t xml:space="preserve"> Fikih </w:t>
      </w:r>
      <w:proofErr w:type="spellStart"/>
      <w:r>
        <w:rPr>
          <w:rFonts w:ascii="Times New Roman" w:hAnsi="Times New Roman" w:cs="Times New Roman"/>
          <w:color w:val="000000" w:themeColor="text1"/>
          <w:sz w:val="22"/>
          <w:szCs w:val="22"/>
          <w:shd w:val="clear" w:color="auto" w:fill="FFFFFF"/>
        </w:rPr>
        <w:t>Muamalah</w:t>
      </w:r>
      <w:proofErr w:type="spellEnd"/>
      <w:r>
        <w:rPr>
          <w:rFonts w:ascii="Times New Roman" w:hAnsi="Times New Roman" w:cs="Times New Roman"/>
          <w:color w:val="000000" w:themeColor="text1"/>
          <w:sz w:val="22"/>
          <w:szCs w:val="22"/>
          <w:shd w:val="clear" w:color="auto" w:fill="FFFFFF"/>
        </w:rPr>
        <w:t xml:space="preserve"> </w:t>
      </w:r>
      <w:proofErr w:type="spellStart"/>
      <w:r>
        <w:rPr>
          <w:rFonts w:ascii="Times New Roman" w:hAnsi="Times New Roman" w:cs="Times New Roman"/>
          <w:color w:val="000000" w:themeColor="text1"/>
          <w:sz w:val="22"/>
          <w:szCs w:val="22"/>
          <w:shd w:val="clear" w:color="auto" w:fill="FFFFFF"/>
        </w:rPr>
        <w:t>Terhadap</w:t>
      </w:r>
      <w:proofErr w:type="spellEnd"/>
      <w:r>
        <w:rPr>
          <w:rFonts w:ascii="Times New Roman" w:hAnsi="Times New Roman" w:cs="Times New Roman"/>
          <w:color w:val="000000" w:themeColor="text1"/>
          <w:sz w:val="22"/>
          <w:szCs w:val="22"/>
          <w:shd w:val="clear" w:color="auto" w:fill="FFFFFF"/>
        </w:rPr>
        <w:t xml:space="preserve"> </w:t>
      </w:r>
      <w:proofErr w:type="spellStart"/>
      <w:r>
        <w:rPr>
          <w:rFonts w:ascii="Times New Roman" w:hAnsi="Times New Roman" w:cs="Times New Roman"/>
          <w:color w:val="000000" w:themeColor="text1"/>
          <w:sz w:val="22"/>
          <w:szCs w:val="22"/>
          <w:shd w:val="clear" w:color="auto" w:fill="FFFFFF"/>
        </w:rPr>
        <w:t>Sistem</w:t>
      </w:r>
      <w:proofErr w:type="spellEnd"/>
      <w:r>
        <w:rPr>
          <w:rFonts w:ascii="Times New Roman" w:hAnsi="Times New Roman" w:cs="Times New Roman"/>
          <w:color w:val="000000" w:themeColor="text1"/>
          <w:sz w:val="22"/>
          <w:szCs w:val="22"/>
          <w:shd w:val="clear" w:color="auto" w:fill="FFFFFF"/>
        </w:rPr>
        <w:t xml:space="preserve"> Upah </w:t>
      </w:r>
      <w:proofErr w:type="spellStart"/>
      <w:r>
        <w:rPr>
          <w:rFonts w:ascii="Times New Roman" w:hAnsi="Times New Roman" w:cs="Times New Roman"/>
          <w:color w:val="000000" w:themeColor="text1"/>
          <w:sz w:val="22"/>
          <w:szCs w:val="22"/>
          <w:shd w:val="clear" w:color="auto" w:fill="FFFFFF"/>
        </w:rPr>
        <w:t>Karyawan</w:t>
      </w:r>
      <w:proofErr w:type="spellEnd"/>
      <w:r>
        <w:rPr>
          <w:rFonts w:ascii="Times New Roman" w:hAnsi="Times New Roman" w:cs="Times New Roman"/>
          <w:color w:val="000000" w:themeColor="text1"/>
          <w:sz w:val="22"/>
          <w:szCs w:val="22"/>
          <w:shd w:val="clear" w:color="auto" w:fill="FFFFFF"/>
        </w:rPr>
        <w:t xml:space="preserve"> Kedai </w:t>
      </w:r>
      <w:proofErr w:type="spellStart"/>
      <w:r>
        <w:rPr>
          <w:rFonts w:ascii="Times New Roman" w:hAnsi="Times New Roman" w:cs="Times New Roman"/>
          <w:color w:val="000000" w:themeColor="text1"/>
          <w:sz w:val="22"/>
          <w:szCs w:val="22"/>
          <w:shd w:val="clear" w:color="auto" w:fill="FFFFFF"/>
        </w:rPr>
        <w:t>Pecel</w:t>
      </w:r>
      <w:proofErr w:type="spellEnd"/>
      <w:r>
        <w:rPr>
          <w:rFonts w:ascii="Times New Roman" w:hAnsi="Times New Roman" w:cs="Times New Roman"/>
          <w:color w:val="000000" w:themeColor="text1"/>
          <w:sz w:val="22"/>
          <w:szCs w:val="22"/>
          <w:shd w:val="clear" w:color="auto" w:fill="FFFFFF"/>
        </w:rPr>
        <w:t xml:space="preserve"> Lele 87 Ria Rio, Kota Bandung</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i/>
          <w:iCs/>
          <w:color w:val="000000" w:themeColor="text1"/>
          <w:sz w:val="22"/>
          <w:szCs w:val="22"/>
        </w:rPr>
        <w:t>In Bandung Conference Series: Sharia Economic Law</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3(</w:t>
      </w:r>
      <w:proofErr w:type="gramStart"/>
      <w:r>
        <w:rPr>
          <w:rFonts w:ascii="Times New Roman" w:hAnsi="Times New Roman" w:cs="Times New Roman"/>
          <w:color w:val="000000" w:themeColor="text1"/>
          <w:sz w:val="22"/>
          <w:szCs w:val="22"/>
          <w:shd w:val="clear" w:color="auto" w:fill="FFFFFF"/>
        </w:rPr>
        <w:t>02)</w:t>
      </w:r>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color w:val="000000" w:themeColor="text1"/>
          <w:sz w:val="22"/>
          <w:szCs w:val="22"/>
          <w:shd w:val="clear" w:color="auto" w:fill="FFFFFF"/>
        </w:rPr>
        <w:t>pp. 697-702.</w:t>
      </w:r>
    </w:p>
    <w:p w14:paraId="3BB1715E"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Adamopoulos</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T.</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et al.</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color w:val="000000" w:themeColor="text1"/>
          <w:sz w:val="22"/>
          <w:szCs w:val="22"/>
          <w:shd w:val="clear" w:color="auto" w:fill="FFFFFF"/>
        </w:rPr>
        <w:t xml:space="preserve">(2022)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Misallocation, Selection, and Productivity: A Quantitative Analysis With Panel Data From </w:t>
      </w:r>
      <w:proofErr w:type="gramStart"/>
      <w:r>
        <w:rPr>
          <w:rFonts w:ascii="Times New Roman" w:hAnsi="Times New Roman" w:cs="Times New Roman"/>
          <w:color w:val="000000" w:themeColor="text1"/>
          <w:sz w:val="22"/>
          <w:szCs w:val="22"/>
          <w:shd w:val="clear" w:color="auto" w:fill="FFFFFF"/>
        </w:rPr>
        <w:t>China</w:t>
      </w:r>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 </w:t>
      </w:r>
      <w:proofErr w:type="spellStart"/>
      <w:r>
        <w:rPr>
          <w:rFonts w:ascii="Times New Roman" w:hAnsi="Times New Roman" w:cs="Times New Roman"/>
          <w:i/>
          <w:iCs/>
          <w:color w:val="000000" w:themeColor="text1"/>
          <w:sz w:val="22"/>
          <w:szCs w:val="22"/>
        </w:rPr>
        <w:t>Econometrica</w:t>
      </w:r>
      <w:proofErr w:type="spellEnd"/>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 xml:space="preserve"> 90(3)</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pp. 1261–1282.</w:t>
      </w:r>
    </w:p>
    <w:p w14:paraId="2156F3B3"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Aggarwal</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P.J.</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Khurana</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N. and </w:t>
      </w:r>
      <w:proofErr w:type="gramStart"/>
      <w:r>
        <w:rPr>
          <w:rFonts w:ascii="Times New Roman" w:hAnsi="Times New Roman" w:cs="Times New Roman"/>
          <w:color w:val="000000" w:themeColor="text1"/>
          <w:sz w:val="22"/>
          <w:szCs w:val="22"/>
          <w:shd w:val="clear" w:color="auto" w:fill="FFFFFF"/>
        </w:rPr>
        <w:t>Shefali.(</w:t>
      </w:r>
      <w:proofErr w:type="gramEnd"/>
      <w:r>
        <w:rPr>
          <w:rFonts w:ascii="Times New Roman" w:hAnsi="Times New Roman" w:cs="Times New Roman"/>
          <w:color w:val="000000" w:themeColor="text1"/>
          <w:sz w:val="22"/>
          <w:szCs w:val="22"/>
          <w:shd w:val="clear" w:color="auto" w:fill="FFFFFF"/>
        </w:rPr>
        <w:t xml:space="preserve">2023)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Impact of HRM practices on employee productivity in times of COVID-19 pandemic</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i/>
          <w:iCs/>
          <w:color w:val="000000" w:themeColor="text1"/>
          <w:sz w:val="22"/>
          <w:szCs w:val="22"/>
        </w:rPr>
        <w:t>International journal of productivity and quality management</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38(1)</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pp. 73–97.</w:t>
      </w:r>
    </w:p>
    <w:p w14:paraId="1FCFD79F" w14:textId="77777777" w:rsidR="008E3CF6" w:rsidRDefault="00000000">
      <w:pPr>
        <w:spacing w:line="360" w:lineRule="auto"/>
        <w:rPr>
          <w:rFonts w:ascii="Times New Roman" w:hAnsi="Times New Roman" w:cs="Times New Roman"/>
          <w:color w:val="000000" w:themeColor="text1"/>
          <w:sz w:val="22"/>
          <w:szCs w:val="22"/>
          <w:shd w:val="clear" w:color="auto" w:fill="FFFFFF"/>
        </w:rPr>
      </w:pPr>
      <w:proofErr w:type="spellStart"/>
      <w:r>
        <w:rPr>
          <w:rFonts w:ascii="Times New Roman" w:hAnsi="Times New Roman" w:cs="Times New Roman"/>
          <w:color w:val="000000" w:themeColor="text1"/>
          <w:sz w:val="22"/>
          <w:szCs w:val="22"/>
          <w:shd w:val="clear" w:color="auto" w:fill="FFFFFF"/>
        </w:rPr>
        <w:t>Amstad</w:t>
      </w:r>
      <w:proofErr w:type="spellEnd"/>
      <w:r>
        <w:rPr>
          <w:rFonts w:ascii="Times New Roman" w:hAnsi="Times New Roman" w:cs="Times New Roman"/>
          <w:color w:val="000000" w:themeColor="text1"/>
          <w:sz w:val="22"/>
          <w:szCs w:val="22"/>
          <w:shd w:val="clear" w:color="auto" w:fill="FFFFFF"/>
        </w:rPr>
        <w:t>, M. (2020)</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 xml:space="preserve">The handbook of China’s financial </w:t>
      </w:r>
      <w:proofErr w:type="spellStart"/>
      <w:proofErr w:type="gramStart"/>
      <w:r>
        <w:rPr>
          <w:rFonts w:ascii="Times New Roman" w:hAnsi="Times New Roman" w:cs="Times New Roman"/>
          <w:i/>
          <w:iCs/>
          <w:color w:val="000000" w:themeColor="text1"/>
          <w:sz w:val="22"/>
          <w:szCs w:val="22"/>
        </w:rPr>
        <w:t>system.</w:t>
      </w:r>
      <w:r>
        <w:rPr>
          <w:rFonts w:ascii="Times New Roman" w:hAnsi="Times New Roman" w:cs="Times New Roman"/>
          <w:color w:val="000000" w:themeColor="text1"/>
          <w:sz w:val="22"/>
          <w:szCs w:val="22"/>
          <w:shd w:val="clear" w:color="auto" w:fill="FFFFFF"/>
        </w:rPr>
        <w:t>New</w:t>
      </w:r>
      <w:proofErr w:type="spellEnd"/>
      <w:proofErr w:type="gramEnd"/>
      <w:r>
        <w:rPr>
          <w:rFonts w:ascii="Times New Roman" w:hAnsi="Times New Roman" w:cs="Times New Roman"/>
          <w:color w:val="000000" w:themeColor="text1"/>
          <w:sz w:val="22"/>
          <w:szCs w:val="22"/>
          <w:shd w:val="clear" w:color="auto" w:fill="FFFFFF"/>
        </w:rPr>
        <w:t xml:space="preserve"> Jersey : Princeton University Press. </w:t>
      </w:r>
    </w:p>
    <w:p w14:paraId="038FAE15"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Arora</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J. and Chakraborty</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M. (2021) </w:t>
      </w:r>
      <w:proofErr w:type="gramStart"/>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color w:val="000000" w:themeColor="text1"/>
          <w:sz w:val="22"/>
          <w:szCs w:val="22"/>
          <w:shd w:val="clear" w:color="auto" w:fill="FFFFFF"/>
        </w:rPr>
        <w:t>Does the ease of reading of financial disclosures influence investment decision</w:t>
      </w:r>
      <w:r>
        <w:rPr>
          <w:rFonts w:ascii="Times New Roman" w:hAnsi="Times New Roman" w:cs="Times New Roman" w:hint="eastAsia"/>
          <w:color w:val="000000" w:themeColor="text1"/>
          <w:sz w:val="22"/>
          <w:szCs w:val="22"/>
          <w:shd w:val="clear" w:color="auto" w:fill="FFFFFF"/>
        </w:rPr>
        <w:t>？</w:t>
      </w:r>
      <w:proofErr w:type="gramStart"/>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Economics letters</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204</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 109883.</w:t>
      </w:r>
    </w:p>
    <w:p w14:paraId="3A15FB66" w14:textId="77777777" w:rsidR="008E3CF6" w:rsidRDefault="00000000">
      <w:pPr>
        <w:spacing w:line="360" w:lineRule="auto"/>
        <w:rPr>
          <w:rFonts w:ascii="Times New Roman" w:hAnsi="Times New Roman" w:cs="Times New Roman"/>
          <w:color w:val="000000" w:themeColor="text1"/>
          <w:sz w:val="22"/>
          <w:szCs w:val="22"/>
          <w:shd w:val="clear" w:color="auto" w:fill="FFFFFF"/>
        </w:rPr>
      </w:pPr>
      <w:proofErr w:type="spellStart"/>
      <w:r>
        <w:rPr>
          <w:rFonts w:ascii="Times New Roman" w:hAnsi="Times New Roman" w:cs="Times New Roman"/>
          <w:color w:val="000000" w:themeColor="text1"/>
          <w:sz w:val="22"/>
          <w:szCs w:val="22"/>
          <w:shd w:val="clear" w:color="auto" w:fill="FFFFFF"/>
        </w:rPr>
        <w:t>Asogba</w:t>
      </w:r>
      <w:proofErr w:type="spellEnd"/>
      <w:r>
        <w:rPr>
          <w:rFonts w:ascii="Times New Roman" w:hAnsi="Times New Roman" w:cs="Times New Roman"/>
          <w:color w:val="000000" w:themeColor="text1"/>
          <w:sz w:val="22"/>
          <w:szCs w:val="22"/>
          <w:shd w:val="clear" w:color="auto" w:fill="FFFFFF"/>
        </w:rPr>
        <w:t xml:space="preserve">, I. O. et al. (2023)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Economic Value Added And Firm Valuation In </w:t>
      </w:r>
      <w:proofErr w:type="gramStart"/>
      <w:r>
        <w:rPr>
          <w:rFonts w:ascii="Times New Roman" w:hAnsi="Times New Roman" w:cs="Times New Roman"/>
          <w:color w:val="000000" w:themeColor="text1"/>
          <w:sz w:val="22"/>
          <w:szCs w:val="22"/>
          <w:shd w:val="clear" w:color="auto" w:fill="FFFFFF"/>
        </w:rPr>
        <w:t>Nigeria</w:t>
      </w:r>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hint="eastAsia"/>
          <w:color w:val="000000" w:themeColor="text1"/>
          <w:sz w:val="22"/>
          <w:szCs w:val="22"/>
          <w:shd w:val="clear" w:color="auto" w:fill="FFFFFF"/>
        </w:rPr>
        <w:t xml:space="preserve">proceedings of the </w:t>
      </w:r>
      <w:r>
        <w:rPr>
          <w:rFonts w:ascii="Times New Roman" w:hAnsi="Times New Roman" w:cs="Times New Roman"/>
          <w:color w:val="000000" w:themeColor="text1"/>
          <w:sz w:val="22"/>
          <w:szCs w:val="22"/>
          <w:shd w:val="clear" w:color="auto" w:fill="FFFFFF"/>
        </w:rPr>
        <w:t>8th International Annual Academic Conference on Accounting and Finance</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hint="eastAsia"/>
          <w:color w:val="000000" w:themeColor="text1"/>
          <w:sz w:val="22"/>
          <w:szCs w:val="22"/>
          <w:shd w:val="clear" w:color="auto" w:fill="FFFFFF"/>
        </w:rPr>
        <w:t>Godfrey Okoye University</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hint="eastAsia"/>
          <w:color w:val="000000" w:themeColor="text1"/>
          <w:sz w:val="22"/>
          <w:szCs w:val="22"/>
          <w:shd w:val="clear" w:color="auto" w:fill="FFFFFF"/>
        </w:rPr>
        <w:t>14-15th</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hint="eastAsia"/>
          <w:color w:val="000000" w:themeColor="text1"/>
          <w:sz w:val="22"/>
          <w:szCs w:val="22"/>
          <w:shd w:val="clear" w:color="auto" w:fill="FFFFFF"/>
        </w:rPr>
        <w:t xml:space="preserve">Feb. Available </w:t>
      </w:r>
      <w:proofErr w:type="spellStart"/>
      <w:r>
        <w:rPr>
          <w:rFonts w:ascii="Times New Roman" w:hAnsi="Times New Roman" w:cs="Times New Roman" w:hint="eastAsia"/>
          <w:color w:val="000000" w:themeColor="text1"/>
          <w:sz w:val="22"/>
          <w:szCs w:val="22"/>
          <w:shd w:val="clear" w:color="auto" w:fill="FFFFFF"/>
        </w:rPr>
        <w:t>at:https</w:t>
      </w:r>
      <w:proofErr w:type="spellEnd"/>
      <w:r>
        <w:rPr>
          <w:rFonts w:ascii="Times New Roman" w:hAnsi="Times New Roman" w:cs="Times New Roman" w:hint="eastAsia"/>
          <w:color w:val="000000" w:themeColor="text1"/>
          <w:sz w:val="22"/>
          <w:szCs w:val="22"/>
          <w:shd w:val="clear" w:color="auto" w:fill="FFFFFF"/>
        </w:rPr>
        <w:t>://icanig.org/documents/ACAF%208%20P3.pdf</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A</w:t>
      </w:r>
      <w:r>
        <w:rPr>
          <w:rFonts w:ascii="Times New Roman" w:hAnsi="Times New Roman" w:cs="Times New Roman" w:hint="eastAsia"/>
          <w:color w:val="000000" w:themeColor="text1"/>
          <w:sz w:val="22"/>
          <w:szCs w:val="22"/>
          <w:shd w:val="clear" w:color="auto" w:fill="FFFFFF"/>
        </w:rPr>
        <w:t>ccessed</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hint="eastAsia"/>
          <w:color w:val="000000" w:themeColor="text1"/>
          <w:sz w:val="22"/>
          <w:szCs w:val="22"/>
          <w:shd w:val="clear" w:color="auto" w:fill="FFFFFF"/>
        </w:rPr>
        <w:t xml:space="preserve">30 </w:t>
      </w:r>
      <w:r>
        <w:rPr>
          <w:rFonts w:ascii="Times New Roman" w:hAnsi="Times New Roman" w:cs="Times New Roman"/>
          <w:color w:val="000000" w:themeColor="text1"/>
          <w:sz w:val="22"/>
          <w:szCs w:val="22"/>
          <w:shd w:val="clear" w:color="auto" w:fill="FFFFFF"/>
        </w:rPr>
        <w:t>N</w:t>
      </w:r>
      <w:r>
        <w:rPr>
          <w:rFonts w:ascii="Times New Roman" w:hAnsi="Times New Roman" w:cs="Times New Roman" w:hint="eastAsia"/>
          <w:color w:val="000000" w:themeColor="text1"/>
          <w:sz w:val="22"/>
          <w:szCs w:val="22"/>
          <w:shd w:val="clear" w:color="auto" w:fill="FFFFFF"/>
        </w:rPr>
        <w:t>ov 2023</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w:t>
      </w:r>
    </w:p>
    <w:p w14:paraId="785A527D"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Bernard, D.</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Kaya</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D. and Wertz</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J. (2021)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Entry and capital structure mimicking in concentrated markets: The role of incumbents’ financial disclosures</w:t>
      </w:r>
      <w:r>
        <w:rPr>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Journal of accounting &amp; economics</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71(2-</w:t>
      </w:r>
      <w:proofErr w:type="gramStart"/>
      <w:r>
        <w:rPr>
          <w:rFonts w:ascii="Times New Roman" w:hAnsi="Times New Roman" w:cs="Times New Roman"/>
          <w:color w:val="000000" w:themeColor="text1"/>
          <w:sz w:val="22"/>
          <w:szCs w:val="22"/>
          <w:shd w:val="clear" w:color="auto" w:fill="FFFFFF"/>
        </w:rPr>
        <w:t>3)</w:t>
      </w:r>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color w:val="000000" w:themeColor="text1"/>
          <w:sz w:val="22"/>
          <w:szCs w:val="22"/>
          <w:shd w:val="clear" w:color="auto" w:fill="FFFFFF"/>
        </w:rPr>
        <w:t>p.101379.</w:t>
      </w:r>
    </w:p>
    <w:p w14:paraId="3C1B8ED4" w14:textId="77777777" w:rsidR="008E3CF6" w:rsidRDefault="00000000">
      <w:pPr>
        <w:spacing w:line="360" w:lineRule="auto"/>
        <w:rPr>
          <w:rFonts w:ascii="Times New Roman" w:hAnsi="Times New Roman" w:cs="Times New Roman"/>
          <w:color w:val="000000" w:themeColor="text1"/>
          <w:sz w:val="22"/>
          <w:szCs w:val="22"/>
          <w:shd w:val="clear" w:color="auto" w:fill="FFFFFF"/>
        </w:rPr>
      </w:pPr>
      <w:proofErr w:type="spellStart"/>
      <w:r>
        <w:rPr>
          <w:rFonts w:ascii="Times New Roman" w:hAnsi="Times New Roman" w:cs="Times New Roman"/>
          <w:color w:val="000000" w:themeColor="text1"/>
          <w:sz w:val="22"/>
          <w:szCs w:val="22"/>
          <w:shd w:val="clear" w:color="auto" w:fill="FFFFFF"/>
        </w:rPr>
        <w:t>Bolatto</w:t>
      </w:r>
      <w:proofErr w:type="spellEnd"/>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S. and Pignataro</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G. (2023)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Equity‐settled share‐based payments and their (strategic) use under asymmetric information</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i/>
          <w:iCs/>
          <w:color w:val="000000" w:themeColor="text1"/>
          <w:sz w:val="22"/>
          <w:szCs w:val="22"/>
        </w:rPr>
        <w:t>Journal of public economic theory</w:t>
      </w:r>
      <w:r>
        <w:rPr>
          <w:rFonts w:ascii="Times New Roman" w:hAnsi="Times New Roman" w:cs="Times New Roman" w:hint="eastAsia"/>
          <w:i/>
          <w:iCs/>
          <w:color w:val="000000" w:themeColor="text1"/>
          <w:sz w:val="22"/>
          <w:szCs w:val="22"/>
        </w:rPr>
        <w:t>，</w:t>
      </w:r>
      <w:r>
        <w:rPr>
          <w:rFonts w:ascii="Times New Roman" w:hAnsi="Times New Roman" w:cs="Times New Roman" w:hint="eastAsia"/>
          <w:color w:val="000000" w:themeColor="text1"/>
          <w:sz w:val="22"/>
          <w:szCs w:val="22"/>
          <w:shd w:val="clear" w:color="auto" w:fill="FFFFFF"/>
        </w:rPr>
        <w:t>2</w:t>
      </w:r>
      <w:r>
        <w:rPr>
          <w:rFonts w:ascii="Times New Roman" w:hAnsi="Times New Roman" w:cs="Times New Roman"/>
          <w:color w:val="000000" w:themeColor="text1"/>
          <w:sz w:val="22"/>
          <w:szCs w:val="22"/>
          <w:shd w:val="clear" w:color="auto" w:fill="FFFFFF"/>
        </w:rPr>
        <w:t>5(5)</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pp. 1012–1042. </w:t>
      </w:r>
    </w:p>
    <w:p w14:paraId="084339F4"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Bravo-Jaimes</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K. and Bullock-Palmer</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R.P. (2023)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Adult Congenital Heart Disease Scholarship: An Opportunity to Spark Interest in This Field</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i/>
          <w:iCs/>
          <w:color w:val="000000" w:themeColor="text1"/>
          <w:sz w:val="22"/>
          <w:szCs w:val="22"/>
        </w:rPr>
        <w:t>JACC. Case reports</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color w:val="000000" w:themeColor="text1"/>
          <w:sz w:val="22"/>
          <w:szCs w:val="22"/>
          <w:shd w:val="clear" w:color="auto" w:fill="FFFFFF"/>
        </w:rPr>
        <w:t xml:space="preserve">[Preprint]. Available at: </w:t>
      </w:r>
      <w:hyperlink r:id="rId9" w:history="1">
        <w:r>
          <w:rPr>
            <w:rStyle w:val="aa"/>
            <w:rFonts w:ascii="Times New Roman" w:hAnsi="Times New Roman" w:cs="Times New Roman"/>
            <w:color w:val="000000" w:themeColor="text1"/>
            <w:sz w:val="22"/>
            <w:szCs w:val="22"/>
            <w:shd w:val="clear" w:color="auto" w:fill="FFFFFF"/>
          </w:rPr>
          <w:t>https://doi.org/10.1016/j.jaccas.2023.102022</w:t>
        </w:r>
      </w:hyperlink>
      <w:r>
        <w:rPr>
          <w:rFonts w:ascii="Times New Roman" w:hAnsi="Times New Roman" w:cs="Times New Roman"/>
          <w:color w:val="000000" w:themeColor="text1"/>
          <w:sz w:val="22"/>
          <w:szCs w:val="22"/>
          <w:shd w:val="clear" w:color="auto" w:fill="FFFFFF"/>
        </w:rPr>
        <w:t>.</w:t>
      </w:r>
    </w:p>
    <w:p w14:paraId="1612FE70"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 xml:space="preserve">Chang, Z. (2023) ‘A Review of Research on the Relationship Between Pay for Performance and Employee </w:t>
      </w:r>
      <w:proofErr w:type="gramStart"/>
      <w:r>
        <w:rPr>
          <w:rFonts w:ascii="Times New Roman" w:hAnsi="Times New Roman" w:cs="Times New Roman"/>
          <w:color w:val="000000" w:themeColor="text1"/>
          <w:sz w:val="22"/>
          <w:szCs w:val="22"/>
          <w:shd w:val="clear" w:color="auto" w:fill="FFFFFF"/>
        </w:rPr>
        <w:t>Creativity</w:t>
      </w:r>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Highlights in Business, Economics and Management</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17</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pp. 144-</w:t>
      </w:r>
      <w:r>
        <w:rPr>
          <w:rFonts w:ascii="Times New Roman" w:hAnsi="Times New Roman" w:cs="Times New Roman"/>
          <w:color w:val="000000" w:themeColor="text1"/>
          <w:sz w:val="22"/>
          <w:szCs w:val="22"/>
          <w:shd w:val="clear" w:color="auto" w:fill="FFFFFF"/>
        </w:rPr>
        <w:lastRenderedPageBreak/>
        <w:t>152.</w:t>
      </w:r>
      <w:r>
        <w:rPr>
          <w:rFonts w:ascii="Times New Roman" w:hAnsi="Times New Roman" w:cs="Times New Roman"/>
          <w:color w:val="000000" w:themeColor="text1"/>
          <w:sz w:val="22"/>
          <w:szCs w:val="22"/>
        </w:rPr>
        <w:t xml:space="preserve"> </w:t>
      </w:r>
      <w:r>
        <w:rPr>
          <w:rFonts w:ascii="Times New Roman" w:hAnsi="Times New Roman" w:cs="Times New Roman"/>
          <w:color w:val="000000" w:themeColor="text1"/>
          <w:sz w:val="22"/>
          <w:szCs w:val="22"/>
          <w:shd w:val="clear" w:color="auto" w:fill="FFFFFF"/>
        </w:rPr>
        <w:t xml:space="preserve"> </w:t>
      </w:r>
    </w:p>
    <w:p w14:paraId="71B7DC63"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Chen</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 W.</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et al.</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color w:val="000000" w:themeColor="text1"/>
          <w:sz w:val="22"/>
          <w:szCs w:val="22"/>
          <w:shd w:val="clear" w:color="auto" w:fill="FFFFFF"/>
        </w:rPr>
        <w:t xml:space="preserve">(2023)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Promoting Construction Labor Professionalization: An Evolutionary Game Perspective</w:t>
      </w:r>
      <w:r>
        <w:rPr>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Sustainability (Basel</w:t>
      </w:r>
      <w:r>
        <w:rPr>
          <w:rFonts w:ascii="Times New Roman" w:hAnsi="Times New Roman" w:cs="Times New Roman" w:hint="eastAsia"/>
          <w:i/>
          <w:iCs/>
          <w:color w:val="000000" w:themeColor="text1"/>
          <w:sz w:val="22"/>
          <w:szCs w:val="22"/>
        </w:rPr>
        <w:t>，</w:t>
      </w:r>
      <w:proofErr w:type="gramStart"/>
      <w:r>
        <w:rPr>
          <w:rFonts w:ascii="Times New Roman" w:hAnsi="Times New Roman" w:cs="Times New Roman"/>
          <w:i/>
          <w:iCs/>
          <w:color w:val="000000" w:themeColor="text1"/>
          <w:sz w:val="22"/>
          <w:szCs w:val="22"/>
        </w:rPr>
        <w:t>Switzerland)</w:t>
      </w:r>
      <w:r>
        <w:rPr>
          <w:rFonts w:ascii="Times New Roman" w:hAnsi="Times New Roman" w:cs="Times New Roman" w:hint="eastAsia"/>
          <w:i/>
          <w:iCs/>
          <w:color w:val="000000" w:themeColor="text1"/>
          <w:sz w:val="22"/>
          <w:szCs w:val="22"/>
        </w:rPr>
        <w:t>，</w:t>
      </w:r>
      <w:proofErr w:type="gramEnd"/>
      <w:r>
        <w:rPr>
          <w:rFonts w:ascii="Times New Roman" w:hAnsi="Times New Roman" w:cs="Times New Roman"/>
          <w:color w:val="000000" w:themeColor="text1"/>
          <w:sz w:val="22"/>
          <w:szCs w:val="22"/>
          <w:shd w:val="clear" w:color="auto" w:fill="FFFFFF"/>
        </w:rPr>
        <w:t>15(12)</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 9688</w:t>
      </w:r>
    </w:p>
    <w:p w14:paraId="358EA9AB"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Driver</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C. and Guedes</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M.J.C. (2017)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R&amp;D and CEO departure date: do financial incentives make CEOs more opportunistic?</w:t>
      </w:r>
      <w:r>
        <w:rPr>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Industrial and corporate change</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26(</w:t>
      </w:r>
      <w:proofErr w:type="gramStart"/>
      <w:r>
        <w:rPr>
          <w:rFonts w:ascii="Times New Roman" w:hAnsi="Times New Roman" w:cs="Times New Roman"/>
          <w:color w:val="000000" w:themeColor="text1"/>
          <w:sz w:val="22"/>
          <w:szCs w:val="22"/>
          <w:shd w:val="clear" w:color="auto" w:fill="FFFFFF"/>
        </w:rPr>
        <w:t>5)</w:t>
      </w:r>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color w:val="000000" w:themeColor="text1"/>
          <w:sz w:val="22"/>
          <w:szCs w:val="22"/>
          <w:shd w:val="clear" w:color="auto" w:fill="FFFFFF"/>
        </w:rPr>
        <w:t xml:space="preserve">pp. 801–820. </w:t>
      </w:r>
    </w:p>
    <w:p w14:paraId="3D0FC795"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Horowitz</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E.</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Feldman</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H.A. and Savich</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R. (2019)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Neonatologist salary: factors, equity and gender</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i/>
          <w:iCs/>
          <w:color w:val="000000" w:themeColor="text1"/>
          <w:sz w:val="22"/>
          <w:szCs w:val="22"/>
        </w:rPr>
        <w:t>Journal of perinatology</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39(</w:t>
      </w:r>
      <w:proofErr w:type="gramStart"/>
      <w:r>
        <w:rPr>
          <w:rFonts w:ascii="Times New Roman" w:hAnsi="Times New Roman" w:cs="Times New Roman"/>
          <w:color w:val="000000" w:themeColor="text1"/>
          <w:sz w:val="22"/>
          <w:szCs w:val="22"/>
          <w:shd w:val="clear" w:color="auto" w:fill="FFFFFF"/>
        </w:rPr>
        <w:t>3)</w:t>
      </w:r>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color w:val="000000" w:themeColor="text1"/>
          <w:sz w:val="22"/>
          <w:szCs w:val="22"/>
          <w:shd w:val="clear" w:color="auto" w:fill="FFFFFF"/>
        </w:rPr>
        <w:t xml:space="preserve">pp.359–365. </w:t>
      </w:r>
    </w:p>
    <w:p w14:paraId="21687D64"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Jiang</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J.</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Li</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S. and Zhu</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W. (2022)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The trickle‐down effect of managers</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 belief in the importance of human resource management practices on employee performance: evidence from China</w:t>
      </w:r>
      <w:proofErr w:type="gramStart"/>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Asia Pacific journal of human resources</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60(4)</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pp. 814–831. </w:t>
      </w:r>
    </w:p>
    <w:p w14:paraId="409F2C23"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Karpoff</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J.M. (</w:t>
      </w:r>
      <w:proofErr w:type="gramStart"/>
      <w:r>
        <w:rPr>
          <w:rFonts w:ascii="Times New Roman" w:hAnsi="Times New Roman" w:cs="Times New Roman"/>
          <w:color w:val="000000" w:themeColor="text1"/>
          <w:sz w:val="22"/>
          <w:szCs w:val="22"/>
          <w:shd w:val="clear" w:color="auto" w:fill="FFFFFF"/>
        </w:rPr>
        <w:t>2023)</w:t>
      </w:r>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color w:val="000000" w:themeColor="text1"/>
          <w:sz w:val="22"/>
          <w:szCs w:val="22"/>
          <w:shd w:val="clear" w:color="auto" w:fill="FFFFFF"/>
        </w:rPr>
        <w:t>Unlikely sabotage: Comment on Bloomfield</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Marvão</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and Spagnolo</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i/>
          <w:iCs/>
          <w:color w:val="000000" w:themeColor="text1"/>
          <w:sz w:val="22"/>
          <w:szCs w:val="22"/>
        </w:rPr>
        <w:t>Journal of accounting &amp; economics</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p.101606.</w:t>
      </w:r>
    </w:p>
    <w:p w14:paraId="356D0725"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Liu</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C.</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 Han</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 K</w:t>
      </w:r>
      <w:r>
        <w:rPr>
          <w:rFonts w:ascii="Times New Roman" w:hAnsi="Times New Roman" w:cs="Times New Roman" w:hint="eastAsia"/>
          <w:color w:val="000000" w:themeColor="text1"/>
          <w:sz w:val="22"/>
          <w:szCs w:val="22"/>
          <w:shd w:val="clear" w:color="auto" w:fill="FFFFFF"/>
        </w:rPr>
        <w:tab/>
      </w:r>
      <w:r>
        <w:rPr>
          <w:rFonts w:ascii="Times New Roman" w:hAnsi="Times New Roman" w:cs="Times New Roman"/>
          <w:color w:val="000000" w:themeColor="text1"/>
          <w:sz w:val="22"/>
          <w:szCs w:val="22"/>
          <w:shd w:val="clear" w:color="auto" w:fill="FFFFFF"/>
        </w:rPr>
        <w:t>.and Du</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 J. (2023) </w:t>
      </w:r>
      <w:r>
        <w:rPr>
          <w:rFonts w:ascii="Times New Roman" w:hAnsi="Times New Roman" w:cs="Times New Roman"/>
          <w:i/>
          <w:iCs/>
          <w:color w:val="000000" w:themeColor="text1"/>
          <w:sz w:val="22"/>
          <w:szCs w:val="22"/>
          <w:shd w:val="clear" w:color="auto" w:fill="FFFFFF"/>
        </w:rPr>
        <w:t>Government Subsidies</w:t>
      </w:r>
      <w:r>
        <w:rPr>
          <w:rFonts w:ascii="Times New Roman" w:hAnsi="Times New Roman" w:cs="Times New Roman" w:hint="eastAsia"/>
          <w:i/>
          <w:iCs/>
          <w:color w:val="000000" w:themeColor="text1"/>
          <w:sz w:val="22"/>
          <w:szCs w:val="22"/>
          <w:shd w:val="clear" w:color="auto" w:fill="FFFFFF"/>
        </w:rPr>
        <w:t>，</w:t>
      </w:r>
      <w:r>
        <w:rPr>
          <w:rFonts w:ascii="Times New Roman" w:hAnsi="Times New Roman" w:cs="Times New Roman"/>
          <w:i/>
          <w:iCs/>
          <w:color w:val="000000" w:themeColor="text1"/>
          <w:sz w:val="22"/>
          <w:szCs w:val="22"/>
          <w:shd w:val="clear" w:color="auto" w:fill="FFFFFF"/>
        </w:rPr>
        <w:t>Executive Incentives and Green Innovation Performance</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NY: Academy of Management.</w:t>
      </w:r>
    </w:p>
    <w:p w14:paraId="32B7D469"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MALAHIM</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S.S. et al. (2023)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Examining the Implementation of Financial Incentives using the Framework of Monetary and Non-Monetary Incentives to Improve Employee Innovation Performance Case Study: Jordanian Islamic </w:t>
      </w:r>
      <w:proofErr w:type="gramStart"/>
      <w:r>
        <w:rPr>
          <w:rFonts w:ascii="Times New Roman" w:hAnsi="Times New Roman" w:cs="Times New Roman"/>
          <w:color w:val="000000" w:themeColor="text1"/>
          <w:sz w:val="22"/>
          <w:szCs w:val="22"/>
          <w:shd w:val="clear" w:color="auto" w:fill="FFFFFF"/>
        </w:rPr>
        <w:t>Banks</w:t>
      </w:r>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i/>
          <w:iCs/>
          <w:color w:val="000000" w:themeColor="text1"/>
          <w:sz w:val="22"/>
          <w:szCs w:val="22"/>
        </w:rPr>
        <w:t>WSEAS TRANSACTIONS on BUSINESS and ECONOMICS</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20(1)</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pp. 657-666.</w:t>
      </w:r>
    </w:p>
    <w:p w14:paraId="515C7BF0" w14:textId="77777777" w:rsidR="008E3CF6" w:rsidRDefault="00000000">
      <w:pPr>
        <w:spacing w:line="360" w:lineRule="auto"/>
        <w:rPr>
          <w:rFonts w:ascii="Times New Roman" w:hAnsi="Times New Roman" w:cs="Times New Roman"/>
          <w:color w:val="000000" w:themeColor="text1"/>
          <w:sz w:val="22"/>
          <w:szCs w:val="22"/>
          <w:shd w:val="clear" w:color="auto" w:fill="FFFFFF"/>
        </w:rPr>
      </w:pPr>
      <w:proofErr w:type="spellStart"/>
      <w:r>
        <w:rPr>
          <w:rFonts w:ascii="Times New Roman" w:hAnsi="Times New Roman" w:cs="Times New Roman"/>
          <w:color w:val="000000" w:themeColor="text1"/>
          <w:sz w:val="22"/>
          <w:szCs w:val="22"/>
          <w:shd w:val="clear" w:color="auto" w:fill="FFFFFF"/>
        </w:rPr>
        <w:t>Mimortinnilawati</w:t>
      </w:r>
      <w:proofErr w:type="spellEnd"/>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T.</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Susanto, Y.</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and </w:t>
      </w:r>
      <w:proofErr w:type="spellStart"/>
      <w:r>
        <w:rPr>
          <w:rFonts w:ascii="Times New Roman" w:hAnsi="Times New Roman" w:cs="Times New Roman"/>
          <w:color w:val="000000" w:themeColor="text1"/>
          <w:sz w:val="22"/>
          <w:szCs w:val="22"/>
          <w:shd w:val="clear" w:color="auto" w:fill="FFFFFF"/>
        </w:rPr>
        <w:t>Rimbano</w:t>
      </w:r>
      <w:proofErr w:type="spellEnd"/>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D. (2023) </w:t>
      </w:r>
      <w:proofErr w:type="gramStart"/>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color w:val="000000" w:themeColor="text1"/>
          <w:sz w:val="22"/>
          <w:szCs w:val="22"/>
          <w:shd w:val="clear" w:color="auto" w:fill="FFFFFF"/>
        </w:rPr>
        <w:t xml:space="preserve">The Correlation between Discipline, Motivation and Compensation on the Performance of the Land Office of Musi </w:t>
      </w:r>
      <w:proofErr w:type="spellStart"/>
      <w:r>
        <w:rPr>
          <w:rFonts w:ascii="Times New Roman" w:hAnsi="Times New Roman" w:cs="Times New Roman"/>
          <w:color w:val="000000" w:themeColor="text1"/>
          <w:sz w:val="22"/>
          <w:szCs w:val="22"/>
          <w:shd w:val="clear" w:color="auto" w:fill="FFFFFF"/>
        </w:rPr>
        <w:t>Rawas</w:t>
      </w:r>
      <w:proofErr w:type="spellEnd"/>
      <w:r>
        <w:rPr>
          <w:rFonts w:ascii="Times New Roman" w:hAnsi="Times New Roman" w:cs="Times New Roman"/>
          <w:color w:val="000000" w:themeColor="text1"/>
          <w:sz w:val="22"/>
          <w:szCs w:val="22"/>
          <w:shd w:val="clear" w:color="auto" w:fill="FFFFFF"/>
        </w:rPr>
        <w:t xml:space="preserve"> District</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i/>
          <w:iCs/>
          <w:color w:val="000000" w:themeColor="text1"/>
          <w:sz w:val="22"/>
          <w:szCs w:val="22"/>
        </w:rPr>
        <w:t>In Proceedings International Conference on Business</w:t>
      </w:r>
      <w:r>
        <w:rPr>
          <w:rFonts w:ascii="Times New Roman" w:hAnsi="Times New Roman" w:cs="Times New Roman" w:hint="eastAsia"/>
          <w:i/>
          <w:iCs/>
          <w:color w:val="000000" w:themeColor="text1"/>
          <w:sz w:val="22"/>
          <w:szCs w:val="22"/>
        </w:rPr>
        <w:t>，</w:t>
      </w:r>
      <w:r>
        <w:rPr>
          <w:rFonts w:ascii="Times New Roman" w:hAnsi="Times New Roman" w:cs="Times New Roman"/>
          <w:i/>
          <w:iCs/>
          <w:color w:val="000000" w:themeColor="text1"/>
          <w:sz w:val="22"/>
          <w:szCs w:val="22"/>
        </w:rPr>
        <w:t>Economics &amp; Management</w:t>
      </w:r>
      <w:r>
        <w:rPr>
          <w:rFonts w:ascii="Times New Roman" w:hAnsi="Times New Roman" w:cs="Times New Roman"/>
          <w:color w:val="000000" w:themeColor="text1"/>
          <w:sz w:val="22"/>
          <w:szCs w:val="22"/>
          <w:shd w:val="clear" w:color="auto" w:fill="FFFFFF"/>
        </w:rPr>
        <w:t>, 1(01)</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 pp. 881-899.</w:t>
      </w:r>
    </w:p>
    <w:p w14:paraId="640B7E14"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 xml:space="preserve">Mumo, J.M. (2023)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Use of Routine Health Information among Health Management Teams in Makueni County</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 Kenya</w:t>
      </w:r>
      <w:r>
        <w:rPr>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International Journal of Research and Scientific Innovation</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 xml:space="preserve"> 10(</w:t>
      </w:r>
      <w:proofErr w:type="gramStart"/>
      <w:r>
        <w:rPr>
          <w:rFonts w:ascii="Times New Roman" w:hAnsi="Times New Roman" w:cs="Times New Roman"/>
          <w:color w:val="000000" w:themeColor="text1"/>
          <w:sz w:val="22"/>
          <w:szCs w:val="22"/>
          <w:shd w:val="clear" w:color="auto" w:fill="FFFFFF"/>
        </w:rPr>
        <w:t>8)</w:t>
      </w:r>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color w:val="000000" w:themeColor="text1"/>
          <w:sz w:val="22"/>
          <w:szCs w:val="22"/>
          <w:shd w:val="clear" w:color="auto" w:fill="FFFFFF"/>
        </w:rPr>
        <w:t xml:space="preserve"> pp. 73-109.</w:t>
      </w:r>
    </w:p>
    <w:p w14:paraId="27F0A194"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Nie</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L.</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et al.</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color w:val="000000" w:themeColor="text1"/>
          <w:sz w:val="22"/>
          <w:szCs w:val="22"/>
          <w:shd w:val="clear" w:color="auto" w:fill="FFFFFF"/>
        </w:rPr>
        <w:t xml:space="preserve">(2023) ‘Halo effect of university: the reputation and technology cross-regional </w:t>
      </w:r>
      <w:proofErr w:type="spellStart"/>
      <w:r>
        <w:rPr>
          <w:rFonts w:ascii="Times New Roman" w:hAnsi="Times New Roman" w:cs="Times New Roman"/>
          <w:color w:val="000000" w:themeColor="text1"/>
          <w:sz w:val="22"/>
          <w:szCs w:val="22"/>
          <w:shd w:val="clear" w:color="auto" w:fill="FFFFFF"/>
        </w:rPr>
        <w:t>commercialisation</w:t>
      </w:r>
      <w:proofErr w:type="spellEnd"/>
      <w:r>
        <w:rPr>
          <w:rFonts w:ascii="Times New Roman" w:hAnsi="Times New Roman" w:cs="Times New Roman"/>
          <w:color w:val="000000" w:themeColor="text1"/>
          <w:sz w:val="22"/>
          <w:szCs w:val="22"/>
          <w:shd w:val="clear" w:color="auto" w:fill="FFFFFF"/>
        </w:rPr>
        <w:t xml:space="preserve"> in China</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i/>
          <w:iCs/>
          <w:color w:val="000000" w:themeColor="text1"/>
          <w:sz w:val="22"/>
          <w:szCs w:val="22"/>
        </w:rPr>
        <w:t xml:space="preserve">Asian journal of technology </w:t>
      </w:r>
      <w:proofErr w:type="spellStart"/>
      <w:r>
        <w:rPr>
          <w:rFonts w:ascii="Times New Roman" w:hAnsi="Times New Roman" w:cs="Times New Roman"/>
          <w:i/>
          <w:iCs/>
          <w:color w:val="000000" w:themeColor="text1"/>
          <w:sz w:val="22"/>
          <w:szCs w:val="22"/>
        </w:rPr>
        <w:t>innovatio</w:t>
      </w:r>
      <w:proofErr w:type="spellEnd"/>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pp. 1–25.</w:t>
      </w:r>
    </w:p>
    <w:p w14:paraId="55737C36" w14:textId="77777777" w:rsidR="008E3CF6" w:rsidRDefault="00000000">
      <w:pPr>
        <w:spacing w:line="360" w:lineRule="auto"/>
        <w:rPr>
          <w:rFonts w:ascii="Times New Roman" w:hAnsi="Times New Roman" w:cs="Times New Roman"/>
          <w:color w:val="000000" w:themeColor="text1"/>
          <w:sz w:val="22"/>
          <w:szCs w:val="22"/>
          <w:shd w:val="clear" w:color="auto" w:fill="FFFFFF"/>
        </w:rPr>
      </w:pPr>
      <w:proofErr w:type="spellStart"/>
      <w:r>
        <w:rPr>
          <w:rFonts w:ascii="Times New Roman" w:hAnsi="Times New Roman" w:cs="Times New Roman"/>
          <w:color w:val="000000" w:themeColor="text1"/>
          <w:sz w:val="22"/>
          <w:szCs w:val="22"/>
          <w:shd w:val="clear" w:color="auto" w:fill="FFFFFF"/>
        </w:rPr>
        <w:t>Nkpodot</w:t>
      </w:r>
      <w:proofErr w:type="spellEnd"/>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U.C. and EMENYI</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D.E. (2023)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Cost Efficiency and Financial Performance of Listed Manufacturing Firms in Nigeria</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rPr>
        <w:t xml:space="preserve"> </w:t>
      </w:r>
      <w:r>
        <w:rPr>
          <w:rFonts w:ascii="Times New Roman" w:hAnsi="Times New Roman" w:cs="Times New Roman"/>
          <w:i/>
          <w:iCs/>
          <w:color w:val="000000" w:themeColor="text1"/>
          <w:sz w:val="22"/>
          <w:szCs w:val="22"/>
        </w:rPr>
        <w:t>IRE Journals</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7(</w:t>
      </w:r>
      <w:proofErr w:type="gramStart"/>
      <w:r>
        <w:rPr>
          <w:rFonts w:ascii="Times New Roman" w:hAnsi="Times New Roman" w:cs="Times New Roman"/>
          <w:color w:val="000000" w:themeColor="text1"/>
          <w:sz w:val="22"/>
          <w:szCs w:val="22"/>
          <w:shd w:val="clear" w:color="auto" w:fill="FFFFFF"/>
        </w:rPr>
        <w:t>03)</w:t>
      </w:r>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color w:val="000000" w:themeColor="text1"/>
          <w:sz w:val="22"/>
          <w:szCs w:val="22"/>
          <w:shd w:val="clear" w:color="auto" w:fill="FFFFFF"/>
        </w:rPr>
        <w:t>pp. 192-213.</w:t>
      </w:r>
    </w:p>
    <w:p w14:paraId="4A710E77" w14:textId="77777777" w:rsidR="008E3CF6" w:rsidRDefault="00000000">
      <w:pPr>
        <w:spacing w:line="360" w:lineRule="auto"/>
        <w:rPr>
          <w:rFonts w:ascii="Times New Roman" w:hAnsi="Times New Roman" w:cs="Times New Roman"/>
          <w:color w:val="000000" w:themeColor="text1"/>
          <w:sz w:val="22"/>
          <w:szCs w:val="22"/>
          <w:shd w:val="clear" w:color="auto" w:fill="FFFFFF"/>
        </w:rPr>
      </w:pPr>
      <w:proofErr w:type="spellStart"/>
      <w:r>
        <w:rPr>
          <w:rFonts w:ascii="Times New Roman" w:hAnsi="Times New Roman" w:cs="Times New Roman"/>
          <w:color w:val="000000" w:themeColor="text1"/>
          <w:sz w:val="22"/>
          <w:szCs w:val="22"/>
          <w:shd w:val="clear" w:color="auto" w:fill="FFFFFF"/>
        </w:rPr>
        <w:t>Nugrahani</w:t>
      </w:r>
      <w:proofErr w:type="spellEnd"/>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R. G.</w:t>
      </w:r>
      <w:r>
        <w:rPr>
          <w:rFonts w:ascii="Times New Roman" w:hAnsi="Times New Roman" w:cs="Times New Roman" w:hint="eastAsia"/>
          <w:color w:val="000000" w:themeColor="text1"/>
          <w:sz w:val="22"/>
          <w:szCs w:val="22"/>
          <w:shd w:val="clear" w:color="auto" w:fill="FFFFFF"/>
        </w:rPr>
        <w:t>，</w:t>
      </w:r>
      <w:proofErr w:type="spellStart"/>
      <w:r>
        <w:rPr>
          <w:rFonts w:ascii="Times New Roman" w:hAnsi="Times New Roman" w:cs="Times New Roman"/>
          <w:color w:val="000000" w:themeColor="text1"/>
          <w:sz w:val="22"/>
          <w:szCs w:val="22"/>
          <w:shd w:val="clear" w:color="auto" w:fill="FFFFFF"/>
        </w:rPr>
        <w:t>Hastuti</w:t>
      </w:r>
      <w:proofErr w:type="spellEnd"/>
      <w:r>
        <w:rPr>
          <w:rFonts w:ascii="Times New Roman" w:hAnsi="Times New Roman" w:cs="Times New Roman"/>
          <w:color w:val="000000" w:themeColor="text1"/>
          <w:sz w:val="22"/>
          <w:szCs w:val="22"/>
          <w:shd w:val="clear" w:color="auto" w:fill="FFFFFF"/>
        </w:rPr>
        <w:t>, I.</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and Suyatno</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A. (</w:t>
      </w:r>
      <w:proofErr w:type="gramStart"/>
      <w:r>
        <w:rPr>
          <w:rFonts w:ascii="Times New Roman" w:hAnsi="Times New Roman" w:cs="Times New Roman"/>
          <w:color w:val="000000" w:themeColor="text1"/>
          <w:sz w:val="22"/>
          <w:szCs w:val="22"/>
          <w:shd w:val="clear" w:color="auto" w:fill="FFFFFF"/>
        </w:rPr>
        <w:t>2023)</w:t>
      </w:r>
      <w:r>
        <w:rPr>
          <w:rFonts w:ascii="Times New Roman" w:hAnsi="Times New Roman" w:cs="Times New Roman" w:hint="eastAsia"/>
          <w:color w:val="000000" w:themeColor="text1"/>
          <w:sz w:val="22"/>
          <w:szCs w:val="22"/>
          <w:shd w:val="clear" w:color="auto" w:fill="FFFFFF"/>
        </w:rPr>
        <w:t>‘</w:t>
      </w:r>
      <w:proofErr w:type="spellStart"/>
      <w:proofErr w:type="gramEnd"/>
      <w:r>
        <w:rPr>
          <w:rFonts w:ascii="Times New Roman" w:hAnsi="Times New Roman" w:cs="Times New Roman"/>
          <w:color w:val="000000" w:themeColor="text1"/>
          <w:sz w:val="22"/>
          <w:szCs w:val="22"/>
          <w:shd w:val="clear" w:color="auto" w:fill="FFFFFF"/>
        </w:rPr>
        <w:t>Pengaruh</w:t>
      </w:r>
      <w:proofErr w:type="spellEnd"/>
      <w:r>
        <w:rPr>
          <w:rFonts w:ascii="Times New Roman" w:hAnsi="Times New Roman" w:cs="Times New Roman"/>
          <w:color w:val="000000" w:themeColor="text1"/>
          <w:sz w:val="22"/>
          <w:szCs w:val="22"/>
          <w:shd w:val="clear" w:color="auto" w:fill="FFFFFF"/>
        </w:rPr>
        <w:t xml:space="preserve"> </w:t>
      </w:r>
      <w:proofErr w:type="spellStart"/>
      <w:r>
        <w:rPr>
          <w:rFonts w:ascii="Times New Roman" w:hAnsi="Times New Roman" w:cs="Times New Roman"/>
          <w:color w:val="000000" w:themeColor="text1"/>
          <w:sz w:val="22"/>
          <w:szCs w:val="22"/>
          <w:shd w:val="clear" w:color="auto" w:fill="FFFFFF"/>
        </w:rPr>
        <w:t>Kombinasi</w:t>
      </w:r>
      <w:proofErr w:type="spellEnd"/>
      <w:r>
        <w:rPr>
          <w:rFonts w:ascii="Times New Roman" w:hAnsi="Times New Roman" w:cs="Times New Roman"/>
          <w:color w:val="000000" w:themeColor="text1"/>
          <w:sz w:val="22"/>
          <w:szCs w:val="22"/>
          <w:shd w:val="clear" w:color="auto" w:fill="FFFFFF"/>
        </w:rPr>
        <w:t xml:space="preserve"> Gaya </w:t>
      </w:r>
      <w:proofErr w:type="spellStart"/>
      <w:r>
        <w:rPr>
          <w:rFonts w:ascii="Times New Roman" w:hAnsi="Times New Roman" w:cs="Times New Roman"/>
          <w:color w:val="000000" w:themeColor="text1"/>
          <w:sz w:val="22"/>
          <w:szCs w:val="22"/>
          <w:shd w:val="clear" w:color="auto" w:fill="FFFFFF"/>
        </w:rPr>
        <w:lastRenderedPageBreak/>
        <w:t>Kepemimpinan</w:t>
      </w:r>
      <w:proofErr w:type="spellEnd"/>
      <w:r>
        <w:rPr>
          <w:rFonts w:ascii="Times New Roman" w:hAnsi="Times New Roman" w:cs="Times New Roman"/>
          <w:color w:val="000000" w:themeColor="text1"/>
          <w:sz w:val="22"/>
          <w:szCs w:val="22"/>
          <w:shd w:val="clear" w:color="auto" w:fill="FFFFFF"/>
        </w:rPr>
        <w:t xml:space="preserve">, </w:t>
      </w:r>
      <w:proofErr w:type="spellStart"/>
      <w:r>
        <w:rPr>
          <w:rFonts w:ascii="Times New Roman" w:hAnsi="Times New Roman" w:cs="Times New Roman"/>
          <w:color w:val="000000" w:themeColor="text1"/>
          <w:sz w:val="22"/>
          <w:szCs w:val="22"/>
          <w:shd w:val="clear" w:color="auto" w:fill="FFFFFF"/>
        </w:rPr>
        <w:t>Fasilitas</w:t>
      </w:r>
      <w:proofErr w:type="spellEnd"/>
      <w:r>
        <w:rPr>
          <w:rFonts w:ascii="Times New Roman" w:hAnsi="Times New Roman" w:cs="Times New Roman"/>
          <w:color w:val="000000" w:themeColor="text1"/>
          <w:sz w:val="22"/>
          <w:szCs w:val="22"/>
          <w:shd w:val="clear" w:color="auto" w:fill="FFFFFF"/>
        </w:rPr>
        <w:t xml:space="preserve">, dan </w:t>
      </w:r>
      <w:proofErr w:type="spellStart"/>
      <w:r>
        <w:rPr>
          <w:rFonts w:ascii="Times New Roman" w:hAnsi="Times New Roman" w:cs="Times New Roman"/>
          <w:color w:val="000000" w:themeColor="text1"/>
          <w:sz w:val="22"/>
          <w:szCs w:val="22"/>
          <w:shd w:val="clear" w:color="auto" w:fill="FFFFFF"/>
        </w:rPr>
        <w:t>Kesejahteraan</w:t>
      </w:r>
      <w:proofErr w:type="spellEnd"/>
      <w:r>
        <w:rPr>
          <w:rFonts w:ascii="Times New Roman" w:hAnsi="Times New Roman" w:cs="Times New Roman"/>
          <w:color w:val="000000" w:themeColor="text1"/>
          <w:sz w:val="22"/>
          <w:szCs w:val="22"/>
          <w:shd w:val="clear" w:color="auto" w:fill="FFFFFF"/>
        </w:rPr>
        <w:t xml:space="preserve"> </w:t>
      </w:r>
      <w:proofErr w:type="spellStart"/>
      <w:r>
        <w:rPr>
          <w:rFonts w:ascii="Times New Roman" w:hAnsi="Times New Roman" w:cs="Times New Roman"/>
          <w:color w:val="000000" w:themeColor="text1"/>
          <w:sz w:val="22"/>
          <w:szCs w:val="22"/>
          <w:shd w:val="clear" w:color="auto" w:fill="FFFFFF"/>
        </w:rPr>
        <w:t>terhadap</w:t>
      </w:r>
      <w:proofErr w:type="spellEnd"/>
      <w:r>
        <w:rPr>
          <w:rFonts w:ascii="Times New Roman" w:hAnsi="Times New Roman" w:cs="Times New Roman"/>
          <w:color w:val="000000" w:themeColor="text1"/>
          <w:sz w:val="22"/>
          <w:szCs w:val="22"/>
          <w:shd w:val="clear" w:color="auto" w:fill="FFFFFF"/>
        </w:rPr>
        <w:t xml:space="preserve"> Kinerja </w:t>
      </w:r>
      <w:proofErr w:type="spellStart"/>
      <w:r>
        <w:rPr>
          <w:rFonts w:ascii="Times New Roman" w:hAnsi="Times New Roman" w:cs="Times New Roman"/>
          <w:color w:val="000000" w:themeColor="text1"/>
          <w:sz w:val="22"/>
          <w:szCs w:val="22"/>
          <w:shd w:val="clear" w:color="auto" w:fill="FFFFFF"/>
        </w:rPr>
        <w:t>Karyawan</w:t>
      </w:r>
      <w:proofErr w:type="spellEnd"/>
      <w:r>
        <w:rPr>
          <w:rFonts w:ascii="Times New Roman" w:hAnsi="Times New Roman" w:cs="Times New Roman"/>
          <w:color w:val="000000" w:themeColor="text1"/>
          <w:sz w:val="22"/>
          <w:szCs w:val="22"/>
          <w:shd w:val="clear" w:color="auto" w:fill="FFFFFF"/>
        </w:rPr>
        <w:t xml:space="preserve"> PT. </w:t>
      </w:r>
      <w:proofErr w:type="spellStart"/>
      <w:r>
        <w:rPr>
          <w:rFonts w:ascii="Times New Roman" w:hAnsi="Times New Roman" w:cs="Times New Roman"/>
          <w:color w:val="000000" w:themeColor="text1"/>
          <w:sz w:val="22"/>
          <w:szCs w:val="22"/>
          <w:shd w:val="clear" w:color="auto" w:fill="FFFFFF"/>
        </w:rPr>
        <w:t>Budimas</w:t>
      </w:r>
      <w:proofErr w:type="spellEnd"/>
      <w:r>
        <w:rPr>
          <w:rFonts w:ascii="Times New Roman" w:hAnsi="Times New Roman" w:cs="Times New Roman"/>
          <w:color w:val="000000" w:themeColor="text1"/>
          <w:sz w:val="22"/>
          <w:szCs w:val="22"/>
          <w:shd w:val="clear" w:color="auto" w:fill="FFFFFF"/>
        </w:rPr>
        <w:t xml:space="preserve"> Makmur Mulia di Solo</w:t>
      </w:r>
      <w:r>
        <w:rPr>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World Management</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1(02)</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pp. 200-213.</w:t>
      </w:r>
    </w:p>
    <w:p w14:paraId="6E44C5D1"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Ortega</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J. (2023)</w:t>
      </w:r>
      <w:r>
        <w:rPr>
          <w:rFonts w:ascii="Times New Roman Italic" w:hAnsi="Times New Roman Italic" w:cs="Times New Roman Italic"/>
          <w:i/>
          <w:iCs/>
          <w:color w:val="000000" w:themeColor="text1"/>
          <w:sz w:val="22"/>
          <w:szCs w:val="22"/>
          <w:shd w:val="clear" w:color="auto" w:fill="FFFFFF"/>
        </w:rPr>
        <w:t xml:space="preserve"> Promotion Decisions under Formal Compensation Rules. In Academy of Management Proceedings</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NY: Academy of Management.</w:t>
      </w:r>
    </w:p>
    <w:p w14:paraId="5F65D3EB" w14:textId="77777777" w:rsidR="008E3CF6" w:rsidRDefault="00000000">
      <w:pPr>
        <w:spacing w:line="360" w:lineRule="auto"/>
        <w:rPr>
          <w:rFonts w:ascii="Times New Roman" w:hAnsi="Times New Roman" w:cs="Times New Roman"/>
          <w:color w:val="000000" w:themeColor="text1"/>
          <w:sz w:val="22"/>
          <w:szCs w:val="22"/>
          <w:shd w:val="clear" w:color="auto" w:fill="FFFFFF"/>
        </w:rPr>
      </w:pPr>
      <w:proofErr w:type="spellStart"/>
      <w:r>
        <w:rPr>
          <w:rFonts w:ascii="Times New Roman" w:hAnsi="Times New Roman" w:cs="Times New Roman"/>
          <w:color w:val="000000" w:themeColor="text1"/>
          <w:sz w:val="22"/>
          <w:szCs w:val="22"/>
          <w:shd w:val="clear" w:color="auto" w:fill="FFFFFF"/>
        </w:rPr>
        <w:t>Pocztowski</w:t>
      </w:r>
      <w:proofErr w:type="spellEnd"/>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A.</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Pauli</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U. and </w:t>
      </w:r>
      <w:proofErr w:type="spellStart"/>
      <w:r>
        <w:rPr>
          <w:rFonts w:ascii="Times New Roman" w:hAnsi="Times New Roman" w:cs="Times New Roman"/>
          <w:color w:val="000000" w:themeColor="text1"/>
          <w:sz w:val="22"/>
          <w:szCs w:val="22"/>
          <w:shd w:val="clear" w:color="auto" w:fill="FFFFFF"/>
        </w:rPr>
        <w:t>Miś</w:t>
      </w:r>
      <w:proofErr w:type="spellEnd"/>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A. (2020)</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 xml:space="preserve">Talent management in small and medium </w:t>
      </w:r>
      <w:proofErr w:type="gramStart"/>
      <w:r>
        <w:rPr>
          <w:rFonts w:ascii="Times New Roman" w:hAnsi="Times New Roman" w:cs="Times New Roman"/>
          <w:i/>
          <w:iCs/>
          <w:color w:val="000000" w:themeColor="text1"/>
          <w:sz w:val="22"/>
          <w:szCs w:val="22"/>
        </w:rPr>
        <w:t>enterprises :</w:t>
      </w:r>
      <w:proofErr w:type="gramEnd"/>
      <w:r>
        <w:rPr>
          <w:rFonts w:ascii="Times New Roman" w:hAnsi="Times New Roman" w:cs="Times New Roman"/>
          <w:i/>
          <w:iCs/>
          <w:color w:val="000000" w:themeColor="text1"/>
          <w:sz w:val="22"/>
          <w:szCs w:val="22"/>
        </w:rPr>
        <w:t xml:space="preserve"> context, practices and outcomes</w:t>
      </w:r>
      <w:r>
        <w:rPr>
          <w:rFonts w:ascii="Times New Roman" w:hAnsi="Times New Roman" w:cs="Times New Roman"/>
          <w:color w:val="000000" w:themeColor="text1"/>
          <w:sz w:val="22"/>
          <w:szCs w:val="22"/>
          <w:shd w:val="clear" w:color="auto" w:fill="FFFFFF"/>
        </w:rPr>
        <w:t>. New York: Routledge.</w:t>
      </w:r>
    </w:p>
    <w:p w14:paraId="607FB4E9"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Pombo</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G.N.B.A. and Gomes</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J.F.S. (2022)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The Link between Human Resources Management, Management Values, and Organizational Performance: Unleashing Line Managers</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Potential</w:t>
      </w:r>
      <w:r>
        <w:rPr>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The international journal of interdisciplinary organizational studies</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17(</w:t>
      </w:r>
      <w:proofErr w:type="gramStart"/>
      <w:r>
        <w:rPr>
          <w:rFonts w:ascii="Times New Roman" w:hAnsi="Times New Roman" w:cs="Times New Roman"/>
          <w:color w:val="000000" w:themeColor="text1"/>
          <w:sz w:val="22"/>
          <w:szCs w:val="22"/>
          <w:shd w:val="clear" w:color="auto" w:fill="FFFFFF"/>
        </w:rPr>
        <w:t>1)</w:t>
      </w:r>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color w:val="000000" w:themeColor="text1"/>
          <w:sz w:val="22"/>
          <w:szCs w:val="22"/>
          <w:shd w:val="clear" w:color="auto" w:fill="FFFFFF"/>
        </w:rPr>
        <w:t>pp. 103–130.</w:t>
      </w:r>
    </w:p>
    <w:p w14:paraId="1E4C46FB"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Sahib</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P.R.</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Van der Laan</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G. and Van </w:t>
      </w:r>
      <w:proofErr w:type="spellStart"/>
      <w:r>
        <w:rPr>
          <w:rFonts w:ascii="Times New Roman" w:hAnsi="Times New Roman" w:cs="Times New Roman"/>
          <w:color w:val="000000" w:themeColor="text1"/>
          <w:sz w:val="22"/>
          <w:szCs w:val="22"/>
          <w:shd w:val="clear" w:color="auto" w:fill="FFFFFF"/>
        </w:rPr>
        <w:t>Ees</w:t>
      </w:r>
      <w:proofErr w:type="spellEnd"/>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H. (2018)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The Tide that lifts all boats? Acquisitions and CEO-TMT pay disparity in the Netherlands</w:t>
      </w:r>
      <w:proofErr w:type="gramStart"/>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Management decision</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56(9)</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 pp. 2038–2059. </w:t>
      </w:r>
    </w:p>
    <w:p w14:paraId="6F4BDA15"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Tetik</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S. and Zaim</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H. (2021)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Effects of Talent Management Practices on Organizational Engagement: A Quasi-Experimental Study</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i/>
          <w:iCs/>
          <w:color w:val="000000" w:themeColor="text1"/>
          <w:sz w:val="22"/>
          <w:szCs w:val="22"/>
        </w:rPr>
        <w:t>Eurasian Journal of Business and Economics</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 xml:space="preserve"> 14(27)</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pp. 91–19. </w:t>
      </w:r>
    </w:p>
    <w:p w14:paraId="4BFA3BBC"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Yang</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B.</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and Chen Y. J.</w:t>
      </w:r>
      <w:proofErr w:type="gramStart"/>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w:t>
      </w:r>
      <w:proofErr w:type="gramEnd"/>
      <w:r>
        <w:rPr>
          <w:rFonts w:ascii="Times New Roman" w:hAnsi="Times New Roman" w:cs="Times New Roman"/>
          <w:color w:val="000000" w:themeColor="text1"/>
          <w:sz w:val="22"/>
          <w:szCs w:val="22"/>
          <w:shd w:val="clear" w:color="auto" w:fill="FFFFFF"/>
        </w:rPr>
        <w:t xml:space="preserve">2023)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Research on the Implementation Effect of Equity Incentive in </w:t>
      </w:r>
      <w:proofErr w:type="spellStart"/>
      <w:r>
        <w:rPr>
          <w:rFonts w:ascii="Times New Roman" w:hAnsi="Times New Roman" w:cs="Times New Roman"/>
          <w:color w:val="000000" w:themeColor="text1"/>
          <w:sz w:val="22"/>
          <w:szCs w:val="22"/>
          <w:shd w:val="clear" w:color="auto" w:fill="FFFFFF"/>
        </w:rPr>
        <w:t>Fenjiu</w:t>
      </w:r>
      <w:proofErr w:type="spellEnd"/>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Shanxi</w:t>
      </w:r>
      <w:r>
        <w:rPr>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Finance</w:t>
      </w:r>
      <w:r>
        <w:rPr>
          <w:rFonts w:ascii="Times New Roman" w:hAnsi="Times New Roman" w:cs="Times New Roman" w:hint="eastAsia"/>
          <w:i/>
          <w:iCs/>
          <w:color w:val="000000" w:themeColor="text1"/>
          <w:sz w:val="22"/>
          <w:szCs w:val="22"/>
        </w:rPr>
        <w:t>，</w:t>
      </w:r>
      <w:r>
        <w:rPr>
          <w:rStyle w:val="apple-converted-space"/>
          <w:rFonts w:ascii="Times New Roman" w:hAnsi="Times New Roman" w:cs="Times New Roman"/>
          <w:color w:val="000000" w:themeColor="text1"/>
          <w:sz w:val="22"/>
          <w:szCs w:val="22"/>
          <w:shd w:val="clear" w:color="auto" w:fill="FFFFFF"/>
        </w:rPr>
        <w:t>13(05)</w:t>
      </w:r>
      <w:r>
        <w:rPr>
          <w:rStyle w:val="apple-converted-space"/>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pp. 1068-1077.</w:t>
      </w:r>
    </w:p>
    <w:p w14:paraId="59D2688C" w14:textId="77777777" w:rsidR="008E3CF6" w:rsidRDefault="00000000">
      <w:pPr>
        <w:spacing w:line="360" w:lineRule="auto"/>
        <w:rPr>
          <w:rFonts w:ascii="Times New Roman" w:hAnsi="Times New Roman" w:cs="Times New Roman"/>
          <w:color w:val="000000" w:themeColor="text1"/>
          <w:sz w:val="22"/>
          <w:szCs w:val="22"/>
          <w:shd w:val="clear" w:color="auto" w:fill="FFFFFF"/>
        </w:rPr>
      </w:pPr>
      <w:proofErr w:type="spellStart"/>
      <w:r>
        <w:rPr>
          <w:rFonts w:ascii="Times New Roman" w:hAnsi="Times New Roman" w:cs="Times New Roman"/>
          <w:color w:val="000000" w:themeColor="text1"/>
          <w:sz w:val="22"/>
          <w:szCs w:val="22"/>
          <w:shd w:val="clear" w:color="auto" w:fill="FFFFFF"/>
        </w:rPr>
        <w:t>Yiasemidou</w:t>
      </w:r>
      <w:proofErr w:type="spellEnd"/>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M.</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et al.</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color w:val="000000" w:themeColor="text1"/>
          <w:sz w:val="22"/>
          <w:szCs w:val="22"/>
          <w:shd w:val="clear" w:color="auto" w:fill="FFFFFF"/>
        </w:rPr>
        <w:t xml:space="preserve">(2017)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Perceptions About the Present and Future of Surgical Simulation: A National Study of Mixed Qualitative and Quantitative Methodology</w:t>
      </w:r>
      <w:r>
        <w:rPr>
          <w:rFonts w:ascii="Times New Roman" w:hAnsi="Times New Roman" w:cs="Times New Roman" w:hint="eastAsia"/>
          <w:color w:val="000000" w:themeColor="text1"/>
          <w:sz w:val="22"/>
          <w:szCs w:val="22"/>
          <w:shd w:val="clear" w:color="auto" w:fill="FFFFFF"/>
        </w:rPr>
        <w:t>’，</w:t>
      </w:r>
      <w:r>
        <w:rPr>
          <w:rStyle w:val="apple-converted-space"/>
          <w:rFonts w:ascii="Times New Roman" w:hAnsi="Times New Roman" w:cs="Times New Roman"/>
          <w:color w:val="000000" w:themeColor="text1"/>
          <w:sz w:val="22"/>
          <w:szCs w:val="22"/>
          <w:shd w:val="clear" w:color="auto" w:fill="FFFFFF"/>
        </w:rPr>
        <w:t> </w:t>
      </w:r>
      <w:r>
        <w:rPr>
          <w:rFonts w:ascii="Times New Roman" w:hAnsi="Times New Roman" w:cs="Times New Roman"/>
          <w:i/>
          <w:iCs/>
          <w:color w:val="000000" w:themeColor="text1"/>
          <w:sz w:val="22"/>
          <w:szCs w:val="22"/>
        </w:rPr>
        <w:t>Journal of surgical education</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74(</w:t>
      </w:r>
      <w:proofErr w:type="gramStart"/>
      <w:r>
        <w:rPr>
          <w:rFonts w:ascii="Times New Roman" w:hAnsi="Times New Roman" w:cs="Times New Roman"/>
          <w:color w:val="000000" w:themeColor="text1"/>
          <w:sz w:val="22"/>
          <w:szCs w:val="22"/>
          <w:shd w:val="clear" w:color="auto" w:fill="FFFFFF"/>
        </w:rPr>
        <w:t>1)</w:t>
      </w:r>
      <w:r>
        <w:rPr>
          <w:rFonts w:ascii="Times New Roman" w:hAnsi="Times New Roman" w:cs="Times New Roman" w:hint="eastAsia"/>
          <w:color w:val="000000" w:themeColor="text1"/>
          <w:sz w:val="22"/>
          <w:szCs w:val="22"/>
          <w:shd w:val="clear" w:color="auto" w:fill="FFFFFF"/>
        </w:rPr>
        <w:t>，</w:t>
      </w:r>
      <w:proofErr w:type="gramEnd"/>
      <w:r>
        <w:rPr>
          <w:rFonts w:ascii="Times New Roman" w:hAnsi="Times New Roman" w:cs="Times New Roman"/>
          <w:color w:val="000000" w:themeColor="text1"/>
          <w:sz w:val="22"/>
          <w:szCs w:val="22"/>
          <w:shd w:val="clear" w:color="auto" w:fill="FFFFFF"/>
        </w:rPr>
        <w:t>pp. 108–116.</w:t>
      </w:r>
    </w:p>
    <w:p w14:paraId="7801A71C"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Zhou</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Y.</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Wang</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H. and Lan</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 xml:space="preserve">H. (2023) </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color w:val="000000" w:themeColor="text1"/>
          <w:sz w:val="22"/>
          <w:szCs w:val="22"/>
          <w:shd w:val="clear" w:color="auto" w:fill="FFFFFF"/>
        </w:rPr>
        <w:t>Why and how executive equity incentive influences digital transformation: the role of internal and external governance</w:t>
      </w:r>
      <w:r>
        <w:rPr>
          <w:rFonts w:ascii="Times New Roman" w:hAnsi="Times New Roman" w:cs="Times New Roman" w:hint="eastAsia"/>
          <w:color w:val="000000" w:themeColor="text1"/>
          <w:sz w:val="22"/>
          <w:szCs w:val="22"/>
          <w:shd w:val="clear" w:color="auto" w:fill="FFFFFF"/>
        </w:rPr>
        <w:t>’，</w:t>
      </w:r>
      <w:r>
        <w:rPr>
          <w:rFonts w:ascii="Times New Roman" w:hAnsi="Times New Roman" w:cs="Times New Roman"/>
          <w:i/>
          <w:iCs/>
          <w:color w:val="000000" w:themeColor="text1"/>
          <w:sz w:val="22"/>
          <w:szCs w:val="22"/>
        </w:rPr>
        <w:t>Technology analysis &amp; strategic management</w:t>
      </w:r>
      <w:r>
        <w:rPr>
          <w:rFonts w:ascii="Times New Roman" w:hAnsi="Times New Roman" w:cs="Times New Roman" w:hint="eastAsia"/>
          <w:i/>
          <w:iCs/>
          <w:color w:val="000000" w:themeColor="text1"/>
          <w:sz w:val="22"/>
          <w:szCs w:val="22"/>
        </w:rPr>
        <w:t>，</w:t>
      </w:r>
      <w:r>
        <w:rPr>
          <w:rFonts w:ascii="Times New Roman" w:hAnsi="Times New Roman" w:cs="Times New Roman"/>
          <w:color w:val="000000" w:themeColor="text1"/>
          <w:sz w:val="22"/>
          <w:szCs w:val="22"/>
          <w:shd w:val="clear" w:color="auto" w:fill="FFFFFF"/>
        </w:rPr>
        <w:t>pp. 1–15.</w:t>
      </w:r>
    </w:p>
    <w:p w14:paraId="7274DEB8" w14:textId="77777777" w:rsidR="008E3CF6" w:rsidRDefault="008E3CF6">
      <w:pPr>
        <w:spacing w:line="360" w:lineRule="auto"/>
        <w:rPr>
          <w:rFonts w:ascii="Times New Roman" w:hAnsi="Times New Roman" w:cs="Times New Roman"/>
          <w:color w:val="000000" w:themeColor="text1"/>
          <w:sz w:val="22"/>
          <w:szCs w:val="22"/>
          <w:shd w:val="clear" w:color="auto" w:fill="FFFFFF"/>
        </w:rPr>
      </w:pPr>
    </w:p>
    <w:p w14:paraId="08913B4C" w14:textId="77777777" w:rsidR="008E3CF6" w:rsidRDefault="00000000">
      <w:pPr>
        <w:spacing w:line="360" w:lineRule="auto"/>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br w:type="page"/>
      </w:r>
    </w:p>
    <w:p w14:paraId="469C8F3A" w14:textId="77777777" w:rsidR="008E3CF6" w:rsidRDefault="00000000">
      <w:pPr>
        <w:pStyle w:val="1"/>
        <w:rPr>
          <w:color w:val="000000" w:themeColor="text1"/>
        </w:rPr>
      </w:pPr>
      <w:bookmarkStart w:id="14" w:name="_Toc152277281"/>
      <w:bookmarkStart w:id="15" w:name="_Toc147807632"/>
      <w:r>
        <w:rPr>
          <w:color w:val="000000" w:themeColor="text1"/>
        </w:rPr>
        <w:lastRenderedPageBreak/>
        <w:t>Appendices</w:t>
      </w:r>
      <w:bookmarkEnd w:id="14"/>
      <w:bookmarkEnd w:id="15"/>
    </w:p>
    <w:p w14:paraId="7F2F7BE2" w14:textId="77777777" w:rsidR="008E3CF6" w:rsidRDefault="00000000">
      <w:pPr>
        <w:spacing w:line="360" w:lineRule="auto"/>
        <w:jc w:val="center"/>
        <w:rPr>
          <w:rFonts w:ascii="Times New Roman" w:hAnsi="Times New Roman" w:cs="Times New Roman"/>
          <w:color w:val="000000" w:themeColor="text1"/>
          <w:sz w:val="22"/>
          <w:szCs w:val="22"/>
          <w:shd w:val="clear" w:color="auto" w:fill="FFFFFF"/>
        </w:rPr>
      </w:pPr>
      <w:r>
        <w:rPr>
          <w:rFonts w:ascii="Times New Roman" w:hAnsi="Times New Roman" w:cs="Times New Roman"/>
          <w:color w:val="000000" w:themeColor="text1"/>
          <w:sz w:val="22"/>
          <w:szCs w:val="22"/>
          <w:shd w:val="clear" w:color="auto" w:fill="FFFFFF"/>
        </w:rPr>
        <w:t>Appendix 1: Key Compensation and Productivity Indicators Summary from the Financial Statements of China Securities Co., Ltd.</w:t>
      </w:r>
    </w:p>
    <w:tbl>
      <w:tblPr>
        <w:tblStyle w:val="ab"/>
        <w:tblW w:w="5000" w:type="pct"/>
        <w:tblLook w:val="04A0" w:firstRow="1" w:lastRow="0" w:firstColumn="1" w:lastColumn="0" w:noHBand="0" w:noVBand="1"/>
      </w:tblPr>
      <w:tblGrid>
        <w:gridCol w:w="851"/>
        <w:gridCol w:w="1074"/>
        <w:gridCol w:w="1395"/>
        <w:gridCol w:w="1109"/>
        <w:gridCol w:w="1100"/>
        <w:gridCol w:w="984"/>
        <w:gridCol w:w="1127"/>
        <w:gridCol w:w="666"/>
      </w:tblGrid>
      <w:tr w:rsidR="008E3CF6" w14:paraId="36B54389" w14:textId="77777777" w:rsidTr="008E3CF6">
        <w:trPr>
          <w:cnfStyle w:val="100000000000" w:firstRow="1" w:lastRow="0" w:firstColumn="0" w:lastColumn="0" w:oddVBand="0" w:evenVBand="0" w:oddHBand="0" w:evenHBand="0" w:firstRowFirstColumn="0" w:firstRowLastColumn="0" w:lastRowFirstColumn="0" w:lastRowLastColumn="0"/>
          <w:trHeight w:val="320"/>
        </w:trPr>
        <w:tc>
          <w:tcPr>
            <w:tcW w:w="572" w:type="pct"/>
            <w:noWrap/>
          </w:tcPr>
          <w:p w14:paraId="5BB088CF" w14:textId="77777777" w:rsidR="008E3CF6" w:rsidRDefault="00000000">
            <w:pPr>
              <w:jc w:val="lef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Publication Date</w:t>
            </w:r>
          </w:p>
        </w:tc>
        <w:tc>
          <w:tcPr>
            <w:tcW w:w="581" w:type="pct"/>
            <w:noWrap/>
          </w:tcPr>
          <w:p w14:paraId="1E7D42D8" w14:textId="77777777" w:rsidR="008E3CF6" w:rsidRDefault="00000000">
            <w:pPr>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Number of Employees</w:t>
            </w:r>
          </w:p>
        </w:tc>
        <w:tc>
          <w:tcPr>
            <w:tcW w:w="673" w:type="pct"/>
            <w:noWrap/>
          </w:tcPr>
          <w:p w14:paraId="467A238C" w14:textId="77777777" w:rsidR="008E3CF6" w:rsidRDefault="00000000">
            <w:pPr>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Total Employee Compensation</w:t>
            </w:r>
          </w:p>
        </w:tc>
        <w:tc>
          <w:tcPr>
            <w:tcW w:w="673" w:type="pct"/>
            <w:noWrap/>
          </w:tcPr>
          <w:p w14:paraId="56B28BD9" w14:textId="77777777" w:rsidR="008E3CF6" w:rsidRDefault="00000000">
            <w:pPr>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Average Compensation</w:t>
            </w:r>
          </w:p>
        </w:tc>
        <w:tc>
          <w:tcPr>
            <w:tcW w:w="581" w:type="pct"/>
            <w:noWrap/>
          </w:tcPr>
          <w:p w14:paraId="1AABE371" w14:textId="77777777" w:rsidR="008E3CF6" w:rsidRDefault="00000000">
            <w:pPr>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Revenue per Employee</w:t>
            </w:r>
          </w:p>
        </w:tc>
        <w:tc>
          <w:tcPr>
            <w:tcW w:w="581" w:type="pct"/>
            <w:noWrap/>
          </w:tcPr>
          <w:p w14:paraId="4F413733" w14:textId="77777777" w:rsidR="008E3CF6" w:rsidRDefault="00000000">
            <w:pPr>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Profit per Employee</w:t>
            </w:r>
          </w:p>
        </w:tc>
        <w:tc>
          <w:tcPr>
            <w:tcW w:w="669" w:type="pct"/>
            <w:noWrap/>
          </w:tcPr>
          <w:p w14:paraId="13EF6E81" w14:textId="77777777" w:rsidR="008E3CF6" w:rsidRDefault="00000000">
            <w:pPr>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Total Operating Income</w:t>
            </w:r>
          </w:p>
        </w:tc>
        <w:tc>
          <w:tcPr>
            <w:tcW w:w="669" w:type="pct"/>
            <w:noWrap/>
          </w:tcPr>
          <w:p w14:paraId="636F0F92" w14:textId="77777777" w:rsidR="008E3CF6" w:rsidRDefault="00000000">
            <w:pPr>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Net Profit</w:t>
            </w:r>
          </w:p>
        </w:tc>
      </w:tr>
      <w:tr w:rsidR="008E3CF6" w14:paraId="70AC7935" w14:textId="77777777" w:rsidTr="008E3CF6">
        <w:trPr>
          <w:trHeight w:val="320"/>
        </w:trPr>
        <w:tc>
          <w:tcPr>
            <w:tcW w:w="572" w:type="pct"/>
            <w:noWrap/>
          </w:tcPr>
          <w:p w14:paraId="62EC9D08"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2023/6/30</w:t>
            </w:r>
          </w:p>
        </w:tc>
        <w:tc>
          <w:tcPr>
            <w:tcW w:w="581" w:type="pct"/>
            <w:noWrap/>
          </w:tcPr>
          <w:p w14:paraId="2A5139F0"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13804.00 </w:t>
            </w:r>
          </w:p>
        </w:tc>
        <w:tc>
          <w:tcPr>
            <w:tcW w:w="673" w:type="pct"/>
            <w:noWrap/>
          </w:tcPr>
          <w:p w14:paraId="09287399"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439156.45 </w:t>
            </w:r>
          </w:p>
        </w:tc>
        <w:tc>
          <w:tcPr>
            <w:tcW w:w="673" w:type="pct"/>
            <w:noWrap/>
          </w:tcPr>
          <w:p w14:paraId="6FE76C07"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31.81 </w:t>
            </w:r>
          </w:p>
        </w:tc>
        <w:tc>
          <w:tcPr>
            <w:tcW w:w="581" w:type="pct"/>
            <w:noWrap/>
          </w:tcPr>
          <w:p w14:paraId="1C283245"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97.54 </w:t>
            </w:r>
          </w:p>
        </w:tc>
        <w:tc>
          <w:tcPr>
            <w:tcW w:w="581" w:type="pct"/>
            <w:noWrap/>
          </w:tcPr>
          <w:p w14:paraId="4D1D3FEE"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31.26 </w:t>
            </w:r>
          </w:p>
        </w:tc>
        <w:tc>
          <w:tcPr>
            <w:tcW w:w="669" w:type="pct"/>
            <w:noWrap/>
          </w:tcPr>
          <w:p w14:paraId="762A7682"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1346470.80 </w:t>
            </w:r>
          </w:p>
        </w:tc>
        <w:tc>
          <w:tcPr>
            <w:tcW w:w="669" w:type="pct"/>
            <w:noWrap/>
          </w:tcPr>
          <w:p w14:paraId="56114C64"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431504.02 </w:t>
            </w:r>
          </w:p>
        </w:tc>
      </w:tr>
      <w:tr w:rsidR="008E3CF6" w14:paraId="5BE9B05C" w14:textId="77777777" w:rsidTr="008E3CF6">
        <w:trPr>
          <w:trHeight w:val="320"/>
        </w:trPr>
        <w:tc>
          <w:tcPr>
            <w:tcW w:w="572" w:type="pct"/>
            <w:noWrap/>
          </w:tcPr>
          <w:p w14:paraId="23B2E123"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2022/12/31</w:t>
            </w:r>
          </w:p>
        </w:tc>
        <w:tc>
          <w:tcPr>
            <w:tcW w:w="581" w:type="pct"/>
            <w:noWrap/>
          </w:tcPr>
          <w:p w14:paraId="2073D15C"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14147.00 </w:t>
            </w:r>
          </w:p>
        </w:tc>
        <w:tc>
          <w:tcPr>
            <w:tcW w:w="673" w:type="pct"/>
            <w:noWrap/>
          </w:tcPr>
          <w:p w14:paraId="16338181"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840149.29 </w:t>
            </w:r>
          </w:p>
        </w:tc>
        <w:tc>
          <w:tcPr>
            <w:tcW w:w="673" w:type="pct"/>
            <w:noWrap/>
          </w:tcPr>
          <w:p w14:paraId="50FBE57D"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59.39 </w:t>
            </w:r>
          </w:p>
        </w:tc>
        <w:tc>
          <w:tcPr>
            <w:tcW w:w="581" w:type="pct"/>
            <w:noWrap/>
          </w:tcPr>
          <w:p w14:paraId="6A9FCC04"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194.85 </w:t>
            </w:r>
          </w:p>
        </w:tc>
        <w:tc>
          <w:tcPr>
            <w:tcW w:w="581" w:type="pct"/>
            <w:noWrap/>
          </w:tcPr>
          <w:p w14:paraId="0F62ACF8"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53.14 </w:t>
            </w:r>
          </w:p>
        </w:tc>
        <w:tc>
          <w:tcPr>
            <w:tcW w:w="669" w:type="pct"/>
            <w:noWrap/>
          </w:tcPr>
          <w:p w14:paraId="57924EB4"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2756519.79 </w:t>
            </w:r>
          </w:p>
        </w:tc>
        <w:tc>
          <w:tcPr>
            <w:tcW w:w="669" w:type="pct"/>
            <w:noWrap/>
          </w:tcPr>
          <w:p w14:paraId="22E23A77"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751745.76 </w:t>
            </w:r>
          </w:p>
        </w:tc>
      </w:tr>
      <w:tr w:rsidR="008E3CF6" w14:paraId="011F2F1A" w14:textId="77777777" w:rsidTr="008E3CF6">
        <w:trPr>
          <w:trHeight w:val="320"/>
        </w:trPr>
        <w:tc>
          <w:tcPr>
            <w:tcW w:w="572" w:type="pct"/>
            <w:noWrap/>
          </w:tcPr>
          <w:p w14:paraId="2F1F9E0D"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2022/6/30</w:t>
            </w:r>
          </w:p>
        </w:tc>
        <w:tc>
          <w:tcPr>
            <w:tcW w:w="581" w:type="pct"/>
            <w:noWrap/>
          </w:tcPr>
          <w:p w14:paraId="6AFF3063"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12336.00 </w:t>
            </w:r>
          </w:p>
        </w:tc>
        <w:tc>
          <w:tcPr>
            <w:tcW w:w="673" w:type="pct"/>
            <w:noWrap/>
          </w:tcPr>
          <w:p w14:paraId="5AF033BC"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418825.78 </w:t>
            </w:r>
          </w:p>
        </w:tc>
        <w:tc>
          <w:tcPr>
            <w:tcW w:w="673" w:type="pct"/>
            <w:noWrap/>
          </w:tcPr>
          <w:p w14:paraId="4BFD912E"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33.95 </w:t>
            </w:r>
          </w:p>
        </w:tc>
        <w:tc>
          <w:tcPr>
            <w:tcW w:w="581" w:type="pct"/>
            <w:noWrap/>
          </w:tcPr>
          <w:p w14:paraId="59B78267"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116.91 </w:t>
            </w:r>
          </w:p>
        </w:tc>
        <w:tc>
          <w:tcPr>
            <w:tcW w:w="581" w:type="pct"/>
            <w:noWrap/>
          </w:tcPr>
          <w:p w14:paraId="70128A73"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35.53 </w:t>
            </w:r>
          </w:p>
        </w:tc>
        <w:tc>
          <w:tcPr>
            <w:tcW w:w="669" w:type="pct"/>
            <w:noWrap/>
          </w:tcPr>
          <w:p w14:paraId="1256403C"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1442250.66 </w:t>
            </w:r>
          </w:p>
        </w:tc>
        <w:tc>
          <w:tcPr>
            <w:tcW w:w="669" w:type="pct"/>
            <w:noWrap/>
          </w:tcPr>
          <w:p w14:paraId="11EB0B5A"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438242.67 </w:t>
            </w:r>
          </w:p>
        </w:tc>
      </w:tr>
      <w:tr w:rsidR="008E3CF6" w14:paraId="3F8709D9" w14:textId="77777777" w:rsidTr="008E3CF6">
        <w:trPr>
          <w:trHeight w:val="320"/>
        </w:trPr>
        <w:tc>
          <w:tcPr>
            <w:tcW w:w="572" w:type="pct"/>
            <w:noWrap/>
          </w:tcPr>
          <w:p w14:paraId="245E9CCA"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2021/12/31</w:t>
            </w:r>
          </w:p>
        </w:tc>
        <w:tc>
          <w:tcPr>
            <w:tcW w:w="581" w:type="pct"/>
            <w:noWrap/>
          </w:tcPr>
          <w:p w14:paraId="5CB1A888"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11778.00 </w:t>
            </w:r>
          </w:p>
        </w:tc>
        <w:tc>
          <w:tcPr>
            <w:tcW w:w="673" w:type="pct"/>
            <w:noWrap/>
          </w:tcPr>
          <w:p w14:paraId="269B42C3"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821064.40 </w:t>
            </w:r>
          </w:p>
        </w:tc>
        <w:tc>
          <w:tcPr>
            <w:tcW w:w="673" w:type="pct"/>
            <w:noWrap/>
          </w:tcPr>
          <w:p w14:paraId="2D5CEA70"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69.71 </w:t>
            </w:r>
          </w:p>
        </w:tc>
        <w:tc>
          <w:tcPr>
            <w:tcW w:w="581" w:type="pct"/>
            <w:noWrap/>
          </w:tcPr>
          <w:p w14:paraId="609A9BFC"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253.63 </w:t>
            </w:r>
          </w:p>
        </w:tc>
        <w:tc>
          <w:tcPr>
            <w:tcW w:w="581" w:type="pct"/>
            <w:noWrap/>
          </w:tcPr>
          <w:p w14:paraId="265EEF76"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86.90 </w:t>
            </w:r>
          </w:p>
        </w:tc>
        <w:tc>
          <w:tcPr>
            <w:tcW w:w="669" w:type="pct"/>
            <w:noWrap/>
          </w:tcPr>
          <w:p w14:paraId="23153E56"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2987201.87 </w:t>
            </w:r>
          </w:p>
        </w:tc>
        <w:tc>
          <w:tcPr>
            <w:tcW w:w="669" w:type="pct"/>
            <w:noWrap/>
          </w:tcPr>
          <w:p w14:paraId="01053320"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1023506.36 </w:t>
            </w:r>
          </w:p>
        </w:tc>
      </w:tr>
      <w:tr w:rsidR="008E3CF6" w14:paraId="2B9D22A7" w14:textId="77777777" w:rsidTr="008E3CF6">
        <w:trPr>
          <w:trHeight w:val="320"/>
        </w:trPr>
        <w:tc>
          <w:tcPr>
            <w:tcW w:w="572" w:type="pct"/>
            <w:noWrap/>
          </w:tcPr>
          <w:p w14:paraId="3A919EA7"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2020/12/31</w:t>
            </w:r>
          </w:p>
        </w:tc>
        <w:tc>
          <w:tcPr>
            <w:tcW w:w="581" w:type="pct"/>
            <w:noWrap/>
          </w:tcPr>
          <w:p w14:paraId="7F804348"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9994.00 </w:t>
            </w:r>
          </w:p>
        </w:tc>
        <w:tc>
          <w:tcPr>
            <w:tcW w:w="673" w:type="pct"/>
            <w:noWrap/>
          </w:tcPr>
          <w:p w14:paraId="76A22075"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684706.63 </w:t>
            </w:r>
          </w:p>
        </w:tc>
        <w:tc>
          <w:tcPr>
            <w:tcW w:w="673" w:type="pct"/>
            <w:noWrap/>
          </w:tcPr>
          <w:p w14:paraId="44C419B8"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68.51 </w:t>
            </w:r>
          </w:p>
        </w:tc>
        <w:tc>
          <w:tcPr>
            <w:tcW w:w="581" w:type="pct"/>
            <w:noWrap/>
          </w:tcPr>
          <w:p w14:paraId="321B935E"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233.65 </w:t>
            </w:r>
          </w:p>
        </w:tc>
        <w:tc>
          <w:tcPr>
            <w:tcW w:w="581" w:type="pct"/>
            <w:noWrap/>
          </w:tcPr>
          <w:p w14:paraId="66F149B9"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95.42 </w:t>
            </w:r>
          </w:p>
        </w:tc>
        <w:tc>
          <w:tcPr>
            <w:tcW w:w="669" w:type="pct"/>
            <w:noWrap/>
          </w:tcPr>
          <w:p w14:paraId="51A63079"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2335088.16 </w:t>
            </w:r>
          </w:p>
        </w:tc>
        <w:tc>
          <w:tcPr>
            <w:tcW w:w="669" w:type="pct"/>
            <w:noWrap/>
          </w:tcPr>
          <w:p w14:paraId="6F9E6BDE"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953668.53 </w:t>
            </w:r>
          </w:p>
        </w:tc>
      </w:tr>
      <w:tr w:rsidR="008E3CF6" w14:paraId="19A06451" w14:textId="77777777" w:rsidTr="008E3CF6">
        <w:trPr>
          <w:trHeight w:val="320"/>
        </w:trPr>
        <w:tc>
          <w:tcPr>
            <w:tcW w:w="572" w:type="pct"/>
            <w:noWrap/>
          </w:tcPr>
          <w:p w14:paraId="46473603"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2020/6/30</w:t>
            </w:r>
          </w:p>
        </w:tc>
        <w:tc>
          <w:tcPr>
            <w:tcW w:w="581" w:type="pct"/>
            <w:noWrap/>
          </w:tcPr>
          <w:p w14:paraId="34EFE6A9"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9321.00 </w:t>
            </w:r>
          </w:p>
        </w:tc>
        <w:tc>
          <w:tcPr>
            <w:tcW w:w="673" w:type="pct"/>
            <w:noWrap/>
          </w:tcPr>
          <w:p w14:paraId="7270A580"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303337.71 </w:t>
            </w:r>
          </w:p>
        </w:tc>
        <w:tc>
          <w:tcPr>
            <w:tcW w:w="673" w:type="pct"/>
            <w:noWrap/>
          </w:tcPr>
          <w:p w14:paraId="668A23F9"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32.54 </w:t>
            </w:r>
          </w:p>
        </w:tc>
        <w:tc>
          <w:tcPr>
            <w:tcW w:w="581" w:type="pct"/>
            <w:noWrap/>
          </w:tcPr>
          <w:p w14:paraId="5C92E6B1"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106.21 </w:t>
            </w:r>
          </w:p>
        </w:tc>
        <w:tc>
          <w:tcPr>
            <w:tcW w:w="581" w:type="pct"/>
            <w:noWrap/>
          </w:tcPr>
          <w:p w14:paraId="0AA8E8F9"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49.22 </w:t>
            </w:r>
          </w:p>
        </w:tc>
        <w:tc>
          <w:tcPr>
            <w:tcW w:w="669" w:type="pct"/>
            <w:noWrap/>
          </w:tcPr>
          <w:p w14:paraId="0CFE55AD"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989961.39 </w:t>
            </w:r>
          </w:p>
        </w:tc>
        <w:tc>
          <w:tcPr>
            <w:tcW w:w="669" w:type="pct"/>
            <w:noWrap/>
          </w:tcPr>
          <w:p w14:paraId="142990B0"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458814.56 </w:t>
            </w:r>
          </w:p>
        </w:tc>
      </w:tr>
      <w:tr w:rsidR="008E3CF6" w14:paraId="106A058C" w14:textId="77777777" w:rsidTr="008E3CF6">
        <w:trPr>
          <w:trHeight w:val="320"/>
        </w:trPr>
        <w:tc>
          <w:tcPr>
            <w:tcW w:w="572" w:type="pct"/>
            <w:noWrap/>
          </w:tcPr>
          <w:p w14:paraId="393529A1"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2019/12/31</w:t>
            </w:r>
          </w:p>
        </w:tc>
        <w:tc>
          <w:tcPr>
            <w:tcW w:w="581" w:type="pct"/>
            <w:noWrap/>
          </w:tcPr>
          <w:p w14:paraId="478AD3CA"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9409.00 </w:t>
            </w:r>
          </w:p>
        </w:tc>
        <w:tc>
          <w:tcPr>
            <w:tcW w:w="673" w:type="pct"/>
            <w:noWrap/>
          </w:tcPr>
          <w:p w14:paraId="33EBBF1B"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499353.29 </w:t>
            </w:r>
          </w:p>
        </w:tc>
        <w:tc>
          <w:tcPr>
            <w:tcW w:w="673" w:type="pct"/>
            <w:noWrap/>
          </w:tcPr>
          <w:p w14:paraId="760F36A9"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53.07 </w:t>
            </w:r>
          </w:p>
        </w:tc>
        <w:tc>
          <w:tcPr>
            <w:tcW w:w="581" w:type="pct"/>
            <w:noWrap/>
          </w:tcPr>
          <w:p w14:paraId="40B0F904"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145.53 </w:t>
            </w:r>
          </w:p>
        </w:tc>
        <w:tc>
          <w:tcPr>
            <w:tcW w:w="581" w:type="pct"/>
            <w:noWrap/>
          </w:tcPr>
          <w:p w14:paraId="604DDF99"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58.77 </w:t>
            </w:r>
          </w:p>
        </w:tc>
        <w:tc>
          <w:tcPr>
            <w:tcW w:w="669" w:type="pct"/>
            <w:noWrap/>
          </w:tcPr>
          <w:p w14:paraId="2687E5EC"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1369318.78 </w:t>
            </w:r>
          </w:p>
        </w:tc>
        <w:tc>
          <w:tcPr>
            <w:tcW w:w="669" w:type="pct"/>
            <w:noWrap/>
          </w:tcPr>
          <w:p w14:paraId="468C5372"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552964.84 </w:t>
            </w:r>
          </w:p>
        </w:tc>
      </w:tr>
      <w:tr w:rsidR="008E3CF6" w14:paraId="1481FC9A" w14:textId="77777777" w:rsidTr="008E3CF6">
        <w:trPr>
          <w:trHeight w:val="320"/>
        </w:trPr>
        <w:tc>
          <w:tcPr>
            <w:tcW w:w="572" w:type="pct"/>
            <w:noWrap/>
          </w:tcPr>
          <w:p w14:paraId="4E638A20"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2019/6/30</w:t>
            </w:r>
          </w:p>
        </w:tc>
        <w:tc>
          <w:tcPr>
            <w:tcW w:w="581" w:type="pct"/>
            <w:noWrap/>
          </w:tcPr>
          <w:p w14:paraId="5BB6C54A"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9185.00 </w:t>
            </w:r>
          </w:p>
        </w:tc>
        <w:tc>
          <w:tcPr>
            <w:tcW w:w="673" w:type="pct"/>
            <w:noWrap/>
          </w:tcPr>
          <w:p w14:paraId="0DBB95A8"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228464.50 </w:t>
            </w:r>
          </w:p>
        </w:tc>
        <w:tc>
          <w:tcPr>
            <w:tcW w:w="673" w:type="pct"/>
            <w:noWrap/>
          </w:tcPr>
          <w:p w14:paraId="7069057A"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24.87 </w:t>
            </w:r>
          </w:p>
        </w:tc>
        <w:tc>
          <w:tcPr>
            <w:tcW w:w="581" w:type="pct"/>
            <w:noWrap/>
          </w:tcPr>
          <w:p w14:paraId="0804030C"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64.30 </w:t>
            </w:r>
          </w:p>
        </w:tc>
        <w:tc>
          <w:tcPr>
            <w:tcW w:w="581" w:type="pct"/>
            <w:noWrap/>
          </w:tcPr>
          <w:p w14:paraId="1CF5A23A"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25.50 </w:t>
            </w:r>
          </w:p>
        </w:tc>
        <w:tc>
          <w:tcPr>
            <w:tcW w:w="669" w:type="pct"/>
            <w:noWrap/>
          </w:tcPr>
          <w:p w14:paraId="165D4DC2"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590556.20 </w:t>
            </w:r>
          </w:p>
        </w:tc>
        <w:tc>
          <w:tcPr>
            <w:tcW w:w="669" w:type="pct"/>
            <w:noWrap/>
          </w:tcPr>
          <w:p w14:paraId="147CD848"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234192.69 </w:t>
            </w:r>
          </w:p>
        </w:tc>
      </w:tr>
      <w:tr w:rsidR="008E3CF6" w14:paraId="3BBABCFE" w14:textId="77777777" w:rsidTr="008E3CF6">
        <w:trPr>
          <w:trHeight w:val="320"/>
        </w:trPr>
        <w:tc>
          <w:tcPr>
            <w:tcW w:w="572" w:type="pct"/>
            <w:noWrap/>
          </w:tcPr>
          <w:p w14:paraId="59C46D7F"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2018/12/31</w:t>
            </w:r>
          </w:p>
        </w:tc>
        <w:tc>
          <w:tcPr>
            <w:tcW w:w="581" w:type="pct"/>
            <w:noWrap/>
          </w:tcPr>
          <w:p w14:paraId="5FA97AE6"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9594.00 </w:t>
            </w:r>
          </w:p>
        </w:tc>
        <w:tc>
          <w:tcPr>
            <w:tcW w:w="673" w:type="pct"/>
            <w:noWrap/>
          </w:tcPr>
          <w:p w14:paraId="03DCBAA0"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422308.39 </w:t>
            </w:r>
          </w:p>
        </w:tc>
        <w:tc>
          <w:tcPr>
            <w:tcW w:w="673" w:type="pct"/>
            <w:noWrap/>
          </w:tcPr>
          <w:p w14:paraId="45F04346"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44.02 </w:t>
            </w:r>
          </w:p>
        </w:tc>
        <w:tc>
          <w:tcPr>
            <w:tcW w:w="581" w:type="pct"/>
            <w:noWrap/>
          </w:tcPr>
          <w:p w14:paraId="2D51A248"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113.69 </w:t>
            </w:r>
          </w:p>
        </w:tc>
        <w:tc>
          <w:tcPr>
            <w:tcW w:w="581" w:type="pct"/>
            <w:noWrap/>
          </w:tcPr>
          <w:p w14:paraId="2FCB736F"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32.35 </w:t>
            </w:r>
          </w:p>
        </w:tc>
        <w:tc>
          <w:tcPr>
            <w:tcW w:w="669" w:type="pct"/>
            <w:noWrap/>
          </w:tcPr>
          <w:p w14:paraId="2B18238C"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1090716.68 </w:t>
            </w:r>
          </w:p>
        </w:tc>
        <w:tc>
          <w:tcPr>
            <w:tcW w:w="669" w:type="pct"/>
            <w:noWrap/>
          </w:tcPr>
          <w:p w14:paraId="58186A81"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310342.77 </w:t>
            </w:r>
          </w:p>
        </w:tc>
      </w:tr>
      <w:tr w:rsidR="008E3CF6" w14:paraId="4B02E46D" w14:textId="77777777" w:rsidTr="008E3CF6">
        <w:trPr>
          <w:trHeight w:val="320"/>
        </w:trPr>
        <w:tc>
          <w:tcPr>
            <w:tcW w:w="572" w:type="pct"/>
            <w:noWrap/>
          </w:tcPr>
          <w:p w14:paraId="05F125DB"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2018/6/30</w:t>
            </w:r>
          </w:p>
        </w:tc>
        <w:tc>
          <w:tcPr>
            <w:tcW w:w="581" w:type="pct"/>
            <w:noWrap/>
          </w:tcPr>
          <w:p w14:paraId="0F460446"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9718.00 </w:t>
            </w:r>
          </w:p>
        </w:tc>
        <w:tc>
          <w:tcPr>
            <w:tcW w:w="673" w:type="pct"/>
            <w:noWrap/>
          </w:tcPr>
          <w:p w14:paraId="0C1EB05F"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208792.01 </w:t>
            </w:r>
          </w:p>
        </w:tc>
        <w:tc>
          <w:tcPr>
            <w:tcW w:w="673" w:type="pct"/>
            <w:noWrap/>
          </w:tcPr>
          <w:p w14:paraId="1060F62B"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21.49 </w:t>
            </w:r>
          </w:p>
        </w:tc>
        <w:tc>
          <w:tcPr>
            <w:tcW w:w="581" w:type="pct"/>
            <w:noWrap/>
          </w:tcPr>
          <w:p w14:paraId="72D0984C"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54.16 </w:t>
            </w:r>
          </w:p>
        </w:tc>
        <w:tc>
          <w:tcPr>
            <w:tcW w:w="581" w:type="pct"/>
            <w:noWrap/>
          </w:tcPr>
          <w:p w14:paraId="476FA328"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17.56 </w:t>
            </w:r>
          </w:p>
        </w:tc>
        <w:tc>
          <w:tcPr>
            <w:tcW w:w="669" w:type="pct"/>
            <w:noWrap/>
          </w:tcPr>
          <w:p w14:paraId="20D2FFA3"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526280.74 </w:t>
            </w:r>
          </w:p>
        </w:tc>
        <w:tc>
          <w:tcPr>
            <w:tcW w:w="669" w:type="pct"/>
            <w:noWrap/>
          </w:tcPr>
          <w:p w14:paraId="59A5DC57"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170639.00 </w:t>
            </w:r>
          </w:p>
        </w:tc>
      </w:tr>
      <w:tr w:rsidR="008E3CF6" w14:paraId="1BD0DA02" w14:textId="77777777" w:rsidTr="008E3CF6">
        <w:trPr>
          <w:trHeight w:val="320"/>
        </w:trPr>
        <w:tc>
          <w:tcPr>
            <w:tcW w:w="572" w:type="pct"/>
            <w:noWrap/>
          </w:tcPr>
          <w:p w14:paraId="4901F5E0"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2017/12/31</w:t>
            </w:r>
          </w:p>
        </w:tc>
        <w:tc>
          <w:tcPr>
            <w:tcW w:w="581" w:type="pct"/>
            <w:noWrap/>
          </w:tcPr>
          <w:p w14:paraId="6B4268C4"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10231.00 </w:t>
            </w:r>
          </w:p>
        </w:tc>
        <w:tc>
          <w:tcPr>
            <w:tcW w:w="673" w:type="pct"/>
            <w:noWrap/>
          </w:tcPr>
          <w:p w14:paraId="6DBA1199"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435241.79 </w:t>
            </w:r>
          </w:p>
        </w:tc>
        <w:tc>
          <w:tcPr>
            <w:tcW w:w="673" w:type="pct"/>
            <w:noWrap/>
          </w:tcPr>
          <w:p w14:paraId="16421817"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42.54 </w:t>
            </w:r>
          </w:p>
        </w:tc>
        <w:tc>
          <w:tcPr>
            <w:tcW w:w="581" w:type="pct"/>
            <w:noWrap/>
          </w:tcPr>
          <w:p w14:paraId="00A2E76D"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110.48 </w:t>
            </w:r>
          </w:p>
        </w:tc>
        <w:tc>
          <w:tcPr>
            <w:tcW w:w="581" w:type="pct"/>
            <w:noWrap/>
          </w:tcPr>
          <w:p w14:paraId="0494F580"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39.70 </w:t>
            </w:r>
          </w:p>
        </w:tc>
        <w:tc>
          <w:tcPr>
            <w:tcW w:w="669" w:type="pct"/>
            <w:noWrap/>
          </w:tcPr>
          <w:p w14:paraId="619AEC1E"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1130325.22 </w:t>
            </w:r>
          </w:p>
        </w:tc>
        <w:tc>
          <w:tcPr>
            <w:tcW w:w="669" w:type="pct"/>
            <w:noWrap/>
          </w:tcPr>
          <w:p w14:paraId="0F611E37"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406164.70 </w:t>
            </w:r>
          </w:p>
        </w:tc>
      </w:tr>
      <w:tr w:rsidR="008E3CF6" w14:paraId="6CFD28F7" w14:textId="77777777" w:rsidTr="008E3CF6">
        <w:trPr>
          <w:trHeight w:val="320"/>
        </w:trPr>
        <w:tc>
          <w:tcPr>
            <w:tcW w:w="572" w:type="pct"/>
            <w:noWrap/>
          </w:tcPr>
          <w:p w14:paraId="364830C8"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2016/1</w:t>
            </w:r>
            <w:r>
              <w:rPr>
                <w:rFonts w:ascii="Times New Roman" w:eastAsia="等线" w:hAnsi="Times New Roman" w:cs="Times New Roman"/>
                <w:color w:val="000000" w:themeColor="text1"/>
                <w:kern w:val="0"/>
                <w:sz w:val="22"/>
                <w:szCs w:val="22"/>
              </w:rPr>
              <w:lastRenderedPageBreak/>
              <w:t>2/31</w:t>
            </w:r>
          </w:p>
        </w:tc>
        <w:tc>
          <w:tcPr>
            <w:tcW w:w="581" w:type="pct"/>
            <w:noWrap/>
          </w:tcPr>
          <w:p w14:paraId="0A842906"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lastRenderedPageBreak/>
              <w:t xml:space="preserve">9611.00 </w:t>
            </w:r>
          </w:p>
        </w:tc>
        <w:tc>
          <w:tcPr>
            <w:tcW w:w="673" w:type="pct"/>
            <w:noWrap/>
          </w:tcPr>
          <w:p w14:paraId="0B267FC8"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456141.12 </w:t>
            </w:r>
          </w:p>
        </w:tc>
        <w:tc>
          <w:tcPr>
            <w:tcW w:w="673" w:type="pct"/>
            <w:noWrap/>
          </w:tcPr>
          <w:p w14:paraId="5F00E2C3"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47.46 </w:t>
            </w:r>
          </w:p>
        </w:tc>
        <w:tc>
          <w:tcPr>
            <w:tcW w:w="581" w:type="pct"/>
            <w:noWrap/>
          </w:tcPr>
          <w:p w14:paraId="40083B24"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137.95 </w:t>
            </w:r>
          </w:p>
        </w:tc>
        <w:tc>
          <w:tcPr>
            <w:tcW w:w="581" w:type="pct"/>
            <w:noWrap/>
          </w:tcPr>
          <w:p w14:paraId="16D1A7ED"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55.28 </w:t>
            </w:r>
          </w:p>
        </w:tc>
        <w:tc>
          <w:tcPr>
            <w:tcW w:w="669" w:type="pct"/>
            <w:noWrap/>
          </w:tcPr>
          <w:p w14:paraId="0423EC65"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1325877.</w:t>
            </w:r>
            <w:r>
              <w:rPr>
                <w:rFonts w:ascii="Times New Roman" w:eastAsia="等线" w:hAnsi="Times New Roman" w:cs="Times New Roman"/>
                <w:color w:val="000000" w:themeColor="text1"/>
                <w:kern w:val="0"/>
                <w:sz w:val="22"/>
                <w:szCs w:val="22"/>
              </w:rPr>
              <w:lastRenderedPageBreak/>
              <w:t xml:space="preserve">04 </w:t>
            </w:r>
          </w:p>
        </w:tc>
        <w:tc>
          <w:tcPr>
            <w:tcW w:w="669" w:type="pct"/>
            <w:noWrap/>
          </w:tcPr>
          <w:p w14:paraId="71308221"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lastRenderedPageBreak/>
              <w:t>5313</w:t>
            </w:r>
            <w:r>
              <w:rPr>
                <w:rFonts w:ascii="Times New Roman" w:eastAsia="等线" w:hAnsi="Times New Roman" w:cs="Times New Roman"/>
                <w:color w:val="000000" w:themeColor="text1"/>
                <w:kern w:val="0"/>
                <w:sz w:val="22"/>
                <w:szCs w:val="22"/>
              </w:rPr>
              <w:lastRenderedPageBreak/>
              <w:t xml:space="preserve">22.24 </w:t>
            </w:r>
          </w:p>
        </w:tc>
      </w:tr>
      <w:tr w:rsidR="008E3CF6" w14:paraId="7AE67CBA" w14:textId="77777777" w:rsidTr="008E3CF6">
        <w:trPr>
          <w:trHeight w:val="320"/>
        </w:trPr>
        <w:tc>
          <w:tcPr>
            <w:tcW w:w="572" w:type="pct"/>
            <w:noWrap/>
          </w:tcPr>
          <w:p w14:paraId="47198B09"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lastRenderedPageBreak/>
              <w:t>2015/12/31</w:t>
            </w:r>
          </w:p>
        </w:tc>
        <w:tc>
          <w:tcPr>
            <w:tcW w:w="581" w:type="pct"/>
            <w:noWrap/>
          </w:tcPr>
          <w:p w14:paraId="39F7A320"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8079.00 </w:t>
            </w:r>
          </w:p>
        </w:tc>
        <w:tc>
          <w:tcPr>
            <w:tcW w:w="673" w:type="pct"/>
            <w:noWrap/>
          </w:tcPr>
          <w:p w14:paraId="6C39C7B5"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491589.92 </w:t>
            </w:r>
          </w:p>
        </w:tc>
        <w:tc>
          <w:tcPr>
            <w:tcW w:w="673" w:type="pct"/>
            <w:noWrap/>
          </w:tcPr>
          <w:p w14:paraId="7FAF56B9"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60.85 </w:t>
            </w:r>
          </w:p>
        </w:tc>
        <w:tc>
          <w:tcPr>
            <w:tcW w:w="581" w:type="pct"/>
            <w:noWrap/>
          </w:tcPr>
          <w:p w14:paraId="049EEDAC"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235.32 </w:t>
            </w:r>
          </w:p>
        </w:tc>
        <w:tc>
          <w:tcPr>
            <w:tcW w:w="581" w:type="pct"/>
            <w:noWrap/>
          </w:tcPr>
          <w:p w14:paraId="601099B4"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107.09 </w:t>
            </w:r>
          </w:p>
        </w:tc>
        <w:tc>
          <w:tcPr>
            <w:tcW w:w="669" w:type="pct"/>
            <w:noWrap/>
          </w:tcPr>
          <w:p w14:paraId="77E56D66"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1901120.85 </w:t>
            </w:r>
          </w:p>
        </w:tc>
        <w:tc>
          <w:tcPr>
            <w:tcW w:w="669" w:type="pct"/>
            <w:noWrap/>
          </w:tcPr>
          <w:p w14:paraId="37A2C82F" w14:textId="77777777" w:rsidR="008E3CF6" w:rsidRDefault="00000000">
            <w:pPr>
              <w:jc w:val="right"/>
              <w:rPr>
                <w:rFonts w:ascii="Times New Roman" w:eastAsia="等线" w:hAnsi="Times New Roman" w:cs="Times New Roman"/>
                <w:color w:val="000000" w:themeColor="text1"/>
                <w:kern w:val="0"/>
                <w:sz w:val="22"/>
                <w:szCs w:val="22"/>
              </w:rPr>
            </w:pPr>
            <w:r>
              <w:rPr>
                <w:rFonts w:ascii="Times New Roman" w:eastAsia="等线" w:hAnsi="Times New Roman" w:cs="Times New Roman"/>
                <w:color w:val="000000" w:themeColor="text1"/>
                <w:kern w:val="0"/>
                <w:sz w:val="22"/>
                <w:szCs w:val="22"/>
              </w:rPr>
              <w:t xml:space="preserve">865185.26 </w:t>
            </w:r>
          </w:p>
        </w:tc>
      </w:tr>
    </w:tbl>
    <w:p w14:paraId="774BDA9C" w14:textId="77777777" w:rsidR="008E3CF6" w:rsidRDefault="008E3CF6">
      <w:pPr>
        <w:spacing w:line="360" w:lineRule="auto"/>
        <w:rPr>
          <w:rFonts w:ascii="Times New Roman" w:hAnsi="Times New Roman" w:cs="Times New Roman"/>
          <w:color w:val="000000" w:themeColor="text1"/>
          <w:sz w:val="22"/>
          <w:szCs w:val="22"/>
          <w:shd w:val="clear" w:color="auto" w:fill="FFFFFF"/>
        </w:rPr>
      </w:pPr>
    </w:p>
    <w:p w14:paraId="340E9A5E" w14:textId="77777777" w:rsidR="008E3CF6" w:rsidRDefault="008E3CF6">
      <w:pPr>
        <w:spacing w:line="360" w:lineRule="auto"/>
        <w:rPr>
          <w:rFonts w:ascii="Times New Roman" w:hAnsi="Times New Roman" w:cs="Times New Roman"/>
          <w:color w:val="000000" w:themeColor="text1"/>
          <w:sz w:val="22"/>
          <w:szCs w:val="22"/>
        </w:rPr>
      </w:pPr>
    </w:p>
    <w:sectPr w:rsidR="008E3CF6">
      <w:footerReference w:type="default" r:id="rId10"/>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AFCBA" w14:textId="77777777" w:rsidR="00EA5D54" w:rsidRDefault="00EA5D54">
      <w:r>
        <w:separator/>
      </w:r>
    </w:p>
  </w:endnote>
  <w:endnote w:type="continuationSeparator" w:id="0">
    <w:p w14:paraId="01EAA822" w14:textId="77777777" w:rsidR="00EA5D54" w:rsidRDefault="00EA5D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Times New Roman Italic">
    <w:panose1 w:val="02020503050405090304"/>
    <w:charset w:val="00"/>
    <w:family w:val="auto"/>
    <w:pitch w:val="default"/>
    <w:sig w:usb0="E0002AEF" w:usb1="C0007841" w:usb2="00000009" w:usb3="00000000" w:csb0="400001FF" w:csb1="FFFF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
      <w:docPartObj>
        <w:docPartGallery w:val="AutoText"/>
      </w:docPartObj>
    </w:sdtPr>
    <w:sdtContent>
      <w:p w14:paraId="76F81984" w14:textId="77777777" w:rsidR="008E3CF6" w:rsidRDefault="00000000">
        <w:pPr>
          <w:pStyle w:val="a5"/>
          <w:framePr w:wrap="auto"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rPr>
          <w:t>1</w:t>
        </w:r>
        <w:r>
          <w:rPr>
            <w:rStyle w:val="a9"/>
          </w:rPr>
          <w:fldChar w:fldCharType="end"/>
        </w:r>
      </w:p>
    </w:sdtContent>
  </w:sdt>
  <w:sdt>
    <w:sdtPr>
      <w:rPr>
        <w:rStyle w:val="a9"/>
      </w:rPr>
      <w:id w:val="1736509614"/>
      <w:docPartObj>
        <w:docPartGallery w:val="AutoText"/>
      </w:docPartObj>
    </w:sdtPr>
    <w:sdtContent>
      <w:p w14:paraId="26F7C16F" w14:textId="77777777" w:rsidR="008E3CF6" w:rsidRDefault="00000000">
        <w:pPr>
          <w:pStyle w:val="a5"/>
          <w:framePr w:wrap="auto"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rPr>
          <w:t>1</w:t>
        </w:r>
        <w:r>
          <w:rPr>
            <w:rStyle w:val="a9"/>
          </w:rPr>
          <w:fldChar w:fldCharType="end"/>
        </w:r>
      </w:p>
    </w:sdtContent>
  </w:sdt>
  <w:p w14:paraId="09C48922" w14:textId="77777777" w:rsidR="008E3CF6" w:rsidRDefault="008E3CF6">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39700049"/>
      <w:docPartObj>
        <w:docPartGallery w:val="AutoText"/>
      </w:docPartObj>
    </w:sdtPr>
    <w:sdtContent>
      <w:p w14:paraId="0FBE4C40" w14:textId="77777777" w:rsidR="008E3CF6" w:rsidRDefault="00000000">
        <w:pPr>
          <w:pStyle w:val="a5"/>
          <w:framePr w:wrap="auto"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rPr>
          <w:t>I</w:t>
        </w:r>
        <w:r>
          <w:rPr>
            <w:rStyle w:val="a9"/>
          </w:rPr>
          <w:fldChar w:fldCharType="end"/>
        </w:r>
      </w:p>
    </w:sdtContent>
  </w:sdt>
  <w:p w14:paraId="127FFE08" w14:textId="77777777" w:rsidR="008E3CF6" w:rsidRDefault="008E3CF6">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8AAEA" w14:textId="77777777" w:rsidR="008E3CF6" w:rsidRDefault="008E3CF6">
    <w:pPr>
      <w:pStyle w:val="a5"/>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480539377"/>
      <w:docPartObj>
        <w:docPartGallery w:val="AutoText"/>
      </w:docPartObj>
    </w:sdtPr>
    <w:sdtContent>
      <w:p w14:paraId="623A264E" w14:textId="77777777" w:rsidR="008E3CF6" w:rsidRDefault="00000000">
        <w:pPr>
          <w:pStyle w:val="a5"/>
          <w:framePr w:wrap="auto"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rPr>
          <w:t>1</w:t>
        </w:r>
        <w:r>
          <w:rPr>
            <w:rStyle w:val="a9"/>
          </w:rPr>
          <w:fldChar w:fldCharType="end"/>
        </w:r>
      </w:p>
    </w:sdtContent>
  </w:sdt>
  <w:p w14:paraId="6BDC6F1A" w14:textId="77777777" w:rsidR="008E3CF6" w:rsidRDefault="008E3CF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130FB" w14:textId="77777777" w:rsidR="00EA5D54" w:rsidRDefault="00EA5D54">
      <w:r>
        <w:separator/>
      </w:r>
    </w:p>
  </w:footnote>
  <w:footnote w:type="continuationSeparator" w:id="0">
    <w:p w14:paraId="432B9873" w14:textId="77777777" w:rsidR="00EA5D54" w:rsidRDefault="00EA5D5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420"/>
  <w:drawingGridVerticalSpacing w:val="156"/>
  <w:noPunctuationKerning/>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7617"/>
    <w:rsid w:val="F9FE92EC"/>
    <w:rsid w:val="00082BAA"/>
    <w:rsid w:val="002472F5"/>
    <w:rsid w:val="002D1A39"/>
    <w:rsid w:val="002E1407"/>
    <w:rsid w:val="00607CA0"/>
    <w:rsid w:val="00631648"/>
    <w:rsid w:val="006E01F0"/>
    <w:rsid w:val="00861536"/>
    <w:rsid w:val="008E3CF6"/>
    <w:rsid w:val="008F040D"/>
    <w:rsid w:val="00905611"/>
    <w:rsid w:val="009A5427"/>
    <w:rsid w:val="009A5D5F"/>
    <w:rsid w:val="009A7D8C"/>
    <w:rsid w:val="00A140FE"/>
    <w:rsid w:val="00CD793A"/>
    <w:rsid w:val="00D3189E"/>
    <w:rsid w:val="00D55F41"/>
    <w:rsid w:val="00D61CBC"/>
    <w:rsid w:val="00DA7617"/>
    <w:rsid w:val="00DC156E"/>
    <w:rsid w:val="00E00347"/>
    <w:rsid w:val="00EA5D54"/>
    <w:rsid w:val="00FA2276"/>
    <w:rsid w:val="00FD6F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13EC5B"/>
  <w15:docId w15:val="{D1EE27EE-1262-47E0-B114-3944B1219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0"/>
    <w:next w:val="2"/>
    <w:link w:val="10"/>
    <w:uiPriority w:val="9"/>
    <w:qFormat/>
    <w:pPr>
      <w:keepNext/>
      <w:keepLines/>
      <w:spacing w:before="220" w:after="210" w:line="578" w:lineRule="auto"/>
    </w:pPr>
    <w:rPr>
      <w:rFonts w:ascii="Times New Roman" w:eastAsia="黑体" w:hAnsi="Times New Roman" w:cs="Times New Roman"/>
      <w:color w:val="000000"/>
      <w:kern w:val="44"/>
      <w:sz w:val="28"/>
      <w:szCs w:val="28"/>
    </w:rPr>
  </w:style>
  <w:style w:type="paragraph" w:styleId="2">
    <w:name w:val="heading 2"/>
    <w:basedOn w:val="a"/>
    <w:next w:val="a"/>
    <w:link w:val="20"/>
    <w:uiPriority w:val="9"/>
    <w:unhideWhenUsed/>
    <w:qFormat/>
    <w:pPr>
      <w:keepNext/>
      <w:keepLines/>
      <w:spacing w:before="260" w:after="260" w:line="416" w:lineRule="auto"/>
      <w:outlineLvl w:val="1"/>
    </w:pPr>
    <w:rPr>
      <w:rFonts w:ascii="Times New Roman" w:eastAsiaTheme="majorEastAsia" w:hAnsi="Times New Roman" w:cs="Times New Roman"/>
      <w:b/>
      <w:bCs/>
      <w:sz w:val="22"/>
      <w:szCs w:val="22"/>
    </w:rPr>
  </w:style>
  <w:style w:type="paragraph" w:styleId="3">
    <w:name w:val="heading 3"/>
    <w:basedOn w:val="a"/>
    <w:next w:val="a"/>
    <w:link w:val="30"/>
    <w:uiPriority w:val="9"/>
    <w:unhideWhenUsed/>
    <w:qFormat/>
    <w:pPr>
      <w:keepNext/>
      <w:keepLines/>
      <w:spacing w:before="260" w:after="260"/>
      <w:outlineLvl w:val="2"/>
    </w:pPr>
    <w:rPr>
      <w:rFonts w:ascii="Times New Roman" w:hAnsi="Times New Roman"/>
      <w:b/>
      <w:sz w:val="24"/>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Title"/>
    <w:basedOn w:val="a"/>
    <w:next w:val="a"/>
    <w:link w:val="a4"/>
    <w:uiPriority w:val="10"/>
    <w:qFormat/>
    <w:pPr>
      <w:spacing w:before="240" w:after="60"/>
      <w:jc w:val="center"/>
      <w:outlineLvl w:val="0"/>
    </w:pPr>
    <w:rPr>
      <w:rFonts w:asciiTheme="majorHAnsi" w:eastAsiaTheme="majorEastAsia" w:hAnsiTheme="majorHAnsi" w:cstheme="majorBidi"/>
      <w:b/>
      <w:bCs/>
      <w:sz w:val="32"/>
      <w:szCs w:val="32"/>
    </w:rPr>
  </w:style>
  <w:style w:type="paragraph" w:styleId="TOC7">
    <w:name w:val="toc 7"/>
    <w:basedOn w:val="a"/>
    <w:next w:val="a"/>
    <w:uiPriority w:val="39"/>
    <w:semiHidden/>
    <w:unhideWhenUsed/>
    <w:pPr>
      <w:ind w:left="1260"/>
      <w:jc w:val="left"/>
    </w:pPr>
    <w:rPr>
      <w:rFonts w:eastAsiaTheme="minorHAnsi"/>
      <w:sz w:val="18"/>
      <w:szCs w:val="18"/>
    </w:rPr>
  </w:style>
  <w:style w:type="paragraph" w:styleId="TOC5">
    <w:name w:val="toc 5"/>
    <w:basedOn w:val="a"/>
    <w:next w:val="a"/>
    <w:uiPriority w:val="39"/>
    <w:semiHidden/>
    <w:unhideWhenUsed/>
    <w:pPr>
      <w:ind w:left="840"/>
      <w:jc w:val="left"/>
    </w:pPr>
    <w:rPr>
      <w:rFonts w:eastAsiaTheme="minorHAnsi"/>
      <w:sz w:val="18"/>
      <w:szCs w:val="18"/>
    </w:rPr>
  </w:style>
  <w:style w:type="paragraph" w:styleId="TOC3">
    <w:name w:val="toc 3"/>
    <w:basedOn w:val="a"/>
    <w:next w:val="a"/>
    <w:uiPriority w:val="39"/>
    <w:semiHidden/>
    <w:unhideWhenUsed/>
    <w:pPr>
      <w:ind w:left="420"/>
      <w:jc w:val="left"/>
    </w:pPr>
    <w:rPr>
      <w:rFonts w:eastAsiaTheme="minorHAnsi"/>
      <w:i/>
      <w:iCs/>
      <w:sz w:val="20"/>
      <w:szCs w:val="20"/>
    </w:rPr>
  </w:style>
  <w:style w:type="paragraph" w:styleId="TOC8">
    <w:name w:val="toc 8"/>
    <w:basedOn w:val="a"/>
    <w:next w:val="a"/>
    <w:uiPriority w:val="39"/>
    <w:semiHidden/>
    <w:unhideWhenUsed/>
    <w:pPr>
      <w:ind w:left="1470"/>
      <w:jc w:val="left"/>
    </w:pPr>
    <w:rPr>
      <w:rFonts w:eastAsiaTheme="minorHAnsi"/>
      <w:sz w:val="18"/>
      <w:szCs w:val="18"/>
    </w:rPr>
  </w:style>
  <w:style w:type="paragraph" w:styleId="a5">
    <w:name w:val="footer"/>
    <w:basedOn w:val="a"/>
    <w:link w:val="a6"/>
    <w:uiPriority w:val="99"/>
    <w:unhideWhenUsed/>
    <w:pPr>
      <w:tabs>
        <w:tab w:val="center" w:pos="4153"/>
        <w:tab w:val="right" w:pos="8306"/>
      </w:tabs>
      <w:snapToGrid w:val="0"/>
      <w:jc w:val="left"/>
    </w:pPr>
    <w:rPr>
      <w:sz w:val="18"/>
      <w:szCs w:val="18"/>
    </w:rPr>
  </w:style>
  <w:style w:type="paragraph" w:styleId="a7">
    <w:name w:val="header"/>
    <w:basedOn w:val="a"/>
    <w:link w:val="a8"/>
    <w:uiPriority w:val="99"/>
    <w:unhideWhenUsed/>
    <w:pPr>
      <w:tabs>
        <w:tab w:val="center" w:pos="4153"/>
        <w:tab w:val="right" w:pos="8306"/>
      </w:tabs>
      <w:snapToGrid w:val="0"/>
      <w:jc w:val="center"/>
    </w:pPr>
    <w:rPr>
      <w:sz w:val="18"/>
      <w:szCs w:val="18"/>
    </w:rPr>
  </w:style>
  <w:style w:type="paragraph" w:styleId="TOC1">
    <w:name w:val="toc 1"/>
    <w:basedOn w:val="a"/>
    <w:next w:val="a"/>
    <w:uiPriority w:val="39"/>
    <w:unhideWhenUsed/>
    <w:pPr>
      <w:spacing w:before="120" w:after="120"/>
      <w:jc w:val="left"/>
    </w:pPr>
    <w:rPr>
      <w:rFonts w:eastAsiaTheme="minorHAnsi"/>
      <w:b/>
      <w:bCs/>
      <w:caps/>
      <w:sz w:val="20"/>
      <w:szCs w:val="20"/>
    </w:rPr>
  </w:style>
  <w:style w:type="paragraph" w:styleId="TOC4">
    <w:name w:val="toc 4"/>
    <w:basedOn w:val="a"/>
    <w:next w:val="a"/>
    <w:uiPriority w:val="39"/>
    <w:semiHidden/>
    <w:unhideWhenUsed/>
    <w:pPr>
      <w:ind w:left="630"/>
      <w:jc w:val="left"/>
    </w:pPr>
    <w:rPr>
      <w:rFonts w:eastAsiaTheme="minorHAnsi"/>
      <w:sz w:val="18"/>
      <w:szCs w:val="18"/>
    </w:rPr>
  </w:style>
  <w:style w:type="paragraph" w:styleId="TOC6">
    <w:name w:val="toc 6"/>
    <w:basedOn w:val="a"/>
    <w:next w:val="a"/>
    <w:uiPriority w:val="39"/>
    <w:semiHidden/>
    <w:unhideWhenUsed/>
    <w:pPr>
      <w:ind w:left="1050"/>
      <w:jc w:val="left"/>
    </w:pPr>
    <w:rPr>
      <w:rFonts w:eastAsiaTheme="minorHAnsi"/>
      <w:sz w:val="18"/>
      <w:szCs w:val="18"/>
    </w:rPr>
  </w:style>
  <w:style w:type="paragraph" w:styleId="TOC2">
    <w:name w:val="toc 2"/>
    <w:basedOn w:val="a"/>
    <w:next w:val="a"/>
    <w:uiPriority w:val="39"/>
    <w:unhideWhenUsed/>
    <w:pPr>
      <w:ind w:left="210"/>
      <w:jc w:val="left"/>
    </w:pPr>
    <w:rPr>
      <w:rFonts w:eastAsiaTheme="minorHAnsi"/>
      <w:smallCaps/>
      <w:sz w:val="20"/>
      <w:szCs w:val="20"/>
    </w:rPr>
  </w:style>
  <w:style w:type="paragraph" w:styleId="TOC9">
    <w:name w:val="toc 9"/>
    <w:basedOn w:val="a"/>
    <w:next w:val="a"/>
    <w:uiPriority w:val="39"/>
    <w:semiHidden/>
    <w:unhideWhenUsed/>
    <w:pPr>
      <w:ind w:left="1680"/>
      <w:jc w:val="left"/>
    </w:pPr>
    <w:rPr>
      <w:rFonts w:eastAsiaTheme="minorHAnsi"/>
      <w:sz w:val="18"/>
      <w:szCs w:val="18"/>
    </w:rPr>
  </w:style>
  <w:style w:type="character" w:styleId="a9">
    <w:name w:val="page number"/>
    <w:basedOn w:val="a1"/>
    <w:uiPriority w:val="99"/>
    <w:semiHidden/>
    <w:unhideWhenUsed/>
  </w:style>
  <w:style w:type="character" w:styleId="aa">
    <w:name w:val="Hyperlink"/>
    <w:basedOn w:val="a1"/>
    <w:uiPriority w:val="99"/>
    <w:unhideWhenUsed/>
    <w:rPr>
      <w:color w:val="0563C1" w:themeColor="hyperlink"/>
      <w:u w:val="single"/>
    </w:rPr>
  </w:style>
  <w:style w:type="character" w:customStyle="1" w:styleId="10">
    <w:name w:val="标题 1 字符"/>
    <w:link w:val="1"/>
    <w:uiPriority w:val="9"/>
    <w:qFormat/>
    <w:rPr>
      <w:rFonts w:ascii="Times New Roman" w:eastAsia="黑体" w:hAnsi="Times New Roman" w:cs="Times New Roman"/>
      <w:b/>
      <w:bCs/>
      <w:color w:val="000000"/>
      <w:kern w:val="44"/>
      <w:sz w:val="28"/>
      <w:szCs w:val="28"/>
    </w:rPr>
  </w:style>
  <w:style w:type="character" w:customStyle="1" w:styleId="a4">
    <w:name w:val="标题 字符"/>
    <w:basedOn w:val="a1"/>
    <w:link w:val="a0"/>
    <w:uiPriority w:val="10"/>
    <w:rPr>
      <w:rFonts w:asciiTheme="majorHAnsi" w:eastAsiaTheme="majorEastAsia" w:hAnsiTheme="majorHAnsi" w:cstheme="majorBidi"/>
      <w:b/>
      <w:bCs/>
      <w:sz w:val="32"/>
      <w:szCs w:val="32"/>
    </w:rPr>
  </w:style>
  <w:style w:type="character" w:customStyle="1" w:styleId="20">
    <w:name w:val="标题 2 字符"/>
    <w:basedOn w:val="a1"/>
    <w:link w:val="2"/>
    <w:uiPriority w:val="9"/>
    <w:rPr>
      <w:rFonts w:ascii="Times New Roman" w:eastAsiaTheme="majorEastAsia" w:hAnsi="Times New Roman" w:cs="Times New Roman"/>
      <w:b/>
      <w:bCs/>
      <w:sz w:val="22"/>
      <w:szCs w:val="22"/>
    </w:rPr>
  </w:style>
  <w:style w:type="table" w:customStyle="1" w:styleId="11">
    <w:name w:val="样式1"/>
    <w:basedOn w:val="a2"/>
    <w:uiPriority w:val="99"/>
    <w:tblPr>
      <w:tblBorders>
        <w:top w:val="single" w:sz="4" w:space="0" w:color="000000" w:themeColor="text1"/>
        <w:bottom w:val="single" w:sz="4" w:space="0" w:color="000000" w:themeColor="text1"/>
      </w:tblBorders>
    </w:tblPr>
    <w:tblStylePr w:type="firstRow">
      <w:tblPr/>
      <w:tcPr>
        <w:tcBorders>
          <w:bottom w:val="single" w:sz="4" w:space="0" w:color="000000" w:themeColor="text1"/>
        </w:tcBorders>
      </w:tcPr>
    </w:tblStylePr>
  </w:style>
  <w:style w:type="table" w:customStyle="1" w:styleId="ab">
    <w:name w:val="三线表"/>
    <w:basedOn w:val="a2"/>
    <w:uiPriority w:val="99"/>
    <w:pPr>
      <w:jc w:val="both"/>
    </w:pPr>
    <w:tblPr>
      <w:tblBorders>
        <w:top w:val="single" w:sz="4" w:space="0" w:color="000000" w:themeColor="text1"/>
        <w:bottom w:val="single" w:sz="4" w:space="0" w:color="000000" w:themeColor="text1"/>
      </w:tblBorders>
    </w:tblPr>
    <w:tcPr>
      <w:vAlign w:val="center"/>
    </w:tcPr>
    <w:tblStylePr w:type="firstRow">
      <w:tblPr/>
      <w:tcPr>
        <w:tcBorders>
          <w:bottom w:val="single" w:sz="4" w:space="0" w:color="000000" w:themeColor="text1"/>
        </w:tcBorders>
      </w:tcPr>
    </w:tblStylePr>
  </w:style>
  <w:style w:type="character" w:customStyle="1" w:styleId="30">
    <w:name w:val="标题 3 字符"/>
    <w:basedOn w:val="a1"/>
    <w:link w:val="3"/>
    <w:uiPriority w:val="9"/>
    <w:rPr>
      <w:rFonts w:ascii="Times New Roman" w:hAnsi="Times New Roman"/>
      <w:b/>
      <w:sz w:val="24"/>
    </w:rPr>
  </w:style>
  <w:style w:type="character" w:customStyle="1" w:styleId="12">
    <w:name w:val="未处理的提及1"/>
    <w:basedOn w:val="a1"/>
    <w:uiPriority w:val="99"/>
    <w:semiHidden/>
    <w:unhideWhenUsed/>
    <w:rPr>
      <w:color w:val="605E5C"/>
      <w:shd w:val="clear" w:color="auto" w:fill="E1DFDD"/>
    </w:rPr>
  </w:style>
  <w:style w:type="character" w:customStyle="1" w:styleId="apple-converted-space">
    <w:name w:val="apple-converted-space"/>
    <w:basedOn w:val="a1"/>
  </w:style>
  <w:style w:type="character" w:customStyle="1" w:styleId="a8">
    <w:name w:val="页眉 字符"/>
    <w:basedOn w:val="a1"/>
    <w:link w:val="a7"/>
    <w:uiPriority w:val="99"/>
    <w:rPr>
      <w:sz w:val="18"/>
      <w:szCs w:val="18"/>
    </w:rPr>
  </w:style>
  <w:style w:type="character" w:customStyle="1" w:styleId="a6">
    <w:name w:val="页脚 字符"/>
    <w:basedOn w:val="a1"/>
    <w:link w:val="a5"/>
    <w:uiPriority w:val="99"/>
    <w:rPr>
      <w:sz w:val="18"/>
      <w:szCs w:val="18"/>
    </w:rPr>
  </w:style>
  <w:style w:type="paragraph" w:customStyle="1" w:styleId="TOC10">
    <w:name w:val="TOC 标题1"/>
    <w:basedOn w:val="1"/>
    <w:next w:val="a"/>
    <w:uiPriority w:val="39"/>
    <w:unhideWhenUsed/>
    <w:qFormat/>
    <w:pPr>
      <w:widowControl/>
      <w:spacing w:before="480" w:after="0" w:line="276" w:lineRule="auto"/>
      <w:jc w:val="left"/>
      <w:outlineLvl w:val="9"/>
    </w:pPr>
    <w:rPr>
      <w:rFonts w:asciiTheme="majorHAnsi" w:eastAsiaTheme="majorEastAsia" w:hAnsiTheme="majorHAnsi" w:cstheme="majorBidi"/>
      <w:color w:val="2F5496" w:themeColor="accent1" w:themeShade="BF"/>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4.xml"/><Relationship Id="rId4" Type="http://schemas.openxmlformats.org/officeDocument/2006/relationships/footnotes" Target="footnotes.xml"/><Relationship Id="rId9" Type="http://schemas.openxmlformats.org/officeDocument/2006/relationships/hyperlink" Target="https://doi.org/10.1016/j.jaccas.2023.102022"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17</Pages>
  <Words>4410</Words>
  <Characters>25138</Characters>
  <Application>Microsoft Office Word</Application>
  <DocSecurity>0</DocSecurity>
  <Lines>209</Lines>
  <Paragraphs>58</Paragraphs>
  <ScaleCrop>false</ScaleCrop>
  <Company/>
  <LinksUpToDate>false</LinksUpToDate>
  <CharactersWithSpaces>29490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老师 芭比</dc:creator>
  <cp:lastModifiedBy>冬雪 黄</cp:lastModifiedBy>
  <cp:revision>3</cp:revision>
  <dcterms:created xsi:type="dcterms:W3CDTF">2023-12-01T19:29:00Z</dcterms:created>
  <dcterms:modified xsi:type="dcterms:W3CDTF">2023-12-01T18:02:00Z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2052-6.3.0.8471</vt:lpwstr>
  </property>
  <property fmtid="{D5CDD505-2E9C-101B-9397-08002B2CF9AE}" pid="3" name="ICV">
    <vt:lpwstr>AAB441E9C2309A432B146A652338DA97_42</vt:lpwstr>
  </property>
</Properties>
</file>