
<file path=[Content_Types].xml><?xml version="1.0" encoding="utf-8"?>
<Types xmlns="http://schemas.openxmlformats.org/package/2006/content-types">
  <Default Extension="tmp"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D71662" w14:textId="599694D0" w:rsidR="00D42F52" w:rsidRPr="00D42F52" w:rsidRDefault="00D42F52" w:rsidP="00D42F52">
      <w:pPr>
        <w:spacing w:line="480" w:lineRule="auto"/>
        <w:jc w:val="center"/>
        <w:rPr>
          <w:rFonts w:asciiTheme="majorHAnsi" w:hAnsiTheme="majorHAnsi" w:cstheme="majorHAnsi"/>
          <w:b/>
          <w:sz w:val="36"/>
        </w:rPr>
      </w:pPr>
      <w:r w:rsidRPr="00D42F52">
        <w:rPr>
          <w:rFonts w:asciiTheme="majorHAnsi" w:hAnsiTheme="majorHAnsi" w:cstheme="majorHAnsi"/>
          <w:b/>
          <w:sz w:val="36"/>
        </w:rPr>
        <w:t>Researching the impact of a carefully designed scheme of work on pupils’ use of misconceptions in Algebra and associated assessment for learning.</w:t>
      </w:r>
    </w:p>
    <w:p w14:paraId="258B1865" w14:textId="64101512" w:rsidR="005116B2" w:rsidRPr="00D42F52" w:rsidRDefault="00444A6E" w:rsidP="00D42F52">
      <w:pPr>
        <w:spacing w:after="0" w:line="480" w:lineRule="auto"/>
        <w:jc w:val="both"/>
        <w:rPr>
          <w:rFonts w:asciiTheme="majorHAnsi" w:eastAsia="Times New Roman" w:hAnsiTheme="majorHAnsi" w:cstheme="majorHAnsi"/>
          <w:b/>
          <w:sz w:val="24"/>
          <w:szCs w:val="24"/>
          <w:lang w:eastAsia="en-GB"/>
        </w:rPr>
      </w:pPr>
      <w:r w:rsidRPr="00D42F52">
        <w:rPr>
          <w:rFonts w:asciiTheme="majorHAnsi" w:eastAsia="Times New Roman" w:hAnsiTheme="majorHAnsi" w:cstheme="majorHAnsi"/>
          <w:b/>
          <w:sz w:val="24"/>
          <w:szCs w:val="24"/>
          <w:lang w:eastAsia="en-GB"/>
        </w:rPr>
        <w:t>INTRODUCTION</w:t>
      </w:r>
    </w:p>
    <w:p w14:paraId="5C43912B" w14:textId="77777777" w:rsidR="00F85182" w:rsidRPr="00D42F52" w:rsidRDefault="00F85182" w:rsidP="00D42F52">
      <w:pPr>
        <w:spacing w:after="0" w:line="480" w:lineRule="auto"/>
        <w:jc w:val="both"/>
        <w:rPr>
          <w:rFonts w:asciiTheme="majorHAnsi" w:hAnsiTheme="majorHAnsi" w:cstheme="majorHAnsi"/>
          <w:sz w:val="24"/>
          <w:szCs w:val="24"/>
        </w:rPr>
      </w:pPr>
    </w:p>
    <w:p w14:paraId="73972773" w14:textId="26CB31D5" w:rsidR="00C43746" w:rsidRPr="00D42F52" w:rsidRDefault="00932CC2" w:rsidP="00D42F52">
      <w:pPr>
        <w:spacing w:after="0" w:line="480" w:lineRule="auto"/>
        <w:jc w:val="both"/>
        <w:rPr>
          <w:rStyle w:val="selectable"/>
          <w:rFonts w:asciiTheme="majorHAnsi" w:hAnsiTheme="majorHAnsi" w:cstheme="majorHAnsi"/>
          <w:sz w:val="24"/>
          <w:szCs w:val="24"/>
        </w:rPr>
      </w:pPr>
      <w:r w:rsidRPr="00D42F52">
        <w:rPr>
          <w:rFonts w:asciiTheme="majorHAnsi" w:hAnsiTheme="majorHAnsi" w:cstheme="majorHAnsi"/>
          <w:sz w:val="24"/>
          <w:szCs w:val="24"/>
        </w:rPr>
        <w:t>This investigation took place at a 11 – 18 Secondary School, s</w:t>
      </w:r>
      <w:r w:rsidR="00C43746" w:rsidRPr="00D42F52">
        <w:rPr>
          <w:rFonts w:asciiTheme="majorHAnsi" w:hAnsiTheme="majorHAnsi" w:cstheme="majorHAnsi"/>
          <w:sz w:val="24"/>
          <w:szCs w:val="24"/>
        </w:rPr>
        <w:t xml:space="preserve">ituated in South West Wales, with a cohort of </w:t>
      </w:r>
      <w:r w:rsidR="009A31F5" w:rsidRPr="00D42F52">
        <w:rPr>
          <w:rFonts w:asciiTheme="majorHAnsi" w:hAnsiTheme="majorHAnsi" w:cstheme="majorHAnsi"/>
          <w:sz w:val="24"/>
          <w:szCs w:val="24"/>
        </w:rPr>
        <w:t>just over 900 pupils</w:t>
      </w:r>
      <w:r w:rsidRPr="00D42F52">
        <w:rPr>
          <w:rFonts w:asciiTheme="majorHAnsi" w:hAnsiTheme="majorHAnsi" w:cstheme="majorHAnsi"/>
          <w:sz w:val="24"/>
          <w:szCs w:val="24"/>
        </w:rPr>
        <w:t xml:space="preserve"> </w:t>
      </w:r>
      <w:r w:rsidRPr="00D42F52">
        <w:rPr>
          <w:rStyle w:val="selectable"/>
          <w:rFonts w:asciiTheme="majorHAnsi" w:hAnsiTheme="majorHAnsi" w:cstheme="majorHAnsi"/>
          <w:sz w:val="24"/>
          <w:szCs w:val="24"/>
        </w:rPr>
        <w:t>(Mylocalschool.wales.gov.uk, 2018).</w:t>
      </w:r>
      <w:r w:rsidR="009A31F5" w:rsidRPr="00D42F52">
        <w:rPr>
          <w:rFonts w:asciiTheme="majorHAnsi" w:hAnsiTheme="majorHAnsi" w:cstheme="majorHAnsi"/>
          <w:sz w:val="24"/>
          <w:szCs w:val="24"/>
        </w:rPr>
        <w:t xml:space="preserve"> </w:t>
      </w:r>
      <w:r w:rsidRPr="00D42F52">
        <w:rPr>
          <w:rFonts w:asciiTheme="majorHAnsi" w:hAnsiTheme="majorHAnsi" w:cstheme="majorHAnsi"/>
          <w:sz w:val="24"/>
          <w:szCs w:val="24"/>
        </w:rPr>
        <w:t xml:space="preserve">Almost </w:t>
      </w:r>
      <w:r w:rsidR="009A31F5" w:rsidRPr="00D42F52">
        <w:rPr>
          <w:rFonts w:asciiTheme="majorHAnsi" w:hAnsiTheme="majorHAnsi" w:cstheme="majorHAnsi"/>
          <w:sz w:val="24"/>
          <w:szCs w:val="24"/>
        </w:rPr>
        <w:t>22% of pupils</w:t>
      </w:r>
      <w:r w:rsidRPr="00D42F52">
        <w:rPr>
          <w:rFonts w:asciiTheme="majorHAnsi" w:hAnsiTheme="majorHAnsi" w:cstheme="majorHAnsi"/>
          <w:sz w:val="24"/>
          <w:szCs w:val="24"/>
        </w:rPr>
        <w:t xml:space="preserve"> are</w:t>
      </w:r>
      <w:r w:rsidR="009A31F5" w:rsidRPr="00D42F52">
        <w:rPr>
          <w:rFonts w:asciiTheme="majorHAnsi" w:hAnsiTheme="majorHAnsi" w:cstheme="majorHAnsi"/>
          <w:sz w:val="24"/>
          <w:szCs w:val="24"/>
        </w:rPr>
        <w:t xml:space="preserve"> eligible for Free School Meals (</w:t>
      </w:r>
      <w:proofErr w:type="spellStart"/>
      <w:r w:rsidR="009A31F5" w:rsidRPr="00D42F52">
        <w:rPr>
          <w:rFonts w:asciiTheme="majorHAnsi" w:hAnsiTheme="majorHAnsi" w:cstheme="majorHAnsi"/>
          <w:sz w:val="24"/>
          <w:szCs w:val="24"/>
        </w:rPr>
        <w:t>eFSM</w:t>
      </w:r>
      <w:proofErr w:type="spellEnd"/>
      <w:r w:rsidR="009A31F5" w:rsidRPr="00D42F52">
        <w:rPr>
          <w:rFonts w:asciiTheme="majorHAnsi" w:hAnsiTheme="majorHAnsi" w:cstheme="majorHAnsi"/>
          <w:sz w:val="24"/>
          <w:szCs w:val="24"/>
        </w:rPr>
        <w:t>) higher than the wales average of 17%</w:t>
      </w:r>
      <w:r w:rsidRPr="00D42F52">
        <w:rPr>
          <w:rFonts w:asciiTheme="majorHAnsi" w:hAnsiTheme="majorHAnsi" w:cstheme="majorHAnsi"/>
          <w:sz w:val="24"/>
          <w:szCs w:val="24"/>
        </w:rPr>
        <w:t xml:space="preserve"> </w:t>
      </w:r>
      <w:r w:rsidRPr="00D42F52">
        <w:rPr>
          <w:rStyle w:val="selectable"/>
          <w:rFonts w:asciiTheme="majorHAnsi" w:hAnsiTheme="majorHAnsi" w:cstheme="majorHAnsi"/>
          <w:sz w:val="24"/>
          <w:szCs w:val="24"/>
        </w:rPr>
        <w:t>(Mylocalschool.wales.gov.uk, 2018. I</w:t>
      </w:r>
      <w:r w:rsidRPr="00D42F52">
        <w:rPr>
          <w:rFonts w:asciiTheme="majorHAnsi" w:hAnsiTheme="majorHAnsi" w:cstheme="majorHAnsi"/>
          <w:sz w:val="24"/>
          <w:szCs w:val="24"/>
        </w:rPr>
        <w:t xml:space="preserve">n addition, 14.4% of pupils require School Action support for Additional Learning Needs (ALN), 3.9% of pupils are categorised as requiring School Action Plus, and a further 6.2% of pupils are statemented, far higher than the Wales average of 2.3% </w:t>
      </w:r>
      <w:r w:rsidR="009A31F5" w:rsidRPr="00D42F52">
        <w:rPr>
          <w:rStyle w:val="selectable"/>
          <w:rFonts w:asciiTheme="majorHAnsi" w:hAnsiTheme="majorHAnsi" w:cstheme="majorHAnsi"/>
          <w:sz w:val="24"/>
          <w:szCs w:val="24"/>
        </w:rPr>
        <w:t>(Mylocalschool.wales.gov.uk, 2018)</w:t>
      </w:r>
      <w:r w:rsidRPr="00D42F52">
        <w:rPr>
          <w:rStyle w:val="selectable"/>
          <w:rFonts w:asciiTheme="majorHAnsi" w:hAnsiTheme="majorHAnsi" w:cstheme="majorHAnsi"/>
          <w:sz w:val="24"/>
          <w:szCs w:val="24"/>
        </w:rPr>
        <w:t xml:space="preserve">. Supported by the Deputy Head of the Maths department, I chose to conduct this investigation with the top set Year 7 class over a 2-week period spanning four lessons. The class has a range of abilities </w:t>
      </w:r>
      <w:r w:rsidR="008F5A91" w:rsidRPr="00D42F52">
        <w:rPr>
          <w:rStyle w:val="selectable"/>
          <w:rFonts w:asciiTheme="majorHAnsi" w:hAnsiTheme="majorHAnsi" w:cstheme="majorHAnsi"/>
          <w:sz w:val="24"/>
          <w:szCs w:val="24"/>
        </w:rPr>
        <w:t xml:space="preserve">(current attainment figures go here) </w:t>
      </w:r>
      <w:r w:rsidRPr="00D42F52">
        <w:rPr>
          <w:rStyle w:val="selectable"/>
          <w:rFonts w:asciiTheme="majorHAnsi" w:hAnsiTheme="majorHAnsi" w:cstheme="majorHAnsi"/>
          <w:sz w:val="24"/>
          <w:szCs w:val="24"/>
        </w:rPr>
        <w:t xml:space="preserve">with </w:t>
      </w:r>
      <w:r w:rsidR="008F5A91" w:rsidRPr="00D42F52">
        <w:rPr>
          <w:rStyle w:val="selectable"/>
          <w:rFonts w:asciiTheme="majorHAnsi" w:hAnsiTheme="majorHAnsi" w:cstheme="majorHAnsi"/>
          <w:sz w:val="24"/>
          <w:szCs w:val="24"/>
        </w:rPr>
        <w:t xml:space="preserve">some additional learning needs including one statemented pupil with the support of a Teaching Assistant (TA). The class are very capable and have progressed well through the set Scheme of Work (SoW) </w:t>
      </w:r>
      <w:r w:rsidR="00524A24" w:rsidRPr="00D42F52">
        <w:rPr>
          <w:rStyle w:val="selectable"/>
          <w:rFonts w:asciiTheme="majorHAnsi" w:hAnsiTheme="majorHAnsi" w:cstheme="majorHAnsi"/>
          <w:sz w:val="24"/>
          <w:szCs w:val="24"/>
        </w:rPr>
        <w:t xml:space="preserve">which aligns with the identified learning strands as per the Curriculum for Wales, Programme of Study for Mathematics, Year 7 (Welsh Government, 2015). For this investigation I have chosen to investigate existing misconceptions within the topic of Algebra. Although broad, I will seek to refine the focus of my investigation throughout this report. To date, the pupils have been exposed to elements of Algebra, grouped into lessons consisting of an introduction to simplifying expressions (collecting like terms), substitution, and expanding brackets. </w:t>
      </w:r>
    </w:p>
    <w:p w14:paraId="60AE27DD" w14:textId="4466382E" w:rsidR="00C43746" w:rsidRPr="00D42F52" w:rsidRDefault="00C43746" w:rsidP="00D42F52">
      <w:pPr>
        <w:spacing w:after="0" w:line="480" w:lineRule="auto"/>
        <w:jc w:val="both"/>
        <w:rPr>
          <w:rFonts w:asciiTheme="majorHAnsi" w:hAnsiTheme="majorHAnsi" w:cstheme="majorHAnsi"/>
          <w:sz w:val="24"/>
          <w:szCs w:val="24"/>
        </w:rPr>
      </w:pPr>
    </w:p>
    <w:p w14:paraId="6B606489" w14:textId="7EF333E0" w:rsidR="00F85182" w:rsidRPr="00D42F52" w:rsidRDefault="00810297" w:rsidP="00D42F52">
      <w:pPr>
        <w:spacing w:after="160" w:line="480" w:lineRule="auto"/>
        <w:jc w:val="both"/>
        <w:rPr>
          <w:rFonts w:asciiTheme="majorHAnsi" w:eastAsia="Times New Roman" w:hAnsiTheme="majorHAnsi" w:cstheme="majorHAnsi"/>
          <w:b/>
          <w:sz w:val="24"/>
          <w:szCs w:val="24"/>
          <w:lang w:eastAsia="en-GB"/>
        </w:rPr>
      </w:pPr>
      <w:r w:rsidRPr="00D42F52">
        <w:rPr>
          <w:rFonts w:asciiTheme="majorHAnsi" w:eastAsia="Times New Roman" w:hAnsiTheme="majorHAnsi" w:cstheme="majorHAnsi"/>
          <w:i/>
          <w:sz w:val="24"/>
          <w:szCs w:val="24"/>
          <w:lang w:eastAsia="en-GB"/>
        </w:rPr>
        <w:br w:type="page"/>
      </w:r>
      <w:r w:rsidR="00444A6E" w:rsidRPr="00D42F52">
        <w:rPr>
          <w:rFonts w:asciiTheme="majorHAnsi" w:eastAsia="Times New Roman" w:hAnsiTheme="majorHAnsi" w:cstheme="majorHAnsi"/>
          <w:b/>
          <w:sz w:val="24"/>
          <w:szCs w:val="24"/>
          <w:lang w:eastAsia="en-GB"/>
        </w:rPr>
        <w:lastRenderedPageBreak/>
        <w:t>LITERATURE REVIEW</w:t>
      </w:r>
    </w:p>
    <w:p w14:paraId="7BCE541E" w14:textId="65BEA606" w:rsidR="00B555E8" w:rsidRPr="00D42F52" w:rsidRDefault="00A9469A"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Learner</w:t>
      </w:r>
      <w:r w:rsidR="00C62512" w:rsidRPr="00D42F52">
        <w:rPr>
          <w:rFonts w:asciiTheme="majorHAnsi" w:hAnsiTheme="majorHAnsi" w:cstheme="majorHAnsi"/>
          <w:sz w:val="24"/>
          <w:szCs w:val="24"/>
        </w:rPr>
        <w:t>s often</w:t>
      </w:r>
      <w:r w:rsidR="00C43746" w:rsidRPr="00D42F52">
        <w:rPr>
          <w:rFonts w:asciiTheme="majorHAnsi" w:hAnsiTheme="majorHAnsi" w:cstheme="majorHAnsi"/>
          <w:sz w:val="24"/>
          <w:szCs w:val="24"/>
        </w:rPr>
        <w:t xml:space="preserve"> </w:t>
      </w:r>
      <w:r w:rsidR="00CA66A4" w:rsidRPr="00D42F52">
        <w:rPr>
          <w:rFonts w:asciiTheme="majorHAnsi" w:hAnsiTheme="majorHAnsi" w:cstheme="majorHAnsi"/>
          <w:sz w:val="24"/>
          <w:szCs w:val="24"/>
        </w:rPr>
        <w:t>hold</w:t>
      </w:r>
      <w:r w:rsidR="00C43746" w:rsidRPr="00D42F52">
        <w:rPr>
          <w:rFonts w:asciiTheme="majorHAnsi" w:hAnsiTheme="majorHAnsi" w:cstheme="majorHAnsi"/>
          <w:sz w:val="24"/>
          <w:szCs w:val="24"/>
        </w:rPr>
        <w:t xml:space="preserve"> misconceptions about learning itself</w:t>
      </w:r>
      <w:r w:rsidR="00CA66A4" w:rsidRPr="00D42F52">
        <w:rPr>
          <w:rFonts w:asciiTheme="majorHAnsi" w:hAnsiTheme="majorHAnsi" w:cstheme="majorHAnsi"/>
          <w:sz w:val="24"/>
          <w:szCs w:val="24"/>
        </w:rPr>
        <w:t xml:space="preserve">; </w:t>
      </w:r>
      <w:r w:rsidR="00C43746" w:rsidRPr="00D42F52">
        <w:rPr>
          <w:rFonts w:asciiTheme="majorHAnsi" w:hAnsiTheme="majorHAnsi" w:cstheme="majorHAnsi"/>
          <w:sz w:val="24"/>
          <w:szCs w:val="24"/>
        </w:rPr>
        <w:t xml:space="preserve">namely that learning is ‘fast’, natural ability </w:t>
      </w:r>
      <w:r w:rsidR="00F3655A" w:rsidRPr="00D42F52">
        <w:rPr>
          <w:rFonts w:asciiTheme="majorHAnsi" w:hAnsiTheme="majorHAnsi" w:cstheme="majorHAnsi"/>
          <w:sz w:val="24"/>
          <w:szCs w:val="24"/>
        </w:rPr>
        <w:t>is superior to</w:t>
      </w:r>
      <w:r w:rsidR="00C43746" w:rsidRPr="00D42F52">
        <w:rPr>
          <w:rFonts w:asciiTheme="majorHAnsi" w:hAnsiTheme="majorHAnsi" w:cstheme="majorHAnsi"/>
          <w:sz w:val="24"/>
          <w:szCs w:val="24"/>
        </w:rPr>
        <w:t xml:space="preserve"> hard work and ever more common, multitasking is just as efficient as focussed working (</w:t>
      </w:r>
      <w:r w:rsidR="00474A8C" w:rsidRPr="00D42F52">
        <w:rPr>
          <w:rFonts w:asciiTheme="majorHAnsi" w:hAnsiTheme="majorHAnsi" w:cstheme="majorHAnsi"/>
          <w:sz w:val="24"/>
          <w:szCs w:val="24"/>
        </w:rPr>
        <w:t xml:space="preserve">Dweck, 2002; </w:t>
      </w:r>
      <w:r w:rsidR="00C43746" w:rsidRPr="00D42F52">
        <w:rPr>
          <w:rFonts w:asciiTheme="majorHAnsi" w:hAnsiTheme="majorHAnsi" w:cstheme="majorHAnsi"/>
          <w:sz w:val="24"/>
          <w:szCs w:val="24"/>
        </w:rPr>
        <w:t>Weimer, 2017).</w:t>
      </w:r>
      <w:r w:rsidR="00474A8C" w:rsidRPr="00D42F52">
        <w:rPr>
          <w:rFonts w:asciiTheme="majorHAnsi" w:hAnsiTheme="majorHAnsi" w:cstheme="majorHAnsi"/>
          <w:sz w:val="24"/>
          <w:szCs w:val="24"/>
        </w:rPr>
        <w:t xml:space="preserve"> </w:t>
      </w:r>
      <w:r w:rsidR="005777D9" w:rsidRPr="00D42F52">
        <w:rPr>
          <w:rFonts w:asciiTheme="majorHAnsi" w:hAnsiTheme="majorHAnsi" w:cstheme="majorHAnsi"/>
          <w:sz w:val="24"/>
          <w:szCs w:val="24"/>
        </w:rPr>
        <w:t xml:space="preserve"> </w:t>
      </w:r>
      <w:r w:rsidR="00AD5F63" w:rsidRPr="00D42F52">
        <w:rPr>
          <w:rFonts w:asciiTheme="majorHAnsi" w:hAnsiTheme="majorHAnsi" w:cstheme="majorHAnsi"/>
          <w:sz w:val="24"/>
          <w:szCs w:val="24"/>
        </w:rPr>
        <w:t>Chew (2010</w:t>
      </w:r>
      <w:r w:rsidR="005777D9" w:rsidRPr="00D42F52">
        <w:rPr>
          <w:rFonts w:asciiTheme="majorHAnsi" w:hAnsiTheme="majorHAnsi" w:cstheme="majorHAnsi"/>
          <w:sz w:val="24"/>
          <w:szCs w:val="24"/>
        </w:rPr>
        <w:t>)</w:t>
      </w:r>
      <w:r w:rsidR="00AD5F63" w:rsidRPr="00D42F52">
        <w:rPr>
          <w:rFonts w:asciiTheme="majorHAnsi" w:hAnsiTheme="majorHAnsi" w:cstheme="majorHAnsi"/>
          <w:sz w:val="24"/>
          <w:szCs w:val="24"/>
        </w:rPr>
        <w:t>,</w:t>
      </w:r>
      <w:r w:rsidR="005777D9" w:rsidRPr="00D42F52">
        <w:rPr>
          <w:rFonts w:asciiTheme="majorHAnsi" w:hAnsiTheme="majorHAnsi" w:cstheme="majorHAnsi"/>
          <w:sz w:val="24"/>
          <w:szCs w:val="24"/>
        </w:rPr>
        <w:t xml:space="preserve"> further </w:t>
      </w:r>
      <w:r w:rsidR="00AD5F63" w:rsidRPr="00D42F52">
        <w:rPr>
          <w:rFonts w:asciiTheme="majorHAnsi" w:hAnsiTheme="majorHAnsi" w:cstheme="majorHAnsi"/>
          <w:sz w:val="24"/>
          <w:szCs w:val="24"/>
        </w:rPr>
        <w:t>summarises</w:t>
      </w:r>
      <w:r w:rsidR="005777D9" w:rsidRPr="00D42F52">
        <w:rPr>
          <w:rFonts w:asciiTheme="majorHAnsi" w:hAnsiTheme="majorHAnsi" w:cstheme="majorHAnsi"/>
          <w:sz w:val="24"/>
          <w:szCs w:val="24"/>
        </w:rPr>
        <w:t xml:space="preserve"> the impact of confidence and self-belief on </w:t>
      </w:r>
      <w:r w:rsidRPr="00D42F52">
        <w:rPr>
          <w:rFonts w:asciiTheme="majorHAnsi" w:hAnsiTheme="majorHAnsi" w:cstheme="majorHAnsi"/>
          <w:sz w:val="24"/>
          <w:szCs w:val="24"/>
        </w:rPr>
        <w:t>learner</w:t>
      </w:r>
      <w:r w:rsidR="005777D9" w:rsidRPr="00D42F52">
        <w:rPr>
          <w:rFonts w:asciiTheme="majorHAnsi" w:hAnsiTheme="majorHAnsi" w:cstheme="majorHAnsi"/>
          <w:sz w:val="24"/>
          <w:szCs w:val="24"/>
        </w:rPr>
        <w:t>s’ attainment and perceived potential, citing the common “I’m bad at Math” response, counteracting this with the more constructive “I have to work especially hard at Math”</w:t>
      </w:r>
      <w:r w:rsidR="00AD5F63" w:rsidRPr="00D42F52">
        <w:rPr>
          <w:rFonts w:asciiTheme="majorHAnsi" w:hAnsiTheme="majorHAnsi" w:cstheme="majorHAnsi"/>
          <w:sz w:val="24"/>
          <w:szCs w:val="24"/>
        </w:rPr>
        <w:t xml:space="preserve"> (Dweck, 2002)</w:t>
      </w:r>
      <w:r w:rsidR="009A0C9C" w:rsidRPr="00D42F52">
        <w:rPr>
          <w:rFonts w:asciiTheme="majorHAnsi" w:hAnsiTheme="majorHAnsi" w:cstheme="majorHAnsi"/>
          <w:sz w:val="24"/>
          <w:szCs w:val="24"/>
        </w:rPr>
        <w:t xml:space="preserve"> an attitude supported by Donaldson (2015) developing a generation of enthusiastic, confident, and engaged learners across Wales</w:t>
      </w:r>
      <w:r w:rsidR="005777D9" w:rsidRPr="00D42F52">
        <w:rPr>
          <w:rFonts w:asciiTheme="majorHAnsi" w:hAnsiTheme="majorHAnsi" w:cstheme="majorHAnsi"/>
          <w:sz w:val="24"/>
          <w:szCs w:val="24"/>
        </w:rPr>
        <w:t xml:space="preserve">. </w:t>
      </w:r>
      <w:r w:rsidR="005209A7" w:rsidRPr="00D42F52">
        <w:rPr>
          <w:rFonts w:asciiTheme="majorHAnsi" w:hAnsiTheme="majorHAnsi" w:cstheme="majorHAnsi"/>
          <w:sz w:val="24"/>
          <w:szCs w:val="24"/>
        </w:rPr>
        <w:t xml:space="preserve"> Chew (2010)</w:t>
      </w:r>
      <w:r w:rsidR="00AD5F63" w:rsidRPr="00D42F52">
        <w:rPr>
          <w:rFonts w:asciiTheme="majorHAnsi" w:hAnsiTheme="majorHAnsi" w:cstheme="majorHAnsi"/>
          <w:sz w:val="24"/>
          <w:szCs w:val="24"/>
        </w:rPr>
        <w:t>, further supported by Weimer (2017</w:t>
      </w:r>
      <w:r w:rsidR="00773D88" w:rsidRPr="00D42F52">
        <w:rPr>
          <w:rFonts w:asciiTheme="majorHAnsi" w:hAnsiTheme="majorHAnsi" w:cstheme="majorHAnsi"/>
          <w:sz w:val="24"/>
          <w:szCs w:val="24"/>
        </w:rPr>
        <w:t>),</w:t>
      </w:r>
      <w:r w:rsidR="005209A7" w:rsidRPr="00D42F52">
        <w:rPr>
          <w:rFonts w:asciiTheme="majorHAnsi" w:hAnsiTheme="majorHAnsi" w:cstheme="majorHAnsi"/>
          <w:sz w:val="24"/>
          <w:szCs w:val="24"/>
        </w:rPr>
        <w:t xml:space="preserve"> discusses the impact of the many misconceptions</w:t>
      </w:r>
      <w:r w:rsidR="00AD5F63" w:rsidRPr="00D42F52">
        <w:rPr>
          <w:rFonts w:asciiTheme="majorHAnsi" w:hAnsiTheme="majorHAnsi" w:cstheme="majorHAnsi"/>
          <w:sz w:val="24"/>
          <w:szCs w:val="24"/>
        </w:rPr>
        <w:t xml:space="preserve"> </w:t>
      </w:r>
      <w:r w:rsidRPr="00D42F52">
        <w:rPr>
          <w:rFonts w:asciiTheme="majorHAnsi" w:hAnsiTheme="majorHAnsi" w:cstheme="majorHAnsi"/>
          <w:sz w:val="24"/>
          <w:szCs w:val="24"/>
        </w:rPr>
        <w:t>learner</w:t>
      </w:r>
      <w:r w:rsidR="00AD5F63" w:rsidRPr="00D42F52">
        <w:rPr>
          <w:rFonts w:asciiTheme="majorHAnsi" w:hAnsiTheme="majorHAnsi" w:cstheme="majorHAnsi"/>
          <w:sz w:val="24"/>
          <w:szCs w:val="24"/>
        </w:rPr>
        <w:t>s harbour in relation to learn</w:t>
      </w:r>
      <w:r w:rsidR="005116B2" w:rsidRPr="00D42F52">
        <w:rPr>
          <w:rFonts w:asciiTheme="majorHAnsi" w:hAnsiTheme="majorHAnsi" w:cstheme="majorHAnsi"/>
          <w:sz w:val="24"/>
          <w:szCs w:val="24"/>
        </w:rPr>
        <w:t xml:space="preserve">ers </w:t>
      </w:r>
      <w:r w:rsidR="00AD5F63" w:rsidRPr="00D42F52">
        <w:rPr>
          <w:rFonts w:asciiTheme="majorHAnsi" w:hAnsiTheme="majorHAnsi" w:cstheme="majorHAnsi"/>
          <w:sz w:val="24"/>
          <w:szCs w:val="24"/>
        </w:rPr>
        <w:t xml:space="preserve">consolidating the link between the </w:t>
      </w:r>
      <w:r w:rsidR="005116B2" w:rsidRPr="00D42F52">
        <w:rPr>
          <w:rFonts w:asciiTheme="majorHAnsi" w:hAnsiTheme="majorHAnsi" w:cstheme="majorHAnsi"/>
          <w:sz w:val="24"/>
          <w:szCs w:val="24"/>
        </w:rPr>
        <w:t>belief</w:t>
      </w:r>
      <w:r w:rsidR="00AD5F63" w:rsidRPr="00D42F52">
        <w:rPr>
          <w:rFonts w:asciiTheme="majorHAnsi" w:hAnsiTheme="majorHAnsi" w:cstheme="majorHAnsi"/>
          <w:sz w:val="24"/>
          <w:szCs w:val="24"/>
        </w:rPr>
        <w:t xml:space="preserve"> that learning is comprised of a series of isolated facts (</w:t>
      </w:r>
      <w:proofErr w:type="spellStart"/>
      <w:r w:rsidR="00AD5F63" w:rsidRPr="00D42F52">
        <w:rPr>
          <w:rFonts w:asciiTheme="majorHAnsi" w:hAnsiTheme="majorHAnsi" w:cstheme="majorHAnsi"/>
          <w:sz w:val="24"/>
          <w:szCs w:val="24"/>
        </w:rPr>
        <w:t>Schommer-Aikins</w:t>
      </w:r>
      <w:proofErr w:type="spellEnd"/>
      <w:r w:rsidR="00AD5F63" w:rsidRPr="00D42F52">
        <w:rPr>
          <w:rFonts w:asciiTheme="majorHAnsi" w:hAnsiTheme="majorHAnsi" w:cstheme="majorHAnsi"/>
          <w:sz w:val="24"/>
          <w:szCs w:val="24"/>
        </w:rPr>
        <w:t xml:space="preserve"> and Easter 2006), compounded by the barrier to learning often caused by multi-tasking (Fernandes &amp; </w:t>
      </w:r>
      <w:proofErr w:type="spellStart"/>
      <w:r w:rsidR="00AD5F63" w:rsidRPr="00D42F52">
        <w:rPr>
          <w:rFonts w:asciiTheme="majorHAnsi" w:hAnsiTheme="majorHAnsi" w:cstheme="majorHAnsi"/>
          <w:sz w:val="24"/>
          <w:szCs w:val="24"/>
        </w:rPr>
        <w:t>Moscovitch</w:t>
      </w:r>
      <w:proofErr w:type="spellEnd"/>
      <w:r w:rsidR="00AD5F63" w:rsidRPr="00D42F52">
        <w:rPr>
          <w:rFonts w:asciiTheme="majorHAnsi" w:hAnsiTheme="majorHAnsi" w:cstheme="majorHAnsi"/>
          <w:sz w:val="24"/>
          <w:szCs w:val="24"/>
        </w:rPr>
        <w:t xml:space="preserve">, 2000). </w:t>
      </w:r>
      <w:proofErr w:type="spellStart"/>
      <w:r w:rsidR="00165429" w:rsidRPr="00D42F52">
        <w:rPr>
          <w:rFonts w:asciiTheme="majorHAnsi" w:hAnsiTheme="majorHAnsi" w:cstheme="majorHAnsi"/>
          <w:sz w:val="24"/>
          <w:szCs w:val="24"/>
        </w:rPr>
        <w:t>Benassi</w:t>
      </w:r>
      <w:proofErr w:type="spellEnd"/>
      <w:r w:rsidR="00165429" w:rsidRPr="00D42F52">
        <w:rPr>
          <w:rFonts w:asciiTheme="majorHAnsi" w:hAnsiTheme="majorHAnsi" w:cstheme="majorHAnsi"/>
          <w:sz w:val="24"/>
          <w:szCs w:val="24"/>
        </w:rPr>
        <w:t xml:space="preserve">, et al. (2014), categorise the </w:t>
      </w:r>
      <w:r w:rsidRPr="00D42F52">
        <w:rPr>
          <w:rFonts w:asciiTheme="majorHAnsi" w:hAnsiTheme="majorHAnsi" w:cstheme="majorHAnsi"/>
          <w:sz w:val="24"/>
          <w:szCs w:val="24"/>
        </w:rPr>
        <w:t>learner</w:t>
      </w:r>
      <w:r w:rsidR="00165429" w:rsidRPr="00D42F52">
        <w:rPr>
          <w:rFonts w:asciiTheme="majorHAnsi" w:hAnsiTheme="majorHAnsi" w:cstheme="majorHAnsi"/>
          <w:sz w:val="24"/>
          <w:szCs w:val="24"/>
        </w:rPr>
        <w:t xml:space="preserve">s’ belief in their own ability as a epistemological belief, citing </w:t>
      </w:r>
      <w:proofErr w:type="spellStart"/>
      <w:r w:rsidR="00165429" w:rsidRPr="00D42F52">
        <w:rPr>
          <w:rFonts w:asciiTheme="majorHAnsi" w:hAnsiTheme="majorHAnsi" w:cstheme="majorHAnsi"/>
          <w:sz w:val="24"/>
          <w:szCs w:val="24"/>
        </w:rPr>
        <w:t>Billett</w:t>
      </w:r>
      <w:proofErr w:type="spellEnd"/>
      <w:r w:rsidR="00165429" w:rsidRPr="00D42F52">
        <w:rPr>
          <w:rFonts w:asciiTheme="majorHAnsi" w:hAnsiTheme="majorHAnsi" w:cstheme="majorHAnsi"/>
          <w:sz w:val="24"/>
          <w:szCs w:val="24"/>
        </w:rPr>
        <w:t xml:space="preserve"> (2009) definition that </w:t>
      </w:r>
      <w:r w:rsidRPr="00D42F52">
        <w:rPr>
          <w:rFonts w:asciiTheme="majorHAnsi" w:hAnsiTheme="majorHAnsi" w:cstheme="majorHAnsi"/>
          <w:sz w:val="24"/>
          <w:szCs w:val="24"/>
        </w:rPr>
        <w:t>learner</w:t>
      </w:r>
      <w:r w:rsidR="00165429" w:rsidRPr="00D42F52">
        <w:rPr>
          <w:rFonts w:asciiTheme="majorHAnsi" w:hAnsiTheme="majorHAnsi" w:cstheme="majorHAnsi"/>
          <w:sz w:val="24"/>
          <w:szCs w:val="24"/>
        </w:rPr>
        <w:t xml:space="preserve">s’ own experiences depict their epistemological stance on learning and ability, however further emphasising the impact of further experience and development opportunities and the ability to reform and develop </w:t>
      </w:r>
      <w:r w:rsidRPr="00D42F52">
        <w:rPr>
          <w:rFonts w:asciiTheme="majorHAnsi" w:hAnsiTheme="majorHAnsi" w:cstheme="majorHAnsi"/>
          <w:sz w:val="24"/>
          <w:szCs w:val="24"/>
        </w:rPr>
        <w:t>learner</w:t>
      </w:r>
      <w:r w:rsidR="00165429" w:rsidRPr="00D42F52">
        <w:rPr>
          <w:rFonts w:asciiTheme="majorHAnsi" w:hAnsiTheme="majorHAnsi" w:cstheme="majorHAnsi"/>
          <w:sz w:val="24"/>
          <w:szCs w:val="24"/>
        </w:rPr>
        <w:t>s’ mindset alongside their ability (</w:t>
      </w:r>
      <w:proofErr w:type="spellStart"/>
      <w:r w:rsidR="00165429" w:rsidRPr="00D42F52">
        <w:rPr>
          <w:rFonts w:asciiTheme="majorHAnsi" w:hAnsiTheme="majorHAnsi" w:cstheme="majorHAnsi"/>
          <w:sz w:val="24"/>
          <w:szCs w:val="24"/>
        </w:rPr>
        <w:t>Schommer</w:t>
      </w:r>
      <w:proofErr w:type="spellEnd"/>
      <w:r w:rsidR="00165429" w:rsidRPr="00D42F52">
        <w:rPr>
          <w:rFonts w:asciiTheme="majorHAnsi" w:hAnsiTheme="majorHAnsi" w:cstheme="majorHAnsi"/>
          <w:sz w:val="24"/>
          <w:szCs w:val="24"/>
        </w:rPr>
        <w:t xml:space="preserve"> 1994; Perry, 1970; </w:t>
      </w:r>
      <w:proofErr w:type="spellStart"/>
      <w:r w:rsidR="00165429" w:rsidRPr="00D42F52">
        <w:rPr>
          <w:rFonts w:asciiTheme="majorHAnsi" w:hAnsiTheme="majorHAnsi" w:cstheme="majorHAnsi"/>
          <w:sz w:val="24"/>
          <w:szCs w:val="24"/>
        </w:rPr>
        <w:t>Belenky</w:t>
      </w:r>
      <w:proofErr w:type="spellEnd"/>
      <w:r w:rsidR="00165429" w:rsidRPr="00D42F52">
        <w:rPr>
          <w:rFonts w:asciiTheme="majorHAnsi" w:hAnsiTheme="majorHAnsi" w:cstheme="majorHAnsi"/>
          <w:sz w:val="24"/>
          <w:szCs w:val="24"/>
        </w:rPr>
        <w:t xml:space="preserve">, </w:t>
      </w:r>
      <w:r w:rsidR="0055010F" w:rsidRPr="00D42F52">
        <w:rPr>
          <w:rFonts w:asciiTheme="majorHAnsi" w:hAnsiTheme="majorHAnsi" w:cstheme="majorHAnsi"/>
          <w:sz w:val="24"/>
          <w:szCs w:val="24"/>
        </w:rPr>
        <w:t>et al.</w:t>
      </w:r>
      <w:r w:rsidR="00165429" w:rsidRPr="00D42F52">
        <w:rPr>
          <w:rFonts w:asciiTheme="majorHAnsi" w:hAnsiTheme="majorHAnsi" w:cstheme="majorHAnsi"/>
          <w:sz w:val="24"/>
          <w:szCs w:val="24"/>
        </w:rPr>
        <w:t xml:space="preserve"> 1986; King &amp; Kitchener, 1994; Baxter </w:t>
      </w:r>
      <w:proofErr w:type="spellStart"/>
      <w:r w:rsidR="00165429" w:rsidRPr="00D42F52">
        <w:rPr>
          <w:rFonts w:asciiTheme="majorHAnsi" w:hAnsiTheme="majorHAnsi" w:cstheme="majorHAnsi"/>
          <w:sz w:val="24"/>
          <w:szCs w:val="24"/>
        </w:rPr>
        <w:t>Magolda</w:t>
      </w:r>
      <w:proofErr w:type="spellEnd"/>
      <w:r w:rsidR="00165429" w:rsidRPr="00D42F52">
        <w:rPr>
          <w:rFonts w:asciiTheme="majorHAnsi" w:hAnsiTheme="majorHAnsi" w:cstheme="majorHAnsi"/>
          <w:sz w:val="24"/>
          <w:szCs w:val="24"/>
        </w:rPr>
        <w:t xml:space="preserve">, 1992, cited in </w:t>
      </w:r>
      <w:proofErr w:type="spellStart"/>
      <w:r w:rsidR="00165429" w:rsidRPr="00D42F52">
        <w:rPr>
          <w:rFonts w:asciiTheme="majorHAnsi" w:hAnsiTheme="majorHAnsi" w:cstheme="majorHAnsi"/>
          <w:sz w:val="24"/>
          <w:szCs w:val="24"/>
        </w:rPr>
        <w:t>Bennassi</w:t>
      </w:r>
      <w:proofErr w:type="spellEnd"/>
      <w:r w:rsidR="00165429" w:rsidRPr="00D42F52">
        <w:rPr>
          <w:rFonts w:asciiTheme="majorHAnsi" w:hAnsiTheme="majorHAnsi" w:cstheme="majorHAnsi"/>
          <w:sz w:val="24"/>
          <w:szCs w:val="24"/>
        </w:rPr>
        <w:t xml:space="preserve">, et al. 2009).  </w:t>
      </w:r>
      <w:r w:rsidR="0055010F" w:rsidRPr="00D42F52">
        <w:rPr>
          <w:rFonts w:asciiTheme="majorHAnsi" w:hAnsiTheme="majorHAnsi" w:cstheme="majorHAnsi"/>
          <w:sz w:val="24"/>
          <w:szCs w:val="24"/>
        </w:rPr>
        <w:t xml:space="preserve">In addition, </w:t>
      </w:r>
      <w:r w:rsidR="00B555E8" w:rsidRPr="00D42F52">
        <w:rPr>
          <w:rFonts w:asciiTheme="majorHAnsi" w:hAnsiTheme="majorHAnsi" w:cstheme="majorHAnsi"/>
          <w:sz w:val="24"/>
          <w:szCs w:val="24"/>
        </w:rPr>
        <w:t xml:space="preserve">Donaldson </w:t>
      </w:r>
      <w:r w:rsidR="009A0C9C" w:rsidRPr="00D42F52">
        <w:rPr>
          <w:rFonts w:asciiTheme="majorHAnsi" w:hAnsiTheme="majorHAnsi" w:cstheme="majorHAnsi"/>
          <w:sz w:val="24"/>
          <w:szCs w:val="24"/>
        </w:rPr>
        <w:t xml:space="preserve">(2015) refutes </w:t>
      </w:r>
      <w:r w:rsidR="00165429" w:rsidRPr="00D42F52">
        <w:rPr>
          <w:rFonts w:asciiTheme="majorHAnsi" w:hAnsiTheme="majorHAnsi" w:cstheme="majorHAnsi"/>
          <w:sz w:val="24"/>
          <w:szCs w:val="24"/>
        </w:rPr>
        <w:t>the</w:t>
      </w:r>
      <w:r w:rsidR="009A0C9C" w:rsidRPr="00D42F52">
        <w:rPr>
          <w:rFonts w:asciiTheme="majorHAnsi" w:hAnsiTheme="majorHAnsi" w:cstheme="majorHAnsi"/>
          <w:sz w:val="24"/>
          <w:szCs w:val="24"/>
        </w:rPr>
        <w:t xml:space="preserve"> </w:t>
      </w:r>
      <w:r w:rsidR="00773D88" w:rsidRPr="00D42F52">
        <w:rPr>
          <w:rFonts w:asciiTheme="majorHAnsi" w:hAnsiTheme="majorHAnsi" w:cstheme="majorHAnsi"/>
          <w:sz w:val="24"/>
          <w:szCs w:val="24"/>
        </w:rPr>
        <w:t>stigma</w:t>
      </w:r>
      <w:r w:rsidR="00165429" w:rsidRPr="00D42F52">
        <w:rPr>
          <w:rFonts w:asciiTheme="majorHAnsi" w:hAnsiTheme="majorHAnsi" w:cstheme="majorHAnsi"/>
          <w:sz w:val="24"/>
          <w:szCs w:val="24"/>
        </w:rPr>
        <w:t xml:space="preserve"> of learning as isolated topics and skills</w:t>
      </w:r>
      <w:r w:rsidR="00773D88" w:rsidRPr="00D42F52">
        <w:rPr>
          <w:rFonts w:asciiTheme="majorHAnsi" w:hAnsiTheme="majorHAnsi" w:cstheme="majorHAnsi"/>
          <w:sz w:val="24"/>
          <w:szCs w:val="24"/>
        </w:rPr>
        <w:t>, acknowledging that learners in Wales must be empowered with the ability to learn confidently, and develop their stills to apply their knowledge and understanding across both academic and life skills.</w:t>
      </w:r>
    </w:p>
    <w:p w14:paraId="13C7A24C" w14:textId="77777777" w:rsidR="0055010F" w:rsidRPr="00D42F52" w:rsidRDefault="0055010F" w:rsidP="00D42F52">
      <w:pPr>
        <w:spacing w:after="0" w:line="480" w:lineRule="auto"/>
        <w:jc w:val="both"/>
        <w:rPr>
          <w:rFonts w:asciiTheme="majorHAnsi" w:hAnsiTheme="majorHAnsi" w:cstheme="majorHAnsi"/>
          <w:sz w:val="24"/>
          <w:szCs w:val="24"/>
        </w:rPr>
      </w:pPr>
    </w:p>
    <w:p w14:paraId="499D196D" w14:textId="1DEF634E" w:rsidR="00C85003" w:rsidRPr="00D42F52" w:rsidRDefault="00C05167"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Swan (</w:t>
      </w:r>
      <w:r w:rsidR="005319EE" w:rsidRPr="00D42F52">
        <w:rPr>
          <w:rFonts w:asciiTheme="majorHAnsi" w:hAnsiTheme="majorHAnsi" w:cstheme="majorHAnsi"/>
          <w:sz w:val="24"/>
          <w:szCs w:val="24"/>
        </w:rPr>
        <w:t xml:space="preserve">2001) </w:t>
      </w:r>
      <w:r w:rsidR="007B7936" w:rsidRPr="00D42F52">
        <w:rPr>
          <w:rFonts w:asciiTheme="majorHAnsi" w:hAnsiTheme="majorHAnsi" w:cstheme="majorHAnsi"/>
          <w:sz w:val="24"/>
          <w:szCs w:val="24"/>
        </w:rPr>
        <w:t>emphasises the importance of</w:t>
      </w:r>
      <w:r w:rsidR="005319EE" w:rsidRPr="00D42F52">
        <w:rPr>
          <w:rFonts w:asciiTheme="majorHAnsi" w:hAnsiTheme="majorHAnsi" w:cstheme="majorHAnsi"/>
          <w:sz w:val="24"/>
          <w:szCs w:val="24"/>
        </w:rPr>
        <w:t xml:space="preserve"> teaching and learning of mathematics to harness understanding and reasoning, specifically teaching the ‘why’ not just the ‘how’ as a fundamental part of addressing misconception. </w:t>
      </w:r>
      <w:r w:rsidR="00007310" w:rsidRPr="00D42F52">
        <w:rPr>
          <w:rFonts w:asciiTheme="majorHAnsi" w:hAnsiTheme="majorHAnsi" w:cstheme="majorHAnsi"/>
          <w:sz w:val="24"/>
          <w:szCs w:val="24"/>
        </w:rPr>
        <w:t xml:space="preserve">Although commonly identified as a limited </w:t>
      </w:r>
      <w:r w:rsidR="00007310" w:rsidRPr="00D42F52">
        <w:rPr>
          <w:rFonts w:asciiTheme="majorHAnsi" w:hAnsiTheme="majorHAnsi" w:cstheme="majorHAnsi"/>
          <w:sz w:val="24"/>
          <w:szCs w:val="24"/>
        </w:rPr>
        <w:lastRenderedPageBreak/>
        <w:t xml:space="preserve">teaching technique, learning by rote can </w:t>
      </w:r>
      <w:r w:rsidR="007B7936" w:rsidRPr="00D42F52">
        <w:rPr>
          <w:rFonts w:asciiTheme="majorHAnsi" w:hAnsiTheme="majorHAnsi" w:cstheme="majorHAnsi"/>
          <w:sz w:val="24"/>
          <w:szCs w:val="24"/>
        </w:rPr>
        <w:t>sometimes b</w:t>
      </w:r>
      <w:r w:rsidR="00007310" w:rsidRPr="00D42F52">
        <w:rPr>
          <w:rFonts w:asciiTheme="majorHAnsi" w:hAnsiTheme="majorHAnsi" w:cstheme="majorHAnsi"/>
          <w:sz w:val="24"/>
          <w:szCs w:val="24"/>
        </w:rPr>
        <w:t xml:space="preserve">e seen in classrooms, </w:t>
      </w:r>
      <w:r w:rsidR="007B7936" w:rsidRPr="00D42F52">
        <w:rPr>
          <w:rFonts w:asciiTheme="majorHAnsi" w:hAnsiTheme="majorHAnsi" w:cstheme="majorHAnsi"/>
          <w:sz w:val="24"/>
          <w:szCs w:val="24"/>
        </w:rPr>
        <w:t xml:space="preserve">although often as a last resort </w:t>
      </w:r>
      <w:r w:rsidR="00007310" w:rsidRPr="00D42F52">
        <w:rPr>
          <w:rFonts w:asciiTheme="majorHAnsi" w:hAnsiTheme="majorHAnsi" w:cstheme="majorHAnsi"/>
          <w:sz w:val="24"/>
          <w:szCs w:val="24"/>
        </w:rPr>
        <w:t>discussed by Anderson et al., (2001)</w:t>
      </w:r>
      <w:r w:rsidR="008D15B7" w:rsidRPr="00D42F52">
        <w:rPr>
          <w:rFonts w:asciiTheme="majorHAnsi" w:hAnsiTheme="majorHAnsi" w:cstheme="majorHAnsi"/>
          <w:sz w:val="24"/>
          <w:szCs w:val="24"/>
        </w:rPr>
        <w:t>.</w:t>
      </w:r>
      <w:r w:rsidR="007B7936" w:rsidRPr="00D42F52">
        <w:rPr>
          <w:rFonts w:asciiTheme="majorHAnsi" w:hAnsiTheme="majorHAnsi" w:cstheme="majorHAnsi"/>
          <w:sz w:val="24"/>
          <w:szCs w:val="24"/>
        </w:rPr>
        <w:t xml:space="preserve"> Swan (2001) agreed with this sentiment and although w</w:t>
      </w:r>
      <w:r w:rsidR="008D15B7" w:rsidRPr="00D42F52">
        <w:rPr>
          <w:rFonts w:asciiTheme="majorHAnsi" w:hAnsiTheme="majorHAnsi" w:cstheme="majorHAnsi"/>
          <w:sz w:val="24"/>
          <w:szCs w:val="24"/>
        </w:rPr>
        <w:t>idely acknowledged that</w:t>
      </w:r>
      <w:r w:rsidR="00007310" w:rsidRPr="00D42F52">
        <w:rPr>
          <w:rFonts w:asciiTheme="majorHAnsi" w:hAnsiTheme="majorHAnsi" w:cstheme="majorHAnsi"/>
          <w:sz w:val="24"/>
          <w:szCs w:val="24"/>
        </w:rPr>
        <w:t xml:space="preserve"> inclusion of more flexible teaching supports understanding</w:t>
      </w:r>
      <w:r w:rsidR="008D15B7" w:rsidRPr="00D42F52">
        <w:rPr>
          <w:rFonts w:asciiTheme="majorHAnsi" w:hAnsiTheme="majorHAnsi" w:cstheme="majorHAnsi"/>
          <w:sz w:val="24"/>
          <w:szCs w:val="24"/>
        </w:rPr>
        <w:t xml:space="preserve"> (</w:t>
      </w:r>
      <w:proofErr w:type="spellStart"/>
      <w:r w:rsidR="008D15B7" w:rsidRPr="00D42F52">
        <w:rPr>
          <w:rFonts w:asciiTheme="majorHAnsi" w:hAnsiTheme="majorHAnsi" w:cstheme="majorHAnsi"/>
          <w:sz w:val="24"/>
          <w:szCs w:val="24"/>
        </w:rPr>
        <w:t>Benassi</w:t>
      </w:r>
      <w:proofErr w:type="spellEnd"/>
      <w:r w:rsidR="008D15B7" w:rsidRPr="00D42F52">
        <w:rPr>
          <w:rFonts w:asciiTheme="majorHAnsi" w:hAnsiTheme="majorHAnsi" w:cstheme="majorHAnsi"/>
          <w:sz w:val="24"/>
          <w:szCs w:val="24"/>
        </w:rPr>
        <w:t>, et al. 20</w:t>
      </w:r>
      <w:r w:rsidR="00042F3F" w:rsidRPr="00D42F52">
        <w:rPr>
          <w:rFonts w:asciiTheme="majorHAnsi" w:hAnsiTheme="majorHAnsi" w:cstheme="majorHAnsi"/>
          <w:sz w:val="24"/>
          <w:szCs w:val="24"/>
        </w:rPr>
        <w:t>14</w:t>
      </w:r>
      <w:r w:rsidR="008D15B7" w:rsidRPr="00D42F52">
        <w:rPr>
          <w:rFonts w:asciiTheme="majorHAnsi" w:hAnsiTheme="majorHAnsi" w:cstheme="majorHAnsi"/>
          <w:sz w:val="24"/>
          <w:szCs w:val="24"/>
        </w:rPr>
        <w:t>; Swan, 2001</w:t>
      </w:r>
      <w:r w:rsidR="007B7936" w:rsidRPr="00D42F52">
        <w:rPr>
          <w:rFonts w:asciiTheme="majorHAnsi" w:hAnsiTheme="majorHAnsi" w:cstheme="majorHAnsi"/>
          <w:sz w:val="24"/>
          <w:szCs w:val="24"/>
        </w:rPr>
        <w:t>) b</w:t>
      </w:r>
      <w:r w:rsidR="00007310" w:rsidRPr="00D42F52">
        <w:rPr>
          <w:rFonts w:asciiTheme="majorHAnsi" w:hAnsiTheme="majorHAnsi" w:cstheme="majorHAnsi"/>
          <w:sz w:val="24"/>
          <w:szCs w:val="24"/>
        </w:rPr>
        <w:t xml:space="preserve">oth teaching styles can also be heavily influenced by external </w:t>
      </w:r>
      <w:r w:rsidR="008D15B7" w:rsidRPr="00D42F52">
        <w:rPr>
          <w:rFonts w:asciiTheme="majorHAnsi" w:hAnsiTheme="majorHAnsi" w:cstheme="majorHAnsi"/>
          <w:sz w:val="24"/>
          <w:szCs w:val="24"/>
        </w:rPr>
        <w:t xml:space="preserve">environmental factors driving </w:t>
      </w:r>
      <w:r w:rsidR="00A9469A" w:rsidRPr="00D42F52">
        <w:rPr>
          <w:rFonts w:asciiTheme="majorHAnsi" w:hAnsiTheme="majorHAnsi" w:cstheme="majorHAnsi"/>
          <w:sz w:val="24"/>
          <w:szCs w:val="24"/>
        </w:rPr>
        <w:t>learner</w:t>
      </w:r>
      <w:r w:rsidR="008D15B7" w:rsidRPr="00D42F52">
        <w:rPr>
          <w:rFonts w:asciiTheme="majorHAnsi" w:hAnsiTheme="majorHAnsi" w:cstheme="majorHAnsi"/>
          <w:sz w:val="24"/>
          <w:szCs w:val="24"/>
        </w:rPr>
        <w:t xml:space="preserve">s towards a higher order cognitive understanding </w:t>
      </w:r>
      <w:r w:rsidR="007B7936" w:rsidRPr="00D42F52">
        <w:rPr>
          <w:rFonts w:asciiTheme="majorHAnsi" w:hAnsiTheme="majorHAnsi" w:cstheme="majorHAnsi"/>
          <w:sz w:val="24"/>
          <w:szCs w:val="24"/>
        </w:rPr>
        <w:t>(</w:t>
      </w:r>
      <w:proofErr w:type="spellStart"/>
      <w:r w:rsidR="007B7936" w:rsidRPr="00D42F52">
        <w:rPr>
          <w:rFonts w:asciiTheme="majorHAnsi" w:hAnsiTheme="majorHAnsi" w:cstheme="majorHAnsi"/>
          <w:sz w:val="24"/>
          <w:szCs w:val="24"/>
        </w:rPr>
        <w:t>Benassi</w:t>
      </w:r>
      <w:proofErr w:type="spellEnd"/>
      <w:r w:rsidR="007B7936" w:rsidRPr="00D42F52">
        <w:rPr>
          <w:rFonts w:asciiTheme="majorHAnsi" w:hAnsiTheme="majorHAnsi" w:cstheme="majorHAnsi"/>
          <w:sz w:val="24"/>
          <w:szCs w:val="24"/>
        </w:rPr>
        <w:t>, et al. 201</w:t>
      </w:r>
      <w:r w:rsidR="00042F3F" w:rsidRPr="00D42F52">
        <w:rPr>
          <w:rFonts w:asciiTheme="majorHAnsi" w:hAnsiTheme="majorHAnsi" w:cstheme="majorHAnsi"/>
          <w:sz w:val="24"/>
          <w:szCs w:val="24"/>
        </w:rPr>
        <w:t>4</w:t>
      </w:r>
      <w:r w:rsidR="007B7936" w:rsidRPr="00D42F52">
        <w:rPr>
          <w:rFonts w:asciiTheme="majorHAnsi" w:hAnsiTheme="majorHAnsi" w:cstheme="majorHAnsi"/>
          <w:sz w:val="24"/>
          <w:szCs w:val="24"/>
        </w:rPr>
        <w:t>). T</w:t>
      </w:r>
      <w:r w:rsidR="008D15B7" w:rsidRPr="00D42F52">
        <w:rPr>
          <w:rFonts w:asciiTheme="majorHAnsi" w:hAnsiTheme="majorHAnsi" w:cstheme="majorHAnsi"/>
          <w:sz w:val="24"/>
          <w:szCs w:val="24"/>
        </w:rPr>
        <w:t xml:space="preserve">hus, this could suggest </w:t>
      </w:r>
      <w:r w:rsidR="007B7936" w:rsidRPr="00D42F52">
        <w:rPr>
          <w:rFonts w:asciiTheme="majorHAnsi" w:hAnsiTheme="majorHAnsi" w:cstheme="majorHAnsi"/>
          <w:sz w:val="24"/>
          <w:szCs w:val="24"/>
        </w:rPr>
        <w:t xml:space="preserve">the classroom environment is a priority in supporting learning and limiting the construction of misconceptions within mathematics (Chew, 2010). </w:t>
      </w:r>
      <w:r w:rsidR="008D15B7" w:rsidRPr="00D42F52">
        <w:rPr>
          <w:rFonts w:asciiTheme="majorHAnsi" w:hAnsiTheme="majorHAnsi" w:cstheme="majorHAnsi"/>
          <w:sz w:val="24"/>
          <w:szCs w:val="24"/>
        </w:rPr>
        <w:t xml:space="preserve"> </w:t>
      </w:r>
      <w:r w:rsidR="00E17ECB" w:rsidRPr="00D42F52">
        <w:rPr>
          <w:rFonts w:asciiTheme="majorHAnsi" w:hAnsiTheme="majorHAnsi" w:cstheme="majorHAnsi"/>
          <w:sz w:val="24"/>
          <w:szCs w:val="24"/>
        </w:rPr>
        <w:t>Whilst many sources link misconceptions in mathematics to epistemological belief which can be developed and improved upon (Billet, 2009; Chew, 2010) the effects of ‘math anxiety’ can be seen in university age students</w:t>
      </w:r>
      <w:r w:rsidR="0055024E" w:rsidRPr="00D42F52">
        <w:rPr>
          <w:rFonts w:asciiTheme="majorHAnsi" w:hAnsiTheme="majorHAnsi" w:cstheme="majorHAnsi"/>
          <w:sz w:val="24"/>
          <w:szCs w:val="24"/>
        </w:rPr>
        <w:t xml:space="preserve"> (Croft, et al. 2007). Referencing the impact of students lack of conceptual understanding of the ‘basics’ including algebra, Croft et al. (2007) observed the priority to address and eradicate misconception by ‘math anxiety’ to support learners throughout education and lifelong learning, a priority in today’s classroom and culture (Donaldson, 2015). </w:t>
      </w:r>
    </w:p>
    <w:p w14:paraId="0F6D348C" w14:textId="77777777" w:rsidR="00C01381" w:rsidRPr="00D42F52" w:rsidRDefault="00C01381" w:rsidP="00D42F52">
      <w:pPr>
        <w:spacing w:after="0" w:line="480" w:lineRule="auto"/>
        <w:jc w:val="both"/>
        <w:rPr>
          <w:rFonts w:asciiTheme="majorHAnsi" w:hAnsiTheme="majorHAnsi" w:cstheme="majorHAnsi"/>
          <w:sz w:val="24"/>
          <w:szCs w:val="24"/>
        </w:rPr>
      </w:pPr>
    </w:p>
    <w:p w14:paraId="07C853BE" w14:textId="2FE77FA5" w:rsidR="00DA3425" w:rsidRPr="00D42F52" w:rsidRDefault="004E3511"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 xml:space="preserve">In short, </w:t>
      </w:r>
      <w:r w:rsidR="00A9469A" w:rsidRPr="00D42F52">
        <w:rPr>
          <w:rFonts w:asciiTheme="majorHAnsi" w:hAnsiTheme="majorHAnsi" w:cstheme="majorHAnsi"/>
          <w:sz w:val="24"/>
          <w:szCs w:val="24"/>
        </w:rPr>
        <w:t>learner</w:t>
      </w:r>
      <w:r w:rsidR="00C85003" w:rsidRPr="00D42F52">
        <w:rPr>
          <w:rFonts w:asciiTheme="majorHAnsi" w:hAnsiTheme="majorHAnsi" w:cstheme="majorHAnsi"/>
          <w:sz w:val="24"/>
          <w:szCs w:val="24"/>
        </w:rPr>
        <w:t xml:space="preserve">s often harbour extensive misconceptions within the mathematics classroom, </w:t>
      </w:r>
      <w:r w:rsidR="00AA044B" w:rsidRPr="00D42F52">
        <w:rPr>
          <w:rFonts w:asciiTheme="majorHAnsi" w:hAnsiTheme="majorHAnsi" w:cstheme="majorHAnsi"/>
          <w:sz w:val="24"/>
          <w:szCs w:val="24"/>
        </w:rPr>
        <w:t>and p</w:t>
      </w:r>
      <w:r w:rsidR="000711C5" w:rsidRPr="00D42F52">
        <w:rPr>
          <w:rFonts w:asciiTheme="majorHAnsi" w:hAnsiTheme="majorHAnsi" w:cstheme="majorHAnsi"/>
          <w:sz w:val="24"/>
          <w:szCs w:val="24"/>
        </w:rPr>
        <w:t>rior research often suggests that misconceptions can be vast (</w:t>
      </w:r>
      <w:r w:rsidR="00AA044B" w:rsidRPr="00D42F52">
        <w:rPr>
          <w:rFonts w:asciiTheme="majorHAnsi" w:hAnsiTheme="majorHAnsi" w:cstheme="majorHAnsi"/>
          <w:sz w:val="24"/>
          <w:szCs w:val="24"/>
        </w:rPr>
        <w:t xml:space="preserve">Booth; et al., 2016; </w:t>
      </w:r>
      <w:proofErr w:type="spellStart"/>
      <w:r w:rsidR="000711C5" w:rsidRPr="00D42F52">
        <w:rPr>
          <w:rFonts w:asciiTheme="majorHAnsi" w:hAnsiTheme="majorHAnsi" w:cstheme="majorHAnsi"/>
          <w:sz w:val="24"/>
          <w:szCs w:val="24"/>
        </w:rPr>
        <w:t>Mulungye</w:t>
      </w:r>
      <w:proofErr w:type="spellEnd"/>
      <w:r w:rsidR="000711C5" w:rsidRPr="00D42F52">
        <w:rPr>
          <w:rFonts w:asciiTheme="majorHAnsi" w:hAnsiTheme="majorHAnsi" w:cstheme="majorHAnsi"/>
          <w:sz w:val="24"/>
          <w:szCs w:val="24"/>
        </w:rPr>
        <w:t>, et al., 2016)</w:t>
      </w:r>
      <w:r w:rsidR="00C01381" w:rsidRPr="00D42F52">
        <w:rPr>
          <w:rFonts w:asciiTheme="majorHAnsi" w:hAnsiTheme="majorHAnsi" w:cstheme="majorHAnsi"/>
          <w:sz w:val="24"/>
          <w:szCs w:val="24"/>
        </w:rPr>
        <w:t xml:space="preserve">. </w:t>
      </w:r>
      <w:r w:rsidRPr="00D42F52">
        <w:rPr>
          <w:rFonts w:asciiTheme="majorHAnsi" w:hAnsiTheme="majorHAnsi" w:cstheme="majorHAnsi"/>
          <w:sz w:val="24"/>
          <w:szCs w:val="24"/>
        </w:rPr>
        <w:t>Mathematical m</w:t>
      </w:r>
      <w:r w:rsidR="00C01381" w:rsidRPr="00D42F52">
        <w:rPr>
          <w:rFonts w:asciiTheme="majorHAnsi" w:hAnsiTheme="majorHAnsi" w:cstheme="majorHAnsi"/>
          <w:sz w:val="24"/>
          <w:szCs w:val="24"/>
        </w:rPr>
        <w:t>isconceptions</w:t>
      </w:r>
      <w:r w:rsidR="000711C5" w:rsidRPr="00D42F52">
        <w:rPr>
          <w:rFonts w:asciiTheme="majorHAnsi" w:hAnsiTheme="majorHAnsi" w:cstheme="majorHAnsi"/>
          <w:sz w:val="24"/>
          <w:szCs w:val="24"/>
        </w:rPr>
        <w:t xml:space="preserve"> </w:t>
      </w:r>
      <w:r w:rsidR="00C01381" w:rsidRPr="00D42F52">
        <w:rPr>
          <w:rFonts w:asciiTheme="majorHAnsi" w:hAnsiTheme="majorHAnsi" w:cstheme="majorHAnsi"/>
          <w:sz w:val="24"/>
          <w:szCs w:val="24"/>
        </w:rPr>
        <w:t>extend</w:t>
      </w:r>
      <w:r w:rsidR="000711C5" w:rsidRPr="00D42F52">
        <w:rPr>
          <w:rFonts w:asciiTheme="majorHAnsi" w:hAnsiTheme="majorHAnsi" w:cstheme="majorHAnsi"/>
          <w:sz w:val="24"/>
          <w:szCs w:val="24"/>
        </w:rPr>
        <w:t xml:space="preserve"> from a simple lack of understanding regarding the Equals sign (=)</w:t>
      </w:r>
      <w:r w:rsidR="00C01381" w:rsidRPr="00D42F52">
        <w:rPr>
          <w:rFonts w:asciiTheme="majorHAnsi" w:hAnsiTheme="majorHAnsi" w:cstheme="majorHAnsi"/>
          <w:sz w:val="24"/>
          <w:szCs w:val="24"/>
        </w:rPr>
        <w:t xml:space="preserve">, </w:t>
      </w:r>
      <w:r w:rsidR="000711C5" w:rsidRPr="00D42F52">
        <w:rPr>
          <w:rFonts w:asciiTheme="majorHAnsi" w:hAnsiTheme="majorHAnsi" w:cstheme="majorHAnsi"/>
          <w:sz w:val="24"/>
          <w:szCs w:val="24"/>
        </w:rPr>
        <w:t xml:space="preserve">to a more </w:t>
      </w:r>
      <w:r w:rsidR="00C01381" w:rsidRPr="00D42F52">
        <w:rPr>
          <w:rFonts w:asciiTheme="majorHAnsi" w:hAnsiTheme="majorHAnsi" w:cstheme="majorHAnsi"/>
          <w:sz w:val="24"/>
          <w:szCs w:val="24"/>
        </w:rPr>
        <w:t xml:space="preserve">specific </w:t>
      </w:r>
      <w:r w:rsidR="000711C5" w:rsidRPr="00D42F52">
        <w:rPr>
          <w:rFonts w:asciiTheme="majorHAnsi" w:hAnsiTheme="majorHAnsi" w:cstheme="majorHAnsi"/>
          <w:sz w:val="24"/>
          <w:szCs w:val="24"/>
        </w:rPr>
        <w:t xml:space="preserve">conceptual misconception with regards to variables, functions and the application of BIDMAS in relation to the topic of Algebra </w:t>
      </w:r>
      <w:r w:rsidR="00C01381" w:rsidRPr="00D42F52">
        <w:rPr>
          <w:rFonts w:asciiTheme="majorHAnsi" w:hAnsiTheme="majorHAnsi" w:cstheme="majorHAnsi"/>
          <w:sz w:val="24"/>
          <w:szCs w:val="24"/>
        </w:rPr>
        <w:t xml:space="preserve">(Booth, et al. 2016), </w:t>
      </w:r>
      <w:r w:rsidR="000711C5" w:rsidRPr="00D42F52">
        <w:rPr>
          <w:rFonts w:asciiTheme="majorHAnsi" w:hAnsiTheme="majorHAnsi" w:cstheme="majorHAnsi"/>
          <w:sz w:val="24"/>
          <w:szCs w:val="24"/>
        </w:rPr>
        <w:t xml:space="preserve">will form the basis of this </w:t>
      </w:r>
      <w:r w:rsidR="00C01381" w:rsidRPr="00D42F52">
        <w:rPr>
          <w:rFonts w:asciiTheme="majorHAnsi" w:hAnsiTheme="majorHAnsi" w:cstheme="majorHAnsi"/>
          <w:sz w:val="24"/>
          <w:szCs w:val="24"/>
        </w:rPr>
        <w:t xml:space="preserve">investigation. </w:t>
      </w:r>
      <w:r w:rsidR="006F0252" w:rsidRPr="00D42F52">
        <w:rPr>
          <w:rFonts w:asciiTheme="majorHAnsi" w:hAnsiTheme="majorHAnsi" w:cstheme="majorHAnsi"/>
          <w:sz w:val="24"/>
          <w:szCs w:val="24"/>
        </w:rPr>
        <w:t xml:space="preserve"> </w:t>
      </w:r>
    </w:p>
    <w:p w14:paraId="2EA6B050" w14:textId="0C196FD7" w:rsidR="004E3511" w:rsidRPr="00D42F52" w:rsidRDefault="004E3511" w:rsidP="00D42F52">
      <w:pPr>
        <w:spacing w:after="0" w:line="480" w:lineRule="auto"/>
        <w:jc w:val="both"/>
        <w:rPr>
          <w:rFonts w:asciiTheme="majorHAnsi" w:hAnsiTheme="majorHAnsi" w:cstheme="majorHAnsi"/>
          <w:sz w:val="24"/>
          <w:szCs w:val="24"/>
        </w:rPr>
      </w:pPr>
    </w:p>
    <w:p w14:paraId="5A360CA7" w14:textId="35752BD5" w:rsidR="00D42F52" w:rsidRPr="00D42F52" w:rsidRDefault="00D42F52"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noProof/>
          <w:sz w:val="24"/>
          <w:szCs w:val="24"/>
        </w:rPr>
        <w:lastRenderedPageBreak/>
        <w:drawing>
          <wp:anchor distT="0" distB="0" distL="114300" distR="114300" simplePos="0" relativeHeight="251604480" behindDoc="0" locked="0" layoutInCell="1" allowOverlap="1" wp14:anchorId="48A6A697" wp14:editId="686046FC">
            <wp:simplePos x="0" y="0"/>
            <wp:positionH relativeFrom="margin">
              <wp:posOffset>179705</wp:posOffset>
            </wp:positionH>
            <wp:positionV relativeFrom="paragraph">
              <wp:posOffset>4934395</wp:posOffset>
            </wp:positionV>
            <wp:extent cx="5314315" cy="1315085"/>
            <wp:effectExtent l="57150" t="57150" r="114935" b="11366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0428F5.tmp"/>
                    <pic:cNvPicPr/>
                  </pic:nvPicPr>
                  <pic:blipFill>
                    <a:blip r:embed="rId8">
                      <a:extLst>
                        <a:ext uri="{28A0092B-C50C-407E-A947-70E740481C1C}">
                          <a14:useLocalDpi xmlns:a14="http://schemas.microsoft.com/office/drawing/2010/main" val="0"/>
                        </a:ext>
                      </a:extLst>
                    </a:blip>
                    <a:stretch>
                      <a:fillRect/>
                    </a:stretch>
                  </pic:blipFill>
                  <pic:spPr>
                    <a:xfrm>
                      <a:off x="0" y="0"/>
                      <a:ext cx="5314315" cy="1315085"/>
                    </a:xfrm>
                    <a:prstGeom prst="rect">
                      <a:avLst/>
                    </a:prstGeom>
                    <a:ln>
                      <a:solidFill>
                        <a:schemeClr val="tx1"/>
                      </a:solidFill>
                    </a:ln>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4E3511" w:rsidRPr="00D42F52">
        <w:rPr>
          <w:rFonts w:asciiTheme="majorHAnsi" w:hAnsiTheme="majorHAnsi" w:cstheme="majorHAnsi"/>
          <w:sz w:val="24"/>
          <w:szCs w:val="24"/>
        </w:rPr>
        <w:t>Algebra has often been</w:t>
      </w:r>
      <w:r w:rsidR="00B22D7B" w:rsidRPr="00D42F52">
        <w:rPr>
          <w:rFonts w:asciiTheme="majorHAnsi" w:hAnsiTheme="majorHAnsi" w:cstheme="majorHAnsi"/>
          <w:sz w:val="24"/>
          <w:szCs w:val="24"/>
        </w:rPr>
        <w:t xml:space="preserve"> regarded </w:t>
      </w:r>
      <w:r w:rsidR="005116B2" w:rsidRPr="00D42F52">
        <w:rPr>
          <w:rFonts w:asciiTheme="majorHAnsi" w:hAnsiTheme="majorHAnsi" w:cstheme="majorHAnsi"/>
          <w:sz w:val="24"/>
          <w:szCs w:val="24"/>
        </w:rPr>
        <w:t>as</w:t>
      </w:r>
      <w:r w:rsidR="00B22D7B" w:rsidRPr="00D42F52">
        <w:rPr>
          <w:rFonts w:asciiTheme="majorHAnsi" w:hAnsiTheme="majorHAnsi" w:cstheme="majorHAnsi"/>
          <w:sz w:val="24"/>
          <w:szCs w:val="24"/>
        </w:rPr>
        <w:t xml:space="preserve"> a challenging topic even for currently high attaining </w:t>
      </w:r>
      <w:r w:rsidR="00A9469A" w:rsidRPr="00D42F52">
        <w:rPr>
          <w:rFonts w:asciiTheme="majorHAnsi" w:hAnsiTheme="majorHAnsi" w:cstheme="majorHAnsi"/>
          <w:sz w:val="24"/>
          <w:szCs w:val="24"/>
        </w:rPr>
        <w:t>learner</w:t>
      </w:r>
      <w:r w:rsidR="00B22D7B" w:rsidRPr="00D42F52">
        <w:rPr>
          <w:rFonts w:asciiTheme="majorHAnsi" w:hAnsiTheme="majorHAnsi" w:cstheme="majorHAnsi"/>
          <w:sz w:val="24"/>
          <w:szCs w:val="24"/>
        </w:rPr>
        <w:t>s (Croft; at al. 2007).</w:t>
      </w:r>
      <w:r w:rsidR="00D261BD" w:rsidRPr="00D42F52">
        <w:rPr>
          <w:rFonts w:asciiTheme="majorHAnsi" w:hAnsiTheme="majorHAnsi" w:cstheme="majorHAnsi"/>
          <w:sz w:val="24"/>
          <w:szCs w:val="24"/>
        </w:rPr>
        <w:t xml:space="preserve"> Booth, </w:t>
      </w:r>
      <w:r w:rsidR="00D261BD" w:rsidRPr="00D42F52">
        <w:rPr>
          <w:rFonts w:asciiTheme="majorHAnsi" w:hAnsiTheme="majorHAnsi" w:cstheme="majorHAnsi"/>
          <w:i/>
          <w:sz w:val="24"/>
          <w:szCs w:val="24"/>
        </w:rPr>
        <w:t>et al</w:t>
      </w:r>
      <w:r w:rsidR="00D261BD" w:rsidRPr="00D42F52">
        <w:rPr>
          <w:rFonts w:asciiTheme="majorHAnsi" w:hAnsiTheme="majorHAnsi" w:cstheme="majorHAnsi"/>
          <w:sz w:val="24"/>
          <w:szCs w:val="24"/>
        </w:rPr>
        <w:t xml:space="preserve">. (2016), investigates the occurrence of misconceptions within the topic of Algebra, specifically as a barrier to progression in the field of mathematics. </w:t>
      </w:r>
      <w:r w:rsidR="00B22D7B" w:rsidRPr="00D42F52">
        <w:rPr>
          <w:rFonts w:asciiTheme="majorHAnsi" w:hAnsiTheme="majorHAnsi" w:cstheme="majorHAnsi"/>
          <w:sz w:val="24"/>
          <w:szCs w:val="24"/>
        </w:rPr>
        <w:t xml:space="preserve"> Before delving into algebra specifically, Booth; et al. (2016) highlight the equals sign as a core misconception within mathematics broadly. </w:t>
      </w:r>
      <w:r w:rsidR="00D261BD" w:rsidRPr="00D42F52">
        <w:rPr>
          <w:rFonts w:asciiTheme="majorHAnsi" w:hAnsiTheme="majorHAnsi" w:cstheme="majorHAnsi"/>
          <w:sz w:val="24"/>
          <w:szCs w:val="24"/>
        </w:rPr>
        <w:t>C</w:t>
      </w:r>
      <w:r w:rsidR="00B22D7B" w:rsidRPr="00D42F52">
        <w:rPr>
          <w:rFonts w:asciiTheme="majorHAnsi" w:hAnsiTheme="majorHAnsi" w:cstheme="majorHAnsi"/>
          <w:sz w:val="24"/>
          <w:szCs w:val="24"/>
        </w:rPr>
        <w:t xml:space="preserve">iting Behr, et al. (1980), research findings held by children which found that many </w:t>
      </w:r>
      <w:r w:rsidR="00A9469A" w:rsidRPr="00D42F52">
        <w:rPr>
          <w:rFonts w:asciiTheme="majorHAnsi" w:hAnsiTheme="majorHAnsi" w:cstheme="majorHAnsi"/>
          <w:sz w:val="24"/>
          <w:szCs w:val="24"/>
        </w:rPr>
        <w:t>learner</w:t>
      </w:r>
      <w:r w:rsidR="00B22D7B" w:rsidRPr="00D42F52">
        <w:rPr>
          <w:rFonts w:asciiTheme="majorHAnsi" w:hAnsiTheme="majorHAnsi" w:cstheme="majorHAnsi"/>
          <w:sz w:val="24"/>
          <w:szCs w:val="24"/>
        </w:rPr>
        <w:t xml:space="preserve">s understand the role of the equals sign to always </w:t>
      </w:r>
      <w:r w:rsidR="00D261BD" w:rsidRPr="00D42F52">
        <w:rPr>
          <w:rFonts w:asciiTheme="majorHAnsi" w:hAnsiTheme="majorHAnsi" w:cstheme="majorHAnsi"/>
          <w:sz w:val="24"/>
          <w:szCs w:val="24"/>
        </w:rPr>
        <w:t>precede</w:t>
      </w:r>
      <w:r w:rsidR="00B22D7B" w:rsidRPr="00D42F52">
        <w:rPr>
          <w:rFonts w:asciiTheme="majorHAnsi" w:hAnsiTheme="majorHAnsi" w:cstheme="majorHAnsi"/>
          <w:sz w:val="24"/>
          <w:szCs w:val="24"/>
        </w:rPr>
        <w:t xml:space="preserve"> the answer and </w:t>
      </w:r>
      <w:r w:rsidR="00D261BD" w:rsidRPr="00D42F52">
        <w:rPr>
          <w:rFonts w:asciiTheme="majorHAnsi" w:hAnsiTheme="majorHAnsi" w:cstheme="majorHAnsi"/>
          <w:sz w:val="24"/>
          <w:szCs w:val="24"/>
        </w:rPr>
        <w:t>not it’s function as a symbol for equivalence</w:t>
      </w:r>
      <w:r w:rsidR="00AD7936" w:rsidRPr="00D42F52">
        <w:rPr>
          <w:rFonts w:asciiTheme="majorHAnsi" w:hAnsiTheme="majorHAnsi" w:cstheme="majorHAnsi"/>
          <w:sz w:val="24"/>
          <w:szCs w:val="24"/>
        </w:rPr>
        <w:t>, often identified a barrier to understanding</w:t>
      </w:r>
      <w:r w:rsidR="00D261BD" w:rsidRPr="00D42F52">
        <w:rPr>
          <w:rFonts w:asciiTheme="majorHAnsi" w:hAnsiTheme="majorHAnsi" w:cstheme="majorHAnsi"/>
          <w:sz w:val="24"/>
          <w:szCs w:val="24"/>
        </w:rPr>
        <w:t xml:space="preserve"> (Booth; et al. 2016; </w:t>
      </w:r>
      <w:proofErr w:type="spellStart"/>
      <w:r w:rsidR="00AD7936" w:rsidRPr="00D42F52">
        <w:rPr>
          <w:rFonts w:asciiTheme="majorHAnsi" w:hAnsiTheme="majorHAnsi" w:cstheme="majorHAnsi"/>
          <w:sz w:val="24"/>
          <w:szCs w:val="24"/>
        </w:rPr>
        <w:t>Egodawatte</w:t>
      </w:r>
      <w:proofErr w:type="spellEnd"/>
      <w:r w:rsidR="00AD7936" w:rsidRPr="00D42F52">
        <w:rPr>
          <w:rFonts w:asciiTheme="majorHAnsi" w:hAnsiTheme="majorHAnsi" w:cstheme="majorHAnsi"/>
          <w:sz w:val="24"/>
          <w:szCs w:val="24"/>
        </w:rPr>
        <w:t xml:space="preserve">, 2011; </w:t>
      </w:r>
      <w:r w:rsidR="00D261BD" w:rsidRPr="00D42F52">
        <w:rPr>
          <w:rFonts w:asciiTheme="majorHAnsi" w:hAnsiTheme="majorHAnsi" w:cstheme="majorHAnsi"/>
          <w:sz w:val="24"/>
          <w:szCs w:val="24"/>
        </w:rPr>
        <w:t>Jones and Prat, 2006).</w:t>
      </w:r>
      <w:r w:rsidR="00AD7936" w:rsidRPr="00D42F52">
        <w:rPr>
          <w:rFonts w:asciiTheme="majorHAnsi" w:hAnsiTheme="majorHAnsi" w:cstheme="majorHAnsi"/>
          <w:sz w:val="24"/>
          <w:szCs w:val="24"/>
        </w:rPr>
        <w:t xml:space="preserve"> </w:t>
      </w:r>
      <w:r w:rsidR="00D261BD" w:rsidRPr="00D42F52">
        <w:rPr>
          <w:rFonts w:asciiTheme="majorHAnsi" w:hAnsiTheme="majorHAnsi" w:cstheme="majorHAnsi"/>
          <w:sz w:val="24"/>
          <w:szCs w:val="24"/>
        </w:rPr>
        <w:t xml:space="preserve"> </w:t>
      </w:r>
      <w:r w:rsidR="000E5C30" w:rsidRPr="00D42F52">
        <w:rPr>
          <w:rFonts w:asciiTheme="majorHAnsi" w:hAnsiTheme="majorHAnsi" w:cstheme="majorHAnsi"/>
          <w:sz w:val="24"/>
          <w:szCs w:val="24"/>
        </w:rPr>
        <w:t xml:space="preserve">Knuth; et al. (2008) further emphasise the importance of a firm understanding of the equals sign and </w:t>
      </w:r>
      <w:r w:rsidR="001B205F" w:rsidRPr="00D42F52">
        <w:rPr>
          <w:rFonts w:asciiTheme="majorHAnsi" w:hAnsiTheme="majorHAnsi" w:cstheme="majorHAnsi"/>
          <w:sz w:val="24"/>
          <w:szCs w:val="24"/>
        </w:rPr>
        <w:t>its</w:t>
      </w:r>
      <w:r w:rsidR="000E5C30" w:rsidRPr="00D42F52">
        <w:rPr>
          <w:rFonts w:asciiTheme="majorHAnsi" w:hAnsiTheme="majorHAnsi" w:cstheme="majorHAnsi"/>
          <w:sz w:val="24"/>
          <w:szCs w:val="24"/>
        </w:rPr>
        <w:t xml:space="preserve"> function, specifically highlighting the impact of the placement of the equals in the number sentence. </w:t>
      </w:r>
      <w:r w:rsidR="00AA044B" w:rsidRPr="00D42F52">
        <w:rPr>
          <w:rFonts w:asciiTheme="majorHAnsi" w:hAnsiTheme="majorHAnsi" w:cstheme="majorHAnsi"/>
          <w:sz w:val="24"/>
          <w:szCs w:val="24"/>
        </w:rPr>
        <w:t xml:space="preserve"> </w:t>
      </w:r>
      <w:r w:rsidR="00AD7936" w:rsidRPr="00D42F52">
        <w:rPr>
          <w:rFonts w:asciiTheme="majorHAnsi" w:hAnsiTheme="majorHAnsi" w:cstheme="majorHAnsi"/>
          <w:sz w:val="24"/>
          <w:szCs w:val="24"/>
        </w:rPr>
        <w:t>For this reason, I have chosen to include a question (</w:t>
      </w:r>
      <w:r w:rsidR="00D57E77" w:rsidRPr="00D42F52">
        <w:rPr>
          <w:rFonts w:asciiTheme="majorHAnsi" w:hAnsiTheme="majorHAnsi" w:cstheme="majorHAnsi"/>
          <w:sz w:val="24"/>
          <w:szCs w:val="24"/>
        </w:rPr>
        <w:t>Figure</w:t>
      </w:r>
      <w:r w:rsidR="005116B2" w:rsidRPr="00D42F52">
        <w:rPr>
          <w:rFonts w:asciiTheme="majorHAnsi" w:hAnsiTheme="majorHAnsi" w:cstheme="majorHAnsi"/>
          <w:sz w:val="24"/>
          <w:szCs w:val="24"/>
        </w:rPr>
        <w:t xml:space="preserve"> </w:t>
      </w:r>
      <w:r w:rsidR="00AD7936" w:rsidRPr="00D42F52">
        <w:rPr>
          <w:rFonts w:asciiTheme="majorHAnsi" w:hAnsiTheme="majorHAnsi" w:cstheme="majorHAnsi"/>
          <w:sz w:val="24"/>
          <w:szCs w:val="24"/>
        </w:rPr>
        <w:t xml:space="preserve">1.1) to help assess </w:t>
      </w:r>
      <w:r w:rsidR="00A9469A" w:rsidRPr="00D42F52">
        <w:rPr>
          <w:rFonts w:asciiTheme="majorHAnsi" w:hAnsiTheme="majorHAnsi" w:cstheme="majorHAnsi"/>
          <w:sz w:val="24"/>
          <w:szCs w:val="24"/>
        </w:rPr>
        <w:t>learner</w:t>
      </w:r>
      <w:r w:rsidR="00AD7936" w:rsidRPr="00D42F52">
        <w:rPr>
          <w:rFonts w:asciiTheme="majorHAnsi" w:hAnsiTheme="majorHAnsi" w:cstheme="majorHAnsi"/>
          <w:sz w:val="24"/>
          <w:szCs w:val="24"/>
        </w:rPr>
        <w:t>’s understanding of the equals sign</w:t>
      </w:r>
      <w:r w:rsidR="000E5C30" w:rsidRPr="00D42F52">
        <w:rPr>
          <w:rFonts w:asciiTheme="majorHAnsi" w:hAnsiTheme="majorHAnsi" w:cstheme="majorHAnsi"/>
          <w:sz w:val="24"/>
          <w:szCs w:val="24"/>
        </w:rPr>
        <w:t xml:space="preserve"> placing the equation or number sentence either side of the equals sign (=). </w:t>
      </w:r>
    </w:p>
    <w:p w14:paraId="6C971B05" w14:textId="4D402E8A" w:rsidR="000E5C30" w:rsidRPr="00D42F52" w:rsidRDefault="00D57E77" w:rsidP="00D42F52">
      <w:pPr>
        <w:spacing w:after="0" w:line="480" w:lineRule="auto"/>
        <w:jc w:val="right"/>
        <w:rPr>
          <w:rFonts w:asciiTheme="majorHAnsi" w:hAnsiTheme="majorHAnsi" w:cstheme="majorHAnsi"/>
          <w:i/>
          <w:sz w:val="24"/>
          <w:szCs w:val="24"/>
        </w:rPr>
      </w:pPr>
      <w:r w:rsidRPr="00D42F52">
        <w:rPr>
          <w:rFonts w:asciiTheme="majorHAnsi" w:hAnsiTheme="majorHAnsi" w:cstheme="majorHAnsi"/>
          <w:i/>
          <w:sz w:val="24"/>
          <w:szCs w:val="24"/>
        </w:rPr>
        <w:t>Figure</w:t>
      </w:r>
      <w:r w:rsidR="005116B2" w:rsidRPr="00D42F52">
        <w:rPr>
          <w:rFonts w:asciiTheme="majorHAnsi" w:hAnsiTheme="majorHAnsi" w:cstheme="majorHAnsi"/>
          <w:i/>
          <w:sz w:val="24"/>
          <w:szCs w:val="24"/>
        </w:rPr>
        <w:t xml:space="preserve"> </w:t>
      </w:r>
      <w:r w:rsidR="000E5C30" w:rsidRPr="00D42F52">
        <w:rPr>
          <w:rFonts w:asciiTheme="majorHAnsi" w:hAnsiTheme="majorHAnsi" w:cstheme="majorHAnsi"/>
          <w:i/>
          <w:sz w:val="24"/>
          <w:szCs w:val="24"/>
        </w:rPr>
        <w:t>1.1 – Question</w:t>
      </w:r>
      <w:r w:rsidR="006301F4" w:rsidRPr="00D42F52">
        <w:rPr>
          <w:rFonts w:asciiTheme="majorHAnsi" w:hAnsiTheme="majorHAnsi" w:cstheme="majorHAnsi"/>
          <w:i/>
          <w:sz w:val="24"/>
          <w:szCs w:val="24"/>
        </w:rPr>
        <w:t xml:space="preserve"> 5. Set</w:t>
      </w:r>
      <w:r w:rsidR="000E5C30" w:rsidRPr="00D42F52">
        <w:rPr>
          <w:rFonts w:asciiTheme="majorHAnsi" w:hAnsiTheme="majorHAnsi" w:cstheme="majorHAnsi"/>
          <w:i/>
          <w:sz w:val="24"/>
          <w:szCs w:val="24"/>
        </w:rPr>
        <w:t xml:space="preserve"> to assess understanding of the meaning of the equals sign</w:t>
      </w:r>
    </w:p>
    <w:p w14:paraId="04E1B27D" w14:textId="77777777" w:rsidR="00D42F52" w:rsidRDefault="00D42F52" w:rsidP="00D42F52">
      <w:pPr>
        <w:spacing w:after="0" w:line="480" w:lineRule="auto"/>
        <w:jc w:val="both"/>
        <w:rPr>
          <w:rFonts w:asciiTheme="majorHAnsi" w:hAnsiTheme="majorHAnsi" w:cstheme="majorHAnsi"/>
          <w:sz w:val="24"/>
          <w:szCs w:val="24"/>
        </w:rPr>
      </w:pPr>
    </w:p>
    <w:p w14:paraId="6CFD8891" w14:textId="6D08C7B1" w:rsidR="000E5C30" w:rsidRPr="00D42F52" w:rsidRDefault="001B205F"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 xml:space="preserve">Further to the understanding and therefore, </w:t>
      </w:r>
      <w:r w:rsidR="006301F4" w:rsidRPr="00D42F52">
        <w:rPr>
          <w:rFonts w:asciiTheme="majorHAnsi" w:hAnsiTheme="majorHAnsi" w:cstheme="majorHAnsi"/>
          <w:sz w:val="24"/>
          <w:szCs w:val="24"/>
        </w:rPr>
        <w:t>interpreting</w:t>
      </w:r>
      <w:r w:rsidRPr="00D42F52">
        <w:rPr>
          <w:rFonts w:asciiTheme="majorHAnsi" w:hAnsiTheme="majorHAnsi" w:cstheme="majorHAnsi"/>
          <w:sz w:val="24"/>
          <w:szCs w:val="24"/>
        </w:rPr>
        <w:t xml:space="preserve"> the equals sign, a common misconception held by </w:t>
      </w:r>
      <w:r w:rsidR="00A9469A" w:rsidRPr="00D42F52">
        <w:rPr>
          <w:rFonts w:asciiTheme="majorHAnsi" w:hAnsiTheme="majorHAnsi" w:cstheme="majorHAnsi"/>
          <w:sz w:val="24"/>
          <w:szCs w:val="24"/>
        </w:rPr>
        <w:t>learner</w:t>
      </w:r>
      <w:r w:rsidRPr="00D42F52">
        <w:rPr>
          <w:rFonts w:asciiTheme="majorHAnsi" w:hAnsiTheme="majorHAnsi" w:cstheme="majorHAnsi"/>
          <w:sz w:val="24"/>
          <w:szCs w:val="24"/>
        </w:rPr>
        <w:t>s</w:t>
      </w:r>
      <w:r w:rsidR="006301F4" w:rsidRPr="00D42F52">
        <w:rPr>
          <w:rFonts w:asciiTheme="majorHAnsi" w:hAnsiTheme="majorHAnsi" w:cstheme="majorHAnsi"/>
          <w:sz w:val="24"/>
          <w:szCs w:val="24"/>
        </w:rPr>
        <w:t xml:space="preserve"> includes the application of the order of operations (Springer, 2016; Welder, 2006). Computational errors</w:t>
      </w:r>
      <w:r w:rsidRPr="00D42F52">
        <w:rPr>
          <w:rFonts w:asciiTheme="majorHAnsi" w:hAnsiTheme="majorHAnsi" w:cstheme="majorHAnsi"/>
          <w:sz w:val="24"/>
          <w:szCs w:val="24"/>
        </w:rPr>
        <w:t xml:space="preserve"> can be attributed to a misconception regarding the fundamental understanding of prior mathematical knowledge which can be aligned to the application of BIDMAS</w:t>
      </w:r>
      <w:r w:rsidR="00A16F3D" w:rsidRPr="00D42F52">
        <w:rPr>
          <w:rFonts w:asciiTheme="majorHAnsi" w:hAnsiTheme="majorHAnsi" w:cstheme="majorHAnsi"/>
          <w:sz w:val="24"/>
          <w:szCs w:val="24"/>
        </w:rPr>
        <w:t xml:space="preserve"> (</w:t>
      </w:r>
      <w:r w:rsidR="006301F4" w:rsidRPr="00D42F52">
        <w:rPr>
          <w:rFonts w:asciiTheme="majorHAnsi" w:hAnsiTheme="majorHAnsi" w:cstheme="majorHAnsi"/>
          <w:sz w:val="24"/>
          <w:szCs w:val="24"/>
        </w:rPr>
        <w:t xml:space="preserve">Booth; et al. 2016; </w:t>
      </w:r>
      <w:r w:rsidR="00A16F3D" w:rsidRPr="00D42F52">
        <w:rPr>
          <w:rFonts w:asciiTheme="majorHAnsi" w:hAnsiTheme="majorHAnsi" w:cstheme="majorHAnsi"/>
          <w:sz w:val="24"/>
          <w:szCs w:val="24"/>
        </w:rPr>
        <w:t xml:space="preserve">Welder, 2006). </w:t>
      </w:r>
      <w:r w:rsidR="00A9469A" w:rsidRPr="00D42F52">
        <w:rPr>
          <w:rFonts w:asciiTheme="majorHAnsi" w:hAnsiTheme="majorHAnsi" w:cstheme="majorHAnsi"/>
          <w:sz w:val="24"/>
          <w:szCs w:val="24"/>
        </w:rPr>
        <w:t>Learner</w:t>
      </w:r>
      <w:r w:rsidR="006301F4" w:rsidRPr="00D42F52">
        <w:rPr>
          <w:rFonts w:asciiTheme="majorHAnsi" w:hAnsiTheme="majorHAnsi" w:cstheme="majorHAnsi"/>
          <w:sz w:val="24"/>
          <w:szCs w:val="24"/>
        </w:rPr>
        <w:t xml:space="preserve">s often neglect to apply their prior knowledge and understanding of the order of operations when posed with an algebraic problem (Gardella, 2009; Kieran, 1979, cited in Springer, 2016). To identify this misconception </w:t>
      </w:r>
      <w:r w:rsidR="00DA20C1" w:rsidRPr="00D42F52">
        <w:rPr>
          <w:rFonts w:asciiTheme="majorHAnsi" w:hAnsiTheme="majorHAnsi" w:cstheme="majorHAnsi"/>
          <w:sz w:val="24"/>
          <w:szCs w:val="24"/>
        </w:rPr>
        <w:lastRenderedPageBreak/>
        <w:t>Question 3</w:t>
      </w:r>
      <w:r w:rsidR="006301F4" w:rsidRPr="00D42F52">
        <w:rPr>
          <w:rFonts w:asciiTheme="majorHAnsi" w:hAnsiTheme="majorHAnsi" w:cstheme="majorHAnsi"/>
          <w:sz w:val="24"/>
          <w:szCs w:val="24"/>
        </w:rPr>
        <w:t xml:space="preserve"> </w:t>
      </w:r>
      <w:r w:rsidR="007E5F28" w:rsidRPr="00D42F52">
        <w:rPr>
          <w:rFonts w:asciiTheme="majorHAnsi" w:hAnsiTheme="majorHAnsi" w:cstheme="majorHAnsi"/>
          <w:sz w:val="24"/>
          <w:szCs w:val="24"/>
        </w:rPr>
        <w:t>included a</w:t>
      </w:r>
      <w:r w:rsidR="006301F4" w:rsidRPr="00D42F52">
        <w:rPr>
          <w:rFonts w:asciiTheme="majorHAnsi" w:hAnsiTheme="majorHAnsi" w:cstheme="majorHAnsi"/>
          <w:sz w:val="24"/>
          <w:szCs w:val="24"/>
        </w:rPr>
        <w:t xml:space="preserve"> simple substitution question to </w:t>
      </w:r>
      <w:r w:rsidR="007E5F28" w:rsidRPr="00D42F52">
        <w:rPr>
          <w:rFonts w:asciiTheme="majorHAnsi" w:hAnsiTheme="majorHAnsi" w:cstheme="majorHAnsi"/>
          <w:sz w:val="24"/>
          <w:szCs w:val="24"/>
        </w:rPr>
        <w:t xml:space="preserve">evaluate the value of an expression </w:t>
      </w:r>
      <w:r w:rsidR="00D42F52" w:rsidRPr="00D42F52">
        <w:rPr>
          <w:rFonts w:asciiTheme="majorHAnsi" w:hAnsiTheme="majorHAnsi" w:cstheme="majorHAnsi"/>
          <w:noProof/>
          <w:sz w:val="24"/>
          <w:szCs w:val="24"/>
        </w:rPr>
        <w:drawing>
          <wp:anchor distT="0" distB="0" distL="114300" distR="114300" simplePos="0" relativeHeight="251645440" behindDoc="0" locked="0" layoutInCell="1" allowOverlap="1" wp14:anchorId="1D66DC00" wp14:editId="6AF08759">
            <wp:simplePos x="0" y="0"/>
            <wp:positionH relativeFrom="margin">
              <wp:align>center</wp:align>
            </wp:positionH>
            <wp:positionV relativeFrom="paragraph">
              <wp:posOffset>864285</wp:posOffset>
            </wp:positionV>
            <wp:extent cx="5619115" cy="619125"/>
            <wp:effectExtent l="57150" t="57150" r="114935" b="1238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04D80B.tmp"/>
                    <pic:cNvPicPr/>
                  </pic:nvPicPr>
                  <pic:blipFill rotWithShape="1">
                    <a:blip r:embed="rId9">
                      <a:extLst>
                        <a:ext uri="{28A0092B-C50C-407E-A947-70E740481C1C}">
                          <a14:useLocalDpi xmlns:a14="http://schemas.microsoft.com/office/drawing/2010/main" val="0"/>
                        </a:ext>
                      </a:extLst>
                    </a:blip>
                    <a:srcRect t="1" b="60365"/>
                    <a:stretch/>
                  </pic:blipFill>
                  <pic:spPr bwMode="auto">
                    <a:xfrm>
                      <a:off x="0" y="0"/>
                      <a:ext cx="5619115" cy="619125"/>
                    </a:xfrm>
                    <a:prstGeom prst="rect">
                      <a:avLst/>
                    </a:prstGeom>
                    <a:ln>
                      <a:solidFill>
                        <a:schemeClr val="tx1"/>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anchor>
        </w:drawing>
      </w:r>
      <w:r w:rsidR="007E5F28" w:rsidRPr="00D42F52">
        <w:rPr>
          <w:rFonts w:asciiTheme="majorHAnsi" w:hAnsiTheme="majorHAnsi" w:cstheme="majorHAnsi"/>
          <w:sz w:val="24"/>
          <w:szCs w:val="24"/>
        </w:rPr>
        <w:t xml:space="preserve">shown in </w:t>
      </w:r>
      <w:r w:rsidR="00D57E77" w:rsidRPr="00D42F52">
        <w:rPr>
          <w:rFonts w:asciiTheme="majorHAnsi" w:hAnsiTheme="majorHAnsi" w:cstheme="majorHAnsi"/>
          <w:sz w:val="24"/>
          <w:szCs w:val="24"/>
        </w:rPr>
        <w:t>Figure</w:t>
      </w:r>
      <w:r w:rsidR="005116B2" w:rsidRPr="00D42F52">
        <w:rPr>
          <w:rFonts w:asciiTheme="majorHAnsi" w:hAnsiTheme="majorHAnsi" w:cstheme="majorHAnsi"/>
          <w:sz w:val="24"/>
          <w:szCs w:val="24"/>
        </w:rPr>
        <w:t xml:space="preserve"> </w:t>
      </w:r>
      <w:r w:rsidR="007E5F28" w:rsidRPr="00D42F52">
        <w:rPr>
          <w:rFonts w:asciiTheme="majorHAnsi" w:hAnsiTheme="majorHAnsi" w:cstheme="majorHAnsi"/>
          <w:sz w:val="24"/>
          <w:szCs w:val="24"/>
        </w:rPr>
        <w:t>1.2.</w:t>
      </w:r>
    </w:p>
    <w:p w14:paraId="4B981EA6" w14:textId="6B2E9095" w:rsidR="006301F4" w:rsidRPr="00D42F52" w:rsidRDefault="00D57E77" w:rsidP="00D42F52">
      <w:pPr>
        <w:spacing w:after="0" w:line="480" w:lineRule="auto"/>
        <w:jc w:val="right"/>
        <w:rPr>
          <w:rFonts w:asciiTheme="majorHAnsi" w:hAnsiTheme="majorHAnsi" w:cstheme="majorHAnsi"/>
          <w:i/>
          <w:sz w:val="24"/>
          <w:szCs w:val="24"/>
        </w:rPr>
      </w:pPr>
      <w:r w:rsidRPr="00D42F52">
        <w:rPr>
          <w:rFonts w:asciiTheme="majorHAnsi" w:hAnsiTheme="majorHAnsi" w:cstheme="majorHAnsi"/>
          <w:i/>
          <w:sz w:val="24"/>
          <w:szCs w:val="24"/>
        </w:rPr>
        <w:t>Figure</w:t>
      </w:r>
      <w:r w:rsidR="005116B2" w:rsidRPr="00D42F52">
        <w:rPr>
          <w:rFonts w:asciiTheme="majorHAnsi" w:hAnsiTheme="majorHAnsi" w:cstheme="majorHAnsi"/>
          <w:i/>
          <w:sz w:val="24"/>
          <w:szCs w:val="24"/>
        </w:rPr>
        <w:t xml:space="preserve"> </w:t>
      </w:r>
      <w:r w:rsidR="006301F4" w:rsidRPr="00D42F52">
        <w:rPr>
          <w:rFonts w:asciiTheme="majorHAnsi" w:hAnsiTheme="majorHAnsi" w:cstheme="majorHAnsi"/>
          <w:i/>
          <w:sz w:val="24"/>
          <w:szCs w:val="24"/>
        </w:rPr>
        <w:t>1.2 – Question 3. Set to assess prevalence of misconception regarding the order of operations.</w:t>
      </w:r>
    </w:p>
    <w:p w14:paraId="1BF3A4DF" w14:textId="77777777" w:rsidR="00D42F52" w:rsidRDefault="00D42F52" w:rsidP="00D42F52">
      <w:pPr>
        <w:spacing w:after="0" w:line="480" w:lineRule="auto"/>
        <w:jc w:val="both"/>
        <w:rPr>
          <w:rFonts w:asciiTheme="majorHAnsi" w:hAnsiTheme="majorHAnsi" w:cstheme="majorHAnsi"/>
          <w:sz w:val="24"/>
          <w:szCs w:val="24"/>
        </w:rPr>
      </w:pPr>
    </w:p>
    <w:p w14:paraId="25AE8961" w14:textId="26E2C78D" w:rsidR="000E5C30" w:rsidRPr="00D42F52" w:rsidRDefault="00D42F52" w:rsidP="00D42F52">
      <w:pPr>
        <w:spacing w:after="0" w:line="480" w:lineRule="auto"/>
        <w:jc w:val="both"/>
        <w:rPr>
          <w:rStyle w:val="selectable"/>
          <w:rFonts w:asciiTheme="majorHAnsi" w:hAnsiTheme="majorHAnsi" w:cstheme="majorHAnsi"/>
          <w:sz w:val="24"/>
          <w:szCs w:val="24"/>
        </w:rPr>
      </w:pPr>
      <w:r w:rsidRPr="00D42F52">
        <w:rPr>
          <w:rFonts w:asciiTheme="majorHAnsi" w:hAnsiTheme="majorHAnsi" w:cstheme="majorHAnsi"/>
          <w:i/>
          <w:noProof/>
          <w:sz w:val="24"/>
          <w:szCs w:val="24"/>
        </w:rPr>
        <w:drawing>
          <wp:anchor distT="0" distB="0" distL="114300" distR="114300" simplePos="0" relativeHeight="251618816" behindDoc="0" locked="0" layoutInCell="1" allowOverlap="1" wp14:anchorId="31251AE1" wp14:editId="16365229">
            <wp:simplePos x="0" y="0"/>
            <wp:positionH relativeFrom="margin">
              <wp:posOffset>128089</wp:posOffset>
            </wp:positionH>
            <wp:positionV relativeFrom="paragraph">
              <wp:posOffset>4267588</wp:posOffset>
            </wp:positionV>
            <wp:extent cx="5610860" cy="733425"/>
            <wp:effectExtent l="57150" t="57150" r="123190" b="1238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704A188.tmp"/>
                    <pic:cNvPicPr/>
                  </pic:nvPicPr>
                  <pic:blipFill>
                    <a:blip r:embed="rId10">
                      <a:extLst>
                        <a:ext uri="{28A0092B-C50C-407E-A947-70E740481C1C}">
                          <a14:useLocalDpi xmlns:a14="http://schemas.microsoft.com/office/drawing/2010/main" val="0"/>
                        </a:ext>
                      </a:extLst>
                    </a:blip>
                    <a:stretch>
                      <a:fillRect/>
                    </a:stretch>
                  </pic:blipFill>
                  <pic:spPr>
                    <a:xfrm>
                      <a:off x="0" y="0"/>
                      <a:ext cx="5610860" cy="733425"/>
                    </a:xfrm>
                    <a:prstGeom prst="rect">
                      <a:avLst/>
                    </a:prstGeom>
                    <a:ln>
                      <a:solidFill>
                        <a:schemeClr val="tx1"/>
                      </a:solidFill>
                    </a:ln>
                    <a:effectLst>
                      <a:outerShdw blurRad="50800" dist="38100" dir="2700000" algn="tl" rotWithShape="0">
                        <a:prstClr val="black">
                          <a:alpha val="40000"/>
                        </a:prstClr>
                      </a:outerShdw>
                    </a:effectLst>
                  </pic:spPr>
                </pic:pic>
              </a:graphicData>
            </a:graphic>
          </wp:anchor>
        </w:drawing>
      </w:r>
      <w:r w:rsidR="00820F5B" w:rsidRPr="00D42F52">
        <w:rPr>
          <w:rFonts w:asciiTheme="majorHAnsi" w:hAnsiTheme="majorHAnsi" w:cstheme="majorHAnsi"/>
          <w:sz w:val="24"/>
          <w:szCs w:val="24"/>
        </w:rPr>
        <w:t xml:space="preserve">Although </w:t>
      </w:r>
      <w:r w:rsidR="00B444FD" w:rsidRPr="00D42F52">
        <w:rPr>
          <w:rFonts w:asciiTheme="majorHAnsi" w:hAnsiTheme="majorHAnsi" w:cstheme="majorHAnsi"/>
          <w:sz w:val="24"/>
          <w:szCs w:val="24"/>
        </w:rPr>
        <w:t>a core procedural mathematical skill held by most pupils working at Level 5 (Welsh Government, 2015) calculating using negative numbers can often be considered a widely challenging concept for pupils in the classroom</w:t>
      </w:r>
      <w:r w:rsidR="00E46ADF" w:rsidRPr="00D42F52">
        <w:rPr>
          <w:rFonts w:asciiTheme="majorHAnsi" w:hAnsiTheme="majorHAnsi" w:cstheme="majorHAnsi"/>
          <w:sz w:val="24"/>
          <w:szCs w:val="24"/>
        </w:rPr>
        <w:t xml:space="preserve">, specifically within algebra (Booth; et al. 2016). Widely supported by numerous pieces of research and investigations, pupils often ignore, miscalculate or disregard negative numbers, signs or assume an answer is incorrect when a negative ‘solution’ is found (Booth; et al. 2016; </w:t>
      </w:r>
      <w:proofErr w:type="spellStart"/>
      <w:r w:rsidR="00E46ADF" w:rsidRPr="00D42F52">
        <w:rPr>
          <w:rStyle w:val="selectable"/>
          <w:rFonts w:asciiTheme="majorHAnsi" w:hAnsiTheme="majorHAnsi" w:cstheme="majorHAnsi"/>
          <w:sz w:val="24"/>
          <w:szCs w:val="24"/>
        </w:rPr>
        <w:t>Ojose</w:t>
      </w:r>
      <w:proofErr w:type="spellEnd"/>
      <w:r w:rsidR="00E46ADF" w:rsidRPr="00D42F52">
        <w:rPr>
          <w:rStyle w:val="selectable"/>
          <w:rFonts w:asciiTheme="majorHAnsi" w:hAnsiTheme="majorHAnsi" w:cstheme="majorHAnsi"/>
          <w:sz w:val="24"/>
          <w:szCs w:val="24"/>
        </w:rPr>
        <w:t xml:space="preserve">, 2015, Booth &amp; Koedinger, 2008 &amp; </w:t>
      </w:r>
      <w:proofErr w:type="spellStart"/>
      <w:r w:rsidR="00E46ADF" w:rsidRPr="00D42F52">
        <w:rPr>
          <w:rStyle w:val="selectable"/>
          <w:rFonts w:asciiTheme="majorHAnsi" w:hAnsiTheme="majorHAnsi" w:cstheme="majorHAnsi"/>
          <w:sz w:val="24"/>
          <w:szCs w:val="24"/>
        </w:rPr>
        <w:t>Linchevski</w:t>
      </w:r>
      <w:proofErr w:type="spellEnd"/>
      <w:r w:rsidR="00E46ADF" w:rsidRPr="00D42F52">
        <w:rPr>
          <w:rStyle w:val="selectable"/>
          <w:rFonts w:asciiTheme="majorHAnsi" w:hAnsiTheme="majorHAnsi" w:cstheme="majorHAnsi"/>
          <w:sz w:val="24"/>
          <w:szCs w:val="24"/>
        </w:rPr>
        <w:t xml:space="preserve"> &amp; Williams, 1999 cited in Booth; et al. 2016)</w:t>
      </w:r>
      <w:r w:rsidR="00930AF7" w:rsidRPr="00D42F52">
        <w:rPr>
          <w:rStyle w:val="selectable"/>
          <w:rFonts w:asciiTheme="majorHAnsi" w:hAnsiTheme="majorHAnsi" w:cstheme="majorHAnsi"/>
          <w:sz w:val="24"/>
          <w:szCs w:val="24"/>
        </w:rPr>
        <w:t xml:space="preserve">. </w:t>
      </w:r>
      <w:r w:rsidR="003022E2" w:rsidRPr="00D42F52">
        <w:rPr>
          <w:rStyle w:val="selectable"/>
          <w:rFonts w:asciiTheme="majorHAnsi" w:hAnsiTheme="majorHAnsi" w:cstheme="majorHAnsi"/>
          <w:sz w:val="24"/>
          <w:szCs w:val="24"/>
        </w:rPr>
        <w:t xml:space="preserve">McGowen (2017) further discusses the misconception in relation to negative numbers finding that many pupils struggle to understand the role the negative sign plays in an expression. </w:t>
      </w:r>
      <w:r w:rsidR="00D57E77" w:rsidRPr="00D42F52">
        <w:rPr>
          <w:rStyle w:val="selectable"/>
          <w:rFonts w:asciiTheme="majorHAnsi" w:hAnsiTheme="majorHAnsi" w:cstheme="majorHAnsi"/>
          <w:sz w:val="24"/>
          <w:szCs w:val="24"/>
        </w:rPr>
        <w:t>Figure</w:t>
      </w:r>
      <w:r w:rsidR="00930AF7" w:rsidRPr="00D42F52">
        <w:rPr>
          <w:rStyle w:val="selectable"/>
          <w:rFonts w:asciiTheme="majorHAnsi" w:hAnsiTheme="majorHAnsi" w:cstheme="majorHAnsi"/>
          <w:sz w:val="24"/>
          <w:szCs w:val="24"/>
        </w:rPr>
        <w:t xml:space="preserve">1.3 and 1.4 address this misconception, allowing an opportunity for pupils produce negative solutions to expressions allowing the opportunity to assess a </w:t>
      </w:r>
      <w:proofErr w:type="gramStart"/>
      <w:r w:rsidR="00930AF7" w:rsidRPr="00D42F52">
        <w:rPr>
          <w:rStyle w:val="selectable"/>
          <w:rFonts w:asciiTheme="majorHAnsi" w:hAnsiTheme="majorHAnsi" w:cstheme="majorHAnsi"/>
          <w:sz w:val="24"/>
          <w:szCs w:val="24"/>
        </w:rPr>
        <w:t>pupils</w:t>
      </w:r>
      <w:proofErr w:type="gramEnd"/>
      <w:r w:rsidR="00930AF7" w:rsidRPr="00D42F52">
        <w:rPr>
          <w:rStyle w:val="selectable"/>
          <w:rFonts w:asciiTheme="majorHAnsi" w:hAnsiTheme="majorHAnsi" w:cstheme="majorHAnsi"/>
          <w:sz w:val="24"/>
          <w:szCs w:val="24"/>
        </w:rPr>
        <w:t xml:space="preserve"> procedural skills in multiplying positive and negative numbers. </w:t>
      </w:r>
    </w:p>
    <w:p w14:paraId="001BC5F1" w14:textId="5BC16F96" w:rsidR="00930AF7" w:rsidRPr="00D42F52" w:rsidRDefault="00D57E77" w:rsidP="00D42F52">
      <w:pPr>
        <w:spacing w:after="0" w:line="480" w:lineRule="auto"/>
        <w:jc w:val="right"/>
        <w:rPr>
          <w:rFonts w:asciiTheme="majorHAnsi" w:hAnsiTheme="majorHAnsi" w:cstheme="majorHAnsi"/>
          <w:i/>
          <w:sz w:val="24"/>
          <w:szCs w:val="24"/>
        </w:rPr>
      </w:pPr>
      <w:r w:rsidRPr="00D42F52">
        <w:rPr>
          <w:rFonts w:asciiTheme="majorHAnsi" w:hAnsiTheme="majorHAnsi" w:cstheme="majorHAnsi"/>
          <w:i/>
          <w:sz w:val="24"/>
          <w:szCs w:val="24"/>
        </w:rPr>
        <w:t>Figure</w:t>
      </w:r>
      <w:r w:rsidR="00930AF7" w:rsidRPr="00D42F52">
        <w:rPr>
          <w:rFonts w:asciiTheme="majorHAnsi" w:hAnsiTheme="majorHAnsi" w:cstheme="majorHAnsi"/>
          <w:i/>
          <w:sz w:val="24"/>
          <w:szCs w:val="24"/>
        </w:rPr>
        <w:t xml:space="preserve">1.3 – Question 1 – Set to assess pupils understanding of multiplying negative numbers and obtaining a negative ‘solution’ in addition to further assessing the pupils understanding of the ‘invisible multiplication sign’. </w:t>
      </w:r>
    </w:p>
    <w:p w14:paraId="21F60F66" w14:textId="2896E644" w:rsidR="005116B2" w:rsidRPr="00D42F52" w:rsidRDefault="005116B2" w:rsidP="00D42F52">
      <w:pPr>
        <w:spacing w:after="0" w:line="480" w:lineRule="auto"/>
        <w:jc w:val="both"/>
        <w:rPr>
          <w:rFonts w:asciiTheme="majorHAnsi" w:hAnsiTheme="majorHAnsi" w:cstheme="majorHAnsi"/>
          <w:i/>
          <w:sz w:val="24"/>
          <w:szCs w:val="24"/>
        </w:rPr>
      </w:pPr>
    </w:p>
    <w:p w14:paraId="136C03BF" w14:textId="77777777" w:rsidR="005116B2" w:rsidRPr="00D42F52" w:rsidRDefault="005116B2" w:rsidP="00D42F52">
      <w:pPr>
        <w:spacing w:after="160" w:line="480" w:lineRule="auto"/>
        <w:jc w:val="both"/>
        <w:rPr>
          <w:rFonts w:asciiTheme="majorHAnsi" w:hAnsiTheme="majorHAnsi" w:cstheme="majorHAnsi"/>
          <w:i/>
          <w:sz w:val="24"/>
          <w:szCs w:val="24"/>
        </w:rPr>
      </w:pPr>
      <w:r w:rsidRPr="00D42F52">
        <w:rPr>
          <w:rFonts w:asciiTheme="majorHAnsi" w:hAnsiTheme="majorHAnsi" w:cstheme="majorHAnsi"/>
          <w:i/>
          <w:sz w:val="24"/>
          <w:szCs w:val="24"/>
        </w:rPr>
        <w:br w:type="page"/>
      </w:r>
    </w:p>
    <w:p w14:paraId="1801EDBF" w14:textId="594046A7" w:rsidR="00930AF7" w:rsidRPr="00D42F52" w:rsidRDefault="005116B2" w:rsidP="00D42F52">
      <w:pPr>
        <w:spacing w:after="0" w:line="480" w:lineRule="auto"/>
        <w:jc w:val="right"/>
        <w:rPr>
          <w:rFonts w:asciiTheme="majorHAnsi" w:hAnsiTheme="majorHAnsi" w:cstheme="majorHAnsi"/>
          <w:i/>
          <w:sz w:val="24"/>
          <w:szCs w:val="24"/>
        </w:rPr>
      </w:pPr>
      <w:r w:rsidRPr="00D42F52">
        <w:rPr>
          <w:rFonts w:asciiTheme="majorHAnsi" w:hAnsiTheme="majorHAnsi" w:cstheme="majorHAnsi"/>
          <w:i/>
          <w:noProof/>
          <w:sz w:val="24"/>
          <w:szCs w:val="24"/>
        </w:rPr>
        <w:lastRenderedPageBreak/>
        <w:drawing>
          <wp:anchor distT="0" distB="0" distL="114300" distR="114300" simplePos="0" relativeHeight="251640320" behindDoc="0" locked="0" layoutInCell="1" allowOverlap="1" wp14:anchorId="01B71F5F" wp14:editId="7AF0B599">
            <wp:simplePos x="0" y="0"/>
            <wp:positionH relativeFrom="margin">
              <wp:align>left</wp:align>
            </wp:positionH>
            <wp:positionV relativeFrom="paragraph">
              <wp:posOffset>72770</wp:posOffset>
            </wp:positionV>
            <wp:extent cx="5630061" cy="866896"/>
            <wp:effectExtent l="57150" t="57150" r="123190" b="1238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7047DF.tmp"/>
                    <pic:cNvPicPr/>
                  </pic:nvPicPr>
                  <pic:blipFill>
                    <a:blip r:embed="rId11">
                      <a:extLst>
                        <a:ext uri="{28A0092B-C50C-407E-A947-70E740481C1C}">
                          <a14:useLocalDpi xmlns:a14="http://schemas.microsoft.com/office/drawing/2010/main" val="0"/>
                        </a:ext>
                      </a:extLst>
                    </a:blip>
                    <a:stretch>
                      <a:fillRect/>
                    </a:stretch>
                  </pic:blipFill>
                  <pic:spPr>
                    <a:xfrm>
                      <a:off x="0" y="0"/>
                      <a:ext cx="5630061" cy="866896"/>
                    </a:xfrm>
                    <a:prstGeom prst="rect">
                      <a:avLst/>
                    </a:prstGeom>
                    <a:ln>
                      <a:solidFill>
                        <a:schemeClr val="tx1"/>
                      </a:solidFill>
                    </a:ln>
                    <a:effectLst>
                      <a:outerShdw blurRad="50800" dist="38100" dir="2700000" algn="tl" rotWithShape="0">
                        <a:prstClr val="black">
                          <a:alpha val="40000"/>
                        </a:prstClr>
                      </a:outerShdw>
                    </a:effectLst>
                  </pic:spPr>
                </pic:pic>
              </a:graphicData>
            </a:graphic>
          </wp:anchor>
        </w:drawing>
      </w:r>
      <w:r w:rsidR="00D57E77" w:rsidRPr="00D42F52">
        <w:rPr>
          <w:rFonts w:asciiTheme="majorHAnsi" w:hAnsiTheme="majorHAnsi" w:cstheme="majorHAnsi"/>
          <w:i/>
          <w:sz w:val="24"/>
          <w:szCs w:val="24"/>
        </w:rPr>
        <w:t>Figure</w:t>
      </w:r>
      <w:r w:rsidR="00D42F52">
        <w:rPr>
          <w:rFonts w:asciiTheme="majorHAnsi" w:hAnsiTheme="majorHAnsi" w:cstheme="majorHAnsi"/>
          <w:i/>
          <w:sz w:val="24"/>
          <w:szCs w:val="24"/>
        </w:rPr>
        <w:t xml:space="preserve"> </w:t>
      </w:r>
      <w:r w:rsidR="00930AF7" w:rsidRPr="00D42F52">
        <w:rPr>
          <w:rFonts w:asciiTheme="majorHAnsi" w:hAnsiTheme="majorHAnsi" w:cstheme="majorHAnsi"/>
          <w:i/>
          <w:sz w:val="24"/>
          <w:szCs w:val="24"/>
        </w:rPr>
        <w:t>1.4 – Question 10 – Set to assess pupils understanding of multiplying negative numbers, and obtaining a negative ‘solution’</w:t>
      </w:r>
    </w:p>
    <w:p w14:paraId="6D73EA1B" w14:textId="77777777" w:rsidR="00D42F52" w:rsidRDefault="00D42F52" w:rsidP="00D42F52">
      <w:pPr>
        <w:spacing w:after="0" w:line="480" w:lineRule="auto"/>
        <w:jc w:val="both"/>
        <w:rPr>
          <w:rFonts w:asciiTheme="majorHAnsi" w:hAnsiTheme="majorHAnsi" w:cstheme="majorHAnsi"/>
          <w:sz w:val="24"/>
          <w:szCs w:val="24"/>
        </w:rPr>
      </w:pPr>
    </w:p>
    <w:p w14:paraId="260CA000" w14:textId="7778B991" w:rsidR="00D24351" w:rsidRPr="00D42F52" w:rsidRDefault="00930AF7"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Considering Question 1</w:t>
      </w:r>
      <w:r w:rsidR="00D24351" w:rsidRPr="00D42F52">
        <w:rPr>
          <w:rFonts w:asciiTheme="majorHAnsi" w:hAnsiTheme="majorHAnsi" w:cstheme="majorHAnsi"/>
          <w:sz w:val="24"/>
          <w:szCs w:val="24"/>
        </w:rPr>
        <w:t xml:space="preserve"> (</w:t>
      </w:r>
      <w:r w:rsidR="00D57E77" w:rsidRPr="00D42F52">
        <w:rPr>
          <w:rFonts w:asciiTheme="majorHAnsi" w:hAnsiTheme="majorHAnsi" w:cstheme="majorHAnsi"/>
          <w:sz w:val="24"/>
          <w:szCs w:val="24"/>
        </w:rPr>
        <w:t>Figure</w:t>
      </w:r>
      <w:r w:rsidR="005116B2" w:rsidRPr="00D42F52">
        <w:rPr>
          <w:rFonts w:asciiTheme="majorHAnsi" w:hAnsiTheme="majorHAnsi" w:cstheme="majorHAnsi"/>
          <w:sz w:val="24"/>
          <w:szCs w:val="24"/>
        </w:rPr>
        <w:t xml:space="preserve"> </w:t>
      </w:r>
      <w:r w:rsidR="00D24351" w:rsidRPr="00D42F52">
        <w:rPr>
          <w:rFonts w:asciiTheme="majorHAnsi" w:hAnsiTheme="majorHAnsi" w:cstheme="majorHAnsi"/>
          <w:sz w:val="24"/>
          <w:szCs w:val="24"/>
        </w:rPr>
        <w:t>1.3)</w:t>
      </w:r>
      <w:r w:rsidRPr="00D42F52">
        <w:rPr>
          <w:rFonts w:asciiTheme="majorHAnsi" w:hAnsiTheme="majorHAnsi" w:cstheme="majorHAnsi"/>
          <w:sz w:val="24"/>
          <w:szCs w:val="24"/>
        </w:rPr>
        <w:t xml:space="preserve">, </w:t>
      </w:r>
      <w:proofErr w:type="spellStart"/>
      <w:r w:rsidRPr="00D42F52">
        <w:rPr>
          <w:rFonts w:asciiTheme="majorHAnsi" w:hAnsiTheme="majorHAnsi" w:cstheme="majorHAnsi"/>
          <w:sz w:val="24"/>
          <w:szCs w:val="24"/>
        </w:rPr>
        <w:t>Egodawatte</w:t>
      </w:r>
      <w:proofErr w:type="spellEnd"/>
      <w:r w:rsidRPr="00D42F52">
        <w:rPr>
          <w:rFonts w:asciiTheme="majorHAnsi" w:hAnsiTheme="majorHAnsi" w:cstheme="majorHAnsi"/>
          <w:sz w:val="24"/>
          <w:szCs w:val="24"/>
        </w:rPr>
        <w:t xml:space="preserve">, </w:t>
      </w:r>
      <w:r w:rsidR="003022E2" w:rsidRPr="00D42F52">
        <w:rPr>
          <w:rFonts w:asciiTheme="majorHAnsi" w:hAnsiTheme="majorHAnsi" w:cstheme="majorHAnsi"/>
          <w:sz w:val="24"/>
          <w:szCs w:val="24"/>
        </w:rPr>
        <w:t>(</w:t>
      </w:r>
      <w:r w:rsidRPr="00D42F52">
        <w:rPr>
          <w:rFonts w:asciiTheme="majorHAnsi" w:hAnsiTheme="majorHAnsi" w:cstheme="majorHAnsi"/>
          <w:sz w:val="24"/>
          <w:szCs w:val="24"/>
        </w:rPr>
        <w:t>2011</w:t>
      </w:r>
      <w:r w:rsidR="003022E2" w:rsidRPr="00D42F52">
        <w:rPr>
          <w:rFonts w:asciiTheme="majorHAnsi" w:hAnsiTheme="majorHAnsi" w:cstheme="majorHAnsi"/>
          <w:sz w:val="24"/>
          <w:szCs w:val="24"/>
        </w:rPr>
        <w:t>)</w:t>
      </w:r>
      <w:r w:rsidRPr="00D42F52">
        <w:rPr>
          <w:rFonts w:asciiTheme="majorHAnsi" w:hAnsiTheme="majorHAnsi" w:cstheme="majorHAnsi"/>
          <w:sz w:val="24"/>
          <w:szCs w:val="24"/>
        </w:rPr>
        <w:t xml:space="preserve">, discusses the </w:t>
      </w:r>
      <w:r w:rsidR="003022E2" w:rsidRPr="00D42F52">
        <w:rPr>
          <w:rFonts w:asciiTheme="majorHAnsi" w:hAnsiTheme="majorHAnsi" w:cstheme="majorHAnsi"/>
          <w:sz w:val="24"/>
          <w:szCs w:val="24"/>
        </w:rPr>
        <w:t xml:space="preserve">common misconception or disregard of the multiplication function in expressions such as ‘ab’ or ‘7b’ with many pupils considering ‘ab’ to be an alphabetical expression similar to the numerical ‘12’ for example, not in fact, a x b. </w:t>
      </w:r>
      <w:r w:rsidR="00156BBE" w:rsidRPr="00D42F52">
        <w:rPr>
          <w:rFonts w:asciiTheme="majorHAnsi" w:hAnsiTheme="majorHAnsi" w:cstheme="majorHAnsi"/>
          <w:sz w:val="24"/>
          <w:szCs w:val="24"/>
        </w:rPr>
        <w:t>Welder (2006) cites Kieran (1988)</w:t>
      </w:r>
      <w:r w:rsidR="00C3404A" w:rsidRPr="00D42F52">
        <w:rPr>
          <w:rFonts w:asciiTheme="majorHAnsi" w:hAnsiTheme="majorHAnsi" w:cstheme="majorHAnsi"/>
          <w:sz w:val="24"/>
          <w:szCs w:val="24"/>
        </w:rPr>
        <w:t>,</w:t>
      </w:r>
      <w:r w:rsidR="00156BBE" w:rsidRPr="00D42F52">
        <w:rPr>
          <w:rFonts w:asciiTheme="majorHAnsi" w:hAnsiTheme="majorHAnsi" w:cstheme="majorHAnsi"/>
          <w:sz w:val="24"/>
          <w:szCs w:val="24"/>
        </w:rPr>
        <w:t xml:space="preserve"> findings that often the </w:t>
      </w:r>
      <w:r w:rsidR="00E36F32" w:rsidRPr="00D42F52">
        <w:rPr>
          <w:rFonts w:asciiTheme="majorHAnsi" w:hAnsiTheme="majorHAnsi" w:cstheme="majorHAnsi"/>
          <w:sz w:val="24"/>
          <w:szCs w:val="24"/>
        </w:rPr>
        <w:t>concept of the addition and a lack of comprehensive understanding of the equals sign often contributes to this error, as pupils are used to an arithmetic understanding that “2 + ½ = 2½ whereas 2 + a does not = 2a” (Welder, 2006). Question 1 will help understand the presence of pupils’ misconceptions in relation to this expression and procedural skill</w:t>
      </w:r>
      <w:r w:rsidR="002A62AF" w:rsidRPr="00D42F52">
        <w:rPr>
          <w:rFonts w:asciiTheme="majorHAnsi" w:hAnsiTheme="majorHAnsi" w:cstheme="majorHAnsi"/>
          <w:sz w:val="24"/>
          <w:szCs w:val="24"/>
        </w:rPr>
        <w:t xml:space="preserve">, further to this, a further multiplication procedural substitution was included for Question 7, although the </w:t>
      </w:r>
      <w:r w:rsidR="00D24351" w:rsidRPr="00D42F52">
        <w:rPr>
          <w:rFonts w:asciiTheme="majorHAnsi" w:hAnsiTheme="majorHAnsi" w:cstheme="majorHAnsi"/>
          <w:sz w:val="24"/>
          <w:szCs w:val="24"/>
        </w:rPr>
        <w:t xml:space="preserve">primary focus was to address a similar misconception or avoidance of a decimal solution to an expression. </w:t>
      </w:r>
    </w:p>
    <w:p w14:paraId="45E170F8" w14:textId="1C9CEF46" w:rsidR="005116B2" w:rsidRPr="00D42F52" w:rsidRDefault="00E36F32" w:rsidP="00D42F52">
      <w:pPr>
        <w:spacing w:after="0" w:line="480" w:lineRule="auto"/>
        <w:jc w:val="both"/>
        <w:rPr>
          <w:rFonts w:asciiTheme="majorHAnsi" w:hAnsiTheme="majorHAnsi" w:cstheme="majorHAnsi"/>
          <w:i/>
          <w:sz w:val="24"/>
          <w:szCs w:val="24"/>
        </w:rPr>
      </w:pPr>
      <w:r w:rsidRPr="00D42F52">
        <w:rPr>
          <w:rFonts w:asciiTheme="majorHAnsi" w:hAnsiTheme="majorHAnsi" w:cstheme="majorHAnsi"/>
          <w:sz w:val="24"/>
          <w:szCs w:val="24"/>
        </w:rPr>
        <w:t>McGowen, (2017) considered fractions</w:t>
      </w:r>
      <w:r w:rsidR="00C3404A" w:rsidRPr="00D42F52">
        <w:rPr>
          <w:rFonts w:asciiTheme="majorHAnsi" w:hAnsiTheme="majorHAnsi" w:cstheme="majorHAnsi"/>
          <w:sz w:val="24"/>
          <w:szCs w:val="24"/>
        </w:rPr>
        <w:t xml:space="preserve"> and decimals</w:t>
      </w:r>
      <w:r w:rsidRPr="00D42F52">
        <w:rPr>
          <w:rFonts w:asciiTheme="majorHAnsi" w:hAnsiTheme="majorHAnsi" w:cstheme="majorHAnsi"/>
          <w:sz w:val="24"/>
          <w:szCs w:val="24"/>
        </w:rPr>
        <w:t xml:space="preserve"> to be a</w:t>
      </w:r>
      <w:r w:rsidR="00E72654" w:rsidRPr="00D42F52">
        <w:rPr>
          <w:rFonts w:asciiTheme="majorHAnsi" w:hAnsiTheme="majorHAnsi" w:cstheme="majorHAnsi"/>
          <w:sz w:val="24"/>
          <w:szCs w:val="24"/>
        </w:rPr>
        <w:t xml:space="preserve">n equally common misconception </w:t>
      </w:r>
      <w:r w:rsidR="00C6716F" w:rsidRPr="00D42F52">
        <w:rPr>
          <w:rFonts w:asciiTheme="majorHAnsi" w:hAnsiTheme="majorHAnsi" w:cstheme="majorHAnsi"/>
          <w:sz w:val="24"/>
          <w:szCs w:val="24"/>
        </w:rPr>
        <w:t xml:space="preserve">as the avoidance and neglect of negative numbers and notation. As discussed by </w:t>
      </w:r>
      <w:r w:rsidR="00C3404A" w:rsidRPr="00D42F52">
        <w:rPr>
          <w:rStyle w:val="selectable"/>
          <w:rFonts w:asciiTheme="majorHAnsi" w:hAnsiTheme="majorHAnsi" w:cstheme="majorHAnsi"/>
          <w:sz w:val="24"/>
          <w:szCs w:val="24"/>
        </w:rPr>
        <w:t xml:space="preserve">Coughlan, (n.d.), the misconception that a solution can take a decimal or fraction form can often be a tightly held belief for pupils. Booth; et al. (2016) </w:t>
      </w:r>
      <w:r w:rsidR="00D57E77" w:rsidRPr="00D42F52">
        <w:rPr>
          <w:rStyle w:val="selectable"/>
          <w:rFonts w:asciiTheme="majorHAnsi" w:hAnsiTheme="majorHAnsi" w:cstheme="majorHAnsi"/>
          <w:sz w:val="24"/>
          <w:szCs w:val="24"/>
        </w:rPr>
        <w:t>suggest</w:t>
      </w:r>
      <w:r w:rsidR="00C3404A" w:rsidRPr="00D42F52">
        <w:rPr>
          <w:rStyle w:val="selectable"/>
          <w:rFonts w:asciiTheme="majorHAnsi" w:hAnsiTheme="majorHAnsi" w:cstheme="majorHAnsi"/>
          <w:sz w:val="24"/>
          <w:szCs w:val="24"/>
        </w:rPr>
        <w:t xml:space="preserve"> that the fundamental understanding of procedural mathematical conceptions must be fully understood by pupils in order to prevent this misconception transitioning though from a simple arithmatic misconception to complex algebraic misconception. Question 4 (</w:t>
      </w:r>
      <w:r w:rsidR="00D57E77" w:rsidRPr="00D42F52">
        <w:rPr>
          <w:rStyle w:val="selectable"/>
          <w:rFonts w:asciiTheme="majorHAnsi" w:hAnsiTheme="majorHAnsi" w:cstheme="majorHAnsi"/>
          <w:sz w:val="24"/>
          <w:szCs w:val="24"/>
        </w:rPr>
        <w:t>Figure</w:t>
      </w:r>
      <w:r w:rsidR="00C3404A" w:rsidRPr="00D42F52">
        <w:rPr>
          <w:rStyle w:val="selectable"/>
          <w:rFonts w:asciiTheme="majorHAnsi" w:hAnsiTheme="majorHAnsi" w:cstheme="majorHAnsi"/>
          <w:sz w:val="24"/>
          <w:szCs w:val="24"/>
        </w:rPr>
        <w:t>1.5)</w:t>
      </w:r>
      <w:r w:rsidR="00A660A3" w:rsidRPr="00D42F52">
        <w:rPr>
          <w:rStyle w:val="selectable"/>
          <w:rFonts w:asciiTheme="majorHAnsi" w:hAnsiTheme="majorHAnsi" w:cstheme="majorHAnsi"/>
          <w:sz w:val="24"/>
          <w:szCs w:val="24"/>
        </w:rPr>
        <w:t xml:space="preserve">, </w:t>
      </w:r>
      <w:r w:rsidR="00C3404A" w:rsidRPr="00D42F52">
        <w:rPr>
          <w:rStyle w:val="selectable"/>
          <w:rFonts w:asciiTheme="majorHAnsi" w:hAnsiTheme="majorHAnsi" w:cstheme="majorHAnsi"/>
          <w:sz w:val="24"/>
          <w:szCs w:val="24"/>
        </w:rPr>
        <w:t>and Question 7 (</w:t>
      </w:r>
      <w:r w:rsidR="00D57E77" w:rsidRPr="00D42F52">
        <w:rPr>
          <w:rStyle w:val="selectable"/>
          <w:rFonts w:asciiTheme="majorHAnsi" w:hAnsiTheme="majorHAnsi" w:cstheme="majorHAnsi"/>
          <w:sz w:val="24"/>
          <w:szCs w:val="24"/>
        </w:rPr>
        <w:t>Figure</w:t>
      </w:r>
      <w:r w:rsidR="00C3404A" w:rsidRPr="00D42F52">
        <w:rPr>
          <w:rStyle w:val="selectable"/>
          <w:rFonts w:asciiTheme="majorHAnsi" w:hAnsiTheme="majorHAnsi" w:cstheme="majorHAnsi"/>
          <w:sz w:val="24"/>
          <w:szCs w:val="24"/>
        </w:rPr>
        <w:t xml:space="preserve">1.6) are both used to identify these misconceptions as well as highlight any arithmetic misconceptions held by the </w:t>
      </w:r>
      <w:r w:rsidR="00C3404A" w:rsidRPr="00D42F52">
        <w:rPr>
          <w:rStyle w:val="selectable"/>
          <w:rFonts w:asciiTheme="majorHAnsi" w:hAnsiTheme="majorHAnsi" w:cstheme="majorHAnsi"/>
          <w:sz w:val="24"/>
          <w:szCs w:val="24"/>
        </w:rPr>
        <w:lastRenderedPageBreak/>
        <w:t>pupils. The questions allow the assessment of both the substitution, understanding of algebraic operations and the arithmetic in evaluating fraction and decimal solutions.</w:t>
      </w:r>
      <w:r w:rsidR="00A660A3" w:rsidRPr="00D42F52">
        <w:rPr>
          <w:rStyle w:val="selectable"/>
          <w:rFonts w:asciiTheme="majorHAnsi" w:hAnsiTheme="majorHAnsi" w:cstheme="majorHAnsi"/>
          <w:sz w:val="24"/>
          <w:szCs w:val="24"/>
        </w:rPr>
        <w:t xml:space="preserve"> </w:t>
      </w:r>
    </w:p>
    <w:p w14:paraId="35635EB7" w14:textId="0022251D" w:rsidR="00C3404A" w:rsidRDefault="005116B2" w:rsidP="00D42F52">
      <w:pPr>
        <w:spacing w:after="0" w:line="480" w:lineRule="auto"/>
        <w:jc w:val="right"/>
        <w:rPr>
          <w:rFonts w:asciiTheme="majorHAnsi" w:hAnsiTheme="majorHAnsi" w:cstheme="majorHAnsi"/>
          <w:i/>
          <w:sz w:val="24"/>
          <w:szCs w:val="24"/>
        </w:rPr>
      </w:pPr>
      <w:r w:rsidRPr="00D42F52">
        <w:rPr>
          <w:rFonts w:asciiTheme="majorHAnsi" w:hAnsiTheme="majorHAnsi" w:cstheme="majorHAnsi"/>
          <w:noProof/>
          <w:sz w:val="24"/>
          <w:szCs w:val="24"/>
        </w:rPr>
        <w:drawing>
          <wp:anchor distT="0" distB="0" distL="114300" distR="114300" simplePos="0" relativeHeight="251652608" behindDoc="0" locked="0" layoutInCell="1" allowOverlap="1" wp14:anchorId="226BE68F" wp14:editId="1B4D48EA">
            <wp:simplePos x="0" y="0"/>
            <wp:positionH relativeFrom="margin">
              <wp:align>right</wp:align>
            </wp:positionH>
            <wp:positionV relativeFrom="paragraph">
              <wp:posOffset>56729</wp:posOffset>
            </wp:positionV>
            <wp:extent cx="5620534" cy="943107"/>
            <wp:effectExtent l="57150" t="57150" r="113665" b="1238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04D065.tmp"/>
                    <pic:cNvPicPr/>
                  </pic:nvPicPr>
                  <pic:blipFill>
                    <a:blip r:embed="rId12">
                      <a:extLst>
                        <a:ext uri="{28A0092B-C50C-407E-A947-70E740481C1C}">
                          <a14:useLocalDpi xmlns:a14="http://schemas.microsoft.com/office/drawing/2010/main" val="0"/>
                        </a:ext>
                      </a:extLst>
                    </a:blip>
                    <a:stretch>
                      <a:fillRect/>
                    </a:stretch>
                  </pic:blipFill>
                  <pic:spPr>
                    <a:xfrm>
                      <a:off x="0" y="0"/>
                      <a:ext cx="5620534" cy="943107"/>
                    </a:xfrm>
                    <a:prstGeom prst="rect">
                      <a:avLst/>
                    </a:prstGeom>
                    <a:ln>
                      <a:solidFill>
                        <a:schemeClr val="tx1"/>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D57E77" w:rsidRPr="00D42F52">
        <w:rPr>
          <w:rFonts w:asciiTheme="majorHAnsi" w:hAnsiTheme="majorHAnsi" w:cstheme="majorHAnsi"/>
          <w:i/>
          <w:sz w:val="24"/>
          <w:szCs w:val="24"/>
        </w:rPr>
        <w:t>Figure</w:t>
      </w:r>
      <w:r w:rsidR="00C3404A" w:rsidRPr="00D42F52">
        <w:rPr>
          <w:rFonts w:asciiTheme="majorHAnsi" w:hAnsiTheme="majorHAnsi" w:cstheme="majorHAnsi"/>
          <w:i/>
          <w:sz w:val="24"/>
          <w:szCs w:val="24"/>
        </w:rPr>
        <w:t>1.5 – Question 4 – Set to assess evaluating the value of ‘t’ when the solution results in a decimal (or fraction)</w:t>
      </w:r>
    </w:p>
    <w:p w14:paraId="0D20D683" w14:textId="38F677B1" w:rsidR="00D42F52" w:rsidRPr="00D42F52" w:rsidRDefault="00D42F52" w:rsidP="00D42F52">
      <w:pPr>
        <w:spacing w:after="0" w:line="480" w:lineRule="auto"/>
        <w:jc w:val="both"/>
        <w:rPr>
          <w:rFonts w:asciiTheme="majorHAnsi" w:hAnsiTheme="majorHAnsi" w:cstheme="majorHAnsi"/>
          <w:i/>
          <w:sz w:val="24"/>
          <w:szCs w:val="24"/>
        </w:rPr>
      </w:pPr>
      <w:r w:rsidRPr="00D42F52">
        <w:rPr>
          <w:rFonts w:asciiTheme="majorHAnsi" w:hAnsiTheme="majorHAnsi" w:cstheme="majorHAnsi"/>
          <w:i/>
          <w:noProof/>
          <w:sz w:val="24"/>
          <w:szCs w:val="24"/>
        </w:rPr>
        <w:drawing>
          <wp:anchor distT="0" distB="0" distL="114300" distR="114300" simplePos="0" relativeHeight="251658752" behindDoc="0" locked="0" layoutInCell="1" allowOverlap="1" wp14:anchorId="12310B47" wp14:editId="625A96F2">
            <wp:simplePos x="0" y="0"/>
            <wp:positionH relativeFrom="margin">
              <wp:align>left</wp:align>
            </wp:positionH>
            <wp:positionV relativeFrom="paragraph">
              <wp:posOffset>264440</wp:posOffset>
            </wp:positionV>
            <wp:extent cx="5629275" cy="942975"/>
            <wp:effectExtent l="57150" t="57150" r="123825" b="1238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044DBF.tmp"/>
                    <pic:cNvPicPr/>
                  </pic:nvPicPr>
                  <pic:blipFill rotWithShape="1">
                    <a:blip r:embed="rId13">
                      <a:extLst>
                        <a:ext uri="{28A0092B-C50C-407E-A947-70E740481C1C}">
                          <a14:useLocalDpi xmlns:a14="http://schemas.microsoft.com/office/drawing/2010/main" val="0"/>
                        </a:ext>
                      </a:extLst>
                    </a:blip>
                    <a:srcRect b="38509"/>
                    <a:stretch/>
                  </pic:blipFill>
                  <pic:spPr bwMode="auto">
                    <a:xfrm>
                      <a:off x="0" y="0"/>
                      <a:ext cx="5629275" cy="942975"/>
                    </a:xfrm>
                    <a:prstGeom prst="rect">
                      <a:avLst/>
                    </a:prstGeom>
                    <a:ln>
                      <a:solidFill>
                        <a:schemeClr val="tx1"/>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F2A58C" w14:textId="696F9922" w:rsidR="00C3404A" w:rsidRPr="00D42F52" w:rsidRDefault="00D57E77" w:rsidP="00D42F52">
      <w:pPr>
        <w:spacing w:after="0" w:line="480" w:lineRule="auto"/>
        <w:jc w:val="right"/>
        <w:rPr>
          <w:rFonts w:asciiTheme="majorHAnsi" w:hAnsiTheme="majorHAnsi" w:cstheme="majorHAnsi"/>
          <w:i/>
          <w:sz w:val="24"/>
          <w:szCs w:val="24"/>
        </w:rPr>
      </w:pPr>
      <w:r w:rsidRPr="00D42F52">
        <w:rPr>
          <w:rFonts w:asciiTheme="majorHAnsi" w:hAnsiTheme="majorHAnsi" w:cstheme="majorHAnsi"/>
          <w:i/>
          <w:sz w:val="24"/>
          <w:szCs w:val="24"/>
        </w:rPr>
        <w:t>Figure</w:t>
      </w:r>
      <w:r w:rsidR="00C3404A" w:rsidRPr="00D42F52">
        <w:rPr>
          <w:rFonts w:asciiTheme="majorHAnsi" w:hAnsiTheme="majorHAnsi" w:cstheme="majorHAnsi"/>
          <w:i/>
          <w:sz w:val="24"/>
          <w:szCs w:val="24"/>
        </w:rPr>
        <w:t xml:space="preserve">1.6 – Question </w:t>
      </w:r>
      <w:r w:rsidR="00987D4C" w:rsidRPr="00D42F52">
        <w:rPr>
          <w:rFonts w:asciiTheme="majorHAnsi" w:hAnsiTheme="majorHAnsi" w:cstheme="majorHAnsi"/>
          <w:i/>
          <w:sz w:val="24"/>
          <w:szCs w:val="24"/>
        </w:rPr>
        <w:t>7</w:t>
      </w:r>
      <w:r w:rsidR="00C3404A" w:rsidRPr="00D42F52">
        <w:rPr>
          <w:rFonts w:asciiTheme="majorHAnsi" w:hAnsiTheme="majorHAnsi" w:cstheme="majorHAnsi"/>
          <w:i/>
          <w:sz w:val="24"/>
          <w:szCs w:val="24"/>
        </w:rPr>
        <w:t xml:space="preserve"> – Set to assess evaluating the value of </w:t>
      </w:r>
      <w:r w:rsidR="00987D4C" w:rsidRPr="00D42F52">
        <w:rPr>
          <w:rFonts w:asciiTheme="majorHAnsi" w:hAnsiTheme="majorHAnsi" w:cstheme="majorHAnsi"/>
          <w:i/>
          <w:sz w:val="24"/>
          <w:szCs w:val="24"/>
        </w:rPr>
        <w:t>‘k</w:t>
      </w:r>
      <w:r w:rsidR="00C3404A" w:rsidRPr="00D42F52">
        <w:rPr>
          <w:rFonts w:asciiTheme="majorHAnsi" w:hAnsiTheme="majorHAnsi" w:cstheme="majorHAnsi"/>
          <w:i/>
          <w:sz w:val="24"/>
          <w:szCs w:val="24"/>
        </w:rPr>
        <w:t xml:space="preserve">’ </w:t>
      </w:r>
      <w:r w:rsidR="00987D4C" w:rsidRPr="00D42F52">
        <w:rPr>
          <w:rFonts w:asciiTheme="majorHAnsi" w:hAnsiTheme="majorHAnsi" w:cstheme="majorHAnsi"/>
          <w:i/>
          <w:sz w:val="24"/>
          <w:szCs w:val="24"/>
        </w:rPr>
        <w:t>addressing the multiplication misconception in addition to evaluating the</w:t>
      </w:r>
      <w:r w:rsidR="00C3404A" w:rsidRPr="00D42F52">
        <w:rPr>
          <w:rFonts w:asciiTheme="majorHAnsi" w:hAnsiTheme="majorHAnsi" w:cstheme="majorHAnsi"/>
          <w:i/>
          <w:sz w:val="24"/>
          <w:szCs w:val="24"/>
        </w:rPr>
        <w:t xml:space="preserve"> solution</w:t>
      </w:r>
      <w:r w:rsidR="00987D4C" w:rsidRPr="00D42F52">
        <w:rPr>
          <w:rFonts w:asciiTheme="majorHAnsi" w:hAnsiTheme="majorHAnsi" w:cstheme="majorHAnsi"/>
          <w:i/>
          <w:sz w:val="24"/>
          <w:szCs w:val="24"/>
        </w:rPr>
        <w:t xml:space="preserve"> which</w:t>
      </w:r>
      <w:r w:rsidR="00C3404A" w:rsidRPr="00D42F52">
        <w:rPr>
          <w:rFonts w:asciiTheme="majorHAnsi" w:hAnsiTheme="majorHAnsi" w:cstheme="majorHAnsi"/>
          <w:i/>
          <w:sz w:val="24"/>
          <w:szCs w:val="24"/>
        </w:rPr>
        <w:t xml:space="preserve"> results in a decimal (or fraction)</w:t>
      </w:r>
    </w:p>
    <w:p w14:paraId="3178BEAD" w14:textId="77777777" w:rsidR="00444A6E" w:rsidRPr="00D42F52" w:rsidRDefault="00444A6E" w:rsidP="00D42F52">
      <w:pPr>
        <w:spacing w:after="0" w:line="480" w:lineRule="auto"/>
        <w:jc w:val="both"/>
        <w:rPr>
          <w:rFonts w:asciiTheme="majorHAnsi" w:hAnsiTheme="majorHAnsi" w:cstheme="majorHAnsi"/>
          <w:sz w:val="24"/>
          <w:szCs w:val="24"/>
        </w:rPr>
      </w:pPr>
    </w:p>
    <w:p w14:paraId="2131B829" w14:textId="15F042F5" w:rsidR="00CA6777" w:rsidRDefault="00D13ABB" w:rsidP="00D42F52">
      <w:pPr>
        <w:spacing w:after="0" w:line="480" w:lineRule="auto"/>
        <w:jc w:val="both"/>
        <w:rPr>
          <w:rStyle w:val="selectable"/>
          <w:rFonts w:asciiTheme="majorHAnsi" w:hAnsiTheme="majorHAnsi" w:cstheme="majorHAnsi"/>
          <w:sz w:val="24"/>
          <w:szCs w:val="24"/>
        </w:rPr>
      </w:pPr>
      <w:r w:rsidRPr="00D42F52">
        <w:rPr>
          <w:rFonts w:asciiTheme="majorHAnsi" w:hAnsiTheme="majorHAnsi" w:cstheme="majorHAnsi"/>
          <w:sz w:val="24"/>
          <w:szCs w:val="24"/>
        </w:rPr>
        <w:t xml:space="preserve">Booth; et al. (2016) identify numerous </w:t>
      </w:r>
      <w:r w:rsidR="005F519B" w:rsidRPr="00D42F52">
        <w:rPr>
          <w:rFonts w:asciiTheme="majorHAnsi" w:hAnsiTheme="majorHAnsi" w:cstheme="majorHAnsi"/>
          <w:sz w:val="24"/>
          <w:szCs w:val="24"/>
        </w:rPr>
        <w:t xml:space="preserve">procedural mathematical misconceptions which litter the teaching and learning of Algebra. The inclusion and testing of these misconceptions is included throughout the questions previously identified and are further supported by more specifically ‘algebraic’ misconceptions in further questions. </w:t>
      </w:r>
      <w:r w:rsidR="00D70D2F" w:rsidRPr="00D42F52">
        <w:rPr>
          <w:rFonts w:asciiTheme="majorHAnsi" w:hAnsiTheme="majorHAnsi" w:cstheme="majorHAnsi"/>
          <w:sz w:val="24"/>
          <w:szCs w:val="24"/>
        </w:rPr>
        <w:t>Further discussed by Booth and Koedinger (2008), the procedurals errors often seen within algebra also include collecting non-like terms</w:t>
      </w:r>
      <w:r w:rsidR="00151712" w:rsidRPr="00D42F52">
        <w:rPr>
          <w:rFonts w:asciiTheme="majorHAnsi" w:hAnsiTheme="majorHAnsi" w:cstheme="majorHAnsi"/>
          <w:sz w:val="24"/>
          <w:szCs w:val="24"/>
        </w:rPr>
        <w:t xml:space="preserve"> (Booth; et al. 2016, </w:t>
      </w:r>
      <w:proofErr w:type="spellStart"/>
      <w:r w:rsidR="00151712" w:rsidRPr="00D42F52">
        <w:rPr>
          <w:rStyle w:val="selectable"/>
          <w:rFonts w:asciiTheme="majorHAnsi" w:hAnsiTheme="majorHAnsi" w:cstheme="majorHAnsi"/>
          <w:sz w:val="24"/>
          <w:szCs w:val="24"/>
        </w:rPr>
        <w:t>Ojose</w:t>
      </w:r>
      <w:proofErr w:type="spellEnd"/>
      <w:r w:rsidR="00151712" w:rsidRPr="00D42F52">
        <w:rPr>
          <w:rStyle w:val="selectable"/>
          <w:rFonts w:asciiTheme="majorHAnsi" w:hAnsiTheme="majorHAnsi" w:cstheme="majorHAnsi"/>
          <w:sz w:val="24"/>
          <w:szCs w:val="24"/>
        </w:rPr>
        <w:t>, 2015</w:t>
      </w:r>
      <w:r w:rsidR="00151712" w:rsidRPr="00D42F52">
        <w:rPr>
          <w:rFonts w:asciiTheme="majorHAnsi" w:hAnsiTheme="majorHAnsi" w:cstheme="majorHAnsi"/>
          <w:sz w:val="24"/>
          <w:szCs w:val="24"/>
        </w:rPr>
        <w:t>). Question 2 (</w:t>
      </w:r>
      <w:r w:rsidR="00D57E77" w:rsidRPr="00D42F52">
        <w:rPr>
          <w:rFonts w:asciiTheme="majorHAnsi" w:hAnsiTheme="majorHAnsi" w:cstheme="majorHAnsi"/>
          <w:sz w:val="24"/>
          <w:szCs w:val="24"/>
        </w:rPr>
        <w:t>Figure</w:t>
      </w:r>
      <w:r w:rsidR="00151712" w:rsidRPr="00D42F52">
        <w:rPr>
          <w:rFonts w:asciiTheme="majorHAnsi" w:hAnsiTheme="majorHAnsi" w:cstheme="majorHAnsi"/>
          <w:sz w:val="24"/>
          <w:szCs w:val="24"/>
        </w:rPr>
        <w:t xml:space="preserve">1.7) was designed with this misconception in mind. It is suggested that pupils can often ‘forget’ or disregard </w:t>
      </w:r>
      <w:r w:rsidR="001E5C19" w:rsidRPr="00D42F52">
        <w:rPr>
          <w:rFonts w:asciiTheme="majorHAnsi" w:hAnsiTheme="majorHAnsi" w:cstheme="majorHAnsi"/>
          <w:sz w:val="24"/>
          <w:szCs w:val="24"/>
        </w:rPr>
        <w:t xml:space="preserve">their understanding of the variables and the operation performed, for example combining 2b + 2k = 4bk (Booth; et al. 2016, Booth &amp; Koedinger; 2008; </w:t>
      </w:r>
      <w:proofErr w:type="spellStart"/>
      <w:r w:rsidR="001E5C19" w:rsidRPr="00D42F52">
        <w:rPr>
          <w:rFonts w:asciiTheme="majorHAnsi" w:hAnsiTheme="majorHAnsi" w:cstheme="majorHAnsi"/>
          <w:sz w:val="24"/>
          <w:szCs w:val="24"/>
        </w:rPr>
        <w:t>Ojose</w:t>
      </w:r>
      <w:proofErr w:type="spellEnd"/>
      <w:r w:rsidR="001E5C19" w:rsidRPr="00D42F52">
        <w:rPr>
          <w:rFonts w:asciiTheme="majorHAnsi" w:hAnsiTheme="majorHAnsi" w:cstheme="majorHAnsi"/>
          <w:sz w:val="24"/>
          <w:szCs w:val="24"/>
        </w:rPr>
        <w:t>, 2015; Swan 2001).</w:t>
      </w:r>
      <w:r w:rsidR="00A660A3" w:rsidRPr="00D42F52">
        <w:rPr>
          <w:rFonts w:asciiTheme="majorHAnsi" w:hAnsiTheme="majorHAnsi" w:cstheme="majorHAnsi"/>
          <w:sz w:val="24"/>
          <w:szCs w:val="24"/>
        </w:rPr>
        <w:t xml:space="preserve"> Whilst the simplification of expressions or collecting like terms can pose a challenge for some learners</w:t>
      </w:r>
      <w:r w:rsidR="00A44338" w:rsidRPr="00D42F52">
        <w:rPr>
          <w:rFonts w:asciiTheme="majorHAnsi" w:hAnsiTheme="majorHAnsi" w:cstheme="majorHAnsi"/>
          <w:sz w:val="24"/>
          <w:szCs w:val="24"/>
        </w:rPr>
        <w:t xml:space="preserve">, (Booth; et al. 2016, Booth &amp; Koedinger; 2008; </w:t>
      </w:r>
      <w:proofErr w:type="spellStart"/>
      <w:r w:rsidR="00A44338" w:rsidRPr="00D42F52">
        <w:rPr>
          <w:rFonts w:asciiTheme="majorHAnsi" w:hAnsiTheme="majorHAnsi" w:cstheme="majorHAnsi"/>
          <w:sz w:val="24"/>
          <w:szCs w:val="24"/>
        </w:rPr>
        <w:t>Ojose</w:t>
      </w:r>
      <w:proofErr w:type="spellEnd"/>
      <w:r w:rsidR="00A44338" w:rsidRPr="00D42F52">
        <w:rPr>
          <w:rFonts w:asciiTheme="majorHAnsi" w:hAnsiTheme="majorHAnsi" w:cstheme="majorHAnsi"/>
          <w:sz w:val="24"/>
          <w:szCs w:val="24"/>
        </w:rPr>
        <w:t xml:space="preserve">, 2015; Swan 2001) the opportunity to assess a learner’s understanding of the operation in conjunction with this is key. Inclusion of a </w:t>
      </w:r>
      <w:r w:rsidR="00A44338" w:rsidRPr="00D42F52">
        <w:rPr>
          <w:rFonts w:asciiTheme="majorHAnsi" w:hAnsiTheme="majorHAnsi" w:cstheme="majorHAnsi"/>
          <w:sz w:val="24"/>
          <w:szCs w:val="24"/>
        </w:rPr>
        <w:lastRenderedPageBreak/>
        <w:t>question to identify the function and simplification of a simple multiplied expression can allow the misconception to be identified and addressed to manage the misconception and gain a greater understand of where it lies, regarding simple or conjoined errors (</w:t>
      </w:r>
      <w:proofErr w:type="spellStart"/>
      <w:r w:rsidR="00A44338" w:rsidRPr="00D42F52">
        <w:rPr>
          <w:rFonts w:asciiTheme="majorHAnsi" w:hAnsiTheme="majorHAnsi" w:cstheme="majorHAnsi"/>
          <w:sz w:val="24"/>
          <w:szCs w:val="24"/>
        </w:rPr>
        <w:t>Makonye</w:t>
      </w:r>
      <w:proofErr w:type="spellEnd"/>
      <w:r w:rsidR="00A44338" w:rsidRPr="00D42F52">
        <w:rPr>
          <w:rFonts w:asciiTheme="majorHAnsi" w:hAnsiTheme="majorHAnsi" w:cstheme="majorHAnsi"/>
          <w:sz w:val="24"/>
          <w:szCs w:val="24"/>
        </w:rPr>
        <w:t xml:space="preserve">, 2016). However, considering potential computational errors (Booth; et al. 2016) is suggested in this context, as discussed by </w:t>
      </w:r>
      <w:proofErr w:type="spellStart"/>
      <w:r w:rsidR="00A44338" w:rsidRPr="00D42F52">
        <w:rPr>
          <w:rFonts w:asciiTheme="majorHAnsi" w:hAnsiTheme="majorHAnsi" w:cstheme="majorHAnsi"/>
          <w:sz w:val="24"/>
          <w:szCs w:val="24"/>
        </w:rPr>
        <w:t>Alibali</w:t>
      </w:r>
      <w:proofErr w:type="spellEnd"/>
      <w:r w:rsidR="00A44338" w:rsidRPr="00D42F52">
        <w:rPr>
          <w:rFonts w:asciiTheme="majorHAnsi" w:hAnsiTheme="majorHAnsi" w:cstheme="majorHAnsi"/>
          <w:sz w:val="24"/>
          <w:szCs w:val="24"/>
        </w:rPr>
        <w:t xml:space="preserve">; et al (2001), pupils prior ability or knowledge of simple multiplication or division can often be a barrier to understanding in the teaching and learning of Algebra (Booth; et al. 2016; </w:t>
      </w:r>
      <w:r w:rsidR="00A44338" w:rsidRPr="00D42F52">
        <w:rPr>
          <w:rStyle w:val="selectable"/>
          <w:rFonts w:asciiTheme="majorHAnsi" w:hAnsiTheme="majorHAnsi" w:cstheme="majorHAnsi"/>
          <w:sz w:val="24"/>
          <w:szCs w:val="24"/>
        </w:rPr>
        <w:t xml:space="preserve">Booth, J and Koedinger, K., 2008). Question 6, </w:t>
      </w:r>
      <w:r w:rsidR="00D57E77" w:rsidRPr="00D42F52">
        <w:rPr>
          <w:rStyle w:val="selectable"/>
          <w:rFonts w:asciiTheme="majorHAnsi" w:hAnsiTheme="majorHAnsi" w:cstheme="majorHAnsi"/>
          <w:sz w:val="24"/>
          <w:szCs w:val="24"/>
        </w:rPr>
        <w:t>Figure</w:t>
      </w:r>
      <w:r w:rsidR="00A44338" w:rsidRPr="00D42F52">
        <w:rPr>
          <w:rStyle w:val="selectable"/>
          <w:rFonts w:asciiTheme="majorHAnsi" w:hAnsiTheme="majorHAnsi" w:cstheme="majorHAnsi"/>
          <w:sz w:val="24"/>
          <w:szCs w:val="24"/>
        </w:rPr>
        <w:t xml:space="preserve">1.8 allows the opportunity for computational understanding alongside conceptual knowledge and understanding of algebraic expressions to be assessed. </w:t>
      </w:r>
    </w:p>
    <w:p w14:paraId="3D457D5B" w14:textId="77777777" w:rsidR="00D42F52" w:rsidRPr="00D42F52" w:rsidRDefault="00D42F52" w:rsidP="00D42F52">
      <w:pPr>
        <w:spacing w:after="0" w:line="480" w:lineRule="auto"/>
        <w:jc w:val="both"/>
        <w:rPr>
          <w:rFonts w:asciiTheme="majorHAnsi" w:hAnsiTheme="majorHAnsi" w:cstheme="majorHAnsi"/>
          <w:sz w:val="24"/>
          <w:szCs w:val="24"/>
        </w:rPr>
      </w:pPr>
    </w:p>
    <w:p w14:paraId="49BF9FDD" w14:textId="50A1D2D2" w:rsidR="00CA6777" w:rsidRPr="00D42F52" w:rsidRDefault="00CA6777"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noProof/>
          <w:sz w:val="24"/>
          <w:szCs w:val="24"/>
        </w:rPr>
        <w:drawing>
          <wp:inline distT="0" distB="0" distL="0" distR="0" wp14:anchorId="6B219575" wp14:editId="2DD0C0ED">
            <wp:extent cx="5731510" cy="723569"/>
            <wp:effectExtent l="57150" t="57150" r="116840" b="1149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6A82A75.tmp"/>
                    <pic:cNvPicPr/>
                  </pic:nvPicPr>
                  <pic:blipFill rotWithShape="1">
                    <a:blip r:embed="rId14">
                      <a:extLst>
                        <a:ext uri="{28A0092B-C50C-407E-A947-70E740481C1C}">
                          <a14:useLocalDpi xmlns:a14="http://schemas.microsoft.com/office/drawing/2010/main" val="0"/>
                        </a:ext>
                      </a:extLst>
                    </a:blip>
                    <a:srcRect b="30604"/>
                    <a:stretch/>
                  </pic:blipFill>
                  <pic:spPr bwMode="auto">
                    <a:xfrm>
                      <a:off x="0" y="0"/>
                      <a:ext cx="5731510" cy="723569"/>
                    </a:xfrm>
                    <a:prstGeom prst="rect">
                      <a:avLst/>
                    </a:prstGeom>
                    <a:ln>
                      <a:solidFill>
                        <a:schemeClr val="tx1"/>
                      </a:solid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50031A4A" w14:textId="485D9B61" w:rsidR="00CA6777" w:rsidRDefault="001E5C19" w:rsidP="00D42F52">
      <w:pPr>
        <w:spacing w:after="0" w:line="480" w:lineRule="auto"/>
        <w:jc w:val="right"/>
        <w:rPr>
          <w:rFonts w:asciiTheme="majorHAnsi" w:hAnsiTheme="majorHAnsi" w:cstheme="majorHAnsi"/>
          <w:i/>
          <w:sz w:val="24"/>
          <w:szCs w:val="24"/>
        </w:rPr>
      </w:pPr>
      <w:r w:rsidRPr="00D42F52">
        <w:rPr>
          <w:rFonts w:asciiTheme="majorHAnsi" w:hAnsiTheme="majorHAnsi" w:cstheme="majorHAnsi"/>
          <w:sz w:val="24"/>
          <w:szCs w:val="24"/>
        </w:rPr>
        <w:t xml:space="preserve"> </w:t>
      </w:r>
      <w:r w:rsidR="00D57E77" w:rsidRPr="00D42F52">
        <w:rPr>
          <w:rFonts w:asciiTheme="majorHAnsi" w:hAnsiTheme="majorHAnsi" w:cstheme="majorHAnsi"/>
          <w:i/>
          <w:sz w:val="24"/>
          <w:szCs w:val="24"/>
        </w:rPr>
        <w:t>Figure</w:t>
      </w:r>
      <w:r w:rsidR="00CA6777" w:rsidRPr="00D42F52">
        <w:rPr>
          <w:rFonts w:asciiTheme="majorHAnsi" w:hAnsiTheme="majorHAnsi" w:cstheme="majorHAnsi"/>
          <w:i/>
          <w:sz w:val="24"/>
          <w:szCs w:val="24"/>
        </w:rPr>
        <w:t>1.7 – Question 2 – Set to assess learners understanding of simplifying and collecting ‘like terms’.</w:t>
      </w:r>
    </w:p>
    <w:p w14:paraId="4A1EAD6E" w14:textId="77777777" w:rsidR="00D42F52" w:rsidRPr="00D42F52" w:rsidRDefault="00D42F52" w:rsidP="00D42F52">
      <w:pPr>
        <w:spacing w:after="0" w:line="480" w:lineRule="auto"/>
        <w:jc w:val="both"/>
        <w:rPr>
          <w:rFonts w:asciiTheme="majorHAnsi" w:hAnsiTheme="majorHAnsi" w:cstheme="majorHAnsi"/>
          <w:i/>
          <w:sz w:val="24"/>
          <w:szCs w:val="24"/>
        </w:rPr>
      </w:pPr>
    </w:p>
    <w:p w14:paraId="3CD03384" w14:textId="743B9939" w:rsidR="00326813" w:rsidRPr="00D42F52" w:rsidRDefault="00326813" w:rsidP="00D42F52">
      <w:pPr>
        <w:spacing w:after="0" w:line="480" w:lineRule="auto"/>
        <w:jc w:val="right"/>
        <w:rPr>
          <w:rFonts w:asciiTheme="majorHAnsi" w:hAnsiTheme="majorHAnsi" w:cstheme="majorHAnsi"/>
          <w:i/>
          <w:sz w:val="24"/>
          <w:szCs w:val="24"/>
        </w:rPr>
      </w:pPr>
      <w:r w:rsidRPr="00D42F52">
        <w:rPr>
          <w:rFonts w:asciiTheme="majorHAnsi" w:hAnsiTheme="majorHAnsi" w:cstheme="majorHAnsi"/>
          <w:i/>
          <w:noProof/>
          <w:sz w:val="24"/>
          <w:szCs w:val="24"/>
        </w:rPr>
        <w:drawing>
          <wp:inline distT="0" distB="0" distL="0" distR="0" wp14:anchorId="7CAE530A" wp14:editId="206FF40F">
            <wp:extent cx="5731510" cy="746760"/>
            <wp:effectExtent l="57150" t="57150" r="116840" b="1104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6A88718.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746760"/>
                    </a:xfrm>
                    <a:prstGeom prst="rect">
                      <a:avLst/>
                    </a:prstGeom>
                    <a:ln>
                      <a:solidFill>
                        <a:schemeClr val="tx1"/>
                      </a:solidFill>
                    </a:ln>
                    <a:effectLst>
                      <a:outerShdw blurRad="50800" dist="38100" dir="2700000" algn="tl" rotWithShape="0">
                        <a:prstClr val="black">
                          <a:alpha val="40000"/>
                        </a:prstClr>
                      </a:outerShdw>
                    </a:effectLst>
                  </pic:spPr>
                </pic:pic>
              </a:graphicData>
            </a:graphic>
          </wp:inline>
        </w:drawing>
      </w:r>
      <w:r w:rsidR="00D57E77" w:rsidRPr="00D42F52">
        <w:rPr>
          <w:rFonts w:asciiTheme="majorHAnsi" w:hAnsiTheme="majorHAnsi" w:cstheme="majorHAnsi"/>
          <w:i/>
          <w:sz w:val="24"/>
          <w:szCs w:val="24"/>
        </w:rPr>
        <w:t>Figure</w:t>
      </w:r>
      <w:r w:rsidRPr="00D42F52">
        <w:rPr>
          <w:rFonts w:asciiTheme="majorHAnsi" w:hAnsiTheme="majorHAnsi" w:cstheme="majorHAnsi"/>
          <w:i/>
          <w:sz w:val="24"/>
          <w:szCs w:val="24"/>
        </w:rPr>
        <w:t>1.8 – Question 6 – Designed to assess learners understanding of simplifying expressions alongside computational understanding of the operations implied.</w:t>
      </w:r>
    </w:p>
    <w:p w14:paraId="6AAE188F" w14:textId="6FACDB9B" w:rsidR="00A44338" w:rsidRPr="00D42F52" w:rsidRDefault="00A44338" w:rsidP="00D42F52">
      <w:pPr>
        <w:spacing w:after="0" w:line="480" w:lineRule="auto"/>
        <w:jc w:val="both"/>
        <w:rPr>
          <w:rFonts w:asciiTheme="majorHAnsi" w:hAnsiTheme="majorHAnsi" w:cstheme="majorHAnsi"/>
          <w:i/>
          <w:sz w:val="24"/>
          <w:szCs w:val="24"/>
        </w:rPr>
      </w:pPr>
    </w:p>
    <w:p w14:paraId="2CA9C986" w14:textId="2DE6E96C" w:rsidR="004B1EB3" w:rsidRDefault="001E5C19"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This misconception is further tested in Question 8 (</w:t>
      </w:r>
      <w:r w:rsidR="00D57E77" w:rsidRPr="00D42F52">
        <w:rPr>
          <w:rFonts w:asciiTheme="majorHAnsi" w:hAnsiTheme="majorHAnsi" w:cstheme="majorHAnsi"/>
          <w:sz w:val="24"/>
          <w:szCs w:val="24"/>
        </w:rPr>
        <w:t>Figure</w:t>
      </w:r>
      <w:r w:rsidRPr="00D42F52">
        <w:rPr>
          <w:rFonts w:asciiTheme="majorHAnsi" w:hAnsiTheme="majorHAnsi" w:cstheme="majorHAnsi"/>
          <w:sz w:val="24"/>
          <w:szCs w:val="24"/>
        </w:rPr>
        <w:t>1.</w:t>
      </w:r>
      <w:r w:rsidR="00A44338" w:rsidRPr="00D42F52">
        <w:rPr>
          <w:rFonts w:asciiTheme="majorHAnsi" w:hAnsiTheme="majorHAnsi" w:cstheme="majorHAnsi"/>
          <w:sz w:val="24"/>
          <w:szCs w:val="24"/>
        </w:rPr>
        <w:t>9</w:t>
      </w:r>
      <w:r w:rsidRPr="00D42F52">
        <w:rPr>
          <w:rFonts w:asciiTheme="majorHAnsi" w:hAnsiTheme="majorHAnsi" w:cstheme="majorHAnsi"/>
          <w:sz w:val="24"/>
          <w:szCs w:val="24"/>
        </w:rPr>
        <w:t xml:space="preserve">) which presents the opportunity for collecting non-like terms along side the misconception for cancelling out terms </w:t>
      </w:r>
      <w:r w:rsidR="00CB4618" w:rsidRPr="00D42F52">
        <w:rPr>
          <w:rFonts w:asciiTheme="majorHAnsi" w:hAnsiTheme="majorHAnsi" w:cstheme="majorHAnsi"/>
          <w:sz w:val="24"/>
          <w:szCs w:val="24"/>
        </w:rPr>
        <w:t xml:space="preserve">discussed by </w:t>
      </w:r>
      <w:proofErr w:type="spellStart"/>
      <w:r w:rsidR="00CB4618" w:rsidRPr="00D42F52">
        <w:rPr>
          <w:rFonts w:asciiTheme="majorHAnsi" w:hAnsiTheme="majorHAnsi" w:cstheme="majorHAnsi"/>
          <w:sz w:val="24"/>
          <w:szCs w:val="24"/>
        </w:rPr>
        <w:t>Makonye</w:t>
      </w:r>
      <w:proofErr w:type="spellEnd"/>
      <w:r w:rsidR="00CB4618" w:rsidRPr="00D42F52">
        <w:rPr>
          <w:rFonts w:asciiTheme="majorHAnsi" w:hAnsiTheme="majorHAnsi" w:cstheme="majorHAnsi"/>
          <w:sz w:val="24"/>
          <w:szCs w:val="24"/>
        </w:rPr>
        <w:t xml:space="preserve"> (201</w:t>
      </w:r>
      <w:r w:rsidR="009546DA" w:rsidRPr="00D42F52">
        <w:rPr>
          <w:rFonts w:asciiTheme="majorHAnsi" w:hAnsiTheme="majorHAnsi" w:cstheme="majorHAnsi"/>
          <w:sz w:val="24"/>
          <w:szCs w:val="24"/>
        </w:rPr>
        <w:t>6)</w:t>
      </w:r>
      <w:r w:rsidR="004B1EB3" w:rsidRPr="00D42F52">
        <w:rPr>
          <w:rFonts w:asciiTheme="majorHAnsi" w:hAnsiTheme="majorHAnsi" w:cstheme="majorHAnsi"/>
          <w:sz w:val="24"/>
          <w:szCs w:val="24"/>
        </w:rPr>
        <w:t xml:space="preserve">. </w:t>
      </w:r>
      <w:proofErr w:type="spellStart"/>
      <w:r w:rsidR="004B1EB3" w:rsidRPr="00D42F52">
        <w:rPr>
          <w:rFonts w:asciiTheme="majorHAnsi" w:hAnsiTheme="majorHAnsi" w:cstheme="majorHAnsi"/>
          <w:sz w:val="24"/>
          <w:szCs w:val="24"/>
        </w:rPr>
        <w:t>Makonye</w:t>
      </w:r>
      <w:proofErr w:type="spellEnd"/>
      <w:r w:rsidR="004B1EB3" w:rsidRPr="00D42F52">
        <w:rPr>
          <w:rFonts w:asciiTheme="majorHAnsi" w:hAnsiTheme="majorHAnsi" w:cstheme="majorHAnsi"/>
          <w:sz w:val="24"/>
          <w:szCs w:val="24"/>
        </w:rPr>
        <w:t xml:space="preserve"> (2016), </w:t>
      </w:r>
      <w:r w:rsidR="00A50112" w:rsidRPr="00D42F52">
        <w:rPr>
          <w:rFonts w:asciiTheme="majorHAnsi" w:hAnsiTheme="majorHAnsi" w:cstheme="majorHAnsi"/>
          <w:sz w:val="24"/>
          <w:szCs w:val="24"/>
        </w:rPr>
        <w:t xml:space="preserve">suggests pupils often </w:t>
      </w:r>
      <w:r w:rsidR="00BA4763" w:rsidRPr="00D42F52">
        <w:rPr>
          <w:rFonts w:asciiTheme="majorHAnsi" w:hAnsiTheme="majorHAnsi" w:cstheme="majorHAnsi"/>
          <w:sz w:val="24"/>
          <w:szCs w:val="24"/>
        </w:rPr>
        <w:t>‘conjoin errors’, many of which include non-sensical cancelling of terms</w:t>
      </w:r>
      <w:r w:rsidR="004B1EB3" w:rsidRPr="00D42F52">
        <w:rPr>
          <w:rFonts w:asciiTheme="majorHAnsi" w:hAnsiTheme="majorHAnsi" w:cstheme="majorHAnsi"/>
          <w:sz w:val="24"/>
          <w:szCs w:val="24"/>
        </w:rPr>
        <w:t xml:space="preserve"> and discusses a further mis</w:t>
      </w:r>
      <w:r w:rsidRPr="00D42F52">
        <w:rPr>
          <w:rFonts w:asciiTheme="majorHAnsi" w:hAnsiTheme="majorHAnsi" w:cstheme="majorHAnsi"/>
          <w:sz w:val="24"/>
          <w:szCs w:val="24"/>
        </w:rPr>
        <w:t>understanding</w:t>
      </w:r>
      <w:r w:rsidR="004B1EB3" w:rsidRPr="00D42F52">
        <w:rPr>
          <w:rFonts w:asciiTheme="majorHAnsi" w:hAnsiTheme="majorHAnsi" w:cstheme="majorHAnsi"/>
          <w:sz w:val="24"/>
          <w:szCs w:val="24"/>
        </w:rPr>
        <w:t xml:space="preserve"> of</w:t>
      </w:r>
      <w:r w:rsidRPr="00D42F52">
        <w:rPr>
          <w:rFonts w:asciiTheme="majorHAnsi" w:hAnsiTheme="majorHAnsi" w:cstheme="majorHAnsi"/>
          <w:sz w:val="24"/>
          <w:szCs w:val="24"/>
        </w:rPr>
        <w:t xml:space="preserve"> the </w:t>
      </w:r>
      <w:r w:rsidRPr="00D42F52">
        <w:rPr>
          <w:rFonts w:asciiTheme="majorHAnsi" w:hAnsiTheme="majorHAnsi" w:cstheme="majorHAnsi"/>
          <w:sz w:val="24"/>
          <w:szCs w:val="24"/>
        </w:rPr>
        <w:lastRenderedPageBreak/>
        <w:t>procedural operation</w:t>
      </w:r>
      <w:r w:rsidR="004B1EB3" w:rsidRPr="00D42F52">
        <w:rPr>
          <w:rFonts w:asciiTheme="majorHAnsi" w:hAnsiTheme="majorHAnsi" w:cstheme="majorHAnsi"/>
          <w:sz w:val="24"/>
          <w:szCs w:val="24"/>
        </w:rPr>
        <w:t xml:space="preserve"> as identified by Booth &amp; Koedinger (2008)</w:t>
      </w:r>
      <w:r w:rsidRPr="00D42F52">
        <w:rPr>
          <w:rFonts w:asciiTheme="majorHAnsi" w:hAnsiTheme="majorHAnsi" w:cstheme="majorHAnsi"/>
          <w:sz w:val="24"/>
          <w:szCs w:val="24"/>
        </w:rPr>
        <w:t>.</w:t>
      </w:r>
      <w:r w:rsidR="00F05AEB" w:rsidRPr="00D42F52">
        <w:rPr>
          <w:rFonts w:asciiTheme="majorHAnsi" w:hAnsiTheme="majorHAnsi" w:cstheme="majorHAnsi"/>
          <w:sz w:val="24"/>
          <w:szCs w:val="24"/>
        </w:rPr>
        <w:t xml:space="preserve"> Suggested by McGowen (2017), negative functions often are disregarded or ‘ignored’ by pupils when considering algebraic equations, hence, this question (</w:t>
      </w:r>
      <w:r w:rsidR="00D57E77" w:rsidRPr="00D42F52">
        <w:rPr>
          <w:rFonts w:asciiTheme="majorHAnsi" w:hAnsiTheme="majorHAnsi" w:cstheme="majorHAnsi"/>
          <w:sz w:val="24"/>
          <w:szCs w:val="24"/>
        </w:rPr>
        <w:t>Figure</w:t>
      </w:r>
      <w:r w:rsidR="00F05AEB" w:rsidRPr="00D42F52">
        <w:rPr>
          <w:rFonts w:asciiTheme="majorHAnsi" w:hAnsiTheme="majorHAnsi" w:cstheme="majorHAnsi"/>
          <w:sz w:val="24"/>
          <w:szCs w:val="24"/>
        </w:rPr>
        <w:t>1.</w:t>
      </w:r>
      <w:r w:rsidR="00A44338" w:rsidRPr="00D42F52">
        <w:rPr>
          <w:rFonts w:asciiTheme="majorHAnsi" w:hAnsiTheme="majorHAnsi" w:cstheme="majorHAnsi"/>
          <w:sz w:val="24"/>
          <w:szCs w:val="24"/>
        </w:rPr>
        <w:t>9</w:t>
      </w:r>
      <w:r w:rsidR="00F05AEB" w:rsidRPr="00D42F52">
        <w:rPr>
          <w:rFonts w:asciiTheme="majorHAnsi" w:hAnsiTheme="majorHAnsi" w:cstheme="majorHAnsi"/>
          <w:sz w:val="24"/>
          <w:szCs w:val="24"/>
        </w:rPr>
        <w:t>) allows for assessment of this in conjunction with the diagnostic opportunity for accumulated errors (</w:t>
      </w:r>
      <w:proofErr w:type="spellStart"/>
      <w:r w:rsidR="00F05AEB" w:rsidRPr="00D42F52">
        <w:rPr>
          <w:rFonts w:asciiTheme="majorHAnsi" w:hAnsiTheme="majorHAnsi" w:cstheme="majorHAnsi"/>
          <w:sz w:val="24"/>
          <w:szCs w:val="24"/>
        </w:rPr>
        <w:t>Makonye</w:t>
      </w:r>
      <w:proofErr w:type="spellEnd"/>
      <w:r w:rsidR="00F05AEB" w:rsidRPr="00D42F52">
        <w:rPr>
          <w:rFonts w:asciiTheme="majorHAnsi" w:hAnsiTheme="majorHAnsi" w:cstheme="majorHAnsi"/>
          <w:sz w:val="24"/>
          <w:szCs w:val="24"/>
        </w:rPr>
        <w:t xml:space="preserve">, 2016). </w:t>
      </w:r>
    </w:p>
    <w:p w14:paraId="0E959427" w14:textId="77777777" w:rsidR="00D42F52" w:rsidRPr="00D42F52" w:rsidRDefault="00D42F52" w:rsidP="00D42F52">
      <w:pPr>
        <w:spacing w:after="0" w:line="480" w:lineRule="auto"/>
        <w:jc w:val="both"/>
        <w:rPr>
          <w:rFonts w:asciiTheme="majorHAnsi" w:hAnsiTheme="majorHAnsi" w:cstheme="majorHAnsi"/>
          <w:sz w:val="24"/>
          <w:szCs w:val="24"/>
        </w:rPr>
      </w:pPr>
    </w:p>
    <w:p w14:paraId="1C5D82C8" w14:textId="1D4B6355" w:rsidR="00F05AEB" w:rsidRPr="00D42F52" w:rsidRDefault="00F05AEB"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noProof/>
          <w:sz w:val="24"/>
          <w:szCs w:val="24"/>
        </w:rPr>
        <w:drawing>
          <wp:inline distT="0" distB="0" distL="0" distR="0" wp14:anchorId="702E8613" wp14:editId="161F9370">
            <wp:extent cx="5731510" cy="659959"/>
            <wp:effectExtent l="57150" t="57150" r="116840" b="1212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6A85662.tmp"/>
                    <pic:cNvPicPr/>
                  </pic:nvPicPr>
                  <pic:blipFill rotWithShape="1">
                    <a:blip r:embed="rId16">
                      <a:extLst>
                        <a:ext uri="{28A0092B-C50C-407E-A947-70E740481C1C}">
                          <a14:useLocalDpi xmlns:a14="http://schemas.microsoft.com/office/drawing/2010/main" val="0"/>
                        </a:ext>
                      </a:extLst>
                    </a:blip>
                    <a:srcRect b="25338"/>
                    <a:stretch/>
                  </pic:blipFill>
                  <pic:spPr bwMode="auto">
                    <a:xfrm>
                      <a:off x="0" y="0"/>
                      <a:ext cx="5731510" cy="659959"/>
                    </a:xfrm>
                    <a:prstGeom prst="rect">
                      <a:avLst/>
                    </a:prstGeom>
                    <a:ln w="9525" cap="flat" cmpd="sng" algn="ctr">
                      <a:solidFill>
                        <a:sysClr val="windowText" lastClr="000000"/>
                      </a:solidFill>
                      <a:prstDash val="solid"/>
                      <a:round/>
                      <a:headEnd type="none" w="med" len="med"/>
                      <a:tailEnd type="none" w="med" len="med"/>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1ECA6A2A" w14:textId="1B614D53" w:rsidR="00F05AEB" w:rsidRDefault="00D57E77" w:rsidP="00D42F52">
      <w:pPr>
        <w:spacing w:after="0" w:line="480" w:lineRule="auto"/>
        <w:jc w:val="right"/>
        <w:rPr>
          <w:rFonts w:asciiTheme="majorHAnsi" w:hAnsiTheme="majorHAnsi" w:cstheme="majorHAnsi"/>
          <w:i/>
          <w:sz w:val="24"/>
          <w:szCs w:val="24"/>
        </w:rPr>
      </w:pPr>
      <w:r w:rsidRPr="00D42F52">
        <w:rPr>
          <w:rFonts w:asciiTheme="majorHAnsi" w:hAnsiTheme="majorHAnsi" w:cstheme="majorHAnsi"/>
          <w:i/>
          <w:sz w:val="24"/>
          <w:szCs w:val="24"/>
        </w:rPr>
        <w:t>Figure</w:t>
      </w:r>
      <w:r w:rsidR="00F05AEB" w:rsidRPr="00D42F52">
        <w:rPr>
          <w:rFonts w:asciiTheme="majorHAnsi" w:hAnsiTheme="majorHAnsi" w:cstheme="majorHAnsi"/>
          <w:i/>
          <w:sz w:val="24"/>
          <w:szCs w:val="24"/>
        </w:rPr>
        <w:t>1.</w:t>
      </w:r>
      <w:r w:rsidR="00A44338" w:rsidRPr="00D42F52">
        <w:rPr>
          <w:rFonts w:asciiTheme="majorHAnsi" w:hAnsiTheme="majorHAnsi" w:cstheme="majorHAnsi"/>
          <w:i/>
          <w:sz w:val="24"/>
          <w:szCs w:val="24"/>
        </w:rPr>
        <w:t>9</w:t>
      </w:r>
      <w:r w:rsidR="00F05AEB" w:rsidRPr="00D42F52">
        <w:rPr>
          <w:rFonts w:asciiTheme="majorHAnsi" w:hAnsiTheme="majorHAnsi" w:cstheme="majorHAnsi"/>
          <w:i/>
          <w:sz w:val="24"/>
          <w:szCs w:val="24"/>
        </w:rPr>
        <w:t xml:space="preserve"> – Question 8 – set to help identify misconceptions in collecting like terms in addition to ‘cancelling’ terms, and conjoined errors.</w:t>
      </w:r>
    </w:p>
    <w:p w14:paraId="7EE0229E" w14:textId="77777777" w:rsidR="00D42F52" w:rsidRPr="00D42F52" w:rsidRDefault="00D42F52" w:rsidP="00D42F52">
      <w:pPr>
        <w:spacing w:after="0" w:line="480" w:lineRule="auto"/>
        <w:jc w:val="both"/>
        <w:rPr>
          <w:rFonts w:asciiTheme="majorHAnsi" w:hAnsiTheme="majorHAnsi" w:cstheme="majorHAnsi"/>
          <w:i/>
          <w:sz w:val="24"/>
          <w:szCs w:val="24"/>
        </w:rPr>
      </w:pPr>
    </w:p>
    <w:p w14:paraId="0007D520" w14:textId="779D13D0" w:rsidR="00B02D11" w:rsidRDefault="00A660A3" w:rsidP="00D42F52">
      <w:pPr>
        <w:spacing w:after="0" w:line="480" w:lineRule="auto"/>
        <w:jc w:val="both"/>
        <w:rPr>
          <w:rStyle w:val="selectable"/>
          <w:rFonts w:asciiTheme="majorHAnsi" w:hAnsiTheme="majorHAnsi" w:cstheme="majorHAnsi"/>
          <w:sz w:val="24"/>
          <w:szCs w:val="24"/>
        </w:rPr>
      </w:pPr>
      <w:r w:rsidRPr="00D42F52">
        <w:rPr>
          <w:rFonts w:asciiTheme="majorHAnsi" w:hAnsiTheme="majorHAnsi" w:cstheme="majorHAnsi"/>
          <w:sz w:val="24"/>
          <w:szCs w:val="24"/>
        </w:rPr>
        <w:t xml:space="preserve">Whilst computational and procedural errors in Algebra can be vast, and often shrouded in prior numerical misconceptions (Booth; et al. 2016, </w:t>
      </w:r>
      <w:r w:rsidRPr="00D42F52">
        <w:rPr>
          <w:rStyle w:val="selectable"/>
          <w:rFonts w:asciiTheme="majorHAnsi" w:hAnsiTheme="majorHAnsi" w:cstheme="majorHAnsi"/>
          <w:sz w:val="24"/>
          <w:szCs w:val="24"/>
        </w:rPr>
        <w:t xml:space="preserve">Booth &amp; Koedinger, 2008 &amp; </w:t>
      </w:r>
      <w:proofErr w:type="spellStart"/>
      <w:r w:rsidRPr="00D42F52">
        <w:rPr>
          <w:rStyle w:val="selectable"/>
          <w:rFonts w:asciiTheme="majorHAnsi" w:hAnsiTheme="majorHAnsi" w:cstheme="majorHAnsi"/>
          <w:sz w:val="24"/>
          <w:szCs w:val="24"/>
        </w:rPr>
        <w:t>Linchevski</w:t>
      </w:r>
      <w:proofErr w:type="spellEnd"/>
      <w:r w:rsidRPr="00D42F52">
        <w:rPr>
          <w:rStyle w:val="selectable"/>
          <w:rFonts w:asciiTheme="majorHAnsi" w:hAnsiTheme="majorHAnsi" w:cstheme="majorHAnsi"/>
          <w:sz w:val="24"/>
          <w:szCs w:val="24"/>
        </w:rPr>
        <w:t xml:space="preserve"> &amp; Williams, 1999 cited in Booth; et al. 2016</w:t>
      </w:r>
      <w:r w:rsidR="00D07656" w:rsidRPr="00D42F52">
        <w:rPr>
          <w:rStyle w:val="selectable"/>
          <w:rFonts w:asciiTheme="majorHAnsi" w:hAnsiTheme="majorHAnsi" w:cstheme="majorHAnsi"/>
          <w:sz w:val="24"/>
          <w:szCs w:val="24"/>
        </w:rPr>
        <w:t xml:space="preserve">, </w:t>
      </w:r>
      <w:proofErr w:type="spellStart"/>
      <w:r w:rsidR="00D07656" w:rsidRPr="00D42F52">
        <w:rPr>
          <w:rStyle w:val="selectable"/>
          <w:rFonts w:asciiTheme="majorHAnsi" w:hAnsiTheme="majorHAnsi" w:cstheme="majorHAnsi"/>
          <w:sz w:val="24"/>
          <w:szCs w:val="24"/>
        </w:rPr>
        <w:t>Alibali</w:t>
      </w:r>
      <w:proofErr w:type="spellEnd"/>
      <w:r w:rsidR="00D07656" w:rsidRPr="00D42F52">
        <w:rPr>
          <w:rStyle w:val="selectable"/>
          <w:rFonts w:asciiTheme="majorHAnsi" w:hAnsiTheme="majorHAnsi" w:cstheme="majorHAnsi"/>
          <w:sz w:val="24"/>
          <w:szCs w:val="24"/>
        </w:rPr>
        <w:t>; et al, 2001</w:t>
      </w:r>
      <w:r w:rsidRPr="00D42F52">
        <w:rPr>
          <w:rStyle w:val="selectable"/>
          <w:rFonts w:asciiTheme="majorHAnsi" w:hAnsiTheme="majorHAnsi" w:cstheme="majorHAnsi"/>
          <w:sz w:val="24"/>
          <w:szCs w:val="24"/>
        </w:rPr>
        <w:t>)</w:t>
      </w:r>
      <w:r w:rsidR="00326813" w:rsidRPr="00D42F52">
        <w:rPr>
          <w:rStyle w:val="selectable"/>
          <w:rFonts w:asciiTheme="majorHAnsi" w:hAnsiTheme="majorHAnsi" w:cstheme="majorHAnsi"/>
          <w:sz w:val="24"/>
          <w:szCs w:val="24"/>
        </w:rPr>
        <w:t xml:space="preserve">, </w:t>
      </w:r>
      <w:r w:rsidR="00DA20C1" w:rsidRPr="00D42F52">
        <w:rPr>
          <w:rStyle w:val="selectable"/>
          <w:rFonts w:asciiTheme="majorHAnsi" w:hAnsiTheme="majorHAnsi" w:cstheme="majorHAnsi"/>
          <w:sz w:val="24"/>
          <w:szCs w:val="24"/>
        </w:rPr>
        <w:t xml:space="preserve">its recognised that the use of brackets within </w:t>
      </w:r>
      <w:r w:rsidR="00326813" w:rsidRPr="00D42F52">
        <w:rPr>
          <w:rStyle w:val="selectable"/>
          <w:rFonts w:asciiTheme="majorHAnsi" w:hAnsiTheme="majorHAnsi" w:cstheme="majorHAnsi"/>
          <w:sz w:val="24"/>
          <w:szCs w:val="24"/>
        </w:rPr>
        <w:t xml:space="preserve">Algebra itself </w:t>
      </w:r>
      <w:r w:rsidR="00DA20C1" w:rsidRPr="00D42F52">
        <w:rPr>
          <w:rStyle w:val="selectable"/>
          <w:rFonts w:asciiTheme="majorHAnsi" w:hAnsiTheme="majorHAnsi" w:cstheme="majorHAnsi"/>
          <w:sz w:val="24"/>
          <w:szCs w:val="24"/>
        </w:rPr>
        <w:t xml:space="preserve">holds specific misconception (Welder, 2006). Discussed by Welder (2006) although the order of operations provides the cornerstone of mathematic mastery </w:t>
      </w:r>
      <w:r w:rsidR="00DA20C1" w:rsidRPr="00D42F52">
        <w:rPr>
          <w:rFonts w:asciiTheme="majorHAnsi" w:hAnsiTheme="majorHAnsi" w:cstheme="majorHAnsi"/>
          <w:sz w:val="24"/>
          <w:szCs w:val="24"/>
        </w:rPr>
        <w:t>(Gardella, 2009; Kieran, 1979, cited in Springer, 2016), expanding brackets within expressions or equations requires the learner to adopt a greater, more flexible understanding of brackets in order to solve (Welder, 2006;</w:t>
      </w:r>
      <w:r w:rsidR="00DA20C1" w:rsidRPr="00D42F52">
        <w:rPr>
          <w:rStyle w:val="selectable"/>
          <w:rFonts w:asciiTheme="majorHAnsi" w:hAnsiTheme="majorHAnsi" w:cstheme="majorHAnsi"/>
          <w:sz w:val="24"/>
          <w:szCs w:val="24"/>
        </w:rPr>
        <w:t xml:space="preserve"> Coughlan, n.d.). </w:t>
      </w:r>
      <w:r w:rsidR="00B02D11" w:rsidRPr="00D42F52">
        <w:rPr>
          <w:rStyle w:val="selectable"/>
          <w:rFonts w:asciiTheme="majorHAnsi" w:hAnsiTheme="majorHAnsi" w:cstheme="majorHAnsi"/>
          <w:sz w:val="24"/>
          <w:szCs w:val="24"/>
        </w:rPr>
        <w:t xml:space="preserve"> Question 9 (</w:t>
      </w:r>
      <w:r w:rsidR="00D57E77" w:rsidRPr="00D42F52">
        <w:rPr>
          <w:rStyle w:val="selectable"/>
          <w:rFonts w:asciiTheme="majorHAnsi" w:hAnsiTheme="majorHAnsi" w:cstheme="majorHAnsi"/>
          <w:sz w:val="24"/>
          <w:szCs w:val="24"/>
        </w:rPr>
        <w:t>Figure</w:t>
      </w:r>
      <w:r w:rsidR="00B02D11" w:rsidRPr="00D42F52">
        <w:rPr>
          <w:rStyle w:val="selectable"/>
          <w:rFonts w:asciiTheme="majorHAnsi" w:hAnsiTheme="majorHAnsi" w:cstheme="majorHAnsi"/>
          <w:sz w:val="24"/>
          <w:szCs w:val="24"/>
        </w:rPr>
        <w:t xml:space="preserve">1.10) seeks to assess learners understanding with regards to the expansion of brackets in line with this, simply allowing pupils to consider the ‘lots of’ concept discussed by Coughlan (n.d.). </w:t>
      </w:r>
    </w:p>
    <w:p w14:paraId="600DFBAF" w14:textId="77777777" w:rsidR="00D42F52" w:rsidRPr="00D42F52" w:rsidRDefault="00D42F52" w:rsidP="00D42F52">
      <w:pPr>
        <w:spacing w:after="0" w:line="480" w:lineRule="auto"/>
        <w:jc w:val="both"/>
        <w:rPr>
          <w:rStyle w:val="selectable"/>
          <w:rFonts w:asciiTheme="majorHAnsi" w:hAnsiTheme="majorHAnsi" w:cstheme="majorHAnsi"/>
          <w:sz w:val="24"/>
          <w:szCs w:val="24"/>
        </w:rPr>
      </w:pPr>
    </w:p>
    <w:p w14:paraId="5A771903" w14:textId="06EAFD66" w:rsidR="00A660A3" w:rsidRPr="00D42F52" w:rsidRDefault="00B02D11"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noProof/>
          <w:sz w:val="24"/>
          <w:szCs w:val="24"/>
        </w:rPr>
        <w:drawing>
          <wp:inline distT="0" distB="0" distL="0" distR="0" wp14:anchorId="431BE4F5" wp14:editId="565B99B9">
            <wp:extent cx="5731510" cy="707390"/>
            <wp:effectExtent l="57150" t="57150" r="116840" b="1117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6A8719C.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707390"/>
                    </a:xfrm>
                    <a:prstGeom prst="rect">
                      <a:avLst/>
                    </a:prstGeom>
                    <a:ln>
                      <a:solidFill>
                        <a:schemeClr val="tx1"/>
                      </a:solidFill>
                    </a:ln>
                    <a:effectLst>
                      <a:outerShdw blurRad="50800" dist="38100" dir="2700000" algn="tl" rotWithShape="0">
                        <a:prstClr val="black">
                          <a:alpha val="40000"/>
                        </a:prstClr>
                      </a:outerShdw>
                    </a:effectLst>
                  </pic:spPr>
                </pic:pic>
              </a:graphicData>
            </a:graphic>
          </wp:inline>
        </w:drawing>
      </w:r>
    </w:p>
    <w:p w14:paraId="00D2D815" w14:textId="5FD68BFF" w:rsidR="00B02D11" w:rsidRPr="00D42F52" w:rsidRDefault="00D57E77" w:rsidP="00D42F52">
      <w:pPr>
        <w:spacing w:after="0" w:line="480" w:lineRule="auto"/>
        <w:jc w:val="right"/>
        <w:rPr>
          <w:rFonts w:asciiTheme="majorHAnsi" w:hAnsiTheme="majorHAnsi" w:cstheme="majorHAnsi"/>
          <w:i/>
          <w:sz w:val="24"/>
          <w:szCs w:val="24"/>
        </w:rPr>
      </w:pPr>
      <w:r w:rsidRPr="00D42F52">
        <w:rPr>
          <w:rFonts w:asciiTheme="majorHAnsi" w:hAnsiTheme="majorHAnsi" w:cstheme="majorHAnsi"/>
          <w:i/>
          <w:sz w:val="24"/>
          <w:szCs w:val="24"/>
        </w:rPr>
        <w:t>Figure</w:t>
      </w:r>
      <w:r w:rsidR="00B02D11" w:rsidRPr="00D42F52">
        <w:rPr>
          <w:rFonts w:asciiTheme="majorHAnsi" w:hAnsiTheme="majorHAnsi" w:cstheme="majorHAnsi"/>
          <w:i/>
          <w:sz w:val="24"/>
          <w:szCs w:val="24"/>
        </w:rPr>
        <w:t>1.10 – Question 9 – set to assess learners ability to expand brackets.</w:t>
      </w:r>
    </w:p>
    <w:p w14:paraId="77D95EDB" w14:textId="79356696" w:rsidR="001E5C19" w:rsidRPr="00D42F52" w:rsidRDefault="00D87206" w:rsidP="00D42F52">
      <w:pPr>
        <w:spacing w:after="0" w:line="480" w:lineRule="auto"/>
        <w:jc w:val="both"/>
        <w:rPr>
          <w:rStyle w:val="selectable"/>
          <w:rFonts w:asciiTheme="majorHAnsi" w:hAnsiTheme="majorHAnsi" w:cstheme="majorHAnsi"/>
          <w:sz w:val="24"/>
          <w:szCs w:val="24"/>
        </w:rPr>
      </w:pPr>
      <w:r w:rsidRPr="00D42F52">
        <w:rPr>
          <w:rFonts w:asciiTheme="majorHAnsi" w:hAnsiTheme="majorHAnsi" w:cstheme="majorHAnsi"/>
          <w:sz w:val="24"/>
          <w:szCs w:val="24"/>
        </w:rPr>
        <w:lastRenderedPageBreak/>
        <w:t>Though</w:t>
      </w:r>
      <w:r w:rsidR="0010488F" w:rsidRPr="00D42F52">
        <w:rPr>
          <w:rFonts w:asciiTheme="majorHAnsi" w:hAnsiTheme="majorHAnsi" w:cstheme="majorHAnsi"/>
          <w:sz w:val="24"/>
          <w:szCs w:val="24"/>
        </w:rPr>
        <w:t xml:space="preserve"> it is commonly agreed that the misconceptions </w:t>
      </w:r>
      <w:r w:rsidR="00DD1974" w:rsidRPr="00D42F52">
        <w:rPr>
          <w:rFonts w:asciiTheme="majorHAnsi" w:hAnsiTheme="majorHAnsi" w:cstheme="majorHAnsi"/>
          <w:sz w:val="24"/>
          <w:szCs w:val="24"/>
        </w:rPr>
        <w:t>within the mathematics classroom and algebra more specifically; are wide reaching (Booth; et al. 2016, &amp; Swan, 2001)</w:t>
      </w:r>
      <w:r w:rsidR="00466E27" w:rsidRPr="00D42F52">
        <w:rPr>
          <w:rFonts w:asciiTheme="majorHAnsi" w:hAnsiTheme="majorHAnsi" w:cstheme="majorHAnsi"/>
          <w:sz w:val="24"/>
          <w:szCs w:val="24"/>
        </w:rPr>
        <w:t xml:space="preserve">, </w:t>
      </w:r>
      <w:proofErr w:type="spellStart"/>
      <w:r w:rsidR="00466E27" w:rsidRPr="00D42F52">
        <w:rPr>
          <w:rFonts w:asciiTheme="majorHAnsi" w:hAnsiTheme="majorHAnsi" w:cstheme="majorHAnsi"/>
          <w:sz w:val="24"/>
          <w:szCs w:val="24"/>
        </w:rPr>
        <w:t>Alibali</w:t>
      </w:r>
      <w:proofErr w:type="spellEnd"/>
      <w:r w:rsidR="00466E27" w:rsidRPr="00D42F52">
        <w:rPr>
          <w:rFonts w:asciiTheme="majorHAnsi" w:hAnsiTheme="majorHAnsi" w:cstheme="majorHAnsi"/>
          <w:sz w:val="24"/>
          <w:szCs w:val="24"/>
        </w:rPr>
        <w:t>; et al (2001</w:t>
      </w:r>
      <w:r w:rsidR="003D58E1" w:rsidRPr="00D42F52">
        <w:rPr>
          <w:rFonts w:asciiTheme="majorHAnsi" w:hAnsiTheme="majorHAnsi" w:cstheme="majorHAnsi"/>
          <w:sz w:val="24"/>
          <w:szCs w:val="24"/>
        </w:rPr>
        <w:t xml:space="preserve">, citing </w:t>
      </w:r>
      <w:proofErr w:type="spellStart"/>
      <w:r w:rsidR="003D58E1" w:rsidRPr="00D42F52">
        <w:rPr>
          <w:rFonts w:asciiTheme="majorHAnsi" w:hAnsiTheme="majorHAnsi" w:cstheme="majorHAnsi"/>
          <w:sz w:val="24"/>
          <w:szCs w:val="24"/>
        </w:rPr>
        <w:t>Fuson</w:t>
      </w:r>
      <w:proofErr w:type="spellEnd"/>
      <w:r w:rsidR="003D58E1" w:rsidRPr="00D42F52">
        <w:rPr>
          <w:rFonts w:asciiTheme="majorHAnsi" w:hAnsiTheme="majorHAnsi" w:cstheme="majorHAnsi"/>
          <w:sz w:val="24"/>
          <w:szCs w:val="24"/>
        </w:rPr>
        <w:t>, 1988; Karmiloff-Smith, 1992; Siegler &amp; Stern, 1998</w:t>
      </w:r>
      <w:r w:rsidR="00466E27" w:rsidRPr="00D42F52">
        <w:rPr>
          <w:rFonts w:asciiTheme="majorHAnsi" w:hAnsiTheme="majorHAnsi" w:cstheme="majorHAnsi"/>
          <w:sz w:val="24"/>
          <w:szCs w:val="24"/>
        </w:rPr>
        <w:t>) suggest that pupils’ learning journey</w:t>
      </w:r>
      <w:r w:rsidRPr="00D42F52">
        <w:rPr>
          <w:rFonts w:asciiTheme="majorHAnsi" w:hAnsiTheme="majorHAnsi" w:cstheme="majorHAnsi"/>
          <w:sz w:val="24"/>
          <w:szCs w:val="24"/>
        </w:rPr>
        <w:t>s</w:t>
      </w:r>
      <w:r w:rsidR="00466E27" w:rsidRPr="00D42F52">
        <w:rPr>
          <w:rFonts w:asciiTheme="majorHAnsi" w:hAnsiTheme="majorHAnsi" w:cstheme="majorHAnsi"/>
          <w:sz w:val="24"/>
          <w:szCs w:val="24"/>
        </w:rPr>
        <w:t xml:space="preserve"> must be considered when diagnosing and addressing any identified misconceptions. </w:t>
      </w:r>
      <w:r w:rsidR="00953587" w:rsidRPr="00D42F52">
        <w:rPr>
          <w:rFonts w:asciiTheme="majorHAnsi" w:hAnsiTheme="majorHAnsi" w:cstheme="majorHAnsi"/>
          <w:sz w:val="24"/>
          <w:szCs w:val="24"/>
        </w:rPr>
        <w:t>Pupils’ own development forming conceptual understanding from continued exposure and application of procedural knowledge</w:t>
      </w:r>
      <w:r w:rsidR="00466E27" w:rsidRPr="00D42F52">
        <w:rPr>
          <w:rFonts w:asciiTheme="majorHAnsi" w:hAnsiTheme="majorHAnsi" w:cstheme="majorHAnsi"/>
          <w:sz w:val="24"/>
          <w:szCs w:val="24"/>
        </w:rPr>
        <w:t xml:space="preserve"> </w:t>
      </w:r>
      <w:r w:rsidR="00953587" w:rsidRPr="00D42F52">
        <w:rPr>
          <w:rFonts w:asciiTheme="majorHAnsi" w:hAnsiTheme="majorHAnsi" w:cstheme="majorHAnsi"/>
          <w:sz w:val="24"/>
          <w:szCs w:val="24"/>
        </w:rPr>
        <w:t xml:space="preserve">is a vital tool to </w:t>
      </w:r>
      <w:r w:rsidR="00266785" w:rsidRPr="00D42F52">
        <w:rPr>
          <w:rFonts w:asciiTheme="majorHAnsi" w:hAnsiTheme="majorHAnsi" w:cstheme="majorHAnsi"/>
          <w:sz w:val="24"/>
          <w:szCs w:val="24"/>
        </w:rPr>
        <w:t>address misconceptions (</w:t>
      </w:r>
      <w:proofErr w:type="spellStart"/>
      <w:r w:rsidR="00266785" w:rsidRPr="00D42F52">
        <w:rPr>
          <w:rFonts w:asciiTheme="majorHAnsi" w:hAnsiTheme="majorHAnsi" w:cstheme="majorHAnsi"/>
          <w:sz w:val="24"/>
          <w:szCs w:val="24"/>
        </w:rPr>
        <w:t>Alibali</w:t>
      </w:r>
      <w:proofErr w:type="spellEnd"/>
      <w:r w:rsidR="00266785" w:rsidRPr="00D42F52">
        <w:rPr>
          <w:rFonts w:asciiTheme="majorHAnsi" w:hAnsiTheme="majorHAnsi" w:cstheme="majorHAnsi"/>
          <w:sz w:val="24"/>
          <w:szCs w:val="24"/>
        </w:rPr>
        <w:t xml:space="preserve">; et al. 2001). However, Booth and Koedinger (2007) further discuss that pupils’ prior knowledge </w:t>
      </w:r>
      <w:r w:rsidR="003D58E1" w:rsidRPr="00D42F52">
        <w:rPr>
          <w:rFonts w:asciiTheme="majorHAnsi" w:hAnsiTheme="majorHAnsi" w:cstheme="majorHAnsi"/>
          <w:sz w:val="24"/>
          <w:szCs w:val="24"/>
        </w:rPr>
        <w:t>may provide the key to misconceptions, it may often be the culprit supported by McGowen</w:t>
      </w:r>
      <w:r w:rsidR="00624BB8" w:rsidRPr="00D42F52">
        <w:rPr>
          <w:rFonts w:asciiTheme="majorHAnsi" w:hAnsiTheme="majorHAnsi" w:cstheme="majorHAnsi"/>
          <w:sz w:val="24"/>
          <w:szCs w:val="24"/>
        </w:rPr>
        <w:t xml:space="preserve"> (</w:t>
      </w:r>
      <w:r w:rsidR="003D58E1" w:rsidRPr="00D42F52">
        <w:rPr>
          <w:rFonts w:asciiTheme="majorHAnsi" w:hAnsiTheme="majorHAnsi" w:cstheme="majorHAnsi"/>
          <w:sz w:val="24"/>
          <w:szCs w:val="24"/>
        </w:rPr>
        <w:t>2017</w:t>
      </w:r>
      <w:r w:rsidR="00624BB8" w:rsidRPr="00D42F52">
        <w:rPr>
          <w:rFonts w:asciiTheme="majorHAnsi" w:hAnsiTheme="majorHAnsi" w:cstheme="majorHAnsi"/>
          <w:sz w:val="24"/>
          <w:szCs w:val="24"/>
        </w:rPr>
        <w:t>)</w:t>
      </w:r>
      <w:r w:rsidR="003D58E1" w:rsidRPr="00D42F52">
        <w:rPr>
          <w:rFonts w:asciiTheme="majorHAnsi" w:hAnsiTheme="majorHAnsi" w:cstheme="majorHAnsi"/>
          <w:sz w:val="24"/>
          <w:szCs w:val="24"/>
        </w:rPr>
        <w:t xml:space="preserve">, Croft; et al. </w:t>
      </w:r>
      <w:r w:rsidR="00624BB8" w:rsidRPr="00D42F52">
        <w:rPr>
          <w:rFonts w:asciiTheme="majorHAnsi" w:hAnsiTheme="majorHAnsi" w:cstheme="majorHAnsi"/>
          <w:sz w:val="24"/>
          <w:szCs w:val="24"/>
        </w:rPr>
        <w:t>(</w:t>
      </w:r>
      <w:r w:rsidR="003D58E1" w:rsidRPr="00D42F52">
        <w:rPr>
          <w:rFonts w:asciiTheme="majorHAnsi" w:hAnsiTheme="majorHAnsi" w:cstheme="majorHAnsi"/>
          <w:sz w:val="24"/>
          <w:szCs w:val="24"/>
        </w:rPr>
        <w:t>2007</w:t>
      </w:r>
      <w:r w:rsidR="00624BB8" w:rsidRPr="00D42F52">
        <w:rPr>
          <w:rFonts w:asciiTheme="majorHAnsi" w:hAnsiTheme="majorHAnsi" w:cstheme="majorHAnsi"/>
          <w:sz w:val="24"/>
          <w:szCs w:val="24"/>
        </w:rPr>
        <w:t>)</w:t>
      </w:r>
      <w:r w:rsidR="003D58E1" w:rsidRPr="00D42F52">
        <w:rPr>
          <w:rFonts w:asciiTheme="majorHAnsi" w:hAnsiTheme="majorHAnsi" w:cstheme="majorHAnsi"/>
          <w:sz w:val="24"/>
          <w:szCs w:val="24"/>
        </w:rPr>
        <w:t xml:space="preserve">. </w:t>
      </w:r>
      <w:r w:rsidR="00F74C08" w:rsidRPr="00D42F52">
        <w:rPr>
          <w:rFonts w:asciiTheme="majorHAnsi" w:hAnsiTheme="majorHAnsi" w:cstheme="majorHAnsi"/>
          <w:sz w:val="24"/>
          <w:szCs w:val="24"/>
        </w:rPr>
        <w:t xml:space="preserve">For this reason, consideration within research will be given to the departmental scheme of work, prerequisite topics taught and procedural understanding within the topic, as discussed by </w:t>
      </w:r>
      <w:proofErr w:type="spellStart"/>
      <w:r w:rsidR="00F74C08" w:rsidRPr="00D42F52">
        <w:rPr>
          <w:rStyle w:val="selectable"/>
          <w:rFonts w:asciiTheme="majorHAnsi" w:hAnsiTheme="majorHAnsi" w:cstheme="majorHAnsi"/>
          <w:sz w:val="24"/>
          <w:szCs w:val="24"/>
        </w:rPr>
        <w:t>Egodawatte</w:t>
      </w:r>
      <w:proofErr w:type="spellEnd"/>
      <w:r w:rsidR="00F74C08" w:rsidRPr="00D42F52">
        <w:rPr>
          <w:rStyle w:val="selectable"/>
          <w:rFonts w:asciiTheme="majorHAnsi" w:hAnsiTheme="majorHAnsi" w:cstheme="majorHAnsi"/>
          <w:sz w:val="24"/>
          <w:szCs w:val="24"/>
        </w:rPr>
        <w:t xml:space="preserve"> (2011), reinforced by Coughlan (n.d.).</w:t>
      </w:r>
      <w:r w:rsidR="007C63E6" w:rsidRPr="00D42F52">
        <w:rPr>
          <w:rStyle w:val="selectable"/>
          <w:rFonts w:asciiTheme="majorHAnsi" w:hAnsiTheme="majorHAnsi" w:cstheme="majorHAnsi"/>
          <w:sz w:val="24"/>
          <w:szCs w:val="24"/>
        </w:rPr>
        <w:t xml:space="preserve"> Whilst methods and consideration </w:t>
      </w:r>
      <w:r w:rsidR="008D3984" w:rsidRPr="00D42F52">
        <w:rPr>
          <w:rStyle w:val="selectable"/>
          <w:rFonts w:asciiTheme="majorHAnsi" w:hAnsiTheme="majorHAnsi" w:cstheme="majorHAnsi"/>
          <w:sz w:val="24"/>
          <w:szCs w:val="24"/>
        </w:rPr>
        <w:t>of prior knowledge are limitless, Swan (2001) highlights Piaget (1970) and the inclusion of discussion, the articulation of thought processes. Furthe</w:t>
      </w:r>
      <w:r w:rsidR="00D757ED" w:rsidRPr="00D42F52">
        <w:rPr>
          <w:rStyle w:val="selectable"/>
          <w:rFonts w:asciiTheme="majorHAnsi" w:hAnsiTheme="majorHAnsi" w:cstheme="majorHAnsi"/>
          <w:sz w:val="24"/>
          <w:szCs w:val="24"/>
        </w:rPr>
        <w:t>r</w:t>
      </w:r>
      <w:r w:rsidR="00CF09F6" w:rsidRPr="00D42F52">
        <w:rPr>
          <w:rStyle w:val="selectable"/>
          <w:rFonts w:asciiTheme="majorHAnsi" w:hAnsiTheme="majorHAnsi" w:cstheme="majorHAnsi"/>
          <w:sz w:val="24"/>
          <w:szCs w:val="24"/>
        </w:rPr>
        <w:t>more</w:t>
      </w:r>
      <w:r w:rsidR="008D3984" w:rsidRPr="00D42F52">
        <w:rPr>
          <w:rStyle w:val="selectable"/>
          <w:rFonts w:asciiTheme="majorHAnsi" w:hAnsiTheme="majorHAnsi" w:cstheme="majorHAnsi"/>
          <w:sz w:val="24"/>
          <w:szCs w:val="24"/>
        </w:rPr>
        <w:t xml:space="preserve">, the consideration of </w:t>
      </w:r>
      <w:r w:rsidR="00B41498" w:rsidRPr="00D42F52">
        <w:rPr>
          <w:rFonts w:asciiTheme="majorHAnsi" w:hAnsiTheme="majorHAnsi" w:cstheme="majorHAnsi"/>
          <w:sz w:val="24"/>
          <w:szCs w:val="24"/>
        </w:rPr>
        <w:t xml:space="preserve">(Vygotsky, 1896 - 1934), </w:t>
      </w:r>
      <w:r w:rsidR="008D3984" w:rsidRPr="00D42F52">
        <w:rPr>
          <w:rStyle w:val="selectable"/>
          <w:rFonts w:asciiTheme="majorHAnsi" w:hAnsiTheme="majorHAnsi" w:cstheme="majorHAnsi"/>
          <w:sz w:val="24"/>
          <w:szCs w:val="24"/>
        </w:rPr>
        <w:t>concept of the Zone of Proximal Development (ZPD) as a crucial tool to evaluate, challenge and consolidate learners understanding and application of mathematics on a broad scale (Swan, 2001), further supported by Li and Li, (2008</w:t>
      </w:r>
      <w:r w:rsidRPr="00D42F52">
        <w:rPr>
          <w:rStyle w:val="selectable"/>
          <w:rFonts w:asciiTheme="majorHAnsi" w:hAnsiTheme="majorHAnsi" w:cstheme="majorHAnsi"/>
          <w:sz w:val="24"/>
          <w:szCs w:val="24"/>
        </w:rPr>
        <w:t xml:space="preserve"> &amp; Wood, 1988, cited in Swan, 2001</w:t>
      </w:r>
      <w:r w:rsidR="008D3984" w:rsidRPr="00D42F52">
        <w:rPr>
          <w:rStyle w:val="selectable"/>
          <w:rFonts w:asciiTheme="majorHAnsi" w:hAnsiTheme="majorHAnsi" w:cstheme="majorHAnsi"/>
          <w:sz w:val="24"/>
          <w:szCs w:val="24"/>
        </w:rPr>
        <w:t>)</w:t>
      </w:r>
      <w:r w:rsidRPr="00D42F52">
        <w:rPr>
          <w:rStyle w:val="selectable"/>
          <w:rFonts w:asciiTheme="majorHAnsi" w:hAnsiTheme="majorHAnsi" w:cstheme="majorHAnsi"/>
          <w:sz w:val="24"/>
          <w:szCs w:val="24"/>
        </w:rPr>
        <w:t>.</w:t>
      </w:r>
      <w:r w:rsidR="00A66270" w:rsidRPr="00D42F52">
        <w:rPr>
          <w:rStyle w:val="selectable"/>
          <w:rFonts w:asciiTheme="majorHAnsi" w:hAnsiTheme="majorHAnsi" w:cstheme="majorHAnsi"/>
          <w:sz w:val="24"/>
          <w:szCs w:val="24"/>
        </w:rPr>
        <w:t xml:space="preserve"> </w:t>
      </w:r>
    </w:p>
    <w:p w14:paraId="1AD8A6A7" w14:textId="48A257AC" w:rsidR="00A66270" w:rsidRPr="00D42F52" w:rsidRDefault="00A66270" w:rsidP="00D42F52">
      <w:pPr>
        <w:spacing w:after="0" w:line="480" w:lineRule="auto"/>
        <w:jc w:val="both"/>
        <w:rPr>
          <w:rFonts w:asciiTheme="majorHAnsi" w:hAnsiTheme="majorHAnsi" w:cstheme="majorHAnsi"/>
          <w:sz w:val="24"/>
          <w:szCs w:val="24"/>
        </w:rPr>
      </w:pPr>
    </w:p>
    <w:p w14:paraId="1A933FFF" w14:textId="1E0AE10C" w:rsidR="00E36F32" w:rsidRPr="00D42F52" w:rsidRDefault="00E36F32" w:rsidP="00D42F52">
      <w:pPr>
        <w:spacing w:after="0" w:line="480" w:lineRule="auto"/>
        <w:jc w:val="both"/>
        <w:rPr>
          <w:rFonts w:asciiTheme="majorHAnsi" w:hAnsiTheme="majorHAnsi" w:cstheme="majorHAnsi"/>
          <w:sz w:val="24"/>
          <w:szCs w:val="24"/>
        </w:rPr>
      </w:pPr>
    </w:p>
    <w:p w14:paraId="22684C4F" w14:textId="77777777" w:rsidR="00E36F32" w:rsidRPr="00D42F52" w:rsidRDefault="00E36F32" w:rsidP="00D42F52">
      <w:pPr>
        <w:spacing w:after="0" w:line="480" w:lineRule="auto"/>
        <w:jc w:val="both"/>
        <w:rPr>
          <w:rFonts w:asciiTheme="majorHAnsi" w:hAnsiTheme="majorHAnsi" w:cstheme="majorHAnsi"/>
          <w:i/>
          <w:sz w:val="24"/>
          <w:szCs w:val="24"/>
        </w:rPr>
      </w:pPr>
    </w:p>
    <w:p w14:paraId="24E1AE96" w14:textId="00F37AD3" w:rsidR="00D86A8B" w:rsidRPr="00D42F52" w:rsidRDefault="00D86A8B" w:rsidP="00D42F52">
      <w:pPr>
        <w:spacing w:after="0" w:line="480" w:lineRule="auto"/>
        <w:jc w:val="both"/>
        <w:rPr>
          <w:rFonts w:asciiTheme="majorHAnsi" w:hAnsiTheme="majorHAnsi" w:cstheme="majorHAnsi"/>
          <w:sz w:val="24"/>
          <w:szCs w:val="24"/>
        </w:rPr>
      </w:pPr>
    </w:p>
    <w:p w14:paraId="19025BDA" w14:textId="77777777" w:rsidR="00D261BD" w:rsidRPr="00D42F52" w:rsidRDefault="00D261BD" w:rsidP="00D42F52">
      <w:pPr>
        <w:spacing w:after="0" w:line="480" w:lineRule="auto"/>
        <w:jc w:val="both"/>
        <w:rPr>
          <w:rFonts w:asciiTheme="majorHAnsi" w:hAnsiTheme="majorHAnsi" w:cstheme="majorHAnsi"/>
          <w:sz w:val="24"/>
          <w:szCs w:val="24"/>
        </w:rPr>
      </w:pPr>
    </w:p>
    <w:p w14:paraId="0B8F9644" w14:textId="77777777" w:rsidR="00292927" w:rsidRPr="00D42F52" w:rsidRDefault="00292927" w:rsidP="00D42F52">
      <w:pPr>
        <w:spacing w:after="160" w:line="480" w:lineRule="auto"/>
        <w:jc w:val="both"/>
        <w:rPr>
          <w:rFonts w:asciiTheme="majorHAnsi" w:eastAsia="Times New Roman" w:hAnsiTheme="majorHAnsi" w:cstheme="majorHAnsi"/>
          <w:i/>
          <w:sz w:val="24"/>
          <w:szCs w:val="24"/>
          <w:lang w:eastAsia="en-GB"/>
        </w:rPr>
      </w:pPr>
      <w:r w:rsidRPr="00D42F52">
        <w:rPr>
          <w:rFonts w:asciiTheme="majorHAnsi" w:eastAsia="Times New Roman" w:hAnsiTheme="majorHAnsi" w:cstheme="majorHAnsi"/>
          <w:i/>
          <w:sz w:val="24"/>
          <w:szCs w:val="24"/>
          <w:lang w:eastAsia="en-GB"/>
        </w:rPr>
        <w:br w:type="page"/>
      </w:r>
    </w:p>
    <w:p w14:paraId="07FA8BEA" w14:textId="1C3E3496" w:rsidR="00F85182" w:rsidRPr="00D42F52" w:rsidRDefault="005116B2" w:rsidP="00D42F52">
      <w:pPr>
        <w:spacing w:after="0" w:line="480" w:lineRule="auto"/>
        <w:jc w:val="both"/>
        <w:rPr>
          <w:rFonts w:asciiTheme="majorHAnsi" w:eastAsia="Times New Roman" w:hAnsiTheme="majorHAnsi" w:cstheme="majorHAnsi"/>
          <w:b/>
          <w:sz w:val="24"/>
          <w:szCs w:val="24"/>
          <w:lang w:eastAsia="en-GB"/>
        </w:rPr>
      </w:pPr>
      <w:r w:rsidRPr="00D42F52">
        <w:rPr>
          <w:rFonts w:asciiTheme="majorHAnsi" w:eastAsia="Times New Roman" w:hAnsiTheme="majorHAnsi" w:cstheme="majorHAnsi"/>
          <w:b/>
          <w:sz w:val="24"/>
          <w:szCs w:val="24"/>
          <w:lang w:eastAsia="en-GB"/>
        </w:rPr>
        <w:lastRenderedPageBreak/>
        <w:t>SCHOOL POLICY AND PRACTICE</w:t>
      </w:r>
    </w:p>
    <w:p w14:paraId="1A8AA1E3" w14:textId="79D125ED" w:rsidR="00810297" w:rsidRPr="00D42F52" w:rsidRDefault="00810297" w:rsidP="00D42F52">
      <w:pPr>
        <w:spacing w:after="0" w:line="480" w:lineRule="auto"/>
        <w:jc w:val="both"/>
        <w:rPr>
          <w:rFonts w:asciiTheme="majorHAnsi" w:eastAsia="Times New Roman" w:hAnsiTheme="majorHAnsi" w:cstheme="majorHAnsi"/>
          <w:i/>
          <w:sz w:val="24"/>
          <w:szCs w:val="24"/>
          <w:lang w:eastAsia="en-GB"/>
        </w:rPr>
      </w:pPr>
    </w:p>
    <w:p w14:paraId="67A8F55F" w14:textId="2BAD893A" w:rsidR="00B3501B" w:rsidRPr="00D42F52" w:rsidRDefault="00260BF3"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t>Within the school there is no specific policy to address misconceptions</w:t>
      </w:r>
      <w:r w:rsidR="00800B08" w:rsidRPr="00D42F52">
        <w:rPr>
          <w:rFonts w:asciiTheme="majorHAnsi" w:eastAsia="Times New Roman" w:hAnsiTheme="majorHAnsi" w:cstheme="majorHAnsi"/>
          <w:sz w:val="24"/>
          <w:szCs w:val="24"/>
          <w:lang w:eastAsia="en-GB"/>
        </w:rPr>
        <w:t>,</w:t>
      </w:r>
      <w:r w:rsidRPr="00D42F52">
        <w:rPr>
          <w:rFonts w:asciiTheme="majorHAnsi" w:eastAsia="Times New Roman" w:hAnsiTheme="majorHAnsi" w:cstheme="majorHAnsi"/>
          <w:sz w:val="24"/>
          <w:szCs w:val="24"/>
          <w:lang w:eastAsia="en-GB"/>
        </w:rPr>
        <w:t xml:space="preserve"> however great consideration has been given to the organisation and structure of the Scheme of work for each Year Group, Tier and Key Stage.</w:t>
      </w:r>
      <w:r w:rsidR="00C25102" w:rsidRPr="00D42F52">
        <w:rPr>
          <w:rFonts w:asciiTheme="majorHAnsi" w:eastAsia="Times New Roman" w:hAnsiTheme="majorHAnsi" w:cstheme="majorHAnsi"/>
          <w:sz w:val="24"/>
          <w:szCs w:val="24"/>
          <w:lang w:eastAsia="en-GB"/>
        </w:rPr>
        <w:t xml:space="preserve"> The school bands pupils into two core ability tiers, </w:t>
      </w:r>
      <w:r w:rsidR="00B3501B" w:rsidRPr="00D42F52">
        <w:rPr>
          <w:rFonts w:asciiTheme="majorHAnsi" w:eastAsia="Times New Roman" w:hAnsiTheme="majorHAnsi" w:cstheme="majorHAnsi"/>
          <w:sz w:val="24"/>
          <w:szCs w:val="24"/>
          <w:lang w:eastAsia="en-GB"/>
        </w:rPr>
        <w:t xml:space="preserve">each with tailored schemes of work aligned with the National Curriculum (Welsh Government, 2015). The Department have structured the scheme of work into 5 key units apportioned across the academic year, each of which follows a natural bias to </w:t>
      </w:r>
      <w:r w:rsidR="002A6E92" w:rsidRPr="00D42F52">
        <w:rPr>
          <w:rFonts w:asciiTheme="majorHAnsi" w:eastAsia="Times New Roman" w:hAnsiTheme="majorHAnsi" w:cstheme="majorHAnsi"/>
          <w:sz w:val="24"/>
          <w:szCs w:val="24"/>
          <w:lang w:eastAsia="en-GB"/>
        </w:rPr>
        <w:t>number work in the Autumn/Winter term, leading to application of numeracy</w:t>
      </w:r>
      <w:r w:rsidR="00B3501B" w:rsidRPr="00D42F52">
        <w:rPr>
          <w:rFonts w:asciiTheme="majorHAnsi" w:eastAsia="Times New Roman" w:hAnsiTheme="majorHAnsi" w:cstheme="majorHAnsi"/>
          <w:sz w:val="24"/>
          <w:szCs w:val="24"/>
          <w:lang w:eastAsia="en-GB"/>
        </w:rPr>
        <w:t xml:space="preserve"> </w:t>
      </w:r>
      <w:r w:rsidR="002A6E92" w:rsidRPr="00D42F52">
        <w:rPr>
          <w:rFonts w:asciiTheme="majorHAnsi" w:eastAsia="Times New Roman" w:hAnsiTheme="majorHAnsi" w:cstheme="majorHAnsi"/>
          <w:sz w:val="24"/>
          <w:szCs w:val="24"/>
          <w:lang w:eastAsia="en-GB"/>
        </w:rPr>
        <w:t>in the Spring/Summer term. The structure of the</w:t>
      </w:r>
      <w:r w:rsidR="00D74C57" w:rsidRPr="00D42F52">
        <w:rPr>
          <w:rFonts w:asciiTheme="majorHAnsi" w:eastAsia="Times New Roman" w:hAnsiTheme="majorHAnsi" w:cstheme="majorHAnsi"/>
          <w:sz w:val="24"/>
          <w:szCs w:val="24"/>
          <w:lang w:eastAsia="en-GB"/>
        </w:rPr>
        <w:t xml:space="preserve"> o</w:t>
      </w:r>
      <w:r w:rsidR="00800B08" w:rsidRPr="00D42F52">
        <w:rPr>
          <w:rFonts w:asciiTheme="majorHAnsi" w:eastAsia="Times New Roman" w:hAnsiTheme="majorHAnsi" w:cstheme="majorHAnsi"/>
          <w:sz w:val="24"/>
          <w:szCs w:val="24"/>
          <w:lang w:eastAsia="en-GB"/>
        </w:rPr>
        <w:t>ver-</w:t>
      </w:r>
      <w:r w:rsidR="002A6E92" w:rsidRPr="00D42F52">
        <w:rPr>
          <w:rFonts w:asciiTheme="majorHAnsi" w:eastAsia="Times New Roman" w:hAnsiTheme="majorHAnsi" w:cstheme="majorHAnsi"/>
          <w:sz w:val="24"/>
          <w:szCs w:val="24"/>
          <w:lang w:eastAsia="en-GB"/>
        </w:rPr>
        <w:t>arching scheme of work allows for procedural skills to be refined</w:t>
      </w:r>
      <w:r w:rsidR="00407E4A" w:rsidRPr="00D42F52">
        <w:rPr>
          <w:rFonts w:asciiTheme="majorHAnsi" w:eastAsia="Times New Roman" w:hAnsiTheme="majorHAnsi" w:cstheme="majorHAnsi"/>
          <w:sz w:val="24"/>
          <w:szCs w:val="24"/>
          <w:lang w:eastAsia="en-GB"/>
        </w:rPr>
        <w:t xml:space="preserve"> logically. Supporting the notion discussed by </w:t>
      </w:r>
      <w:proofErr w:type="spellStart"/>
      <w:r w:rsidR="00407E4A" w:rsidRPr="00D42F52">
        <w:rPr>
          <w:rFonts w:asciiTheme="majorHAnsi" w:eastAsia="Times New Roman" w:hAnsiTheme="majorHAnsi" w:cstheme="majorHAnsi"/>
          <w:sz w:val="24"/>
          <w:szCs w:val="24"/>
          <w:lang w:eastAsia="en-GB"/>
        </w:rPr>
        <w:t>Alibali</w:t>
      </w:r>
      <w:proofErr w:type="spellEnd"/>
      <w:r w:rsidR="00407E4A" w:rsidRPr="00D42F52">
        <w:rPr>
          <w:rFonts w:asciiTheme="majorHAnsi" w:eastAsia="Times New Roman" w:hAnsiTheme="majorHAnsi" w:cstheme="majorHAnsi"/>
          <w:sz w:val="24"/>
          <w:szCs w:val="24"/>
          <w:lang w:eastAsia="en-GB"/>
        </w:rPr>
        <w:t xml:space="preserve">; et al. (2001) the progression and consolidation of </w:t>
      </w:r>
      <w:r w:rsidR="00800B08" w:rsidRPr="00D42F52">
        <w:rPr>
          <w:rFonts w:asciiTheme="majorHAnsi" w:eastAsia="Times New Roman" w:hAnsiTheme="majorHAnsi" w:cstheme="majorHAnsi"/>
          <w:sz w:val="24"/>
          <w:szCs w:val="24"/>
          <w:lang w:eastAsia="en-GB"/>
        </w:rPr>
        <w:t>pupils’</w:t>
      </w:r>
      <w:r w:rsidR="00407E4A" w:rsidRPr="00D42F52">
        <w:rPr>
          <w:rFonts w:asciiTheme="majorHAnsi" w:eastAsia="Times New Roman" w:hAnsiTheme="majorHAnsi" w:cstheme="majorHAnsi"/>
          <w:sz w:val="24"/>
          <w:szCs w:val="24"/>
          <w:lang w:eastAsia="en-GB"/>
        </w:rPr>
        <w:t xml:space="preserve"> knowledge is considered and logical to support application and conceptual understanding </w:t>
      </w:r>
      <w:r w:rsidR="004669A9" w:rsidRPr="00D42F52">
        <w:rPr>
          <w:rFonts w:asciiTheme="majorHAnsi" w:eastAsia="Times New Roman" w:hAnsiTheme="majorHAnsi" w:cstheme="majorHAnsi"/>
          <w:sz w:val="24"/>
          <w:szCs w:val="24"/>
          <w:lang w:eastAsia="en-GB"/>
        </w:rPr>
        <w:t xml:space="preserve">and </w:t>
      </w:r>
      <w:r w:rsidR="00407E4A" w:rsidRPr="00D42F52">
        <w:rPr>
          <w:rFonts w:asciiTheme="majorHAnsi" w:eastAsia="Times New Roman" w:hAnsiTheme="majorHAnsi" w:cstheme="majorHAnsi"/>
          <w:sz w:val="24"/>
          <w:szCs w:val="24"/>
          <w:lang w:eastAsia="en-GB"/>
        </w:rPr>
        <w:t xml:space="preserve">higher order cognitive skills (Booth and Koedinger; 2007). </w:t>
      </w:r>
    </w:p>
    <w:p w14:paraId="61EED896" w14:textId="7CE9FCC0" w:rsidR="00407E4A" w:rsidRPr="00D42F52" w:rsidRDefault="00407E4A"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t xml:space="preserve">Consideration and planning is carried out by each class teacher to adapt and tailor the scheme of work to their class to address current attainment levels in order to support </w:t>
      </w:r>
      <w:r w:rsidR="00B36DFA" w:rsidRPr="00D42F52">
        <w:rPr>
          <w:rFonts w:asciiTheme="majorHAnsi" w:eastAsia="Times New Roman" w:hAnsiTheme="majorHAnsi" w:cstheme="majorHAnsi"/>
          <w:sz w:val="24"/>
          <w:szCs w:val="24"/>
          <w:lang w:eastAsia="en-GB"/>
        </w:rPr>
        <w:t xml:space="preserve">appropriate and adequate </w:t>
      </w:r>
      <w:r w:rsidRPr="00D42F52">
        <w:rPr>
          <w:rFonts w:asciiTheme="majorHAnsi" w:eastAsia="Times New Roman" w:hAnsiTheme="majorHAnsi" w:cstheme="majorHAnsi"/>
          <w:sz w:val="24"/>
          <w:szCs w:val="24"/>
          <w:lang w:eastAsia="en-GB"/>
        </w:rPr>
        <w:t>progression. As identified by Swan (2001), further supported by Booth; et al. (2016) the focus and development of procedural practice and refinement supports the introduction of new, applied topics (Booth and Koedinger</w:t>
      </w:r>
      <w:r w:rsidR="003528B7" w:rsidRPr="00D42F52">
        <w:rPr>
          <w:rFonts w:asciiTheme="majorHAnsi" w:eastAsia="Times New Roman" w:hAnsiTheme="majorHAnsi" w:cstheme="majorHAnsi"/>
          <w:sz w:val="24"/>
          <w:szCs w:val="24"/>
          <w:lang w:eastAsia="en-GB"/>
        </w:rPr>
        <w:t xml:space="preserve">, 2007). With regards to the class considered in this investigation, amendments had previously been made to the scheme of work to include Algebra in early Summer Term to allow learners to be introduced to Algebra as one fluid topic from the concept of collecting like terms, understanding operational functions, and values expressed by algebraic terms towards a further ‘light’ introduction to expanding brackets. </w:t>
      </w:r>
      <w:r w:rsidR="00841E34" w:rsidRPr="00D42F52">
        <w:rPr>
          <w:rFonts w:asciiTheme="majorHAnsi" w:eastAsia="Times New Roman" w:hAnsiTheme="majorHAnsi" w:cstheme="majorHAnsi"/>
          <w:sz w:val="24"/>
          <w:szCs w:val="24"/>
          <w:lang w:eastAsia="en-GB"/>
        </w:rPr>
        <w:t xml:space="preserve">Within lessons specifically departmental policy is set to include a starter based on Activating Prior Knowledge (APK). Widely agreed that the inclusion and priority given to </w:t>
      </w:r>
      <w:r w:rsidR="005B04D5" w:rsidRPr="00D42F52">
        <w:rPr>
          <w:rFonts w:asciiTheme="majorHAnsi" w:eastAsia="Times New Roman" w:hAnsiTheme="majorHAnsi" w:cstheme="majorHAnsi"/>
          <w:sz w:val="24"/>
          <w:szCs w:val="24"/>
          <w:lang w:eastAsia="en-GB"/>
        </w:rPr>
        <w:t>activating</w:t>
      </w:r>
      <w:r w:rsidR="00841E34" w:rsidRPr="00D42F52">
        <w:rPr>
          <w:rFonts w:asciiTheme="majorHAnsi" w:eastAsia="Times New Roman" w:hAnsiTheme="majorHAnsi" w:cstheme="majorHAnsi"/>
          <w:sz w:val="24"/>
          <w:szCs w:val="24"/>
          <w:lang w:eastAsia="en-GB"/>
        </w:rPr>
        <w:t xml:space="preserve"> prior knowledge can be beneficial to learners </w:t>
      </w:r>
      <w:r w:rsidR="0070082F" w:rsidRPr="00D42F52">
        <w:rPr>
          <w:rFonts w:asciiTheme="majorHAnsi" w:eastAsia="Times New Roman" w:hAnsiTheme="majorHAnsi" w:cstheme="majorHAnsi"/>
          <w:sz w:val="24"/>
          <w:szCs w:val="24"/>
          <w:lang w:eastAsia="en-GB"/>
        </w:rPr>
        <w:t>conceptual</w:t>
      </w:r>
      <w:r w:rsidR="00841E34" w:rsidRPr="00D42F52">
        <w:rPr>
          <w:rFonts w:asciiTheme="majorHAnsi" w:eastAsia="Times New Roman" w:hAnsiTheme="majorHAnsi" w:cstheme="majorHAnsi"/>
          <w:sz w:val="24"/>
          <w:szCs w:val="24"/>
          <w:lang w:eastAsia="en-GB"/>
        </w:rPr>
        <w:t xml:space="preserve"> understa</w:t>
      </w:r>
      <w:r w:rsidR="0070082F" w:rsidRPr="00D42F52">
        <w:rPr>
          <w:rFonts w:asciiTheme="majorHAnsi" w:eastAsia="Times New Roman" w:hAnsiTheme="majorHAnsi" w:cstheme="majorHAnsi"/>
          <w:sz w:val="24"/>
          <w:szCs w:val="24"/>
          <w:lang w:eastAsia="en-GB"/>
        </w:rPr>
        <w:t xml:space="preserve">nding of a topic </w:t>
      </w:r>
      <w:r w:rsidR="00841E34" w:rsidRPr="00D42F52">
        <w:rPr>
          <w:rFonts w:asciiTheme="majorHAnsi" w:eastAsia="Times New Roman" w:hAnsiTheme="majorHAnsi" w:cstheme="majorHAnsi"/>
          <w:sz w:val="24"/>
          <w:szCs w:val="24"/>
          <w:lang w:eastAsia="en-GB"/>
        </w:rPr>
        <w:t xml:space="preserve">(Booth; et al, 2016; </w:t>
      </w:r>
      <w:proofErr w:type="spellStart"/>
      <w:r w:rsidR="00841E34" w:rsidRPr="00D42F52">
        <w:rPr>
          <w:rStyle w:val="selectable"/>
          <w:rFonts w:asciiTheme="majorHAnsi" w:hAnsiTheme="majorHAnsi" w:cstheme="majorHAnsi"/>
          <w:sz w:val="24"/>
          <w:szCs w:val="24"/>
        </w:rPr>
        <w:t>Egodawatte</w:t>
      </w:r>
      <w:proofErr w:type="spellEnd"/>
      <w:r w:rsidR="00841E34" w:rsidRPr="00D42F52">
        <w:rPr>
          <w:rStyle w:val="selectable"/>
          <w:rFonts w:asciiTheme="majorHAnsi" w:hAnsiTheme="majorHAnsi" w:cstheme="majorHAnsi"/>
          <w:sz w:val="24"/>
          <w:szCs w:val="24"/>
        </w:rPr>
        <w:t>, 2011; Swan; 2001 and Coughlan; n.d.)</w:t>
      </w:r>
      <w:r w:rsidR="0070082F" w:rsidRPr="00D42F52">
        <w:rPr>
          <w:rStyle w:val="selectable"/>
          <w:rFonts w:asciiTheme="majorHAnsi" w:hAnsiTheme="majorHAnsi" w:cstheme="majorHAnsi"/>
          <w:sz w:val="24"/>
          <w:szCs w:val="24"/>
        </w:rPr>
        <w:t xml:space="preserve"> the structure, style and context of </w:t>
      </w:r>
      <w:r w:rsidR="0070082F" w:rsidRPr="00D42F52">
        <w:rPr>
          <w:rStyle w:val="selectable"/>
          <w:rFonts w:asciiTheme="majorHAnsi" w:hAnsiTheme="majorHAnsi" w:cstheme="majorHAnsi"/>
          <w:sz w:val="24"/>
          <w:szCs w:val="24"/>
        </w:rPr>
        <w:lastRenderedPageBreak/>
        <w:t>the starter is flexible within the department. Allowing teachers to tailor the approach and guise of the starter to fit the lesson, and the learners’ needs does support the obstacle within any classroom identified by Welder (2004).</w:t>
      </w:r>
      <w:r w:rsidR="00841E34" w:rsidRPr="00D42F52">
        <w:rPr>
          <w:rStyle w:val="selectable"/>
          <w:rFonts w:asciiTheme="majorHAnsi" w:hAnsiTheme="majorHAnsi" w:cstheme="majorHAnsi"/>
          <w:sz w:val="24"/>
          <w:szCs w:val="24"/>
        </w:rPr>
        <w:t xml:space="preserve">  </w:t>
      </w:r>
      <w:r w:rsidR="00841E34" w:rsidRPr="00D42F52">
        <w:rPr>
          <w:rFonts w:asciiTheme="majorHAnsi" w:eastAsia="Times New Roman" w:hAnsiTheme="majorHAnsi" w:cstheme="majorHAnsi"/>
          <w:sz w:val="24"/>
          <w:szCs w:val="24"/>
          <w:lang w:eastAsia="en-GB"/>
        </w:rPr>
        <w:t xml:space="preserve"> </w:t>
      </w:r>
      <w:r w:rsidR="00B36DFA" w:rsidRPr="00D42F52">
        <w:rPr>
          <w:rFonts w:asciiTheme="majorHAnsi" w:eastAsia="Times New Roman" w:hAnsiTheme="majorHAnsi" w:cstheme="majorHAnsi"/>
          <w:sz w:val="24"/>
          <w:szCs w:val="24"/>
          <w:lang w:eastAsia="en-GB"/>
        </w:rPr>
        <w:t xml:space="preserve">Overall, the structure of the scheme of work supports many of the logical considerations for the teaching and learning of algebra identified by Booth and Koedinger (2007), namely developing a sound conceptual understanding of algebra before progressing to the challenge of solving equations, the topic identified in the scheme of work for this investigation. A limitation or consideration of this however is the pace </w:t>
      </w:r>
      <w:r w:rsidR="00952D0E" w:rsidRPr="00D42F52">
        <w:rPr>
          <w:rFonts w:asciiTheme="majorHAnsi" w:eastAsia="Times New Roman" w:hAnsiTheme="majorHAnsi" w:cstheme="majorHAnsi"/>
          <w:sz w:val="24"/>
          <w:szCs w:val="24"/>
          <w:lang w:eastAsia="en-GB"/>
        </w:rPr>
        <w:t>of the progression and allowing time for discussion and higher order thinking to promote learning supporting</w:t>
      </w:r>
      <w:r w:rsidR="00B41498" w:rsidRPr="00D42F52">
        <w:rPr>
          <w:rFonts w:asciiTheme="majorHAnsi" w:eastAsia="Times New Roman" w:hAnsiTheme="majorHAnsi" w:cstheme="majorHAnsi"/>
          <w:sz w:val="24"/>
          <w:szCs w:val="24"/>
          <w:lang w:eastAsia="en-GB"/>
        </w:rPr>
        <w:t xml:space="preserve"> </w:t>
      </w:r>
      <w:r w:rsidR="00B41498" w:rsidRPr="00D42F52">
        <w:rPr>
          <w:rFonts w:asciiTheme="majorHAnsi" w:hAnsiTheme="majorHAnsi" w:cstheme="majorHAnsi"/>
          <w:sz w:val="24"/>
          <w:szCs w:val="24"/>
        </w:rPr>
        <w:t>Vygotsky, (1896 - 1934),</w:t>
      </w:r>
      <w:r w:rsidR="00952D0E" w:rsidRPr="00D42F52">
        <w:rPr>
          <w:rFonts w:asciiTheme="majorHAnsi" w:eastAsia="Times New Roman" w:hAnsiTheme="majorHAnsi" w:cstheme="majorHAnsi"/>
          <w:sz w:val="24"/>
          <w:szCs w:val="24"/>
          <w:lang w:eastAsia="en-GB"/>
        </w:rPr>
        <w:t xml:space="preserve"> </w:t>
      </w:r>
      <w:r w:rsidR="00B9006E" w:rsidRPr="00D42F52">
        <w:rPr>
          <w:rFonts w:asciiTheme="majorHAnsi" w:eastAsia="Times New Roman" w:hAnsiTheme="majorHAnsi" w:cstheme="majorHAnsi"/>
          <w:sz w:val="24"/>
          <w:szCs w:val="24"/>
          <w:lang w:eastAsia="en-GB"/>
        </w:rPr>
        <w:t xml:space="preserve">concept, allowing learners the time allowing lesson structure to support learner’s ability to learn within the Zone of Proximal Development, in turn developing a more sound, conceptual understanding of any topic and in this instance, Algebra. </w:t>
      </w:r>
    </w:p>
    <w:p w14:paraId="7D011BDA" w14:textId="311901CC" w:rsidR="00E067E6" w:rsidRPr="00D42F52" w:rsidRDefault="00A66270"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t>There is an overwhelming priority given to Assessment for Learning (</w:t>
      </w:r>
      <w:proofErr w:type="spellStart"/>
      <w:r w:rsidRPr="00D42F52">
        <w:rPr>
          <w:rFonts w:asciiTheme="majorHAnsi" w:eastAsia="Times New Roman" w:hAnsiTheme="majorHAnsi" w:cstheme="majorHAnsi"/>
          <w:sz w:val="24"/>
          <w:szCs w:val="24"/>
          <w:lang w:eastAsia="en-GB"/>
        </w:rPr>
        <w:t>AfL</w:t>
      </w:r>
      <w:proofErr w:type="spellEnd"/>
      <w:r w:rsidRPr="00D42F52">
        <w:rPr>
          <w:rFonts w:asciiTheme="majorHAnsi" w:eastAsia="Times New Roman" w:hAnsiTheme="majorHAnsi" w:cstheme="majorHAnsi"/>
          <w:sz w:val="24"/>
          <w:szCs w:val="24"/>
          <w:lang w:eastAsia="en-GB"/>
        </w:rPr>
        <w:t xml:space="preserve">) across the mathematics department, widely acknowledged as a fundamental strategy for use in the teaching and learning of any topic or subject (Welsh Government, 2010; Black and </w:t>
      </w:r>
      <w:proofErr w:type="spellStart"/>
      <w:r w:rsidRPr="00D42F52">
        <w:rPr>
          <w:rFonts w:asciiTheme="majorHAnsi" w:eastAsia="Times New Roman" w:hAnsiTheme="majorHAnsi" w:cstheme="majorHAnsi"/>
          <w:sz w:val="24"/>
          <w:szCs w:val="24"/>
          <w:lang w:eastAsia="en-GB"/>
        </w:rPr>
        <w:t>Wiliam</w:t>
      </w:r>
      <w:proofErr w:type="spellEnd"/>
      <w:r w:rsidRPr="00D42F52">
        <w:rPr>
          <w:rFonts w:asciiTheme="majorHAnsi" w:eastAsia="Times New Roman" w:hAnsiTheme="majorHAnsi" w:cstheme="majorHAnsi"/>
          <w:sz w:val="24"/>
          <w:szCs w:val="24"/>
          <w:lang w:eastAsia="en-GB"/>
        </w:rPr>
        <w:t>, 1998). Pupils are encouraged to evaluate their own current level of attainment at the end of each half term, and open questioning and Red, Amber, Green cards and notations are used effectively.</w:t>
      </w:r>
      <w:r w:rsidR="00E770AA" w:rsidRPr="00D42F52">
        <w:rPr>
          <w:rFonts w:asciiTheme="majorHAnsi" w:eastAsia="Times New Roman" w:hAnsiTheme="majorHAnsi" w:cstheme="majorHAnsi"/>
          <w:sz w:val="24"/>
          <w:szCs w:val="24"/>
          <w:lang w:eastAsia="en-GB"/>
        </w:rPr>
        <w:t xml:space="preserve"> Earl (2012) suggests the teaching within sufficient assessment for learning strategies not only allows misconceptions to go unnoticed, but in turn allows them to develop and obstruct future understanding and application of knowledge, supporting the emphasis given towards prior knowledge validation and consideration discussed by Welder (2004). </w:t>
      </w:r>
    </w:p>
    <w:p w14:paraId="3410635B" w14:textId="77777777" w:rsidR="00205F54" w:rsidRPr="00D42F52" w:rsidRDefault="00205F54" w:rsidP="00D42F52">
      <w:pPr>
        <w:spacing w:after="160" w:line="480" w:lineRule="auto"/>
        <w:jc w:val="both"/>
        <w:rPr>
          <w:rFonts w:asciiTheme="majorHAnsi" w:eastAsia="Times New Roman" w:hAnsiTheme="majorHAnsi" w:cstheme="majorHAnsi"/>
          <w:i/>
          <w:sz w:val="24"/>
          <w:szCs w:val="24"/>
          <w:lang w:eastAsia="en-GB"/>
        </w:rPr>
      </w:pPr>
      <w:r w:rsidRPr="00D42F52">
        <w:rPr>
          <w:rFonts w:asciiTheme="majorHAnsi" w:eastAsia="Times New Roman" w:hAnsiTheme="majorHAnsi" w:cstheme="majorHAnsi"/>
          <w:i/>
          <w:sz w:val="24"/>
          <w:szCs w:val="24"/>
          <w:lang w:eastAsia="en-GB"/>
        </w:rPr>
        <w:br w:type="page"/>
      </w:r>
    </w:p>
    <w:p w14:paraId="62F0E76E" w14:textId="5CE65BD0" w:rsidR="00F85182" w:rsidRPr="00D42F52" w:rsidRDefault="005116B2" w:rsidP="00D42F52">
      <w:pPr>
        <w:spacing w:after="0" w:line="480" w:lineRule="auto"/>
        <w:jc w:val="both"/>
        <w:rPr>
          <w:rFonts w:asciiTheme="majorHAnsi" w:eastAsia="Times New Roman" w:hAnsiTheme="majorHAnsi" w:cstheme="majorHAnsi"/>
          <w:b/>
          <w:sz w:val="24"/>
          <w:szCs w:val="24"/>
          <w:lang w:eastAsia="en-GB"/>
        </w:rPr>
      </w:pPr>
      <w:r w:rsidRPr="00D42F52">
        <w:rPr>
          <w:rFonts w:asciiTheme="majorHAnsi" w:eastAsia="Times New Roman" w:hAnsiTheme="majorHAnsi" w:cstheme="majorHAnsi"/>
          <w:b/>
          <w:sz w:val="24"/>
          <w:szCs w:val="24"/>
          <w:lang w:eastAsia="en-GB"/>
        </w:rPr>
        <w:lastRenderedPageBreak/>
        <w:t>METHODOLOGY AND ETHICS</w:t>
      </w:r>
    </w:p>
    <w:p w14:paraId="6C3E4078" w14:textId="4075B6CA" w:rsidR="00820F5B" w:rsidRPr="00D42F52" w:rsidRDefault="00820F5B" w:rsidP="00D42F52">
      <w:pPr>
        <w:spacing w:after="0" w:line="480" w:lineRule="auto"/>
        <w:jc w:val="both"/>
        <w:rPr>
          <w:rFonts w:asciiTheme="majorHAnsi" w:eastAsia="Times New Roman" w:hAnsiTheme="majorHAnsi" w:cstheme="majorHAnsi"/>
          <w:i/>
          <w:sz w:val="24"/>
          <w:szCs w:val="24"/>
          <w:lang w:eastAsia="en-GB"/>
        </w:rPr>
      </w:pPr>
    </w:p>
    <w:p w14:paraId="6CEA021D" w14:textId="4F8A991E" w:rsidR="004812DB" w:rsidRPr="00D42F52" w:rsidRDefault="00654B24" w:rsidP="00D42F52">
      <w:pPr>
        <w:spacing w:after="0" w:line="480" w:lineRule="auto"/>
        <w:jc w:val="both"/>
        <w:rPr>
          <w:rFonts w:asciiTheme="majorHAnsi" w:hAnsiTheme="majorHAnsi" w:cstheme="majorHAnsi"/>
          <w:sz w:val="24"/>
          <w:szCs w:val="24"/>
        </w:rPr>
      </w:pPr>
      <w:r w:rsidRPr="00D42F52">
        <w:rPr>
          <w:rFonts w:asciiTheme="majorHAnsi" w:eastAsia="Times New Roman" w:hAnsiTheme="majorHAnsi" w:cstheme="majorHAnsi"/>
          <w:sz w:val="24"/>
          <w:szCs w:val="24"/>
          <w:lang w:eastAsia="en-GB"/>
        </w:rPr>
        <w:t>This study takes place over a period of four hour-long lessons with a top tier, year 7 class of pupils.</w:t>
      </w:r>
      <w:r w:rsidR="00461E53" w:rsidRPr="00D42F52">
        <w:rPr>
          <w:rFonts w:asciiTheme="majorHAnsi" w:eastAsia="Times New Roman" w:hAnsiTheme="majorHAnsi" w:cstheme="majorHAnsi"/>
          <w:sz w:val="24"/>
          <w:szCs w:val="24"/>
          <w:lang w:eastAsia="en-GB"/>
        </w:rPr>
        <w:t xml:space="preserve"> Consideration was paid to the existing scheme of work in place within the department, aligning priorities with the department and class progression and ability, solving simple equations was selected as a suitable topic to form the basis of this investigation. Pupils had previously been exposed to introductory algebra earlier in the academic year, and were familiar with the concept of expressions, however summative half-termly assessment had been considered adequate, rather than exceptional. </w:t>
      </w:r>
      <w:r w:rsidR="00205F54" w:rsidRPr="00D42F52">
        <w:rPr>
          <w:rFonts w:asciiTheme="majorHAnsi" w:hAnsiTheme="majorHAnsi" w:cstheme="majorHAnsi"/>
          <w:sz w:val="24"/>
          <w:szCs w:val="24"/>
        </w:rPr>
        <w:t xml:space="preserve">Whilst the topic of Algebra is considered vast, the research methods available to evaluate this investigation are even more </w:t>
      </w:r>
      <w:r w:rsidR="00900B50" w:rsidRPr="00D42F52">
        <w:rPr>
          <w:rFonts w:asciiTheme="majorHAnsi" w:hAnsiTheme="majorHAnsi" w:cstheme="majorHAnsi"/>
          <w:sz w:val="24"/>
          <w:szCs w:val="24"/>
        </w:rPr>
        <w:t>so</w:t>
      </w:r>
      <w:r w:rsidR="00205F54" w:rsidRPr="00D42F52">
        <w:rPr>
          <w:rFonts w:asciiTheme="majorHAnsi" w:hAnsiTheme="majorHAnsi" w:cstheme="majorHAnsi"/>
          <w:sz w:val="24"/>
          <w:szCs w:val="24"/>
        </w:rPr>
        <w:t>. Coe; et al (2017) discusses the phenomena in the ongoing debate and conflict with regards to the most effective research tool or strategy. Whilst Coe; et al (2017) support the notion that methods are wide reaching, highlighted by many, a pre and post-test research method</w:t>
      </w:r>
      <w:r w:rsidR="004E4EF3" w:rsidRPr="00D42F52">
        <w:rPr>
          <w:rFonts w:asciiTheme="majorHAnsi" w:hAnsiTheme="majorHAnsi" w:cstheme="majorHAnsi"/>
          <w:sz w:val="24"/>
          <w:szCs w:val="24"/>
        </w:rPr>
        <w:t>;</w:t>
      </w:r>
      <w:r w:rsidR="00205F54" w:rsidRPr="00D42F52">
        <w:rPr>
          <w:rFonts w:asciiTheme="majorHAnsi" w:hAnsiTheme="majorHAnsi" w:cstheme="majorHAnsi"/>
          <w:sz w:val="24"/>
          <w:szCs w:val="24"/>
        </w:rPr>
        <w:t xml:space="preserve"> aligned with closely followed intervention can be an effective tool when assessing impact of said intervention (Cohen; et al, 2013). Cohen; et al (2013), further suggest that the limitations and considerations applied to a pre and post-test research method does hold limitations, as agreed by </w:t>
      </w:r>
      <w:proofErr w:type="spellStart"/>
      <w:r w:rsidR="00205F54" w:rsidRPr="00D42F52">
        <w:rPr>
          <w:rFonts w:asciiTheme="majorHAnsi" w:hAnsiTheme="majorHAnsi" w:cstheme="majorHAnsi"/>
          <w:sz w:val="24"/>
          <w:szCs w:val="24"/>
        </w:rPr>
        <w:t>Dugard</w:t>
      </w:r>
      <w:proofErr w:type="spellEnd"/>
      <w:r w:rsidR="00205F54" w:rsidRPr="00D42F52">
        <w:rPr>
          <w:rFonts w:asciiTheme="majorHAnsi" w:hAnsiTheme="majorHAnsi" w:cstheme="majorHAnsi"/>
          <w:sz w:val="24"/>
          <w:szCs w:val="24"/>
        </w:rPr>
        <w:t xml:space="preserve"> and </w:t>
      </w:r>
      <w:proofErr w:type="spellStart"/>
      <w:r w:rsidR="00205F54" w:rsidRPr="00D42F52">
        <w:rPr>
          <w:rFonts w:asciiTheme="majorHAnsi" w:hAnsiTheme="majorHAnsi" w:cstheme="majorHAnsi"/>
          <w:sz w:val="24"/>
          <w:szCs w:val="24"/>
        </w:rPr>
        <w:t>Todman</w:t>
      </w:r>
      <w:proofErr w:type="spellEnd"/>
      <w:r w:rsidR="00205F54" w:rsidRPr="00D42F52">
        <w:rPr>
          <w:rFonts w:asciiTheme="majorHAnsi" w:hAnsiTheme="majorHAnsi" w:cstheme="majorHAnsi"/>
          <w:sz w:val="24"/>
          <w:szCs w:val="24"/>
        </w:rPr>
        <w:t xml:space="preserve"> (1995) citing the effectiveness lies solely in the application of the given intervention, with the considered test group at a specific time. </w:t>
      </w:r>
      <w:r w:rsidR="00EC3E99" w:rsidRPr="00D42F52">
        <w:rPr>
          <w:rFonts w:asciiTheme="majorHAnsi" w:hAnsiTheme="majorHAnsi" w:cstheme="majorHAnsi"/>
          <w:sz w:val="24"/>
          <w:szCs w:val="24"/>
        </w:rPr>
        <w:t xml:space="preserve">Focus </w:t>
      </w:r>
      <w:r w:rsidR="00F80353" w:rsidRPr="00D42F52">
        <w:rPr>
          <w:rFonts w:asciiTheme="majorHAnsi" w:hAnsiTheme="majorHAnsi" w:cstheme="majorHAnsi"/>
          <w:sz w:val="24"/>
          <w:szCs w:val="24"/>
        </w:rPr>
        <w:t>Groups</w:t>
      </w:r>
      <w:r w:rsidR="004812DB" w:rsidRPr="00D42F52">
        <w:rPr>
          <w:rFonts w:asciiTheme="majorHAnsi" w:hAnsiTheme="majorHAnsi" w:cstheme="majorHAnsi"/>
          <w:sz w:val="24"/>
          <w:szCs w:val="24"/>
        </w:rPr>
        <w:t xml:space="preserve"> or pupil view questioning, </w:t>
      </w:r>
      <w:r w:rsidR="00EC3E99" w:rsidRPr="00D42F52">
        <w:rPr>
          <w:rFonts w:asciiTheme="majorHAnsi" w:hAnsiTheme="majorHAnsi" w:cstheme="majorHAnsi"/>
          <w:sz w:val="24"/>
          <w:szCs w:val="24"/>
        </w:rPr>
        <w:t xml:space="preserve">were considered as a research tool for this investigation, </w:t>
      </w:r>
      <w:r w:rsidR="004812DB" w:rsidRPr="00D42F52">
        <w:rPr>
          <w:rFonts w:asciiTheme="majorHAnsi" w:hAnsiTheme="majorHAnsi" w:cstheme="majorHAnsi"/>
          <w:sz w:val="24"/>
          <w:szCs w:val="24"/>
        </w:rPr>
        <w:t xml:space="preserve">a tool discussed by Coe; et al (2017). The inclusion of such methods would have allowed pupils the opportunity to discuss and share their perceptions and coincidentally, their misconceptions within algebra and admittedly would have presented the opportunity to assess their confidence within the topic with correct questioning (Coe; et al, 2017). However, in turn, such methods would have presented limitations and challenges, with interpretation of answers being more subjective, or influenced by the interviewer, a less effective tool to evaluate pre and post-intervention research methods (Coe; et al. 2017). For this reason, carefully designed pre and post-testing </w:t>
      </w:r>
      <w:r w:rsidR="004812DB" w:rsidRPr="00D42F52">
        <w:rPr>
          <w:rFonts w:asciiTheme="majorHAnsi" w:hAnsiTheme="majorHAnsi" w:cstheme="majorHAnsi"/>
          <w:sz w:val="24"/>
          <w:szCs w:val="24"/>
        </w:rPr>
        <w:lastRenderedPageBreak/>
        <w:t>was included as an assessment and research tool. Further to the limitations identified</w:t>
      </w:r>
      <w:r w:rsidR="00217435" w:rsidRPr="00D42F52">
        <w:rPr>
          <w:rFonts w:asciiTheme="majorHAnsi" w:hAnsiTheme="majorHAnsi" w:cstheme="majorHAnsi"/>
          <w:sz w:val="24"/>
          <w:szCs w:val="24"/>
        </w:rPr>
        <w:t xml:space="preserve"> with regards to Focus Groups and interview, the decision was made to assess </w:t>
      </w:r>
      <w:r w:rsidR="00B06F1D" w:rsidRPr="00D42F52">
        <w:rPr>
          <w:rFonts w:asciiTheme="majorHAnsi" w:hAnsiTheme="majorHAnsi" w:cstheme="majorHAnsi"/>
          <w:sz w:val="24"/>
          <w:szCs w:val="24"/>
        </w:rPr>
        <w:t>pupils’</w:t>
      </w:r>
      <w:r w:rsidR="00217435" w:rsidRPr="00D42F52">
        <w:rPr>
          <w:rFonts w:asciiTheme="majorHAnsi" w:hAnsiTheme="majorHAnsi" w:cstheme="majorHAnsi"/>
          <w:sz w:val="24"/>
          <w:szCs w:val="24"/>
        </w:rPr>
        <w:t xml:space="preserve"> own perception of attainment and understanding would be investigated throughout the intervention through the use of a range of Assessment for Learning techniques, involving discussion, group work and assessment and </w:t>
      </w:r>
      <w:proofErr w:type="spellStart"/>
      <w:r w:rsidR="00217435" w:rsidRPr="00D42F52">
        <w:rPr>
          <w:rFonts w:asciiTheme="majorHAnsi" w:hAnsiTheme="majorHAnsi" w:cstheme="majorHAnsi"/>
          <w:sz w:val="24"/>
          <w:szCs w:val="24"/>
        </w:rPr>
        <w:t>oracy</w:t>
      </w:r>
      <w:proofErr w:type="spellEnd"/>
      <w:r w:rsidR="00217435" w:rsidRPr="00D42F52">
        <w:rPr>
          <w:rFonts w:asciiTheme="majorHAnsi" w:hAnsiTheme="majorHAnsi" w:cstheme="majorHAnsi"/>
          <w:sz w:val="24"/>
          <w:szCs w:val="24"/>
        </w:rPr>
        <w:t xml:space="preserve"> based reasoning, techniques. </w:t>
      </w:r>
    </w:p>
    <w:p w14:paraId="59FE3057" w14:textId="77777777" w:rsidR="00F80353" w:rsidRPr="00D42F52" w:rsidRDefault="00F80353" w:rsidP="00D42F52">
      <w:pPr>
        <w:spacing w:after="0" w:line="480" w:lineRule="auto"/>
        <w:jc w:val="both"/>
        <w:rPr>
          <w:rFonts w:asciiTheme="majorHAnsi" w:hAnsiTheme="majorHAnsi" w:cstheme="majorHAnsi"/>
          <w:sz w:val="24"/>
          <w:szCs w:val="24"/>
        </w:rPr>
      </w:pPr>
    </w:p>
    <w:p w14:paraId="29D36EBF" w14:textId="732037ED" w:rsidR="00205F54" w:rsidRPr="00D42F52" w:rsidRDefault="00205F54"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 xml:space="preserve">Supporting the limitations and considerations outlined by </w:t>
      </w:r>
      <w:proofErr w:type="spellStart"/>
      <w:r w:rsidRPr="00D42F52">
        <w:rPr>
          <w:rFonts w:asciiTheme="majorHAnsi" w:hAnsiTheme="majorHAnsi" w:cstheme="majorHAnsi"/>
          <w:sz w:val="24"/>
          <w:szCs w:val="24"/>
        </w:rPr>
        <w:t>Dugard</w:t>
      </w:r>
      <w:proofErr w:type="spellEnd"/>
      <w:r w:rsidRPr="00D42F52">
        <w:rPr>
          <w:rFonts w:asciiTheme="majorHAnsi" w:hAnsiTheme="majorHAnsi" w:cstheme="majorHAnsi"/>
          <w:sz w:val="24"/>
          <w:szCs w:val="24"/>
        </w:rPr>
        <w:t xml:space="preserve"> and </w:t>
      </w:r>
      <w:proofErr w:type="spellStart"/>
      <w:r w:rsidRPr="00D42F52">
        <w:rPr>
          <w:rFonts w:asciiTheme="majorHAnsi" w:hAnsiTheme="majorHAnsi" w:cstheme="majorHAnsi"/>
          <w:sz w:val="24"/>
          <w:szCs w:val="24"/>
        </w:rPr>
        <w:t>Todman</w:t>
      </w:r>
      <w:proofErr w:type="spellEnd"/>
      <w:r w:rsidRPr="00D42F52">
        <w:rPr>
          <w:rFonts w:asciiTheme="majorHAnsi" w:hAnsiTheme="majorHAnsi" w:cstheme="majorHAnsi"/>
          <w:sz w:val="24"/>
          <w:szCs w:val="24"/>
        </w:rPr>
        <w:t xml:space="preserve"> (1995), </w:t>
      </w:r>
      <w:proofErr w:type="spellStart"/>
      <w:r w:rsidRPr="00D42F52">
        <w:rPr>
          <w:rFonts w:asciiTheme="majorHAnsi" w:hAnsiTheme="majorHAnsi" w:cstheme="majorHAnsi"/>
          <w:sz w:val="24"/>
          <w:szCs w:val="24"/>
        </w:rPr>
        <w:t>Boyas</w:t>
      </w:r>
      <w:proofErr w:type="spellEnd"/>
      <w:r w:rsidRPr="00D42F52">
        <w:rPr>
          <w:rFonts w:asciiTheme="majorHAnsi" w:hAnsiTheme="majorHAnsi" w:cstheme="majorHAnsi"/>
          <w:sz w:val="24"/>
          <w:szCs w:val="24"/>
        </w:rPr>
        <w:t>; et al (2012), discuss an imperative consideration often impacting on the usefulness of any pre and post</w:t>
      </w:r>
      <w:r w:rsidR="005B04D5" w:rsidRPr="00D42F52">
        <w:rPr>
          <w:rFonts w:asciiTheme="majorHAnsi" w:hAnsiTheme="majorHAnsi" w:cstheme="majorHAnsi"/>
          <w:sz w:val="24"/>
          <w:szCs w:val="24"/>
        </w:rPr>
        <w:t>-</w:t>
      </w:r>
      <w:r w:rsidRPr="00D42F52">
        <w:rPr>
          <w:rFonts w:asciiTheme="majorHAnsi" w:hAnsiTheme="majorHAnsi" w:cstheme="majorHAnsi"/>
          <w:sz w:val="24"/>
          <w:szCs w:val="24"/>
        </w:rPr>
        <w:t xml:space="preserve">test research method as the limited knowledge and exposure to the subject or topic prior to the pre-test. With this in mind, </w:t>
      </w:r>
      <w:r w:rsidR="004E4EF3" w:rsidRPr="00D42F52">
        <w:rPr>
          <w:rFonts w:asciiTheme="majorHAnsi" w:hAnsiTheme="majorHAnsi" w:cstheme="majorHAnsi"/>
          <w:sz w:val="24"/>
          <w:szCs w:val="24"/>
        </w:rPr>
        <w:t xml:space="preserve">following inspection and planning in line with the department scheme of work, attention was paid to the introductory algebraic sub topics taught to the pupils in the research group. These topics, supported by the common misconceptions cited by Booth; et al, (2017), Booth and </w:t>
      </w:r>
      <w:proofErr w:type="spellStart"/>
      <w:r w:rsidR="004E4EF3" w:rsidRPr="00D42F52">
        <w:rPr>
          <w:rFonts w:asciiTheme="majorHAnsi" w:hAnsiTheme="majorHAnsi" w:cstheme="majorHAnsi"/>
          <w:sz w:val="24"/>
          <w:szCs w:val="24"/>
        </w:rPr>
        <w:t>Keodinger</w:t>
      </w:r>
      <w:proofErr w:type="spellEnd"/>
      <w:r w:rsidR="004E4EF3" w:rsidRPr="00D42F52">
        <w:rPr>
          <w:rFonts w:asciiTheme="majorHAnsi" w:hAnsiTheme="majorHAnsi" w:cstheme="majorHAnsi"/>
          <w:sz w:val="24"/>
          <w:szCs w:val="24"/>
        </w:rPr>
        <w:t xml:space="preserve"> (2007) and Welder (2006) among others.  T</w:t>
      </w:r>
      <w:r w:rsidRPr="00D42F52">
        <w:rPr>
          <w:rFonts w:asciiTheme="majorHAnsi" w:hAnsiTheme="majorHAnsi" w:cstheme="majorHAnsi"/>
          <w:sz w:val="24"/>
          <w:szCs w:val="24"/>
        </w:rPr>
        <w:t>he topic for this investigation is one which pupils have recent experience with to help address the limitation of effectiveness (</w:t>
      </w:r>
      <w:proofErr w:type="spellStart"/>
      <w:r w:rsidRPr="00D42F52">
        <w:rPr>
          <w:rFonts w:asciiTheme="majorHAnsi" w:hAnsiTheme="majorHAnsi" w:cstheme="majorHAnsi"/>
          <w:sz w:val="24"/>
          <w:szCs w:val="24"/>
        </w:rPr>
        <w:t>Boyas</w:t>
      </w:r>
      <w:proofErr w:type="spellEnd"/>
      <w:r w:rsidRPr="00D42F52">
        <w:rPr>
          <w:rFonts w:asciiTheme="majorHAnsi" w:hAnsiTheme="majorHAnsi" w:cstheme="majorHAnsi"/>
          <w:sz w:val="24"/>
          <w:szCs w:val="24"/>
        </w:rPr>
        <w:t>; et al, 2012).</w:t>
      </w:r>
      <w:r w:rsidR="003E3C04" w:rsidRPr="00D42F52">
        <w:rPr>
          <w:rFonts w:asciiTheme="majorHAnsi" w:hAnsiTheme="majorHAnsi" w:cstheme="majorHAnsi"/>
          <w:sz w:val="24"/>
          <w:szCs w:val="24"/>
        </w:rPr>
        <w:t xml:space="preserve"> </w:t>
      </w:r>
    </w:p>
    <w:p w14:paraId="647F1236" w14:textId="4D73BD00" w:rsidR="00205F54" w:rsidRPr="00D42F52" w:rsidRDefault="00F80353"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The research question was presented to the pupils in the sample class before pre-test, and subsequent intervention commenced.</w:t>
      </w:r>
      <w:r w:rsidR="00AC04CA" w:rsidRPr="00D42F52">
        <w:rPr>
          <w:rFonts w:asciiTheme="majorHAnsi" w:hAnsiTheme="majorHAnsi" w:cstheme="majorHAnsi"/>
          <w:sz w:val="24"/>
          <w:szCs w:val="24"/>
        </w:rPr>
        <w:t xml:space="preserve"> In line with BERA (2011), educational research guidelines, pupils were given the opportunity to withdraw from the research should they wish, ensuring that all pupils who engaged in this project did so with informed, voluntary consent. Pupils were presented with a letter of consent, (Shown in Appendix 1.1), and reminded of their right to withdraw at any time. Great consideration was given to the appropriate level of anonymity of all participants within the sample group, pupils were each issued with a participant number, and all materials </w:t>
      </w:r>
      <w:r w:rsidR="007B0B0F" w:rsidRPr="00D42F52">
        <w:rPr>
          <w:rFonts w:asciiTheme="majorHAnsi" w:hAnsiTheme="majorHAnsi" w:cstheme="majorHAnsi"/>
          <w:sz w:val="24"/>
          <w:szCs w:val="24"/>
        </w:rPr>
        <w:t xml:space="preserve">issued and collected inline with the pre and post test were completed with this number in place of any name, or personal identifier. Coe; et al (2017) cite the preservation of anonymity as a core priority in any educational research project, supported by BERA (2011) guidelines, this method allowed for pupil to feel empowered and </w:t>
      </w:r>
      <w:r w:rsidR="007B0B0F" w:rsidRPr="00D42F52">
        <w:rPr>
          <w:rFonts w:asciiTheme="majorHAnsi" w:hAnsiTheme="majorHAnsi" w:cstheme="majorHAnsi"/>
          <w:sz w:val="24"/>
          <w:szCs w:val="24"/>
        </w:rPr>
        <w:lastRenderedPageBreak/>
        <w:t>confident that their participation in the research was dealt with appropriately and further provided a tool which somewhat addressed a limitation to the pre and post test assessment tool</w:t>
      </w:r>
      <w:r w:rsidR="005A116F" w:rsidRPr="00D42F52">
        <w:rPr>
          <w:rFonts w:asciiTheme="majorHAnsi" w:hAnsiTheme="majorHAnsi" w:cstheme="majorHAnsi"/>
          <w:sz w:val="24"/>
          <w:szCs w:val="24"/>
        </w:rPr>
        <w:t xml:space="preserve">, </w:t>
      </w:r>
      <w:r w:rsidR="00B60C27" w:rsidRPr="00D42F52">
        <w:rPr>
          <w:rFonts w:asciiTheme="majorHAnsi" w:hAnsiTheme="majorHAnsi" w:cstheme="majorHAnsi"/>
          <w:sz w:val="24"/>
          <w:szCs w:val="24"/>
        </w:rPr>
        <w:t>associating</w:t>
      </w:r>
      <w:r w:rsidR="005A116F" w:rsidRPr="00D42F52">
        <w:rPr>
          <w:rFonts w:asciiTheme="majorHAnsi" w:hAnsiTheme="majorHAnsi" w:cstheme="majorHAnsi"/>
          <w:sz w:val="24"/>
          <w:szCs w:val="24"/>
        </w:rPr>
        <w:t xml:space="preserve"> assessment anxiety to performance in assessments, (Croft et al., 2007).</w:t>
      </w:r>
    </w:p>
    <w:p w14:paraId="2B70F095" w14:textId="538FD27B" w:rsidR="005A116F" w:rsidRPr="00D42F52" w:rsidRDefault="005A116F"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 xml:space="preserve">A limitation which must be considered in this research must be my personal ‘dual’ role as the Teacher-Researcher, BERA (2011). </w:t>
      </w:r>
      <w:r w:rsidR="001F787B" w:rsidRPr="00D42F52">
        <w:rPr>
          <w:rFonts w:asciiTheme="majorHAnsi" w:hAnsiTheme="majorHAnsi" w:cstheme="majorHAnsi"/>
          <w:sz w:val="24"/>
          <w:szCs w:val="24"/>
        </w:rPr>
        <w:t xml:space="preserve">Welsh </w:t>
      </w:r>
      <w:r w:rsidR="00B60C27" w:rsidRPr="00D42F52">
        <w:rPr>
          <w:rFonts w:asciiTheme="majorHAnsi" w:hAnsiTheme="majorHAnsi" w:cstheme="majorHAnsi"/>
          <w:sz w:val="24"/>
          <w:szCs w:val="24"/>
        </w:rPr>
        <w:t>Government</w:t>
      </w:r>
      <w:r w:rsidR="001F787B" w:rsidRPr="00D42F52">
        <w:rPr>
          <w:rFonts w:asciiTheme="majorHAnsi" w:hAnsiTheme="majorHAnsi" w:cstheme="majorHAnsi"/>
          <w:sz w:val="24"/>
          <w:szCs w:val="24"/>
        </w:rPr>
        <w:t xml:space="preserve"> (2009) include research, innovation and </w:t>
      </w:r>
      <w:r w:rsidR="00B60C27" w:rsidRPr="00D42F52">
        <w:rPr>
          <w:rFonts w:asciiTheme="majorHAnsi" w:hAnsiTheme="majorHAnsi" w:cstheme="majorHAnsi"/>
          <w:sz w:val="24"/>
          <w:szCs w:val="24"/>
        </w:rPr>
        <w:t xml:space="preserve">the ability to reflect on teaching and understanding as a key element to the Qualified Teacher Status Standards (2009). Hammersley (1993) suggests the expectation of any teacher to embody the role of a researcher within the classroom has been seen since the early 1950s and although often considered by some to contradict the ‘priority’ of a teacher to teach pupils in any given subject, it is perhaps the most important function to continually reflect and learn from assessment of understanding of pupils, and </w:t>
      </w:r>
      <w:r w:rsidR="00347D4C" w:rsidRPr="00D42F52">
        <w:rPr>
          <w:rFonts w:asciiTheme="majorHAnsi" w:hAnsiTheme="majorHAnsi" w:cstheme="majorHAnsi"/>
          <w:sz w:val="24"/>
          <w:szCs w:val="24"/>
        </w:rPr>
        <w:t>ones’</w:t>
      </w:r>
      <w:r w:rsidR="00B60C27" w:rsidRPr="00D42F52">
        <w:rPr>
          <w:rFonts w:asciiTheme="majorHAnsi" w:hAnsiTheme="majorHAnsi" w:cstheme="majorHAnsi"/>
          <w:sz w:val="24"/>
          <w:szCs w:val="24"/>
        </w:rPr>
        <w:t xml:space="preserve"> own performance in the classroom.</w:t>
      </w:r>
      <w:r w:rsidR="00E50359" w:rsidRPr="00D42F52">
        <w:rPr>
          <w:rFonts w:asciiTheme="majorHAnsi" w:hAnsiTheme="majorHAnsi" w:cstheme="majorHAnsi"/>
          <w:sz w:val="24"/>
          <w:szCs w:val="24"/>
        </w:rPr>
        <w:t xml:space="preserve"> </w:t>
      </w:r>
      <w:r w:rsidR="00EA3273" w:rsidRPr="00D42F52">
        <w:rPr>
          <w:rFonts w:asciiTheme="majorHAnsi" w:hAnsiTheme="majorHAnsi" w:cstheme="majorHAnsi"/>
          <w:sz w:val="24"/>
          <w:szCs w:val="24"/>
        </w:rPr>
        <w:t xml:space="preserve"> </w:t>
      </w:r>
    </w:p>
    <w:p w14:paraId="49DD91D6" w14:textId="77777777" w:rsidR="00347D4C" w:rsidRPr="00D42F52" w:rsidRDefault="00347D4C" w:rsidP="00D42F52">
      <w:pPr>
        <w:spacing w:after="0" w:line="480" w:lineRule="auto"/>
        <w:jc w:val="both"/>
        <w:rPr>
          <w:rFonts w:asciiTheme="majorHAnsi" w:hAnsiTheme="majorHAnsi" w:cstheme="majorHAnsi"/>
          <w:sz w:val="24"/>
          <w:szCs w:val="24"/>
        </w:rPr>
      </w:pPr>
    </w:p>
    <w:p w14:paraId="31178DF2" w14:textId="2AB126E5" w:rsidR="00D261BD" w:rsidRPr="00D42F52" w:rsidRDefault="00B06F1D"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 xml:space="preserve">Throughout the planned intervention which will form the basis of evaluation for this </w:t>
      </w:r>
      <w:r w:rsidR="00347D4C" w:rsidRPr="00D42F52">
        <w:rPr>
          <w:rFonts w:asciiTheme="majorHAnsi" w:hAnsiTheme="majorHAnsi" w:cstheme="majorHAnsi"/>
          <w:sz w:val="24"/>
          <w:szCs w:val="24"/>
        </w:rPr>
        <w:t>research</w:t>
      </w:r>
      <w:r w:rsidRPr="00D42F52">
        <w:rPr>
          <w:rFonts w:asciiTheme="majorHAnsi" w:hAnsiTheme="majorHAnsi" w:cstheme="majorHAnsi"/>
          <w:sz w:val="24"/>
          <w:szCs w:val="24"/>
        </w:rPr>
        <w:t xml:space="preserve">, </w:t>
      </w:r>
      <w:r w:rsidR="00D261BD" w:rsidRPr="00D42F52">
        <w:rPr>
          <w:rFonts w:asciiTheme="majorHAnsi" w:hAnsiTheme="majorHAnsi" w:cstheme="majorHAnsi"/>
          <w:sz w:val="24"/>
          <w:szCs w:val="24"/>
        </w:rPr>
        <w:t xml:space="preserve">strategies to reduce and address misconceptions are vast Li and Li (2008), cite Piaget (1970), theory of developing logical reasoning as a step towards reducing misconceptions within mathematics. The opportunity to foster discussions, develop reasoning skills and develop higher order cognitive understanding which can in turn reduce procedural, and therefore conceptual misconceptions within mathematics (Piaget, 1970; Swan, 2001; Li and Li, 2008; Booth, et al. 2017). Li and Li (2008) further discuss the contradiction in the misconceptions or mistakes that pupils make and consider whether these are due to a misconception or simply due to an overload in working memory. Discussed by </w:t>
      </w:r>
      <w:proofErr w:type="spellStart"/>
      <w:r w:rsidR="00D261BD" w:rsidRPr="00D42F52">
        <w:rPr>
          <w:rFonts w:asciiTheme="majorHAnsi" w:hAnsiTheme="majorHAnsi" w:cstheme="majorHAnsi"/>
          <w:sz w:val="24"/>
          <w:szCs w:val="24"/>
        </w:rPr>
        <w:t>Hadie</w:t>
      </w:r>
      <w:proofErr w:type="spellEnd"/>
      <w:r w:rsidR="00D261BD" w:rsidRPr="00D42F52">
        <w:rPr>
          <w:rFonts w:asciiTheme="majorHAnsi" w:hAnsiTheme="majorHAnsi" w:cstheme="majorHAnsi"/>
          <w:sz w:val="24"/>
          <w:szCs w:val="24"/>
        </w:rPr>
        <w:t xml:space="preserve"> and </w:t>
      </w:r>
      <w:proofErr w:type="spellStart"/>
      <w:r w:rsidR="00D261BD" w:rsidRPr="00D42F52">
        <w:rPr>
          <w:rFonts w:asciiTheme="majorHAnsi" w:hAnsiTheme="majorHAnsi" w:cstheme="majorHAnsi"/>
          <w:sz w:val="24"/>
          <w:szCs w:val="24"/>
        </w:rPr>
        <w:t>Yusoff</w:t>
      </w:r>
      <w:proofErr w:type="spellEnd"/>
      <w:r w:rsidR="00D261BD" w:rsidRPr="00D42F52">
        <w:rPr>
          <w:rFonts w:asciiTheme="majorHAnsi" w:hAnsiTheme="majorHAnsi" w:cstheme="majorHAnsi"/>
          <w:sz w:val="24"/>
          <w:szCs w:val="24"/>
        </w:rPr>
        <w:t xml:space="preserve"> (2016) Cognitive Load Theory, takes many forms. It is suggested that the impact of activating prior knowledge to identifying and hence, resolving misconceptions, must always be considered and investigated, further supported by </w:t>
      </w:r>
      <w:proofErr w:type="spellStart"/>
      <w:r w:rsidR="00D261BD" w:rsidRPr="00D42F52">
        <w:rPr>
          <w:rFonts w:asciiTheme="majorHAnsi" w:hAnsiTheme="majorHAnsi" w:cstheme="majorHAnsi"/>
          <w:sz w:val="24"/>
          <w:szCs w:val="24"/>
        </w:rPr>
        <w:t>Alibali</w:t>
      </w:r>
      <w:proofErr w:type="spellEnd"/>
      <w:r w:rsidR="00D261BD" w:rsidRPr="00D42F52">
        <w:rPr>
          <w:rFonts w:asciiTheme="majorHAnsi" w:hAnsiTheme="majorHAnsi" w:cstheme="majorHAnsi"/>
          <w:sz w:val="24"/>
          <w:szCs w:val="24"/>
        </w:rPr>
        <w:t>; et al. (2001) (</w:t>
      </w:r>
      <w:proofErr w:type="spellStart"/>
      <w:r w:rsidR="00D261BD" w:rsidRPr="00D42F52">
        <w:rPr>
          <w:rFonts w:asciiTheme="majorHAnsi" w:hAnsiTheme="majorHAnsi" w:cstheme="majorHAnsi"/>
          <w:sz w:val="24"/>
          <w:szCs w:val="24"/>
        </w:rPr>
        <w:t>Hadie</w:t>
      </w:r>
      <w:proofErr w:type="spellEnd"/>
      <w:r w:rsidR="00D261BD" w:rsidRPr="00D42F52">
        <w:rPr>
          <w:rFonts w:asciiTheme="majorHAnsi" w:hAnsiTheme="majorHAnsi" w:cstheme="majorHAnsi"/>
          <w:sz w:val="24"/>
          <w:szCs w:val="24"/>
        </w:rPr>
        <w:t xml:space="preserve"> and </w:t>
      </w:r>
      <w:proofErr w:type="spellStart"/>
      <w:r w:rsidR="00D261BD" w:rsidRPr="00D42F52">
        <w:rPr>
          <w:rFonts w:asciiTheme="majorHAnsi" w:hAnsiTheme="majorHAnsi" w:cstheme="majorHAnsi"/>
          <w:sz w:val="24"/>
          <w:szCs w:val="24"/>
        </w:rPr>
        <w:t>Yusoff</w:t>
      </w:r>
      <w:proofErr w:type="spellEnd"/>
      <w:r w:rsidR="00D261BD" w:rsidRPr="00D42F52">
        <w:rPr>
          <w:rFonts w:asciiTheme="majorHAnsi" w:hAnsiTheme="majorHAnsi" w:cstheme="majorHAnsi"/>
          <w:sz w:val="24"/>
          <w:szCs w:val="24"/>
        </w:rPr>
        <w:t xml:space="preserve">, 2016). McGowen (2017) further cites the challenge in pre-college mathematics and how the fragmented teaching of mathematics can often be considered a consideration for the inability of pupils to draw on </w:t>
      </w:r>
      <w:r w:rsidR="00D261BD" w:rsidRPr="00D42F52">
        <w:rPr>
          <w:rFonts w:asciiTheme="majorHAnsi" w:hAnsiTheme="majorHAnsi" w:cstheme="majorHAnsi"/>
          <w:sz w:val="24"/>
          <w:szCs w:val="24"/>
        </w:rPr>
        <w:lastRenderedPageBreak/>
        <w:t xml:space="preserve">prior knowledge, namely within the topic of algebra at post-secondary level. Whilst McGowen (2017) discusses the impact identified by prior knowledge, or lack thereof, Croft; et al. (2007) highlight the assumptions often made within the classroom with regards to students’ prior knowledge which can be considered a limiting factor in alleviating misconceptions within the classroom. Swan (2001) refers to Piaget (1970), definition of cognitive change; organisation and adaptation and the importance of discussion and reasoning. Berk (1997, cited within Swan, 2001) relays the impact of cognitive change to support pupils to align previous knowledge whilst engaging in a socio-constructivist theory discussed by </w:t>
      </w:r>
      <w:r w:rsidR="00B41498" w:rsidRPr="00D42F52">
        <w:rPr>
          <w:rFonts w:asciiTheme="majorHAnsi" w:hAnsiTheme="majorHAnsi" w:cstheme="majorHAnsi"/>
          <w:sz w:val="24"/>
          <w:szCs w:val="24"/>
        </w:rPr>
        <w:t>(Vygotsky, 1896 - 1934)</w:t>
      </w:r>
      <w:r w:rsidR="00D261BD" w:rsidRPr="00D42F52">
        <w:rPr>
          <w:rFonts w:asciiTheme="majorHAnsi" w:hAnsiTheme="majorHAnsi" w:cstheme="majorHAnsi"/>
          <w:sz w:val="24"/>
          <w:szCs w:val="24"/>
        </w:rPr>
        <w:t xml:space="preserve">, (cited by Berk 1997, cited within Swan, 2001) and the impact of simply reading and discussing aloud.  </w:t>
      </w:r>
      <w:r w:rsidR="00E50359" w:rsidRPr="00D42F52">
        <w:rPr>
          <w:rFonts w:asciiTheme="majorHAnsi" w:hAnsiTheme="majorHAnsi" w:cstheme="majorHAnsi"/>
          <w:sz w:val="24"/>
          <w:szCs w:val="24"/>
        </w:rPr>
        <w:t xml:space="preserve">Supporting this ethos, Swan (2006) cites the importance of a collaborative approach to learning in a mathematics classroom, building upon prior knowledge and experience, equipping pupils with the confidence and desire to think logically and challenge their own understanding, assessment for learning and reflection within this research study will be paramount with many of strategies discussed included in each lesson. </w:t>
      </w:r>
    </w:p>
    <w:p w14:paraId="56AC89E3" w14:textId="77777777" w:rsidR="00981CA6" w:rsidRPr="00D42F52" w:rsidRDefault="00981CA6" w:rsidP="00D42F52">
      <w:pPr>
        <w:spacing w:after="0" w:line="480" w:lineRule="auto"/>
        <w:jc w:val="both"/>
        <w:rPr>
          <w:rFonts w:asciiTheme="majorHAnsi" w:hAnsiTheme="majorHAnsi" w:cstheme="majorHAnsi"/>
          <w:sz w:val="24"/>
          <w:szCs w:val="24"/>
        </w:rPr>
      </w:pPr>
    </w:p>
    <w:p w14:paraId="0463A68B" w14:textId="6967F0DA" w:rsidR="00800B08" w:rsidRPr="00D42F52" w:rsidRDefault="008F7D71"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Whilst the applied strategy to assess the effectiveness of the planned intervention will sit within the pre and post-test method, the test itself will include a catalogue of misconception diagnostic questions</w:t>
      </w:r>
      <w:r w:rsidR="008E4BB6" w:rsidRPr="00D42F52">
        <w:rPr>
          <w:rFonts w:asciiTheme="majorHAnsi" w:hAnsiTheme="majorHAnsi" w:cstheme="majorHAnsi"/>
          <w:sz w:val="24"/>
          <w:szCs w:val="24"/>
        </w:rPr>
        <w:t xml:space="preserve">. </w:t>
      </w:r>
      <w:r w:rsidRPr="00D42F52">
        <w:rPr>
          <w:rFonts w:asciiTheme="majorHAnsi" w:hAnsiTheme="majorHAnsi" w:cstheme="majorHAnsi"/>
          <w:sz w:val="24"/>
          <w:szCs w:val="24"/>
        </w:rPr>
        <w:t xml:space="preserve">Typically, learners who hold misconceptions in algebra seldom hold just one (Booth; et al. 2016, </w:t>
      </w:r>
      <w:proofErr w:type="spellStart"/>
      <w:r w:rsidRPr="00D42F52">
        <w:rPr>
          <w:rFonts w:asciiTheme="majorHAnsi" w:hAnsiTheme="majorHAnsi" w:cstheme="majorHAnsi"/>
          <w:sz w:val="24"/>
          <w:szCs w:val="24"/>
        </w:rPr>
        <w:t>Makonye</w:t>
      </w:r>
      <w:proofErr w:type="spellEnd"/>
      <w:r w:rsidRPr="00D42F52">
        <w:rPr>
          <w:rFonts w:asciiTheme="majorHAnsi" w:hAnsiTheme="majorHAnsi" w:cstheme="majorHAnsi"/>
          <w:sz w:val="24"/>
          <w:szCs w:val="24"/>
        </w:rPr>
        <w:t xml:space="preserve"> 2016). The inclusion of a variety of diagnostic questions will further allow for the tailoring and consideration for the planned intervention. Addressing </w:t>
      </w:r>
      <w:r w:rsidR="00981CA6" w:rsidRPr="00D42F52">
        <w:rPr>
          <w:rFonts w:asciiTheme="majorHAnsi" w:hAnsiTheme="majorHAnsi" w:cstheme="majorHAnsi"/>
          <w:sz w:val="24"/>
          <w:szCs w:val="24"/>
        </w:rPr>
        <w:t xml:space="preserve">frequent flaw in pre and </w:t>
      </w:r>
      <w:r w:rsidR="00F51E79" w:rsidRPr="00D42F52">
        <w:rPr>
          <w:rFonts w:asciiTheme="majorHAnsi" w:hAnsiTheme="majorHAnsi" w:cstheme="majorHAnsi"/>
          <w:sz w:val="24"/>
          <w:szCs w:val="24"/>
        </w:rPr>
        <w:t>post-test</w:t>
      </w:r>
      <w:r w:rsidR="00981CA6" w:rsidRPr="00D42F52">
        <w:rPr>
          <w:rFonts w:asciiTheme="majorHAnsi" w:hAnsiTheme="majorHAnsi" w:cstheme="majorHAnsi"/>
          <w:sz w:val="24"/>
          <w:szCs w:val="24"/>
        </w:rPr>
        <w:t xml:space="preserve"> research, the intervention follows the pre-test almost immediately, improving the validity of the research and evaluation of the intervention strategy, although it must still be considered that the nature of the research itself is a limitation, identifying the strategies, implementation and results to be somewhat bespoke to the particular intervention group, within the given school, at this specifically identified point in their academic career (Coe; et al, 2017; Cohen; et al, 2013). </w:t>
      </w:r>
    </w:p>
    <w:p w14:paraId="01A933BE" w14:textId="1FB530B9" w:rsidR="00F85182" w:rsidRPr="00D42F52" w:rsidRDefault="005116B2" w:rsidP="00D42F52">
      <w:pPr>
        <w:spacing w:after="160" w:line="480" w:lineRule="auto"/>
        <w:jc w:val="both"/>
        <w:rPr>
          <w:rFonts w:asciiTheme="majorHAnsi" w:eastAsia="Times New Roman" w:hAnsiTheme="majorHAnsi" w:cstheme="majorHAnsi"/>
          <w:i/>
          <w:sz w:val="24"/>
          <w:szCs w:val="24"/>
          <w:lang w:eastAsia="en-GB"/>
        </w:rPr>
      </w:pPr>
      <w:r w:rsidRPr="00D42F52">
        <w:rPr>
          <w:rFonts w:asciiTheme="majorHAnsi" w:eastAsia="Times New Roman" w:hAnsiTheme="majorHAnsi" w:cstheme="majorHAnsi"/>
          <w:b/>
          <w:sz w:val="24"/>
          <w:szCs w:val="24"/>
          <w:lang w:eastAsia="en-GB"/>
        </w:rPr>
        <w:lastRenderedPageBreak/>
        <w:t>EVALUATOIN</w:t>
      </w:r>
    </w:p>
    <w:p w14:paraId="67D2BE37" w14:textId="0AB1AE25" w:rsidR="00681C17" w:rsidRPr="00D42F52" w:rsidRDefault="00681C17"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t xml:space="preserve">The following results and evaluations are drawn </w:t>
      </w:r>
      <w:r w:rsidR="00EA6457" w:rsidRPr="00D42F52">
        <w:rPr>
          <w:rFonts w:asciiTheme="majorHAnsi" w:eastAsia="Times New Roman" w:hAnsiTheme="majorHAnsi" w:cstheme="majorHAnsi"/>
          <w:sz w:val="24"/>
          <w:szCs w:val="24"/>
          <w:lang w:eastAsia="en-GB"/>
        </w:rPr>
        <w:t>from</w:t>
      </w:r>
      <w:r w:rsidRPr="00D42F52">
        <w:rPr>
          <w:rFonts w:asciiTheme="majorHAnsi" w:eastAsia="Times New Roman" w:hAnsiTheme="majorHAnsi" w:cstheme="majorHAnsi"/>
          <w:sz w:val="24"/>
          <w:szCs w:val="24"/>
          <w:lang w:eastAsia="en-GB"/>
        </w:rPr>
        <w:t xml:space="preserve"> a pre-test (Appendix 2.1) completed by a top tier, </w:t>
      </w:r>
      <w:r w:rsidR="00EA6457" w:rsidRPr="00D42F52">
        <w:rPr>
          <w:rFonts w:asciiTheme="majorHAnsi" w:eastAsia="Times New Roman" w:hAnsiTheme="majorHAnsi" w:cstheme="majorHAnsi"/>
          <w:sz w:val="24"/>
          <w:szCs w:val="24"/>
          <w:lang w:eastAsia="en-GB"/>
        </w:rPr>
        <w:t>Y</w:t>
      </w:r>
      <w:r w:rsidRPr="00D42F52">
        <w:rPr>
          <w:rFonts w:asciiTheme="majorHAnsi" w:eastAsia="Times New Roman" w:hAnsiTheme="majorHAnsi" w:cstheme="majorHAnsi"/>
          <w:sz w:val="24"/>
          <w:szCs w:val="24"/>
          <w:lang w:eastAsia="en-GB"/>
        </w:rPr>
        <w:t xml:space="preserve">ear 7 class of pupils in the lesson immediately </w:t>
      </w:r>
      <w:r w:rsidR="00F51E79" w:rsidRPr="00D42F52">
        <w:rPr>
          <w:rFonts w:asciiTheme="majorHAnsi" w:eastAsia="Times New Roman" w:hAnsiTheme="majorHAnsi" w:cstheme="majorHAnsi"/>
          <w:sz w:val="24"/>
          <w:szCs w:val="24"/>
          <w:lang w:eastAsia="en-GB"/>
        </w:rPr>
        <w:t>preceding</w:t>
      </w:r>
      <w:r w:rsidRPr="00D42F52">
        <w:rPr>
          <w:rFonts w:asciiTheme="majorHAnsi" w:eastAsia="Times New Roman" w:hAnsiTheme="majorHAnsi" w:cstheme="majorHAnsi"/>
          <w:sz w:val="24"/>
          <w:szCs w:val="24"/>
          <w:lang w:eastAsia="en-GB"/>
        </w:rPr>
        <w:t xml:space="preserve"> the planned intervention</w:t>
      </w:r>
      <w:r w:rsidR="00EA6457" w:rsidRPr="00D42F52">
        <w:rPr>
          <w:rFonts w:asciiTheme="majorHAnsi" w:eastAsia="Times New Roman" w:hAnsiTheme="majorHAnsi" w:cstheme="majorHAnsi"/>
          <w:sz w:val="24"/>
          <w:szCs w:val="24"/>
          <w:lang w:eastAsia="en-GB"/>
        </w:rPr>
        <w:t xml:space="preserve"> which was to span 4, one</w:t>
      </w:r>
      <w:r w:rsidR="006746B3" w:rsidRPr="00D42F52">
        <w:rPr>
          <w:rFonts w:asciiTheme="majorHAnsi" w:eastAsia="Times New Roman" w:hAnsiTheme="majorHAnsi" w:cstheme="majorHAnsi"/>
          <w:sz w:val="24"/>
          <w:szCs w:val="24"/>
          <w:lang w:eastAsia="en-GB"/>
        </w:rPr>
        <w:t>-</w:t>
      </w:r>
      <w:r w:rsidR="00EA6457" w:rsidRPr="00D42F52">
        <w:rPr>
          <w:rFonts w:asciiTheme="majorHAnsi" w:eastAsia="Times New Roman" w:hAnsiTheme="majorHAnsi" w:cstheme="majorHAnsi"/>
          <w:sz w:val="24"/>
          <w:szCs w:val="24"/>
          <w:lang w:eastAsia="en-GB"/>
        </w:rPr>
        <w:t>hour lessons</w:t>
      </w:r>
      <w:r w:rsidRPr="00D42F52">
        <w:rPr>
          <w:rFonts w:asciiTheme="majorHAnsi" w:eastAsia="Times New Roman" w:hAnsiTheme="majorHAnsi" w:cstheme="majorHAnsi"/>
          <w:sz w:val="24"/>
          <w:szCs w:val="24"/>
          <w:lang w:eastAsia="en-GB"/>
        </w:rPr>
        <w:t xml:space="preserve">. The Table 1.1 shows a Question Level Assessment table detailing the summative assessment of the pupils following the pre-test. Pupils who were absent for the pre or post-test were removed from this pool to provide an accurate comparison for evaluation shown in Table 1.2. </w:t>
      </w:r>
    </w:p>
    <w:p w14:paraId="0A122855" w14:textId="0C92C6C5" w:rsidR="00B11C65" w:rsidRPr="00D42F52" w:rsidRDefault="000F3CD6" w:rsidP="00D42F52">
      <w:pPr>
        <w:spacing w:after="0" w:line="480" w:lineRule="auto"/>
        <w:jc w:val="right"/>
        <w:rPr>
          <w:rFonts w:asciiTheme="majorHAnsi" w:eastAsia="Times New Roman" w:hAnsiTheme="majorHAnsi" w:cstheme="majorHAnsi"/>
          <w:i/>
          <w:sz w:val="24"/>
          <w:szCs w:val="24"/>
          <w:lang w:eastAsia="en-GB"/>
        </w:rPr>
      </w:pPr>
      <w:r w:rsidRPr="00D42F52">
        <w:rPr>
          <w:rFonts w:asciiTheme="majorHAnsi" w:hAnsiTheme="majorHAnsi" w:cstheme="majorHAnsi"/>
          <w:noProof/>
        </w:rPr>
        <w:drawing>
          <wp:inline distT="0" distB="0" distL="0" distR="0" wp14:anchorId="32E3A00E" wp14:editId="354D4A2C">
            <wp:extent cx="5731510" cy="2670446"/>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670446"/>
                    </a:xfrm>
                    <a:prstGeom prst="rect">
                      <a:avLst/>
                    </a:prstGeom>
                    <a:noFill/>
                    <a:ln>
                      <a:noFill/>
                    </a:ln>
                  </pic:spPr>
                </pic:pic>
              </a:graphicData>
            </a:graphic>
          </wp:inline>
        </w:drawing>
      </w:r>
      <w:r w:rsidR="00E50C83" w:rsidRPr="00D42F52">
        <w:rPr>
          <w:rFonts w:asciiTheme="majorHAnsi" w:eastAsia="Times New Roman" w:hAnsiTheme="majorHAnsi" w:cstheme="majorHAnsi"/>
          <w:i/>
          <w:sz w:val="24"/>
          <w:szCs w:val="24"/>
          <w:lang w:eastAsia="en-GB"/>
        </w:rPr>
        <w:t>Table 1.1 – Question Level Assessment Data for Pre-Test.</w:t>
      </w:r>
    </w:p>
    <w:p w14:paraId="062556C5" w14:textId="219CB746" w:rsidR="00501842" w:rsidRPr="00D42F52" w:rsidRDefault="00355AD4"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hAnsiTheme="majorHAnsi" w:cstheme="majorHAnsi"/>
          <w:noProof/>
        </w:rPr>
        <w:drawing>
          <wp:inline distT="0" distB="0" distL="0" distR="0" wp14:anchorId="283AA320" wp14:editId="25188FE8">
            <wp:extent cx="5731510" cy="327802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78025"/>
                    </a:xfrm>
                    <a:prstGeom prst="rect">
                      <a:avLst/>
                    </a:prstGeom>
                    <a:noFill/>
                    <a:ln>
                      <a:noFill/>
                    </a:ln>
                  </pic:spPr>
                </pic:pic>
              </a:graphicData>
            </a:graphic>
          </wp:inline>
        </w:drawing>
      </w:r>
    </w:p>
    <w:p w14:paraId="4C6D29E0" w14:textId="18002962" w:rsidR="00501842" w:rsidRPr="00D42F52" w:rsidRDefault="00355AD4" w:rsidP="00D42F52">
      <w:pPr>
        <w:spacing w:after="0" w:line="480" w:lineRule="auto"/>
        <w:jc w:val="right"/>
        <w:rPr>
          <w:rFonts w:asciiTheme="majorHAnsi" w:eastAsia="Times New Roman" w:hAnsiTheme="majorHAnsi" w:cstheme="majorHAnsi"/>
          <w:sz w:val="24"/>
          <w:szCs w:val="24"/>
          <w:lang w:eastAsia="en-GB"/>
        </w:rPr>
      </w:pPr>
      <w:r w:rsidRPr="00D42F52">
        <w:rPr>
          <w:rFonts w:asciiTheme="majorHAnsi" w:eastAsia="Times New Roman" w:hAnsiTheme="majorHAnsi" w:cstheme="majorHAnsi"/>
          <w:i/>
          <w:sz w:val="24"/>
          <w:szCs w:val="24"/>
          <w:lang w:eastAsia="en-GB"/>
        </w:rPr>
        <w:lastRenderedPageBreak/>
        <w:t>Table 1.2 – Question Level Assessment Data for Pre</w:t>
      </w:r>
      <w:r w:rsidR="00D42F52">
        <w:rPr>
          <w:rFonts w:asciiTheme="majorHAnsi" w:eastAsia="Times New Roman" w:hAnsiTheme="majorHAnsi" w:cstheme="majorHAnsi"/>
          <w:i/>
          <w:sz w:val="24"/>
          <w:szCs w:val="24"/>
          <w:lang w:eastAsia="en-GB"/>
        </w:rPr>
        <w:t xml:space="preserve"> and Post </w:t>
      </w:r>
      <w:r w:rsidRPr="00D42F52">
        <w:rPr>
          <w:rFonts w:asciiTheme="majorHAnsi" w:eastAsia="Times New Roman" w:hAnsiTheme="majorHAnsi" w:cstheme="majorHAnsi"/>
          <w:i/>
          <w:sz w:val="24"/>
          <w:szCs w:val="24"/>
          <w:lang w:eastAsia="en-GB"/>
        </w:rPr>
        <w:t>Test</w:t>
      </w:r>
      <w:r w:rsidR="00D42F52">
        <w:rPr>
          <w:rFonts w:asciiTheme="majorHAnsi" w:eastAsia="Times New Roman" w:hAnsiTheme="majorHAnsi" w:cstheme="majorHAnsi"/>
          <w:i/>
          <w:sz w:val="24"/>
          <w:szCs w:val="24"/>
          <w:lang w:eastAsia="en-GB"/>
        </w:rPr>
        <w:t xml:space="preserve"> Comparison</w:t>
      </w:r>
      <w:r w:rsidRPr="00D42F52">
        <w:rPr>
          <w:rFonts w:asciiTheme="majorHAnsi" w:eastAsia="Times New Roman" w:hAnsiTheme="majorHAnsi" w:cstheme="majorHAnsi"/>
          <w:i/>
          <w:sz w:val="24"/>
          <w:szCs w:val="24"/>
          <w:lang w:eastAsia="en-GB"/>
        </w:rPr>
        <w:t>.</w:t>
      </w:r>
    </w:p>
    <w:p w14:paraId="62114B2C" w14:textId="03E7F0AF" w:rsidR="001C7E74" w:rsidRPr="00D42F52" w:rsidRDefault="005116B2" w:rsidP="00D42F52">
      <w:pPr>
        <w:spacing w:after="16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br w:type="page"/>
      </w:r>
      <w:r w:rsidR="008D26DF" w:rsidRPr="00D42F52">
        <w:rPr>
          <w:rFonts w:asciiTheme="majorHAnsi" w:eastAsia="Times New Roman" w:hAnsiTheme="majorHAnsi" w:cstheme="majorHAnsi"/>
          <w:sz w:val="24"/>
          <w:szCs w:val="24"/>
          <w:lang w:eastAsia="en-GB"/>
        </w:rPr>
        <w:lastRenderedPageBreak/>
        <w:t>Whilst it is clear from the data presented in Table 1.1, i</w:t>
      </w:r>
      <w:r w:rsidRPr="00D42F52">
        <w:rPr>
          <w:rFonts w:asciiTheme="majorHAnsi" w:eastAsia="Times New Roman" w:hAnsiTheme="majorHAnsi" w:cstheme="majorHAnsi"/>
          <w:sz w:val="24"/>
          <w:szCs w:val="24"/>
          <w:lang w:eastAsia="en-GB"/>
        </w:rPr>
        <w:t>t is evident that</w:t>
      </w:r>
      <w:r w:rsidR="008D26DF" w:rsidRPr="00D42F52">
        <w:rPr>
          <w:rFonts w:asciiTheme="majorHAnsi" w:eastAsia="Times New Roman" w:hAnsiTheme="majorHAnsi" w:cstheme="majorHAnsi"/>
          <w:sz w:val="24"/>
          <w:szCs w:val="24"/>
          <w:lang w:eastAsia="en-GB"/>
        </w:rPr>
        <w:t xml:space="preserve"> where learners held lesser understanding or misconceptions within certain aspects of </w:t>
      </w:r>
      <w:r w:rsidR="00292927" w:rsidRPr="00D42F52">
        <w:rPr>
          <w:rFonts w:asciiTheme="majorHAnsi" w:eastAsia="Times New Roman" w:hAnsiTheme="majorHAnsi" w:cstheme="majorHAnsi"/>
          <w:sz w:val="24"/>
          <w:szCs w:val="24"/>
          <w:lang w:eastAsia="en-GB"/>
        </w:rPr>
        <w:t>Algebraic</w:t>
      </w:r>
      <w:r w:rsidR="008D26DF" w:rsidRPr="00D42F52">
        <w:rPr>
          <w:rFonts w:asciiTheme="majorHAnsi" w:eastAsia="Times New Roman" w:hAnsiTheme="majorHAnsi" w:cstheme="majorHAnsi"/>
          <w:sz w:val="24"/>
          <w:szCs w:val="24"/>
          <w:lang w:eastAsia="en-GB"/>
        </w:rPr>
        <w:t xml:space="preserve"> </w:t>
      </w:r>
      <w:r w:rsidR="00744B3B" w:rsidRPr="00D42F52">
        <w:rPr>
          <w:rFonts w:asciiTheme="majorHAnsi" w:eastAsia="Times New Roman" w:hAnsiTheme="majorHAnsi" w:cstheme="majorHAnsi"/>
          <w:sz w:val="24"/>
          <w:szCs w:val="24"/>
          <w:lang w:eastAsia="en-GB"/>
        </w:rPr>
        <w:t>questions.</w:t>
      </w:r>
      <w:r w:rsidR="00EA3273" w:rsidRPr="00D42F52">
        <w:rPr>
          <w:rFonts w:asciiTheme="majorHAnsi" w:eastAsia="Times New Roman" w:hAnsiTheme="majorHAnsi" w:cstheme="majorHAnsi"/>
          <w:sz w:val="24"/>
          <w:szCs w:val="24"/>
          <w:lang w:eastAsia="en-GB"/>
        </w:rPr>
        <w:t xml:space="preserve"> However, with only 2 out of the 10 questions showing acceptable levels of response this lead to development of a scheme of work which took learners ‘back to square one’ to address current weaknesses. Considering prior knowledge (Booth et al; 2016, Welder, 2006, </w:t>
      </w:r>
      <w:proofErr w:type="spellStart"/>
      <w:r w:rsidR="00EA3273" w:rsidRPr="00D42F52">
        <w:rPr>
          <w:rFonts w:asciiTheme="majorHAnsi" w:eastAsia="Times New Roman" w:hAnsiTheme="majorHAnsi" w:cstheme="majorHAnsi"/>
          <w:sz w:val="24"/>
          <w:szCs w:val="24"/>
          <w:lang w:eastAsia="en-GB"/>
        </w:rPr>
        <w:t>Alibali</w:t>
      </w:r>
      <w:proofErr w:type="spellEnd"/>
      <w:r w:rsidR="00EA3273" w:rsidRPr="00D42F52">
        <w:rPr>
          <w:rFonts w:asciiTheme="majorHAnsi" w:eastAsia="Times New Roman" w:hAnsiTheme="majorHAnsi" w:cstheme="majorHAnsi"/>
          <w:sz w:val="24"/>
          <w:szCs w:val="24"/>
          <w:lang w:eastAsia="en-GB"/>
        </w:rPr>
        <w:t>, et al; 2001) alongside the pupils</w:t>
      </w:r>
      <w:r w:rsidR="003014EB" w:rsidRPr="00D42F52">
        <w:rPr>
          <w:rFonts w:asciiTheme="majorHAnsi" w:eastAsia="Times New Roman" w:hAnsiTheme="majorHAnsi" w:cstheme="majorHAnsi"/>
          <w:sz w:val="24"/>
          <w:szCs w:val="24"/>
          <w:lang w:eastAsia="en-GB"/>
        </w:rPr>
        <w:t>’</w:t>
      </w:r>
      <w:r w:rsidR="00EA3273" w:rsidRPr="00D42F52">
        <w:rPr>
          <w:rFonts w:asciiTheme="majorHAnsi" w:eastAsia="Times New Roman" w:hAnsiTheme="majorHAnsi" w:cstheme="majorHAnsi"/>
          <w:sz w:val="24"/>
          <w:szCs w:val="24"/>
          <w:lang w:eastAsia="en-GB"/>
        </w:rPr>
        <w:t xml:space="preserve"> procedural mathematical knowledge, this decision not only allowed pupils to refamiliarize themselves with prior algebraic concepts they had met previously, but also </w:t>
      </w:r>
      <w:r w:rsidR="00292927" w:rsidRPr="00D42F52">
        <w:rPr>
          <w:rFonts w:asciiTheme="majorHAnsi" w:eastAsia="Times New Roman" w:hAnsiTheme="majorHAnsi" w:cstheme="majorHAnsi"/>
          <w:sz w:val="24"/>
          <w:szCs w:val="24"/>
          <w:lang w:eastAsia="en-GB"/>
        </w:rPr>
        <w:t>build</w:t>
      </w:r>
      <w:r w:rsidR="00EA3273" w:rsidRPr="00D42F52">
        <w:rPr>
          <w:rFonts w:asciiTheme="majorHAnsi" w:eastAsia="Times New Roman" w:hAnsiTheme="majorHAnsi" w:cstheme="majorHAnsi"/>
          <w:sz w:val="24"/>
          <w:szCs w:val="24"/>
          <w:lang w:eastAsia="en-GB"/>
        </w:rPr>
        <w:t xml:space="preserve"> confidence in a less familiar field of mathematics</w:t>
      </w:r>
      <w:r w:rsidR="003014EB" w:rsidRPr="00D42F52">
        <w:rPr>
          <w:rFonts w:asciiTheme="majorHAnsi" w:eastAsia="Times New Roman" w:hAnsiTheme="majorHAnsi" w:cstheme="majorHAnsi"/>
          <w:sz w:val="24"/>
          <w:szCs w:val="24"/>
          <w:lang w:eastAsia="en-GB"/>
        </w:rPr>
        <w:t xml:space="preserve">. </w:t>
      </w:r>
      <w:r w:rsidR="009E02F5" w:rsidRPr="00D42F52">
        <w:rPr>
          <w:rFonts w:asciiTheme="majorHAnsi" w:eastAsia="Times New Roman" w:hAnsiTheme="majorHAnsi" w:cstheme="majorHAnsi"/>
          <w:sz w:val="24"/>
          <w:szCs w:val="24"/>
          <w:lang w:eastAsia="en-GB"/>
        </w:rPr>
        <w:t>Allowing 4, one</w:t>
      </w:r>
      <w:r w:rsidR="00EA6457" w:rsidRPr="00D42F52">
        <w:rPr>
          <w:rFonts w:asciiTheme="majorHAnsi" w:eastAsia="Times New Roman" w:hAnsiTheme="majorHAnsi" w:cstheme="majorHAnsi"/>
          <w:sz w:val="24"/>
          <w:szCs w:val="24"/>
          <w:lang w:eastAsia="en-GB"/>
        </w:rPr>
        <w:t>-h</w:t>
      </w:r>
      <w:r w:rsidR="009E02F5" w:rsidRPr="00D42F52">
        <w:rPr>
          <w:rFonts w:asciiTheme="majorHAnsi" w:eastAsia="Times New Roman" w:hAnsiTheme="majorHAnsi" w:cstheme="majorHAnsi"/>
          <w:sz w:val="24"/>
          <w:szCs w:val="24"/>
          <w:lang w:eastAsia="en-GB"/>
        </w:rPr>
        <w:t>our lessons to address the misconceptions, Table 1.1 allowed priorities to be assessed and addressed logically throughout the scheme of work, a primary focus overarching the scheme of work intended to build pupils’ and awareness of potential ‘multiple’ misconceptions, neglecting prior computational and procedural skills when attempting to solve algebraic problems (</w:t>
      </w:r>
      <w:r w:rsidR="009E02F5" w:rsidRPr="00D42F52">
        <w:rPr>
          <w:rFonts w:asciiTheme="majorHAnsi" w:hAnsiTheme="majorHAnsi" w:cstheme="majorHAnsi"/>
          <w:sz w:val="24"/>
          <w:szCs w:val="24"/>
        </w:rPr>
        <w:t xml:space="preserve">Booth; et al. 2016, </w:t>
      </w:r>
      <w:proofErr w:type="spellStart"/>
      <w:r w:rsidR="009E02F5" w:rsidRPr="00D42F52">
        <w:rPr>
          <w:rFonts w:asciiTheme="majorHAnsi" w:hAnsiTheme="majorHAnsi" w:cstheme="majorHAnsi"/>
          <w:sz w:val="24"/>
          <w:szCs w:val="24"/>
        </w:rPr>
        <w:t>Makonye</w:t>
      </w:r>
      <w:proofErr w:type="spellEnd"/>
      <w:r w:rsidR="009E02F5" w:rsidRPr="00D42F52">
        <w:rPr>
          <w:rFonts w:asciiTheme="majorHAnsi" w:hAnsiTheme="majorHAnsi" w:cstheme="majorHAnsi"/>
          <w:sz w:val="24"/>
          <w:szCs w:val="24"/>
        </w:rPr>
        <w:t xml:space="preserve"> 2016).</w:t>
      </w:r>
      <w:r w:rsidR="00EA6457" w:rsidRPr="00D42F52">
        <w:rPr>
          <w:rFonts w:asciiTheme="majorHAnsi" w:eastAsia="Times New Roman" w:hAnsiTheme="majorHAnsi" w:cstheme="majorHAnsi"/>
          <w:sz w:val="24"/>
          <w:szCs w:val="24"/>
          <w:lang w:eastAsia="en-GB"/>
        </w:rPr>
        <w:t xml:space="preserve"> As seen in Table 1.1, few learners displayed a misconception in relation to collecting like terms, however when simplifying expressions with multiplication operation applied to the same variable misconceptions were cast. The a</w:t>
      </w:r>
      <w:r w:rsidR="000F3CD6" w:rsidRPr="00D42F52">
        <w:rPr>
          <w:rFonts w:asciiTheme="majorHAnsi" w:eastAsia="Times New Roman" w:hAnsiTheme="majorHAnsi" w:cstheme="majorHAnsi"/>
          <w:sz w:val="24"/>
          <w:szCs w:val="24"/>
          <w:lang w:eastAsia="en-GB"/>
        </w:rPr>
        <w:t xml:space="preserve">im of the </w:t>
      </w:r>
      <w:r w:rsidR="00EA6457" w:rsidRPr="00D42F52">
        <w:rPr>
          <w:rFonts w:asciiTheme="majorHAnsi" w:eastAsia="Times New Roman" w:hAnsiTheme="majorHAnsi" w:cstheme="majorHAnsi"/>
          <w:sz w:val="24"/>
          <w:szCs w:val="24"/>
          <w:lang w:eastAsia="en-GB"/>
        </w:rPr>
        <w:t xml:space="preserve">first </w:t>
      </w:r>
      <w:r w:rsidR="000F3CD6" w:rsidRPr="00D42F52">
        <w:rPr>
          <w:rFonts w:asciiTheme="majorHAnsi" w:eastAsia="Times New Roman" w:hAnsiTheme="majorHAnsi" w:cstheme="majorHAnsi"/>
          <w:sz w:val="24"/>
          <w:szCs w:val="24"/>
          <w:lang w:eastAsia="en-GB"/>
        </w:rPr>
        <w:t>lesson</w:t>
      </w:r>
      <w:r w:rsidR="00717E83" w:rsidRPr="00D42F52">
        <w:rPr>
          <w:rFonts w:asciiTheme="majorHAnsi" w:eastAsia="Times New Roman" w:hAnsiTheme="majorHAnsi" w:cstheme="majorHAnsi"/>
          <w:sz w:val="24"/>
          <w:szCs w:val="24"/>
          <w:lang w:eastAsia="en-GB"/>
        </w:rPr>
        <w:t xml:space="preserve"> </w:t>
      </w:r>
      <w:r w:rsidR="00E60E39" w:rsidRPr="00D42F52">
        <w:rPr>
          <w:rFonts w:asciiTheme="majorHAnsi" w:eastAsia="Times New Roman" w:hAnsiTheme="majorHAnsi" w:cstheme="majorHAnsi"/>
          <w:sz w:val="24"/>
          <w:szCs w:val="24"/>
          <w:lang w:eastAsia="en-GB"/>
        </w:rPr>
        <w:t>was t</w:t>
      </w:r>
      <w:r w:rsidR="000F3CD6" w:rsidRPr="00D42F52">
        <w:rPr>
          <w:rFonts w:asciiTheme="majorHAnsi" w:eastAsia="Times New Roman" w:hAnsiTheme="majorHAnsi" w:cstheme="majorHAnsi"/>
          <w:sz w:val="24"/>
          <w:szCs w:val="24"/>
          <w:lang w:eastAsia="en-GB"/>
        </w:rPr>
        <w:t>o facilitate discussion highlighting</w:t>
      </w:r>
      <w:r w:rsidR="00E60E39" w:rsidRPr="00D42F52">
        <w:rPr>
          <w:rFonts w:asciiTheme="majorHAnsi" w:eastAsia="Times New Roman" w:hAnsiTheme="majorHAnsi" w:cstheme="majorHAnsi"/>
          <w:sz w:val="24"/>
          <w:szCs w:val="24"/>
          <w:lang w:eastAsia="en-GB"/>
        </w:rPr>
        <w:t xml:space="preserve"> strengths and areas of sound understanding amongst learners, towards applying this to weaker areas of understanding in relation to the understanding of operations and more than one variable in algebraic expressions. </w:t>
      </w:r>
      <w:r w:rsidR="000F3CD6" w:rsidRPr="00D42F52">
        <w:rPr>
          <w:rFonts w:asciiTheme="majorHAnsi" w:eastAsia="Times New Roman" w:hAnsiTheme="majorHAnsi" w:cstheme="majorHAnsi"/>
          <w:sz w:val="24"/>
          <w:szCs w:val="24"/>
          <w:lang w:eastAsia="en-GB"/>
        </w:rPr>
        <w:t xml:space="preserve"> </w:t>
      </w:r>
    </w:p>
    <w:p w14:paraId="5805539F" w14:textId="6FEAA882" w:rsidR="0040517C" w:rsidRPr="00D42F52" w:rsidRDefault="00D92C76"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noProof/>
          <w:sz w:val="24"/>
          <w:szCs w:val="24"/>
          <w:lang w:eastAsia="en-GB"/>
        </w:rPr>
        <w:lastRenderedPageBreak/>
        <w:drawing>
          <wp:anchor distT="0" distB="0" distL="114300" distR="114300" simplePos="0" relativeHeight="251668992" behindDoc="0" locked="0" layoutInCell="1" allowOverlap="1" wp14:anchorId="34A91A21" wp14:editId="7F2E173D">
            <wp:simplePos x="0" y="0"/>
            <wp:positionH relativeFrom="margin">
              <wp:posOffset>1122680</wp:posOffset>
            </wp:positionH>
            <wp:positionV relativeFrom="paragraph">
              <wp:posOffset>1250340</wp:posOffset>
            </wp:positionV>
            <wp:extent cx="3434080" cy="1790700"/>
            <wp:effectExtent l="57150" t="57150" r="109220" b="11430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D685E6F.tmp"/>
                    <pic:cNvPicPr/>
                  </pic:nvPicPr>
                  <pic:blipFill>
                    <a:blip r:embed="rId20">
                      <a:extLst>
                        <a:ext uri="{28A0092B-C50C-407E-A947-70E740481C1C}">
                          <a14:useLocalDpi xmlns:a14="http://schemas.microsoft.com/office/drawing/2010/main" val="0"/>
                        </a:ext>
                      </a:extLst>
                    </a:blip>
                    <a:stretch>
                      <a:fillRect/>
                    </a:stretch>
                  </pic:blipFill>
                  <pic:spPr>
                    <a:xfrm>
                      <a:off x="0" y="0"/>
                      <a:ext cx="3434080" cy="1790700"/>
                    </a:xfrm>
                    <a:prstGeom prst="rect">
                      <a:avLst/>
                    </a:prstGeom>
                    <a:ln>
                      <a:solidFill>
                        <a:schemeClr val="tx1"/>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5521E8" w:rsidRPr="00D42F52">
        <w:rPr>
          <w:rFonts w:asciiTheme="majorHAnsi" w:eastAsia="Times New Roman" w:hAnsiTheme="majorHAnsi" w:cstheme="majorHAnsi"/>
          <w:sz w:val="24"/>
          <w:szCs w:val="24"/>
          <w:lang w:eastAsia="en-GB"/>
        </w:rPr>
        <w:t>A foremost priority was to build the confidence and facilitate discussion amongst pupils in the class. Following department strategy and acknowledging that pupils have been presented with algebraic problems previously the use of a ‘simplify’ starter activity</w:t>
      </w:r>
      <w:r w:rsidR="0040517C" w:rsidRPr="00D42F52">
        <w:rPr>
          <w:rFonts w:asciiTheme="majorHAnsi" w:eastAsia="Times New Roman" w:hAnsiTheme="majorHAnsi" w:cstheme="majorHAnsi"/>
          <w:sz w:val="24"/>
          <w:szCs w:val="24"/>
          <w:lang w:eastAsia="en-GB"/>
        </w:rPr>
        <w:t>, slide shown in Figure 2.1</w:t>
      </w:r>
      <w:r w:rsidR="005521E8" w:rsidRPr="00D42F52">
        <w:rPr>
          <w:rFonts w:asciiTheme="majorHAnsi" w:eastAsia="Times New Roman" w:hAnsiTheme="majorHAnsi" w:cstheme="majorHAnsi"/>
          <w:sz w:val="24"/>
          <w:szCs w:val="24"/>
          <w:lang w:eastAsia="en-GB"/>
        </w:rPr>
        <w:t xml:space="preserve">. </w:t>
      </w:r>
    </w:p>
    <w:p w14:paraId="0264C169" w14:textId="3A47492E" w:rsidR="0040517C" w:rsidRPr="00D42F52" w:rsidRDefault="001C7E74" w:rsidP="00D42F52">
      <w:pPr>
        <w:spacing w:after="0" w:line="480" w:lineRule="auto"/>
        <w:jc w:val="right"/>
        <w:rPr>
          <w:rFonts w:asciiTheme="majorHAnsi" w:eastAsia="Times New Roman" w:hAnsiTheme="majorHAnsi" w:cstheme="majorHAnsi"/>
          <w:i/>
          <w:sz w:val="24"/>
          <w:szCs w:val="24"/>
          <w:lang w:eastAsia="en-GB"/>
        </w:rPr>
      </w:pPr>
      <w:r w:rsidRPr="00D42F52">
        <w:rPr>
          <w:rFonts w:asciiTheme="majorHAnsi" w:eastAsia="Times New Roman" w:hAnsiTheme="majorHAnsi" w:cstheme="majorHAnsi"/>
          <w:i/>
          <w:sz w:val="24"/>
          <w:szCs w:val="24"/>
          <w:lang w:eastAsia="en-GB"/>
        </w:rPr>
        <w:t>Figure</w:t>
      </w:r>
      <w:r w:rsidR="0040517C" w:rsidRPr="00D42F52">
        <w:rPr>
          <w:rFonts w:asciiTheme="majorHAnsi" w:eastAsia="Times New Roman" w:hAnsiTheme="majorHAnsi" w:cstheme="majorHAnsi"/>
          <w:i/>
          <w:sz w:val="24"/>
          <w:szCs w:val="24"/>
          <w:lang w:eastAsia="en-GB"/>
        </w:rPr>
        <w:t xml:space="preserve"> 2.1 – </w:t>
      </w:r>
      <w:r w:rsidRPr="00D42F52">
        <w:rPr>
          <w:rFonts w:asciiTheme="majorHAnsi" w:eastAsia="Times New Roman" w:hAnsiTheme="majorHAnsi" w:cstheme="majorHAnsi"/>
          <w:i/>
          <w:sz w:val="24"/>
          <w:szCs w:val="24"/>
          <w:lang w:eastAsia="en-GB"/>
        </w:rPr>
        <w:t>Activating</w:t>
      </w:r>
      <w:r w:rsidR="0040517C" w:rsidRPr="00D42F52">
        <w:rPr>
          <w:rFonts w:asciiTheme="majorHAnsi" w:eastAsia="Times New Roman" w:hAnsiTheme="majorHAnsi" w:cstheme="majorHAnsi"/>
          <w:i/>
          <w:sz w:val="24"/>
          <w:szCs w:val="24"/>
          <w:lang w:eastAsia="en-GB"/>
        </w:rPr>
        <w:t xml:space="preserve"> Prior Knowledge </w:t>
      </w:r>
      <w:r w:rsidRPr="00D42F52">
        <w:rPr>
          <w:rFonts w:asciiTheme="majorHAnsi" w:eastAsia="Times New Roman" w:hAnsiTheme="majorHAnsi" w:cstheme="majorHAnsi"/>
          <w:i/>
          <w:sz w:val="24"/>
          <w:szCs w:val="24"/>
          <w:lang w:eastAsia="en-GB"/>
        </w:rPr>
        <w:t>Starter Slide for Lesson 1. Mini White Boards Use</w:t>
      </w:r>
      <w:r w:rsidR="00D92C76" w:rsidRPr="00D42F52">
        <w:rPr>
          <w:rFonts w:asciiTheme="majorHAnsi" w:eastAsia="Times New Roman" w:hAnsiTheme="majorHAnsi" w:cstheme="majorHAnsi"/>
          <w:i/>
          <w:sz w:val="24"/>
          <w:szCs w:val="24"/>
          <w:lang w:eastAsia="en-GB"/>
        </w:rPr>
        <w:t>d</w:t>
      </w:r>
    </w:p>
    <w:p w14:paraId="4683864A" w14:textId="77777777" w:rsidR="00D42F52" w:rsidRDefault="00D42F52" w:rsidP="00D42F52">
      <w:pPr>
        <w:spacing w:after="0" w:line="480" w:lineRule="auto"/>
        <w:jc w:val="both"/>
        <w:rPr>
          <w:rFonts w:asciiTheme="majorHAnsi" w:eastAsia="Times New Roman" w:hAnsiTheme="majorHAnsi" w:cstheme="majorHAnsi"/>
          <w:sz w:val="24"/>
          <w:szCs w:val="24"/>
          <w:lang w:eastAsia="en-GB"/>
        </w:rPr>
      </w:pPr>
    </w:p>
    <w:p w14:paraId="609957BB" w14:textId="16231D95" w:rsidR="00ED53E3" w:rsidRDefault="005521E8"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t xml:space="preserve">Although forming part of the lesson as a departmental policy, supporting activating prior knowledge is widely </w:t>
      </w:r>
      <w:r w:rsidR="009E02F5" w:rsidRPr="00D42F52">
        <w:rPr>
          <w:rFonts w:asciiTheme="majorHAnsi" w:eastAsia="Times New Roman" w:hAnsiTheme="majorHAnsi" w:cstheme="majorHAnsi"/>
          <w:sz w:val="24"/>
          <w:szCs w:val="24"/>
          <w:lang w:eastAsia="en-GB"/>
        </w:rPr>
        <w:t>acknowledged as a highly effective tool to support the eradication of misconceptions</w:t>
      </w:r>
      <w:r w:rsidR="00624BB8" w:rsidRPr="00D42F52">
        <w:rPr>
          <w:rFonts w:asciiTheme="majorHAnsi" w:eastAsia="Times New Roman" w:hAnsiTheme="majorHAnsi" w:cstheme="majorHAnsi"/>
          <w:sz w:val="24"/>
          <w:szCs w:val="24"/>
          <w:lang w:eastAsia="en-GB"/>
        </w:rPr>
        <w:t xml:space="preserve"> </w:t>
      </w:r>
      <w:r w:rsidR="00624BB8" w:rsidRPr="00D42F52">
        <w:rPr>
          <w:rFonts w:asciiTheme="majorHAnsi" w:hAnsiTheme="majorHAnsi" w:cstheme="majorHAnsi"/>
          <w:sz w:val="24"/>
          <w:szCs w:val="24"/>
        </w:rPr>
        <w:t>(</w:t>
      </w:r>
      <w:proofErr w:type="spellStart"/>
      <w:r w:rsidR="00624BB8" w:rsidRPr="00D42F52">
        <w:rPr>
          <w:rFonts w:asciiTheme="majorHAnsi" w:hAnsiTheme="majorHAnsi" w:cstheme="majorHAnsi"/>
          <w:sz w:val="24"/>
          <w:szCs w:val="24"/>
        </w:rPr>
        <w:t>Alibali</w:t>
      </w:r>
      <w:proofErr w:type="spellEnd"/>
      <w:r w:rsidR="00624BB8" w:rsidRPr="00D42F52">
        <w:rPr>
          <w:rFonts w:asciiTheme="majorHAnsi" w:hAnsiTheme="majorHAnsi" w:cstheme="majorHAnsi"/>
          <w:sz w:val="24"/>
          <w:szCs w:val="24"/>
        </w:rPr>
        <w:t xml:space="preserve">; et al. 2001), </w:t>
      </w:r>
      <w:r w:rsidR="0040517C" w:rsidRPr="00D42F52">
        <w:rPr>
          <w:rFonts w:asciiTheme="majorHAnsi" w:hAnsiTheme="majorHAnsi" w:cstheme="majorHAnsi"/>
          <w:sz w:val="24"/>
          <w:szCs w:val="24"/>
        </w:rPr>
        <w:t>as well as a tool to engage higher order cognitive understanding (</w:t>
      </w:r>
      <w:proofErr w:type="spellStart"/>
      <w:r w:rsidR="0040517C" w:rsidRPr="00D42F52">
        <w:rPr>
          <w:rFonts w:asciiTheme="majorHAnsi" w:hAnsiTheme="majorHAnsi" w:cstheme="majorHAnsi"/>
          <w:sz w:val="24"/>
          <w:szCs w:val="24"/>
        </w:rPr>
        <w:t>Benassi</w:t>
      </w:r>
      <w:proofErr w:type="spellEnd"/>
      <w:r w:rsidR="0040517C" w:rsidRPr="00D42F52">
        <w:rPr>
          <w:rFonts w:asciiTheme="majorHAnsi" w:hAnsiTheme="majorHAnsi" w:cstheme="majorHAnsi"/>
          <w:sz w:val="24"/>
          <w:szCs w:val="24"/>
        </w:rPr>
        <w:t>, et al. 20</w:t>
      </w:r>
      <w:r w:rsidR="00042F3F" w:rsidRPr="00D42F52">
        <w:rPr>
          <w:rFonts w:asciiTheme="majorHAnsi" w:hAnsiTheme="majorHAnsi" w:cstheme="majorHAnsi"/>
          <w:sz w:val="24"/>
          <w:szCs w:val="24"/>
        </w:rPr>
        <w:t>14</w:t>
      </w:r>
      <w:r w:rsidR="0040517C" w:rsidRPr="00D42F52">
        <w:rPr>
          <w:rFonts w:asciiTheme="majorHAnsi" w:hAnsiTheme="majorHAnsi" w:cstheme="majorHAnsi"/>
          <w:sz w:val="24"/>
          <w:szCs w:val="24"/>
        </w:rPr>
        <w:t>). H</w:t>
      </w:r>
      <w:r w:rsidR="00624BB8" w:rsidRPr="00D42F52">
        <w:rPr>
          <w:rFonts w:asciiTheme="majorHAnsi" w:hAnsiTheme="majorHAnsi" w:cstheme="majorHAnsi"/>
          <w:sz w:val="24"/>
          <w:szCs w:val="24"/>
        </w:rPr>
        <w:t>owever,</w:t>
      </w:r>
      <w:r w:rsidR="0040517C" w:rsidRPr="00D42F52">
        <w:rPr>
          <w:rFonts w:asciiTheme="majorHAnsi" w:hAnsiTheme="majorHAnsi" w:cstheme="majorHAnsi"/>
          <w:sz w:val="24"/>
          <w:szCs w:val="24"/>
        </w:rPr>
        <w:t xml:space="preserve"> this activity must be carefully considered as B</w:t>
      </w:r>
      <w:r w:rsidR="00624BB8" w:rsidRPr="00D42F52">
        <w:rPr>
          <w:rFonts w:asciiTheme="majorHAnsi" w:hAnsiTheme="majorHAnsi" w:cstheme="majorHAnsi"/>
          <w:sz w:val="24"/>
          <w:szCs w:val="24"/>
        </w:rPr>
        <w:t xml:space="preserve">ooth and Koedinger (2007) further discuss that pupils’ prior knowledge may provide the key to misconceptions, it may often </w:t>
      </w:r>
      <w:r w:rsidR="00E60E39" w:rsidRPr="00D42F52">
        <w:rPr>
          <w:rFonts w:asciiTheme="majorHAnsi" w:hAnsiTheme="majorHAnsi" w:cstheme="majorHAnsi"/>
          <w:sz w:val="24"/>
          <w:szCs w:val="24"/>
        </w:rPr>
        <w:t>be the reason for the misconception (</w:t>
      </w:r>
      <w:r w:rsidR="00624BB8" w:rsidRPr="00D42F52">
        <w:rPr>
          <w:rFonts w:asciiTheme="majorHAnsi" w:hAnsiTheme="majorHAnsi" w:cstheme="majorHAnsi"/>
          <w:sz w:val="24"/>
          <w:szCs w:val="24"/>
        </w:rPr>
        <w:t>McGowen</w:t>
      </w:r>
      <w:r w:rsidR="00E60E39" w:rsidRPr="00D42F52">
        <w:rPr>
          <w:rFonts w:asciiTheme="majorHAnsi" w:hAnsiTheme="majorHAnsi" w:cstheme="majorHAnsi"/>
          <w:sz w:val="24"/>
          <w:szCs w:val="24"/>
        </w:rPr>
        <w:t xml:space="preserve">, </w:t>
      </w:r>
      <w:r w:rsidR="00624BB8" w:rsidRPr="00D42F52">
        <w:rPr>
          <w:rFonts w:asciiTheme="majorHAnsi" w:hAnsiTheme="majorHAnsi" w:cstheme="majorHAnsi"/>
          <w:sz w:val="24"/>
          <w:szCs w:val="24"/>
        </w:rPr>
        <w:t>2017), Croft; et al.</w:t>
      </w:r>
      <w:r w:rsidR="00E60E39" w:rsidRPr="00D42F52">
        <w:rPr>
          <w:rFonts w:asciiTheme="majorHAnsi" w:hAnsiTheme="majorHAnsi" w:cstheme="majorHAnsi"/>
          <w:sz w:val="24"/>
          <w:szCs w:val="24"/>
        </w:rPr>
        <w:t xml:space="preserve">, </w:t>
      </w:r>
      <w:r w:rsidR="00624BB8" w:rsidRPr="00D42F52">
        <w:rPr>
          <w:rFonts w:asciiTheme="majorHAnsi" w:hAnsiTheme="majorHAnsi" w:cstheme="majorHAnsi"/>
          <w:sz w:val="24"/>
          <w:szCs w:val="24"/>
        </w:rPr>
        <w:t>2007)</w:t>
      </w:r>
      <w:r w:rsidR="00E60E39" w:rsidRPr="00D42F52">
        <w:rPr>
          <w:rFonts w:asciiTheme="majorHAnsi" w:hAnsiTheme="majorHAnsi" w:cstheme="majorHAnsi"/>
          <w:sz w:val="24"/>
          <w:szCs w:val="24"/>
        </w:rPr>
        <w:t>.</w:t>
      </w:r>
      <w:r w:rsidR="0040517C" w:rsidRPr="00D42F52">
        <w:rPr>
          <w:rFonts w:asciiTheme="majorHAnsi" w:eastAsia="Times New Roman" w:hAnsiTheme="majorHAnsi" w:cstheme="majorHAnsi"/>
          <w:sz w:val="24"/>
          <w:szCs w:val="24"/>
          <w:lang w:eastAsia="en-GB"/>
        </w:rPr>
        <w:t xml:space="preserve"> </w:t>
      </w:r>
      <w:r w:rsidR="00E60E39" w:rsidRPr="00D42F52">
        <w:rPr>
          <w:rFonts w:asciiTheme="majorHAnsi" w:eastAsia="Times New Roman" w:hAnsiTheme="majorHAnsi" w:cstheme="majorHAnsi"/>
          <w:sz w:val="24"/>
          <w:szCs w:val="24"/>
          <w:lang w:eastAsia="en-GB"/>
        </w:rPr>
        <w:t>Therefore,</w:t>
      </w:r>
      <w:r w:rsidR="0040517C" w:rsidRPr="00D42F52">
        <w:rPr>
          <w:rFonts w:asciiTheme="majorHAnsi" w:eastAsia="Times New Roman" w:hAnsiTheme="majorHAnsi" w:cstheme="majorHAnsi"/>
          <w:sz w:val="24"/>
          <w:szCs w:val="24"/>
          <w:lang w:eastAsia="en-GB"/>
        </w:rPr>
        <w:t xml:space="preserve"> this starter activity was planned with consideration given to allowing ample time for discussion, peer reasoning and class wide justification of correct procedures to support this</w:t>
      </w:r>
      <w:r w:rsidR="004669A9" w:rsidRPr="00D42F52">
        <w:rPr>
          <w:rFonts w:asciiTheme="majorHAnsi" w:eastAsia="Times New Roman" w:hAnsiTheme="majorHAnsi" w:cstheme="majorHAnsi"/>
          <w:sz w:val="24"/>
          <w:szCs w:val="24"/>
          <w:lang w:eastAsia="en-GB"/>
        </w:rPr>
        <w:t>. The inclusion of a ‘misconception’ response allows pupils the opportunity to experience cognitive conflict, the role of the teacher in this instance was to facilitate only</w:t>
      </w:r>
      <w:r w:rsidR="0040517C" w:rsidRPr="00D42F52">
        <w:rPr>
          <w:rFonts w:asciiTheme="majorHAnsi" w:eastAsia="Times New Roman" w:hAnsiTheme="majorHAnsi" w:cstheme="majorHAnsi"/>
          <w:sz w:val="24"/>
          <w:szCs w:val="24"/>
          <w:lang w:eastAsia="en-GB"/>
        </w:rPr>
        <w:t>, allowing pupils to develop their own understanding and reasoning through discussion</w:t>
      </w:r>
      <w:r w:rsidR="004669A9" w:rsidRPr="00D42F52">
        <w:rPr>
          <w:rFonts w:asciiTheme="majorHAnsi" w:eastAsia="Times New Roman" w:hAnsiTheme="majorHAnsi" w:cstheme="majorHAnsi"/>
          <w:sz w:val="24"/>
          <w:szCs w:val="24"/>
          <w:lang w:eastAsia="en-GB"/>
        </w:rPr>
        <w:t xml:space="preserve"> and reasoning</w:t>
      </w:r>
      <w:r w:rsidR="0040517C" w:rsidRPr="00D42F52">
        <w:rPr>
          <w:rFonts w:asciiTheme="majorHAnsi" w:eastAsia="Times New Roman" w:hAnsiTheme="majorHAnsi" w:cstheme="majorHAnsi"/>
          <w:sz w:val="24"/>
          <w:szCs w:val="24"/>
          <w:lang w:eastAsia="en-GB"/>
        </w:rPr>
        <w:t xml:space="preserve"> (Piaget, 1970).</w:t>
      </w:r>
      <w:r w:rsidR="009E02F5" w:rsidRPr="00D42F52">
        <w:rPr>
          <w:rFonts w:asciiTheme="majorHAnsi" w:eastAsia="Times New Roman" w:hAnsiTheme="majorHAnsi" w:cstheme="majorHAnsi"/>
          <w:sz w:val="24"/>
          <w:szCs w:val="24"/>
          <w:lang w:eastAsia="en-GB"/>
        </w:rPr>
        <w:t xml:space="preserve"> </w:t>
      </w:r>
      <w:r w:rsidRPr="00D42F52">
        <w:rPr>
          <w:rFonts w:asciiTheme="majorHAnsi" w:eastAsia="Times New Roman" w:hAnsiTheme="majorHAnsi" w:cstheme="majorHAnsi"/>
          <w:sz w:val="24"/>
          <w:szCs w:val="24"/>
          <w:lang w:eastAsia="en-GB"/>
        </w:rPr>
        <w:t xml:space="preserve"> </w:t>
      </w:r>
      <w:r w:rsidR="00ED53E3" w:rsidRPr="00D42F52">
        <w:rPr>
          <w:rFonts w:asciiTheme="majorHAnsi" w:eastAsia="Times New Roman" w:hAnsiTheme="majorHAnsi" w:cstheme="majorHAnsi"/>
          <w:sz w:val="24"/>
          <w:szCs w:val="24"/>
          <w:lang w:eastAsia="en-GB"/>
        </w:rPr>
        <w:t>This structure allowed learners to discuss, consider and problem solve with misconceptions presented as ‘options’ in multiple choice solutions as part of the lesson, an example of which can be seen in Figure 2.2.</w:t>
      </w:r>
    </w:p>
    <w:p w14:paraId="1EE8010C" w14:textId="5C32A595" w:rsidR="00D42F52" w:rsidRPr="00D42F52" w:rsidRDefault="00D42F52"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noProof/>
          <w:sz w:val="24"/>
          <w:szCs w:val="24"/>
          <w:lang w:eastAsia="en-GB"/>
        </w:rPr>
        <w:lastRenderedPageBreak/>
        <w:drawing>
          <wp:anchor distT="0" distB="0" distL="114300" distR="114300" simplePos="0" relativeHeight="251676160" behindDoc="0" locked="0" layoutInCell="1" allowOverlap="1" wp14:anchorId="4A0D9BBE" wp14:editId="6F2F97B8">
            <wp:simplePos x="0" y="0"/>
            <wp:positionH relativeFrom="margin">
              <wp:posOffset>1132205</wp:posOffset>
            </wp:positionH>
            <wp:positionV relativeFrom="paragraph">
              <wp:posOffset>453555</wp:posOffset>
            </wp:positionV>
            <wp:extent cx="3407434" cy="1584800"/>
            <wp:effectExtent l="57150" t="57150" r="116840" b="111125"/>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D68D3A8.tmp"/>
                    <pic:cNvPicPr/>
                  </pic:nvPicPr>
                  <pic:blipFill>
                    <a:blip r:embed="rId21">
                      <a:extLst>
                        <a:ext uri="{28A0092B-C50C-407E-A947-70E740481C1C}">
                          <a14:useLocalDpi xmlns:a14="http://schemas.microsoft.com/office/drawing/2010/main" val="0"/>
                        </a:ext>
                      </a:extLst>
                    </a:blip>
                    <a:stretch>
                      <a:fillRect/>
                    </a:stretch>
                  </pic:blipFill>
                  <pic:spPr>
                    <a:xfrm>
                      <a:off x="0" y="0"/>
                      <a:ext cx="3407434" cy="1584800"/>
                    </a:xfrm>
                    <a:prstGeom prst="rect">
                      <a:avLst/>
                    </a:prstGeom>
                    <a:ln>
                      <a:solidFill>
                        <a:schemeClr val="tx1"/>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3648CD76" w14:textId="7A0A97F7" w:rsidR="00D92C76" w:rsidRPr="00D42F52" w:rsidRDefault="00D92C76" w:rsidP="00D42F52">
      <w:pPr>
        <w:spacing w:after="0" w:line="480" w:lineRule="auto"/>
        <w:jc w:val="right"/>
        <w:rPr>
          <w:rFonts w:asciiTheme="majorHAnsi" w:eastAsia="Times New Roman" w:hAnsiTheme="majorHAnsi" w:cstheme="majorHAnsi"/>
          <w:i/>
          <w:sz w:val="24"/>
          <w:szCs w:val="24"/>
          <w:lang w:eastAsia="en-GB"/>
        </w:rPr>
      </w:pPr>
      <w:r w:rsidRPr="00D42F52">
        <w:rPr>
          <w:rFonts w:asciiTheme="majorHAnsi" w:eastAsia="Times New Roman" w:hAnsiTheme="majorHAnsi" w:cstheme="majorHAnsi"/>
          <w:i/>
          <w:sz w:val="24"/>
          <w:szCs w:val="24"/>
          <w:lang w:eastAsia="en-GB"/>
        </w:rPr>
        <w:t xml:space="preserve">Figure 2.2 – </w:t>
      </w:r>
      <w:r w:rsidR="00D42F52" w:rsidRPr="00D42F52">
        <w:rPr>
          <w:rFonts w:asciiTheme="majorHAnsi" w:eastAsia="Times New Roman" w:hAnsiTheme="majorHAnsi" w:cstheme="majorHAnsi"/>
          <w:i/>
          <w:sz w:val="24"/>
          <w:szCs w:val="24"/>
          <w:lang w:eastAsia="en-GB"/>
        </w:rPr>
        <w:t>Multiple</w:t>
      </w:r>
      <w:r w:rsidRPr="00D42F52">
        <w:rPr>
          <w:rFonts w:asciiTheme="majorHAnsi" w:eastAsia="Times New Roman" w:hAnsiTheme="majorHAnsi" w:cstheme="majorHAnsi"/>
          <w:i/>
          <w:sz w:val="24"/>
          <w:szCs w:val="24"/>
          <w:lang w:eastAsia="en-GB"/>
        </w:rPr>
        <w:t xml:space="preserve"> Choice - Simplifying expressions with mixed operations</w:t>
      </w:r>
    </w:p>
    <w:p w14:paraId="34519751" w14:textId="77777777" w:rsidR="00D42F52" w:rsidRDefault="00D42F52" w:rsidP="00D42F52">
      <w:pPr>
        <w:spacing w:after="0" w:line="480" w:lineRule="auto"/>
        <w:jc w:val="both"/>
        <w:rPr>
          <w:rFonts w:asciiTheme="majorHAnsi" w:eastAsia="Times New Roman" w:hAnsiTheme="majorHAnsi" w:cstheme="majorHAnsi"/>
          <w:sz w:val="24"/>
          <w:szCs w:val="24"/>
          <w:lang w:eastAsia="en-GB"/>
        </w:rPr>
      </w:pPr>
    </w:p>
    <w:p w14:paraId="63960529" w14:textId="0374D665" w:rsidR="005521E8" w:rsidRPr="00D42F52" w:rsidRDefault="0040517C" w:rsidP="00D42F52">
      <w:pPr>
        <w:spacing w:after="0" w:line="480" w:lineRule="auto"/>
        <w:jc w:val="both"/>
        <w:rPr>
          <w:rFonts w:asciiTheme="majorHAnsi" w:hAnsiTheme="majorHAnsi" w:cstheme="majorHAnsi"/>
          <w:sz w:val="24"/>
          <w:szCs w:val="24"/>
        </w:rPr>
      </w:pPr>
      <w:r w:rsidRPr="00D42F52">
        <w:rPr>
          <w:rFonts w:asciiTheme="majorHAnsi" w:eastAsia="Times New Roman" w:hAnsiTheme="majorHAnsi" w:cstheme="majorHAnsi"/>
          <w:sz w:val="24"/>
          <w:szCs w:val="24"/>
          <w:lang w:eastAsia="en-GB"/>
        </w:rPr>
        <w:t xml:space="preserve">Open questioning and Mini White Board activities were used throughout the starter and exposition activities with the role of the teacher to simply facilitate discussion and reasoning. As expected, some pupils </w:t>
      </w:r>
      <w:r w:rsidR="001C7E74" w:rsidRPr="00D42F52">
        <w:rPr>
          <w:rFonts w:asciiTheme="majorHAnsi" w:eastAsia="Times New Roman" w:hAnsiTheme="majorHAnsi" w:cstheme="majorHAnsi"/>
          <w:sz w:val="24"/>
          <w:szCs w:val="24"/>
          <w:lang w:eastAsia="en-GB"/>
        </w:rPr>
        <w:t>displayed the same misconceptions seen in Question 8 of the pre-test</w:t>
      </w:r>
      <w:r w:rsidR="0062268A" w:rsidRPr="00D42F52">
        <w:rPr>
          <w:rFonts w:asciiTheme="majorHAnsi" w:eastAsia="Times New Roman" w:hAnsiTheme="majorHAnsi" w:cstheme="majorHAnsi"/>
          <w:sz w:val="24"/>
          <w:szCs w:val="24"/>
          <w:lang w:eastAsia="en-GB"/>
        </w:rPr>
        <w:t xml:space="preserve"> at first,</w:t>
      </w:r>
      <w:r w:rsidR="001C7E74" w:rsidRPr="00D42F52">
        <w:rPr>
          <w:rFonts w:asciiTheme="majorHAnsi" w:eastAsia="Times New Roman" w:hAnsiTheme="majorHAnsi" w:cstheme="majorHAnsi"/>
          <w:sz w:val="24"/>
          <w:szCs w:val="24"/>
          <w:lang w:eastAsia="en-GB"/>
        </w:rPr>
        <w:t xml:space="preserve"> however the inclusion of simplifying like terms with simple addition operations which were well answered in the pre-test allowed pupils the opportunity to apply their logic and </w:t>
      </w:r>
      <w:r w:rsidR="00E60E39" w:rsidRPr="00D42F52">
        <w:rPr>
          <w:rFonts w:asciiTheme="majorHAnsi" w:eastAsia="Times New Roman" w:hAnsiTheme="majorHAnsi" w:cstheme="majorHAnsi"/>
          <w:sz w:val="24"/>
          <w:szCs w:val="24"/>
          <w:lang w:eastAsia="en-GB"/>
        </w:rPr>
        <w:t>reasoning and</w:t>
      </w:r>
      <w:r w:rsidR="00EA6457" w:rsidRPr="00D42F52">
        <w:rPr>
          <w:rFonts w:asciiTheme="majorHAnsi" w:eastAsia="Times New Roman" w:hAnsiTheme="majorHAnsi" w:cstheme="majorHAnsi"/>
          <w:sz w:val="24"/>
          <w:szCs w:val="24"/>
          <w:lang w:eastAsia="en-GB"/>
        </w:rPr>
        <w:t xml:space="preserve"> explore discussion around what </w:t>
      </w:r>
      <w:r w:rsidR="00E60E39" w:rsidRPr="00D42F52">
        <w:rPr>
          <w:rFonts w:asciiTheme="majorHAnsi" w:eastAsia="Times New Roman" w:hAnsiTheme="majorHAnsi" w:cstheme="majorHAnsi"/>
          <w:sz w:val="24"/>
          <w:szCs w:val="24"/>
          <w:lang w:eastAsia="en-GB"/>
        </w:rPr>
        <w:t>operation</w:t>
      </w:r>
      <w:r w:rsidR="00EA6457" w:rsidRPr="00D42F52">
        <w:rPr>
          <w:rFonts w:asciiTheme="majorHAnsi" w:eastAsia="Times New Roman" w:hAnsiTheme="majorHAnsi" w:cstheme="majorHAnsi"/>
          <w:sz w:val="24"/>
          <w:szCs w:val="24"/>
          <w:lang w:eastAsia="en-GB"/>
        </w:rPr>
        <w:t xml:space="preserve"> is being performed in relation to the variable to develop a further understanding and reasoning to a lesser understood problem (</w:t>
      </w:r>
      <w:proofErr w:type="spellStart"/>
      <w:r w:rsidR="00EA6457" w:rsidRPr="00D42F52">
        <w:rPr>
          <w:rFonts w:asciiTheme="majorHAnsi" w:hAnsiTheme="majorHAnsi" w:cstheme="majorHAnsi"/>
          <w:sz w:val="24"/>
          <w:szCs w:val="24"/>
        </w:rPr>
        <w:t>Hadie</w:t>
      </w:r>
      <w:proofErr w:type="spellEnd"/>
      <w:r w:rsidR="00EA6457" w:rsidRPr="00D42F52">
        <w:rPr>
          <w:rFonts w:asciiTheme="majorHAnsi" w:hAnsiTheme="majorHAnsi" w:cstheme="majorHAnsi"/>
          <w:sz w:val="24"/>
          <w:szCs w:val="24"/>
        </w:rPr>
        <w:t xml:space="preserve"> and </w:t>
      </w:r>
      <w:proofErr w:type="spellStart"/>
      <w:r w:rsidR="00EA6457" w:rsidRPr="00D42F52">
        <w:rPr>
          <w:rFonts w:asciiTheme="majorHAnsi" w:hAnsiTheme="majorHAnsi" w:cstheme="majorHAnsi"/>
          <w:sz w:val="24"/>
          <w:szCs w:val="24"/>
        </w:rPr>
        <w:t>Yusoff</w:t>
      </w:r>
      <w:proofErr w:type="spellEnd"/>
      <w:r w:rsidR="00EA6457" w:rsidRPr="00D42F52">
        <w:rPr>
          <w:rFonts w:asciiTheme="majorHAnsi" w:hAnsiTheme="majorHAnsi" w:cstheme="majorHAnsi"/>
          <w:sz w:val="24"/>
          <w:szCs w:val="24"/>
        </w:rPr>
        <w:t>, 2016).</w:t>
      </w:r>
      <w:r w:rsidR="00ED53E3" w:rsidRPr="00D42F52">
        <w:rPr>
          <w:rFonts w:asciiTheme="majorHAnsi" w:hAnsiTheme="majorHAnsi" w:cstheme="majorHAnsi"/>
          <w:sz w:val="24"/>
          <w:szCs w:val="24"/>
        </w:rPr>
        <w:t xml:space="preserve"> When considering the post-test results in relation to Question 2, 100% of pupils collect like terms correctly</w:t>
      </w:r>
      <w:r w:rsidR="00D92C76" w:rsidRPr="00D42F52">
        <w:rPr>
          <w:rFonts w:asciiTheme="majorHAnsi" w:hAnsiTheme="majorHAnsi" w:cstheme="majorHAnsi"/>
          <w:sz w:val="24"/>
          <w:szCs w:val="24"/>
        </w:rPr>
        <w:t>.</w:t>
      </w:r>
      <w:r w:rsidR="00ED53E3" w:rsidRPr="00D42F52">
        <w:rPr>
          <w:rFonts w:asciiTheme="majorHAnsi" w:hAnsiTheme="majorHAnsi" w:cstheme="majorHAnsi"/>
          <w:sz w:val="24"/>
          <w:szCs w:val="24"/>
        </w:rPr>
        <w:t xml:space="preserve"> </w:t>
      </w:r>
      <w:r w:rsidR="00D92C76" w:rsidRPr="00D42F52">
        <w:rPr>
          <w:rFonts w:asciiTheme="majorHAnsi" w:hAnsiTheme="majorHAnsi" w:cstheme="majorHAnsi"/>
          <w:sz w:val="24"/>
          <w:szCs w:val="24"/>
        </w:rPr>
        <w:t>However</w:t>
      </w:r>
      <w:r w:rsidR="00ED53E3" w:rsidRPr="00D42F52">
        <w:rPr>
          <w:rFonts w:asciiTheme="majorHAnsi" w:hAnsiTheme="majorHAnsi" w:cstheme="majorHAnsi"/>
          <w:sz w:val="24"/>
          <w:szCs w:val="24"/>
        </w:rPr>
        <w:t>, when considering Question 8 although a 125% increase</w:t>
      </w:r>
      <w:r w:rsidR="00D92C76" w:rsidRPr="00D42F52">
        <w:rPr>
          <w:rFonts w:asciiTheme="majorHAnsi" w:hAnsiTheme="majorHAnsi" w:cstheme="majorHAnsi"/>
          <w:sz w:val="24"/>
          <w:szCs w:val="24"/>
        </w:rPr>
        <w:t xml:space="preserve"> in correct answers</w:t>
      </w:r>
      <w:r w:rsidR="00ED53E3" w:rsidRPr="00D42F52">
        <w:rPr>
          <w:rFonts w:asciiTheme="majorHAnsi" w:hAnsiTheme="majorHAnsi" w:cstheme="majorHAnsi"/>
          <w:sz w:val="24"/>
          <w:szCs w:val="24"/>
        </w:rPr>
        <w:t xml:space="preserve"> can be seen, a significant proportion of pupils still displayed a conceptual error in relation to the cancelling of ‘b’ (</w:t>
      </w:r>
      <w:r w:rsidR="00D57E77" w:rsidRPr="00D42F52">
        <w:rPr>
          <w:rFonts w:asciiTheme="majorHAnsi" w:hAnsiTheme="majorHAnsi" w:cstheme="majorHAnsi"/>
          <w:sz w:val="24"/>
          <w:szCs w:val="24"/>
        </w:rPr>
        <w:t>Figure</w:t>
      </w:r>
      <w:r w:rsidR="00ED53E3" w:rsidRPr="00D42F52">
        <w:rPr>
          <w:rFonts w:asciiTheme="majorHAnsi" w:hAnsiTheme="majorHAnsi" w:cstheme="majorHAnsi"/>
          <w:sz w:val="24"/>
          <w:szCs w:val="24"/>
        </w:rPr>
        <w:t>1.9).</w:t>
      </w:r>
      <w:r w:rsidR="00D92C76" w:rsidRPr="00D42F52">
        <w:rPr>
          <w:rFonts w:asciiTheme="majorHAnsi" w:hAnsiTheme="majorHAnsi" w:cstheme="majorHAnsi"/>
          <w:sz w:val="24"/>
          <w:szCs w:val="24"/>
        </w:rPr>
        <w:t xml:space="preserve"> Although in pre</w:t>
      </w:r>
      <w:r w:rsidR="00320AB3" w:rsidRPr="00D42F52">
        <w:rPr>
          <w:rFonts w:asciiTheme="majorHAnsi" w:hAnsiTheme="majorHAnsi" w:cstheme="majorHAnsi"/>
          <w:sz w:val="24"/>
          <w:szCs w:val="24"/>
        </w:rPr>
        <w:t>-</w:t>
      </w:r>
      <w:r w:rsidR="00D92C76" w:rsidRPr="00D42F52">
        <w:rPr>
          <w:rFonts w:asciiTheme="majorHAnsi" w:hAnsiTheme="majorHAnsi" w:cstheme="majorHAnsi"/>
          <w:sz w:val="24"/>
          <w:szCs w:val="24"/>
        </w:rPr>
        <w:t xml:space="preserve">test, a large proportion of incorrect answers included a computational error in relations to </w:t>
      </w:r>
      <w:r w:rsidR="007A4341" w:rsidRPr="00D42F52">
        <w:rPr>
          <w:rFonts w:asciiTheme="majorHAnsi" w:hAnsiTheme="majorHAnsi" w:cstheme="majorHAnsi"/>
          <w:sz w:val="24"/>
          <w:szCs w:val="24"/>
        </w:rPr>
        <w:t>indices</w:t>
      </w:r>
      <w:r w:rsidR="00D92C76" w:rsidRPr="00D42F52">
        <w:rPr>
          <w:rFonts w:asciiTheme="majorHAnsi" w:hAnsiTheme="majorHAnsi" w:cstheme="majorHAnsi"/>
          <w:sz w:val="24"/>
          <w:szCs w:val="24"/>
        </w:rPr>
        <w:t xml:space="preserve">, displaying </w:t>
      </w:r>
      <m:oMath>
        <m:r>
          <w:rPr>
            <w:rFonts w:ascii="Cambria Math" w:hAnsi="Cambria Math" w:cstheme="majorHAnsi"/>
            <w:sz w:val="24"/>
            <w:szCs w:val="24"/>
          </w:rPr>
          <m:t xml:space="preserve">4a </m:t>
        </m:r>
      </m:oMath>
      <w:r w:rsidR="00D92C76" w:rsidRPr="00D42F52">
        <w:rPr>
          <w:rFonts w:asciiTheme="majorHAnsi" w:hAnsiTheme="majorHAnsi" w:cstheme="majorHAnsi"/>
          <w:sz w:val="24"/>
          <w:szCs w:val="24"/>
        </w:rPr>
        <w:t xml:space="preserve">in place of </w:t>
      </w:r>
      <m:oMath>
        <m:sSup>
          <m:sSupPr>
            <m:ctrlPr>
              <w:rPr>
                <w:rFonts w:ascii="Cambria Math" w:hAnsi="Cambria Math" w:cstheme="majorHAnsi"/>
                <w:i/>
                <w:sz w:val="24"/>
                <w:szCs w:val="24"/>
              </w:rPr>
            </m:ctrlPr>
          </m:sSupPr>
          <m:e>
            <m:r>
              <w:rPr>
                <w:rFonts w:ascii="Cambria Math" w:hAnsi="Cambria Math" w:cstheme="majorHAnsi"/>
                <w:sz w:val="24"/>
                <w:szCs w:val="24"/>
              </w:rPr>
              <m:t>a</m:t>
            </m:r>
          </m:e>
          <m:sup>
            <m:r>
              <w:rPr>
                <w:rFonts w:ascii="Cambria Math" w:hAnsi="Cambria Math" w:cstheme="majorHAnsi"/>
                <w:sz w:val="24"/>
                <w:szCs w:val="24"/>
              </w:rPr>
              <m:t>4</m:t>
            </m:r>
          </m:sup>
        </m:sSup>
      </m:oMath>
      <w:r w:rsidR="008E4BB6" w:rsidRPr="00D42F52">
        <w:rPr>
          <w:rFonts w:asciiTheme="majorHAnsi" w:eastAsiaTheme="minorEastAsia" w:hAnsiTheme="majorHAnsi" w:cstheme="majorHAnsi"/>
          <w:sz w:val="24"/>
          <w:szCs w:val="24"/>
        </w:rPr>
        <w:t>.</w:t>
      </w:r>
      <w:r w:rsidR="00ED53E3" w:rsidRPr="00D42F52">
        <w:rPr>
          <w:rFonts w:asciiTheme="majorHAnsi" w:hAnsiTheme="majorHAnsi" w:cstheme="majorHAnsi"/>
          <w:sz w:val="24"/>
          <w:szCs w:val="24"/>
        </w:rPr>
        <w:t xml:space="preserve"> If the computational errors in relation to the simplification of the multiplied</w:t>
      </w:r>
      <w:r w:rsidR="008E4BB6" w:rsidRPr="00D42F52">
        <w:rPr>
          <w:rFonts w:asciiTheme="majorHAnsi" w:hAnsiTheme="majorHAnsi" w:cstheme="majorHAnsi"/>
          <w:sz w:val="24"/>
          <w:szCs w:val="24"/>
        </w:rPr>
        <w:t xml:space="preserve"> variables</w:t>
      </w:r>
      <w:r w:rsidR="00ED53E3" w:rsidRPr="00D42F52">
        <w:rPr>
          <w:rFonts w:asciiTheme="majorHAnsi" w:hAnsiTheme="majorHAnsi" w:cstheme="majorHAnsi"/>
          <w:sz w:val="24"/>
          <w:szCs w:val="24"/>
        </w:rPr>
        <w:t xml:space="preserve"> </w:t>
      </w:r>
      <w:r w:rsidR="008E4BB6" w:rsidRPr="00D42F52">
        <w:rPr>
          <w:rFonts w:asciiTheme="majorHAnsi" w:hAnsiTheme="majorHAnsi" w:cstheme="majorHAnsi"/>
          <w:sz w:val="24"/>
          <w:szCs w:val="24"/>
        </w:rPr>
        <w:t xml:space="preserve">were considered in isolation, </w:t>
      </w:r>
      <w:r w:rsidR="00ED53E3" w:rsidRPr="00D42F52">
        <w:rPr>
          <w:rFonts w:asciiTheme="majorHAnsi" w:hAnsiTheme="majorHAnsi" w:cstheme="majorHAnsi"/>
          <w:sz w:val="24"/>
          <w:szCs w:val="24"/>
        </w:rPr>
        <w:t xml:space="preserve">pupils </w:t>
      </w:r>
      <w:r w:rsidR="00C978B0" w:rsidRPr="00D42F52">
        <w:rPr>
          <w:rFonts w:asciiTheme="majorHAnsi" w:hAnsiTheme="majorHAnsi" w:cstheme="majorHAnsi"/>
          <w:sz w:val="24"/>
          <w:szCs w:val="24"/>
        </w:rPr>
        <w:t>perform well</w:t>
      </w:r>
      <w:r w:rsidR="00ED53E3" w:rsidRPr="00D42F52">
        <w:rPr>
          <w:rFonts w:asciiTheme="majorHAnsi" w:hAnsiTheme="majorHAnsi" w:cstheme="majorHAnsi"/>
          <w:sz w:val="24"/>
          <w:szCs w:val="24"/>
        </w:rPr>
        <w:t xml:space="preserve">, however similarly to that seen by </w:t>
      </w:r>
      <w:proofErr w:type="spellStart"/>
      <w:r w:rsidR="00ED53E3" w:rsidRPr="00D42F52">
        <w:rPr>
          <w:rFonts w:asciiTheme="majorHAnsi" w:hAnsiTheme="majorHAnsi" w:cstheme="majorHAnsi"/>
          <w:sz w:val="24"/>
          <w:szCs w:val="24"/>
        </w:rPr>
        <w:t>Makonye</w:t>
      </w:r>
      <w:proofErr w:type="spellEnd"/>
      <w:r w:rsidR="00ED53E3" w:rsidRPr="00D42F52">
        <w:rPr>
          <w:rFonts w:asciiTheme="majorHAnsi" w:hAnsiTheme="majorHAnsi" w:cstheme="majorHAnsi"/>
          <w:sz w:val="24"/>
          <w:szCs w:val="24"/>
        </w:rPr>
        <w:t xml:space="preserve"> (2016)</w:t>
      </w:r>
      <w:r w:rsidR="00D92C76" w:rsidRPr="00D42F52">
        <w:rPr>
          <w:rFonts w:asciiTheme="majorHAnsi" w:hAnsiTheme="majorHAnsi" w:cstheme="majorHAnsi"/>
          <w:sz w:val="24"/>
          <w:szCs w:val="24"/>
        </w:rPr>
        <w:t>, pupils often display error when cancelling terms, often performing non-sensical cancellation or ignoring the negative or positive value of the variable entirely</w:t>
      </w:r>
      <w:r w:rsidR="00ED53E3" w:rsidRPr="00D42F52">
        <w:rPr>
          <w:rFonts w:asciiTheme="majorHAnsi" w:hAnsiTheme="majorHAnsi" w:cstheme="majorHAnsi"/>
          <w:sz w:val="24"/>
          <w:szCs w:val="24"/>
        </w:rPr>
        <w:t>. For this reason,</w:t>
      </w:r>
      <w:r w:rsidR="00D92C76" w:rsidRPr="00D42F52">
        <w:rPr>
          <w:rFonts w:asciiTheme="majorHAnsi" w:hAnsiTheme="majorHAnsi" w:cstheme="majorHAnsi"/>
          <w:sz w:val="24"/>
          <w:szCs w:val="24"/>
        </w:rPr>
        <w:t xml:space="preserve"> further inclusion of ‘cancelling terms’ would be recommended for future lesson planning and consideration.</w:t>
      </w:r>
    </w:p>
    <w:p w14:paraId="734E3627" w14:textId="123772FE" w:rsidR="00EE5D6C" w:rsidRPr="00D42F52" w:rsidRDefault="00EE5D6C" w:rsidP="00D42F52">
      <w:pPr>
        <w:spacing w:after="0" w:line="480" w:lineRule="auto"/>
        <w:jc w:val="both"/>
        <w:rPr>
          <w:rFonts w:asciiTheme="majorHAnsi" w:eastAsia="Times New Roman" w:hAnsiTheme="majorHAnsi" w:cstheme="majorHAnsi"/>
          <w:sz w:val="24"/>
          <w:szCs w:val="24"/>
          <w:lang w:eastAsia="en-GB"/>
        </w:rPr>
      </w:pPr>
    </w:p>
    <w:p w14:paraId="74A8DD1B" w14:textId="1BF2DDCA" w:rsidR="00366CD6" w:rsidRDefault="00EE5D6C" w:rsidP="00D42F52">
      <w:pPr>
        <w:spacing w:after="0" w:line="480" w:lineRule="auto"/>
        <w:jc w:val="both"/>
        <w:rPr>
          <w:rStyle w:val="selectable"/>
          <w:rFonts w:asciiTheme="majorHAnsi" w:hAnsiTheme="majorHAnsi" w:cstheme="majorHAnsi"/>
          <w:sz w:val="24"/>
          <w:szCs w:val="24"/>
        </w:rPr>
      </w:pPr>
      <w:r w:rsidRPr="00D42F52">
        <w:rPr>
          <w:rFonts w:asciiTheme="majorHAnsi" w:eastAsia="Times New Roman" w:hAnsiTheme="majorHAnsi" w:cstheme="majorHAnsi"/>
          <w:sz w:val="24"/>
          <w:szCs w:val="24"/>
          <w:lang w:eastAsia="en-GB"/>
        </w:rPr>
        <w:t xml:space="preserve">When evaluating the further questions included in the post test, it was clear that pupils had no issue understanding terminology with regards to substitution. Identifying this as a strategy to support topics where success was </w:t>
      </w:r>
      <w:r w:rsidR="003217E5" w:rsidRPr="00D42F52">
        <w:rPr>
          <w:rFonts w:asciiTheme="majorHAnsi" w:eastAsia="Times New Roman" w:hAnsiTheme="majorHAnsi" w:cstheme="majorHAnsi"/>
          <w:sz w:val="24"/>
          <w:szCs w:val="24"/>
          <w:lang w:eastAsia="en-GB"/>
        </w:rPr>
        <w:t xml:space="preserve">more limited. </w:t>
      </w:r>
      <w:r w:rsidR="005B04D5" w:rsidRPr="00D42F52">
        <w:rPr>
          <w:rFonts w:asciiTheme="majorHAnsi" w:eastAsia="Times New Roman" w:hAnsiTheme="majorHAnsi" w:cstheme="majorHAnsi"/>
          <w:sz w:val="24"/>
          <w:szCs w:val="24"/>
          <w:lang w:eastAsia="en-GB"/>
        </w:rPr>
        <w:t xml:space="preserve">Pupils were presented with ‘two </w:t>
      </w:r>
      <w:proofErr w:type="gramStart"/>
      <w:r w:rsidR="005B04D5" w:rsidRPr="00D42F52">
        <w:rPr>
          <w:rFonts w:asciiTheme="majorHAnsi" w:eastAsia="Times New Roman" w:hAnsiTheme="majorHAnsi" w:cstheme="majorHAnsi"/>
          <w:sz w:val="24"/>
          <w:szCs w:val="24"/>
          <w:lang w:eastAsia="en-GB"/>
        </w:rPr>
        <w:t>step</w:t>
      </w:r>
      <w:proofErr w:type="gramEnd"/>
      <w:r w:rsidR="005B04D5" w:rsidRPr="00D42F52">
        <w:rPr>
          <w:rFonts w:asciiTheme="majorHAnsi" w:eastAsia="Times New Roman" w:hAnsiTheme="majorHAnsi" w:cstheme="majorHAnsi"/>
          <w:sz w:val="24"/>
          <w:szCs w:val="24"/>
          <w:lang w:eastAsia="en-GB"/>
        </w:rPr>
        <w:t xml:space="preserve">’ substitution expressions, building upon the confidence and knowledge applied with addition of like terms, towards multiplication including two variables. </w:t>
      </w:r>
      <w:r w:rsidR="00FA0CE8" w:rsidRPr="00D42F52">
        <w:rPr>
          <w:rFonts w:asciiTheme="majorHAnsi" w:eastAsia="Times New Roman" w:hAnsiTheme="majorHAnsi" w:cstheme="majorHAnsi"/>
          <w:sz w:val="24"/>
          <w:szCs w:val="24"/>
          <w:lang w:eastAsia="en-GB"/>
        </w:rPr>
        <w:t>Alike</w:t>
      </w:r>
      <w:r w:rsidR="005B04D5" w:rsidRPr="00D42F52">
        <w:rPr>
          <w:rFonts w:asciiTheme="majorHAnsi" w:eastAsia="Times New Roman" w:hAnsiTheme="majorHAnsi" w:cstheme="majorHAnsi"/>
          <w:sz w:val="24"/>
          <w:szCs w:val="24"/>
          <w:lang w:eastAsia="en-GB"/>
        </w:rPr>
        <w:t xml:space="preserve"> the strategy identified by </w:t>
      </w:r>
      <w:proofErr w:type="spellStart"/>
      <w:r w:rsidR="005B04D5" w:rsidRPr="00D42F52">
        <w:rPr>
          <w:rFonts w:asciiTheme="majorHAnsi" w:eastAsia="Times New Roman" w:hAnsiTheme="majorHAnsi" w:cstheme="majorHAnsi"/>
          <w:sz w:val="24"/>
          <w:szCs w:val="24"/>
          <w:lang w:eastAsia="en-GB"/>
        </w:rPr>
        <w:t>Mcgowen</w:t>
      </w:r>
      <w:proofErr w:type="spellEnd"/>
      <w:r w:rsidR="005B04D5" w:rsidRPr="00D42F52">
        <w:rPr>
          <w:rFonts w:asciiTheme="majorHAnsi" w:eastAsia="Times New Roman" w:hAnsiTheme="majorHAnsi" w:cstheme="majorHAnsi"/>
          <w:sz w:val="24"/>
          <w:szCs w:val="24"/>
          <w:lang w:eastAsia="en-GB"/>
        </w:rPr>
        <w:t xml:space="preserve">, (2017) and </w:t>
      </w:r>
      <w:r w:rsidR="005B04D5" w:rsidRPr="00D42F52">
        <w:rPr>
          <w:rStyle w:val="selectable"/>
          <w:rFonts w:asciiTheme="majorHAnsi" w:hAnsiTheme="majorHAnsi" w:cstheme="majorHAnsi"/>
          <w:sz w:val="24"/>
          <w:szCs w:val="24"/>
        </w:rPr>
        <w:t>Coughlan (n.d.), pupils understood the computational task of ‘substituting’ in a value for a given variable, however throughout Questions 3, 4, 7 and 10</w:t>
      </w:r>
      <w:r w:rsidR="007A4341" w:rsidRPr="00D42F52">
        <w:rPr>
          <w:rStyle w:val="selectable"/>
          <w:rFonts w:asciiTheme="majorHAnsi" w:hAnsiTheme="majorHAnsi" w:cstheme="majorHAnsi"/>
          <w:sz w:val="24"/>
          <w:szCs w:val="24"/>
        </w:rPr>
        <w:t xml:space="preserve">, the process of substitution was completed effectively, the operations performed within the evaluations presented as a clear misconception throughout the class. Again, facilitating discussion amongst the learners was priority within </w:t>
      </w:r>
      <w:r w:rsidR="00A97748" w:rsidRPr="00D42F52">
        <w:rPr>
          <w:rStyle w:val="selectable"/>
          <w:rFonts w:asciiTheme="majorHAnsi" w:hAnsiTheme="majorHAnsi" w:cstheme="majorHAnsi"/>
          <w:sz w:val="24"/>
          <w:szCs w:val="24"/>
        </w:rPr>
        <w:t>the lesson</w:t>
      </w:r>
      <w:r w:rsidR="00B41498" w:rsidRPr="00D42F52">
        <w:rPr>
          <w:rStyle w:val="selectable"/>
          <w:rFonts w:asciiTheme="majorHAnsi" w:hAnsiTheme="majorHAnsi" w:cstheme="majorHAnsi"/>
          <w:sz w:val="24"/>
          <w:szCs w:val="24"/>
        </w:rPr>
        <w:t>.</w:t>
      </w:r>
      <w:r w:rsidR="00A97748" w:rsidRPr="00D42F52">
        <w:rPr>
          <w:rStyle w:val="selectable"/>
          <w:rFonts w:asciiTheme="majorHAnsi" w:hAnsiTheme="majorHAnsi" w:cstheme="majorHAnsi"/>
          <w:sz w:val="24"/>
          <w:szCs w:val="24"/>
        </w:rPr>
        <w:t xml:space="preserve"> </w:t>
      </w:r>
      <w:proofErr w:type="spellStart"/>
      <w:r w:rsidR="00A97748" w:rsidRPr="00D42F52">
        <w:rPr>
          <w:rStyle w:val="selectable"/>
          <w:rFonts w:asciiTheme="majorHAnsi" w:hAnsiTheme="majorHAnsi" w:cstheme="majorHAnsi"/>
          <w:sz w:val="24"/>
          <w:szCs w:val="24"/>
        </w:rPr>
        <w:t>Alibali</w:t>
      </w:r>
      <w:proofErr w:type="spellEnd"/>
      <w:r w:rsidR="00A97748" w:rsidRPr="00D42F52">
        <w:rPr>
          <w:rStyle w:val="selectable"/>
          <w:rFonts w:asciiTheme="majorHAnsi" w:hAnsiTheme="majorHAnsi" w:cstheme="majorHAnsi"/>
          <w:sz w:val="24"/>
          <w:szCs w:val="24"/>
        </w:rPr>
        <w:t>; et al. (2001) discusses the importance of allowing learners develop procedural understanding before applying this understanding to conceptual ideas,</w:t>
      </w:r>
      <w:r w:rsidR="00B41498" w:rsidRPr="00D42F52">
        <w:rPr>
          <w:rStyle w:val="selectable"/>
          <w:rFonts w:asciiTheme="majorHAnsi" w:hAnsiTheme="majorHAnsi" w:cstheme="majorHAnsi"/>
          <w:sz w:val="24"/>
          <w:szCs w:val="24"/>
        </w:rPr>
        <w:t xml:space="preserve"> a concept supported by Swan (2005),</w:t>
      </w:r>
      <w:r w:rsidR="00A97748" w:rsidRPr="00D42F52">
        <w:rPr>
          <w:rStyle w:val="selectable"/>
          <w:rFonts w:asciiTheme="majorHAnsi" w:hAnsiTheme="majorHAnsi" w:cstheme="majorHAnsi"/>
          <w:sz w:val="24"/>
          <w:szCs w:val="24"/>
        </w:rPr>
        <w:t xml:space="preserve"> allowing pupils time to create their own ‘BIDMAS’, problems allowed ample </w:t>
      </w:r>
      <w:proofErr w:type="spellStart"/>
      <w:r w:rsidR="00B41498" w:rsidRPr="00D42F52">
        <w:rPr>
          <w:rStyle w:val="selectable"/>
          <w:rFonts w:asciiTheme="majorHAnsi" w:hAnsiTheme="majorHAnsi" w:cstheme="majorHAnsi"/>
          <w:sz w:val="24"/>
          <w:szCs w:val="24"/>
        </w:rPr>
        <w:t>s</w:t>
      </w:r>
      <w:r w:rsidR="00A97748" w:rsidRPr="00D42F52">
        <w:rPr>
          <w:rStyle w:val="selectable"/>
          <w:rFonts w:asciiTheme="majorHAnsi" w:hAnsiTheme="majorHAnsi" w:cstheme="majorHAnsi"/>
          <w:sz w:val="24"/>
          <w:szCs w:val="24"/>
        </w:rPr>
        <w:t>egway</w:t>
      </w:r>
      <w:proofErr w:type="spellEnd"/>
      <w:r w:rsidR="00A97748" w:rsidRPr="00D42F52">
        <w:rPr>
          <w:rStyle w:val="selectable"/>
          <w:rFonts w:asciiTheme="majorHAnsi" w:hAnsiTheme="majorHAnsi" w:cstheme="majorHAnsi"/>
          <w:sz w:val="24"/>
          <w:szCs w:val="24"/>
        </w:rPr>
        <w:t xml:space="preserve"> opportunities to attribute this logic to evaluating more complex algebraic terms, similar to that seen in Question 3 (</w:t>
      </w:r>
      <w:r w:rsidR="00D57E77" w:rsidRPr="00D42F52">
        <w:rPr>
          <w:rStyle w:val="selectable"/>
          <w:rFonts w:asciiTheme="majorHAnsi" w:hAnsiTheme="majorHAnsi" w:cstheme="majorHAnsi"/>
          <w:sz w:val="24"/>
          <w:szCs w:val="24"/>
        </w:rPr>
        <w:t>Figure</w:t>
      </w:r>
      <w:r w:rsidR="00A97748" w:rsidRPr="00D42F52">
        <w:rPr>
          <w:rStyle w:val="selectable"/>
          <w:rFonts w:asciiTheme="majorHAnsi" w:hAnsiTheme="majorHAnsi" w:cstheme="majorHAnsi"/>
          <w:sz w:val="24"/>
          <w:szCs w:val="24"/>
        </w:rPr>
        <w:t xml:space="preserve">1.2). A numerical question was set by a pupil, the remaining pupils then calculated and presented their solution on mini white boards, allowed ample thinking time (Piaget, 1970) and discussion was facilitated class wide as to provide reasoning and clarification across the classroom. Supporting the socio-constructivist mindset discussed by </w:t>
      </w:r>
      <w:r w:rsidR="00B41498" w:rsidRPr="00D42F52">
        <w:rPr>
          <w:rFonts w:asciiTheme="majorHAnsi" w:hAnsiTheme="majorHAnsi" w:cstheme="majorHAnsi"/>
          <w:sz w:val="24"/>
          <w:szCs w:val="24"/>
        </w:rPr>
        <w:t xml:space="preserve">(Vygotsky, 1896 - 1934), </w:t>
      </w:r>
      <w:r w:rsidR="00A97748" w:rsidRPr="00D42F52">
        <w:rPr>
          <w:rStyle w:val="selectable"/>
          <w:rFonts w:asciiTheme="majorHAnsi" w:hAnsiTheme="majorHAnsi" w:cstheme="majorHAnsi"/>
          <w:sz w:val="24"/>
          <w:szCs w:val="24"/>
        </w:rPr>
        <w:t>this allowed me to evaluate learners understanding through discussion and pitch algebraic problems in line with the questions created to engage and support learners</w:t>
      </w:r>
      <w:r w:rsidR="00B41498" w:rsidRPr="00D42F52">
        <w:rPr>
          <w:rStyle w:val="selectable"/>
          <w:rFonts w:asciiTheme="majorHAnsi" w:hAnsiTheme="majorHAnsi" w:cstheme="majorHAnsi"/>
          <w:sz w:val="24"/>
          <w:szCs w:val="24"/>
        </w:rPr>
        <w:t xml:space="preserve">, a valuable technique as discussed by </w:t>
      </w:r>
      <w:r w:rsidR="00A97748" w:rsidRPr="00D42F52">
        <w:rPr>
          <w:rStyle w:val="selectable"/>
          <w:rFonts w:asciiTheme="majorHAnsi" w:hAnsiTheme="majorHAnsi" w:cstheme="majorHAnsi"/>
          <w:sz w:val="24"/>
          <w:szCs w:val="24"/>
        </w:rPr>
        <w:t xml:space="preserve">Swan, </w:t>
      </w:r>
      <w:r w:rsidR="00B41498" w:rsidRPr="00D42F52">
        <w:rPr>
          <w:rStyle w:val="selectable"/>
          <w:rFonts w:asciiTheme="majorHAnsi" w:hAnsiTheme="majorHAnsi" w:cstheme="majorHAnsi"/>
          <w:sz w:val="24"/>
          <w:szCs w:val="24"/>
        </w:rPr>
        <w:t>(</w:t>
      </w:r>
      <w:r w:rsidR="00A97748" w:rsidRPr="00D42F52">
        <w:rPr>
          <w:rStyle w:val="selectable"/>
          <w:rFonts w:asciiTheme="majorHAnsi" w:hAnsiTheme="majorHAnsi" w:cstheme="majorHAnsi"/>
          <w:sz w:val="24"/>
          <w:szCs w:val="24"/>
        </w:rPr>
        <w:t>2001), further supported by Li and Li, (2008 &amp; Wood, 1988, cited in Swan, 2001).</w:t>
      </w:r>
      <w:r w:rsidR="006B40EB" w:rsidRPr="00D42F52">
        <w:rPr>
          <w:rStyle w:val="selectable"/>
          <w:rFonts w:asciiTheme="majorHAnsi" w:hAnsiTheme="majorHAnsi" w:cstheme="majorHAnsi"/>
          <w:sz w:val="24"/>
          <w:szCs w:val="24"/>
        </w:rPr>
        <w:t xml:space="preserve"> An example of the algebraic Think-Pair-Share activities can be seen in Figure 2.3. </w:t>
      </w:r>
    </w:p>
    <w:p w14:paraId="15F356F6" w14:textId="4F335A96" w:rsidR="00D42F52" w:rsidRPr="00D42F52" w:rsidRDefault="00D42F52" w:rsidP="00D42F52">
      <w:pPr>
        <w:spacing w:after="0" w:line="480" w:lineRule="auto"/>
        <w:jc w:val="both"/>
        <w:rPr>
          <w:rStyle w:val="selectable"/>
          <w:rFonts w:asciiTheme="majorHAnsi" w:hAnsiTheme="majorHAnsi" w:cstheme="majorHAnsi"/>
          <w:sz w:val="24"/>
          <w:szCs w:val="24"/>
        </w:rPr>
      </w:pPr>
      <w:r w:rsidRPr="00D42F52">
        <w:rPr>
          <w:rFonts w:asciiTheme="majorHAnsi" w:hAnsiTheme="majorHAnsi" w:cstheme="majorHAnsi"/>
          <w:noProof/>
          <w:sz w:val="24"/>
          <w:szCs w:val="24"/>
        </w:rPr>
        <w:lastRenderedPageBreak/>
        <w:drawing>
          <wp:anchor distT="0" distB="0" distL="114300" distR="114300" simplePos="0" relativeHeight="251682304" behindDoc="0" locked="0" layoutInCell="1" allowOverlap="1" wp14:anchorId="6A1308AC" wp14:editId="3B892EDE">
            <wp:simplePos x="0" y="0"/>
            <wp:positionH relativeFrom="column">
              <wp:posOffset>921385</wp:posOffset>
            </wp:positionH>
            <wp:positionV relativeFrom="paragraph">
              <wp:posOffset>310919</wp:posOffset>
            </wp:positionV>
            <wp:extent cx="3968115" cy="1976120"/>
            <wp:effectExtent l="57150" t="57150" r="108585" b="119380"/>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D68EF2C.tmp"/>
                    <pic:cNvPicPr/>
                  </pic:nvPicPr>
                  <pic:blipFill>
                    <a:blip r:embed="rId22">
                      <a:extLst>
                        <a:ext uri="{28A0092B-C50C-407E-A947-70E740481C1C}">
                          <a14:useLocalDpi xmlns:a14="http://schemas.microsoft.com/office/drawing/2010/main" val="0"/>
                        </a:ext>
                      </a:extLst>
                    </a:blip>
                    <a:stretch>
                      <a:fillRect/>
                    </a:stretch>
                  </pic:blipFill>
                  <pic:spPr>
                    <a:xfrm>
                      <a:off x="0" y="0"/>
                      <a:ext cx="3968115" cy="1976120"/>
                    </a:xfrm>
                    <a:prstGeom prst="rect">
                      <a:avLst/>
                    </a:prstGeom>
                    <a:ln>
                      <a:solidFill>
                        <a:schemeClr val="tx1"/>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1A755780" w14:textId="45920090" w:rsidR="00366CD6" w:rsidRPr="00D42F52" w:rsidRDefault="00366CD6" w:rsidP="00D42F52">
      <w:pPr>
        <w:spacing w:after="0" w:line="480" w:lineRule="auto"/>
        <w:jc w:val="right"/>
        <w:rPr>
          <w:rStyle w:val="selectable"/>
          <w:rFonts w:asciiTheme="majorHAnsi" w:hAnsiTheme="majorHAnsi" w:cstheme="majorHAnsi"/>
          <w:i/>
          <w:sz w:val="24"/>
          <w:szCs w:val="24"/>
        </w:rPr>
      </w:pPr>
      <w:r w:rsidRPr="00D42F52">
        <w:rPr>
          <w:rStyle w:val="selectable"/>
          <w:rFonts w:asciiTheme="majorHAnsi" w:hAnsiTheme="majorHAnsi" w:cstheme="majorHAnsi"/>
          <w:i/>
          <w:sz w:val="24"/>
          <w:szCs w:val="24"/>
        </w:rPr>
        <w:t>Figure 2.3 – Think-Pair-Share Activity, used to challenge misconceptions and spark discussion amongst learners</w:t>
      </w:r>
    </w:p>
    <w:p w14:paraId="729B2E86" w14:textId="77777777" w:rsidR="00D42F52" w:rsidRDefault="00D42F52" w:rsidP="00D42F52">
      <w:pPr>
        <w:spacing w:after="0" w:line="480" w:lineRule="auto"/>
        <w:jc w:val="both"/>
        <w:rPr>
          <w:rStyle w:val="selectable"/>
          <w:rFonts w:asciiTheme="majorHAnsi" w:hAnsiTheme="majorHAnsi" w:cstheme="majorHAnsi"/>
          <w:sz w:val="24"/>
          <w:szCs w:val="24"/>
        </w:rPr>
      </w:pPr>
    </w:p>
    <w:p w14:paraId="1189E84C" w14:textId="0026FBEC" w:rsidR="003E63B0" w:rsidRPr="00D42F52" w:rsidRDefault="006B40EB" w:rsidP="00D42F52">
      <w:pPr>
        <w:spacing w:after="0" w:line="480" w:lineRule="auto"/>
        <w:jc w:val="both"/>
        <w:rPr>
          <w:rFonts w:asciiTheme="majorHAnsi" w:hAnsiTheme="majorHAnsi" w:cstheme="majorHAnsi"/>
          <w:sz w:val="24"/>
          <w:szCs w:val="24"/>
        </w:rPr>
      </w:pPr>
      <w:r w:rsidRPr="00D42F52">
        <w:rPr>
          <w:rStyle w:val="selectable"/>
          <w:rFonts w:asciiTheme="majorHAnsi" w:hAnsiTheme="majorHAnsi" w:cstheme="majorHAnsi"/>
          <w:sz w:val="24"/>
          <w:szCs w:val="24"/>
        </w:rPr>
        <w:t xml:space="preserve">Aligning classroom activities with the importance towards effective, formative assessment as discussed by, </w:t>
      </w:r>
      <w:r w:rsidRPr="00D42F52">
        <w:rPr>
          <w:rFonts w:asciiTheme="majorHAnsi" w:hAnsiTheme="majorHAnsi" w:cstheme="majorHAnsi"/>
          <w:sz w:val="24"/>
          <w:szCs w:val="24"/>
        </w:rPr>
        <w:t xml:space="preserve">Black and </w:t>
      </w:r>
      <w:proofErr w:type="spellStart"/>
      <w:r w:rsidRPr="00D42F52">
        <w:rPr>
          <w:rFonts w:asciiTheme="majorHAnsi" w:hAnsiTheme="majorHAnsi" w:cstheme="majorHAnsi"/>
          <w:sz w:val="24"/>
          <w:szCs w:val="24"/>
        </w:rPr>
        <w:t>Wiliam</w:t>
      </w:r>
      <w:proofErr w:type="spellEnd"/>
      <w:r w:rsidRPr="00D42F52">
        <w:rPr>
          <w:rFonts w:asciiTheme="majorHAnsi" w:hAnsiTheme="majorHAnsi" w:cstheme="majorHAnsi"/>
          <w:sz w:val="24"/>
          <w:szCs w:val="24"/>
        </w:rPr>
        <w:t>, (1998) this activity paired a familiar area of mathematics, where many pupils felt confident with a</w:t>
      </w:r>
      <w:r w:rsidR="002A7881" w:rsidRPr="00D42F52">
        <w:rPr>
          <w:rFonts w:asciiTheme="majorHAnsi" w:hAnsiTheme="majorHAnsi" w:cstheme="majorHAnsi"/>
          <w:sz w:val="24"/>
          <w:szCs w:val="24"/>
        </w:rPr>
        <w:t>n</w:t>
      </w:r>
      <w:r w:rsidRPr="00D42F52">
        <w:rPr>
          <w:rFonts w:asciiTheme="majorHAnsi" w:hAnsiTheme="majorHAnsi" w:cstheme="majorHAnsi"/>
          <w:sz w:val="24"/>
          <w:szCs w:val="24"/>
        </w:rPr>
        <w:t xml:space="preserve"> algebraic problem which in turn, provoked cognitive conflict amongst learners. </w:t>
      </w:r>
      <w:r w:rsidR="00FA0CE8" w:rsidRPr="00D42F52">
        <w:rPr>
          <w:rFonts w:asciiTheme="majorHAnsi" w:hAnsiTheme="majorHAnsi" w:cstheme="majorHAnsi"/>
          <w:sz w:val="24"/>
          <w:szCs w:val="24"/>
        </w:rPr>
        <w:t>Red, Amber, Green challenge questions were used within all lessons to allow pupils to select their comfortable challenge level, as well as supporting pupils to build confidence, choosing appropriate level of questioning and allowing me to assess understanding, pace of the lesson and appropriate opportunity to progress with subsequent lessons (Swan, 2005; Coe; et al, 2017).</w:t>
      </w:r>
      <w:r w:rsidR="00366CD6" w:rsidRPr="00D42F52">
        <w:rPr>
          <w:rFonts w:asciiTheme="majorHAnsi" w:hAnsiTheme="majorHAnsi" w:cstheme="majorHAnsi"/>
          <w:sz w:val="24"/>
          <w:szCs w:val="24"/>
        </w:rPr>
        <w:t xml:space="preserve"> Few pupils chose Green tiered questions, mostly comprising as single step substitution evaluations, with the majority of pupils completed Amber Tier questions with some progressing to Red challenge. Answers were sought randomly from pupils with open questioning used continually to support Assessment for Learning (Black and </w:t>
      </w:r>
      <w:proofErr w:type="spellStart"/>
      <w:r w:rsidR="00366CD6" w:rsidRPr="00D42F52">
        <w:rPr>
          <w:rFonts w:asciiTheme="majorHAnsi" w:hAnsiTheme="majorHAnsi" w:cstheme="majorHAnsi"/>
          <w:sz w:val="24"/>
          <w:szCs w:val="24"/>
        </w:rPr>
        <w:t>Wiliam</w:t>
      </w:r>
      <w:proofErr w:type="spellEnd"/>
      <w:r w:rsidR="00366CD6" w:rsidRPr="00D42F52">
        <w:rPr>
          <w:rFonts w:asciiTheme="majorHAnsi" w:hAnsiTheme="majorHAnsi" w:cstheme="majorHAnsi"/>
          <w:sz w:val="24"/>
          <w:szCs w:val="24"/>
        </w:rPr>
        <w:t xml:space="preserve">, 1998). </w:t>
      </w:r>
      <w:r w:rsidR="00FA0CE8" w:rsidRPr="00D42F52">
        <w:rPr>
          <w:rFonts w:asciiTheme="majorHAnsi" w:hAnsiTheme="majorHAnsi" w:cstheme="majorHAnsi"/>
          <w:sz w:val="24"/>
          <w:szCs w:val="24"/>
        </w:rPr>
        <w:t xml:space="preserve"> </w:t>
      </w:r>
      <w:r w:rsidRPr="00D42F52">
        <w:rPr>
          <w:rFonts w:asciiTheme="majorHAnsi" w:hAnsiTheme="majorHAnsi" w:cstheme="majorHAnsi"/>
          <w:sz w:val="24"/>
          <w:szCs w:val="24"/>
        </w:rPr>
        <w:t>When we consider Question 3 (</w:t>
      </w:r>
      <w:r w:rsidR="00D57E77" w:rsidRPr="00D42F52">
        <w:rPr>
          <w:rFonts w:asciiTheme="majorHAnsi" w:hAnsiTheme="majorHAnsi" w:cstheme="majorHAnsi"/>
          <w:sz w:val="24"/>
          <w:szCs w:val="24"/>
        </w:rPr>
        <w:t>Figure</w:t>
      </w:r>
      <w:r w:rsidRPr="00D42F52">
        <w:rPr>
          <w:rFonts w:asciiTheme="majorHAnsi" w:hAnsiTheme="majorHAnsi" w:cstheme="majorHAnsi"/>
          <w:sz w:val="24"/>
          <w:szCs w:val="24"/>
        </w:rPr>
        <w:t xml:space="preserve">1.2) in isolation, there was a 45% increase in correct answers amongst learners, however this does of course </w:t>
      </w:r>
      <w:r w:rsidR="002A7881" w:rsidRPr="00D42F52">
        <w:rPr>
          <w:rFonts w:asciiTheme="majorHAnsi" w:hAnsiTheme="majorHAnsi" w:cstheme="majorHAnsi"/>
          <w:sz w:val="24"/>
          <w:szCs w:val="24"/>
        </w:rPr>
        <w:t xml:space="preserve">show that 36% of learners answered incorrectly, it must be considered that Welder (2006) cites, </w:t>
      </w:r>
      <w:proofErr w:type="spellStart"/>
      <w:r w:rsidR="002A7881" w:rsidRPr="00D42F52">
        <w:rPr>
          <w:rFonts w:asciiTheme="majorHAnsi" w:hAnsiTheme="majorHAnsi" w:cstheme="majorHAnsi"/>
          <w:sz w:val="24"/>
          <w:szCs w:val="24"/>
        </w:rPr>
        <w:t>Rotman</w:t>
      </w:r>
      <w:proofErr w:type="spellEnd"/>
      <w:r w:rsidR="002A7881" w:rsidRPr="00D42F52">
        <w:rPr>
          <w:rFonts w:asciiTheme="majorHAnsi" w:hAnsiTheme="majorHAnsi" w:cstheme="majorHAnsi"/>
          <w:sz w:val="24"/>
          <w:szCs w:val="24"/>
        </w:rPr>
        <w:t xml:space="preserve"> (1991) and Bottoms (2003), where learners continue to apply computational errors at College level</w:t>
      </w:r>
      <w:r w:rsidR="00762795" w:rsidRPr="00D42F52">
        <w:rPr>
          <w:rFonts w:asciiTheme="majorHAnsi" w:hAnsiTheme="majorHAnsi" w:cstheme="majorHAnsi"/>
          <w:sz w:val="24"/>
          <w:szCs w:val="24"/>
        </w:rPr>
        <w:t>.</w:t>
      </w:r>
      <w:r w:rsidR="002A7881" w:rsidRPr="00D42F52">
        <w:rPr>
          <w:rFonts w:asciiTheme="majorHAnsi" w:hAnsiTheme="majorHAnsi" w:cstheme="majorHAnsi"/>
          <w:sz w:val="24"/>
          <w:szCs w:val="24"/>
        </w:rPr>
        <w:t xml:space="preserve"> </w:t>
      </w:r>
      <w:r w:rsidR="00762795" w:rsidRPr="00D42F52">
        <w:rPr>
          <w:rFonts w:asciiTheme="majorHAnsi" w:hAnsiTheme="majorHAnsi" w:cstheme="majorHAnsi"/>
          <w:sz w:val="24"/>
          <w:szCs w:val="24"/>
        </w:rPr>
        <w:t>F</w:t>
      </w:r>
      <w:r w:rsidR="002A7881" w:rsidRPr="00D42F52">
        <w:rPr>
          <w:rFonts w:asciiTheme="majorHAnsi" w:hAnsiTheme="majorHAnsi" w:cstheme="majorHAnsi"/>
          <w:sz w:val="24"/>
          <w:szCs w:val="24"/>
        </w:rPr>
        <w:t>or this reason</w:t>
      </w:r>
      <w:r w:rsidR="00762795" w:rsidRPr="00D42F52">
        <w:rPr>
          <w:rFonts w:asciiTheme="majorHAnsi" w:hAnsiTheme="majorHAnsi" w:cstheme="majorHAnsi"/>
          <w:sz w:val="24"/>
          <w:szCs w:val="24"/>
        </w:rPr>
        <w:t>,</w:t>
      </w:r>
      <w:r w:rsidR="002A7881" w:rsidRPr="00D42F52">
        <w:rPr>
          <w:rFonts w:asciiTheme="majorHAnsi" w:hAnsiTheme="majorHAnsi" w:cstheme="majorHAnsi"/>
          <w:sz w:val="24"/>
          <w:szCs w:val="24"/>
        </w:rPr>
        <w:t xml:space="preserve"> it would be reasonable to consider application of Booth (198</w:t>
      </w:r>
      <w:r w:rsidR="00762795" w:rsidRPr="00D42F52">
        <w:rPr>
          <w:rFonts w:asciiTheme="majorHAnsi" w:hAnsiTheme="majorHAnsi" w:cstheme="majorHAnsi"/>
          <w:sz w:val="24"/>
          <w:szCs w:val="24"/>
        </w:rPr>
        <w:t>6</w:t>
      </w:r>
      <w:r w:rsidR="002A7881" w:rsidRPr="00D42F52">
        <w:rPr>
          <w:rFonts w:asciiTheme="majorHAnsi" w:hAnsiTheme="majorHAnsi" w:cstheme="majorHAnsi"/>
          <w:sz w:val="24"/>
          <w:szCs w:val="24"/>
        </w:rPr>
        <w:t xml:space="preserve">) </w:t>
      </w:r>
      <w:r w:rsidR="00762795" w:rsidRPr="00D42F52">
        <w:rPr>
          <w:rFonts w:asciiTheme="majorHAnsi" w:hAnsiTheme="majorHAnsi" w:cstheme="majorHAnsi"/>
          <w:sz w:val="24"/>
          <w:szCs w:val="24"/>
        </w:rPr>
        <w:lastRenderedPageBreak/>
        <w:t xml:space="preserve">recommendation to build upon the provision of algebra as a way to represent general relationships, allowing pupils to attribute understanding, reason and synthesise further (Swan, 2005). </w:t>
      </w:r>
    </w:p>
    <w:p w14:paraId="6686E6C5" w14:textId="1A67C76E" w:rsidR="00366CD6" w:rsidRPr="00D42F52" w:rsidRDefault="003E63B0"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Lesson content further addressed the misconceptions aligning with negative numbers identified in the pre-test, namely Question 1 and 10 specifically. Question 10, was designed to aid the diagnosis of multiple misconceptions (</w:t>
      </w:r>
      <w:proofErr w:type="spellStart"/>
      <w:r w:rsidRPr="00D42F52">
        <w:rPr>
          <w:rFonts w:asciiTheme="majorHAnsi" w:hAnsiTheme="majorHAnsi" w:cstheme="majorHAnsi"/>
          <w:sz w:val="24"/>
          <w:szCs w:val="24"/>
        </w:rPr>
        <w:t>Makonye</w:t>
      </w:r>
      <w:proofErr w:type="spellEnd"/>
      <w:r w:rsidRPr="00D42F52">
        <w:rPr>
          <w:rFonts w:asciiTheme="majorHAnsi" w:hAnsiTheme="majorHAnsi" w:cstheme="majorHAnsi"/>
          <w:sz w:val="24"/>
          <w:szCs w:val="24"/>
        </w:rPr>
        <w:t>, 2016), emphasis was placed on computational questions in relation to negative numbers, pupils we able to recall their method of negative number multiplication when questioned</w:t>
      </w:r>
      <w:r w:rsidR="00366CD6" w:rsidRPr="00D42F52">
        <w:rPr>
          <w:rFonts w:asciiTheme="majorHAnsi" w:hAnsiTheme="majorHAnsi" w:cstheme="majorHAnsi"/>
          <w:sz w:val="24"/>
          <w:szCs w:val="24"/>
        </w:rPr>
        <w:t xml:space="preserve"> and challenged peers with reasoning where appropriate</w:t>
      </w:r>
      <w:r w:rsidR="00203FB7" w:rsidRPr="00D42F52">
        <w:rPr>
          <w:rFonts w:asciiTheme="majorHAnsi" w:hAnsiTheme="majorHAnsi" w:cstheme="majorHAnsi"/>
          <w:sz w:val="24"/>
          <w:szCs w:val="24"/>
        </w:rPr>
        <w:t xml:space="preserve">. </w:t>
      </w:r>
      <w:r w:rsidR="00880FBC" w:rsidRPr="00D42F52">
        <w:rPr>
          <w:rFonts w:asciiTheme="majorHAnsi" w:hAnsiTheme="majorHAnsi" w:cstheme="majorHAnsi"/>
          <w:sz w:val="24"/>
          <w:szCs w:val="24"/>
        </w:rPr>
        <w:t xml:space="preserve">Question 1 and Question 10 saw in increase by 25% and 57% respectively, with 80% and 88% of learners answering correctly in the post test verses pre-test scores of 64% and 56%. Considering Booth and Koedinger (2008), findings, with regards to pupils who grasp the concept and calculate using negative numbers as those more akin to solving equations effectively, it could be considered that ensuring a solid fundamental understanding is imperative for all pupils when progressing within algebra. </w:t>
      </w:r>
    </w:p>
    <w:p w14:paraId="7443268E" w14:textId="39E267A5" w:rsidR="00EE5D6C" w:rsidRPr="00D42F52" w:rsidRDefault="00880FBC"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 xml:space="preserve">Success was seen in developing pupils understanding of expressed operations within the classroom however, computational errors must be considered when regarding success </w:t>
      </w:r>
      <w:r w:rsidR="00FF6C84" w:rsidRPr="00D42F52">
        <w:rPr>
          <w:rFonts w:asciiTheme="majorHAnsi" w:hAnsiTheme="majorHAnsi" w:cstheme="majorHAnsi"/>
          <w:sz w:val="24"/>
          <w:szCs w:val="24"/>
        </w:rPr>
        <w:t>of Question 4 and 7 (Fig. 1.5 and 1.6 respectively). When we drill down the responses, although pupils substitute correctly and apply the majority apply appropriate operation to the equations, many pupils stumble at the point of simply calculating fractions. Whist priority</w:t>
      </w:r>
      <w:r w:rsidR="00C6493A" w:rsidRPr="00D42F52">
        <w:rPr>
          <w:rFonts w:asciiTheme="majorHAnsi" w:hAnsiTheme="majorHAnsi" w:cstheme="majorHAnsi"/>
          <w:sz w:val="24"/>
          <w:szCs w:val="24"/>
        </w:rPr>
        <w:t xml:space="preserve"> for lesson content</w:t>
      </w:r>
      <w:r w:rsidR="00FF6C84" w:rsidRPr="00D42F52">
        <w:rPr>
          <w:rFonts w:asciiTheme="majorHAnsi" w:hAnsiTheme="majorHAnsi" w:cstheme="majorHAnsi"/>
          <w:sz w:val="24"/>
          <w:szCs w:val="24"/>
        </w:rPr>
        <w:t xml:space="preserve"> was given to understanding operation</w:t>
      </w:r>
      <w:r w:rsidR="00C6493A" w:rsidRPr="00D42F52">
        <w:rPr>
          <w:rFonts w:asciiTheme="majorHAnsi" w:hAnsiTheme="majorHAnsi" w:cstheme="majorHAnsi"/>
          <w:sz w:val="24"/>
          <w:szCs w:val="24"/>
        </w:rPr>
        <w:t>s, and fractions were primarily addressed when learners were introduced to solving equations, it would be suggested that further lesson time and assessment should be allocated towards fractions as a computational priority to prepare pupils when dealing with fractions within algebra, and in particular, top heavy fractions. Supporting findings from</w:t>
      </w:r>
      <w:r w:rsidR="00C6493A" w:rsidRPr="00D42F52">
        <w:rPr>
          <w:rFonts w:asciiTheme="majorHAnsi" w:hAnsiTheme="majorHAnsi" w:cstheme="majorHAnsi"/>
        </w:rPr>
        <w:t xml:space="preserve"> </w:t>
      </w:r>
      <w:proofErr w:type="spellStart"/>
      <w:r w:rsidR="00C6493A" w:rsidRPr="00D42F52">
        <w:rPr>
          <w:rFonts w:asciiTheme="majorHAnsi" w:hAnsiTheme="majorHAnsi" w:cstheme="majorHAnsi"/>
          <w:sz w:val="24"/>
          <w:szCs w:val="24"/>
        </w:rPr>
        <w:t>Makonye</w:t>
      </w:r>
      <w:proofErr w:type="spellEnd"/>
      <w:r w:rsidR="00C6493A" w:rsidRPr="00D42F52">
        <w:rPr>
          <w:rFonts w:asciiTheme="majorHAnsi" w:hAnsiTheme="majorHAnsi" w:cstheme="majorHAnsi"/>
          <w:sz w:val="24"/>
          <w:szCs w:val="24"/>
        </w:rPr>
        <w:t xml:space="preserve">, (2016), pupils who expressed a misconception when substituting and computing values in the pre-test, when correctly producing a fraction as an answer many either flipped the fraction, proceeding to divide the denominator by the </w:t>
      </w:r>
      <w:r w:rsidR="00C6493A" w:rsidRPr="00D42F52">
        <w:rPr>
          <w:rFonts w:asciiTheme="majorHAnsi" w:hAnsiTheme="majorHAnsi" w:cstheme="majorHAnsi"/>
          <w:sz w:val="24"/>
          <w:szCs w:val="24"/>
        </w:rPr>
        <w:lastRenderedPageBreak/>
        <w:t>numerator, neglected the fraction in its entirety, with a few proceeding to apply column addition or subtraction when identifying one value over another, and with some crossing out their answer suggesting their misconception that a fraction, or top heavy fraction would  not be a reasonable solution.</w:t>
      </w:r>
      <w:r w:rsidR="00D57E77" w:rsidRPr="00D42F52">
        <w:rPr>
          <w:rFonts w:asciiTheme="majorHAnsi" w:hAnsiTheme="majorHAnsi" w:cstheme="majorHAnsi"/>
          <w:sz w:val="24"/>
          <w:szCs w:val="24"/>
        </w:rPr>
        <w:t xml:space="preserve"> Welder (2006) cites Kieran (1988) where pupils who had studied algebra over a substantial period of time still exhibited misconceptions when encountering fractions and division within algebra.</w:t>
      </w:r>
      <w:r w:rsidR="004C3BA9" w:rsidRPr="00D42F52">
        <w:rPr>
          <w:rFonts w:asciiTheme="majorHAnsi" w:hAnsiTheme="majorHAnsi" w:cstheme="majorHAnsi"/>
          <w:sz w:val="24"/>
          <w:szCs w:val="24"/>
        </w:rPr>
        <w:t xml:space="preserve"> It could be suggested that this reflects the opinion held by learners identified by </w:t>
      </w:r>
      <w:proofErr w:type="spellStart"/>
      <w:r w:rsidR="00366CD6" w:rsidRPr="00D42F52">
        <w:rPr>
          <w:rFonts w:asciiTheme="majorHAnsi" w:hAnsiTheme="majorHAnsi" w:cstheme="majorHAnsi"/>
          <w:sz w:val="24"/>
          <w:szCs w:val="24"/>
        </w:rPr>
        <w:t>Schoomer-Aikins</w:t>
      </w:r>
      <w:proofErr w:type="spellEnd"/>
      <w:r w:rsidR="00366CD6" w:rsidRPr="00D42F52">
        <w:rPr>
          <w:rFonts w:asciiTheme="majorHAnsi" w:hAnsiTheme="majorHAnsi" w:cstheme="majorHAnsi"/>
          <w:sz w:val="24"/>
          <w:szCs w:val="24"/>
        </w:rPr>
        <w:t xml:space="preserve"> and Easter (2006), </w:t>
      </w:r>
      <w:r w:rsidR="004C3BA9" w:rsidRPr="00D42F52">
        <w:rPr>
          <w:rFonts w:asciiTheme="majorHAnsi" w:hAnsiTheme="majorHAnsi" w:cstheme="majorHAnsi"/>
          <w:sz w:val="24"/>
          <w:szCs w:val="24"/>
        </w:rPr>
        <w:t>where learners</w:t>
      </w:r>
      <w:r w:rsidR="00765F6D" w:rsidRPr="00D42F52">
        <w:rPr>
          <w:rFonts w:asciiTheme="majorHAnsi" w:hAnsiTheme="majorHAnsi" w:cstheme="majorHAnsi"/>
          <w:sz w:val="24"/>
          <w:szCs w:val="24"/>
        </w:rPr>
        <w:t xml:space="preserve"> consider differing topics of mathematics to be taught, and dealt with in isolation and in turn, not correctly seeking to apply prior knowledge.</w:t>
      </w:r>
    </w:p>
    <w:p w14:paraId="69674832" w14:textId="7B9AB869" w:rsidR="00765F6D" w:rsidRPr="00D42F52" w:rsidRDefault="00FD4837" w:rsidP="00D42F52">
      <w:pPr>
        <w:spacing w:after="0" w:line="480" w:lineRule="auto"/>
        <w:jc w:val="both"/>
        <w:rPr>
          <w:rStyle w:val="selectable"/>
          <w:rFonts w:asciiTheme="majorHAnsi" w:hAnsiTheme="majorHAnsi" w:cstheme="majorHAnsi"/>
          <w:sz w:val="24"/>
          <w:szCs w:val="24"/>
        </w:rPr>
      </w:pPr>
      <w:r w:rsidRPr="00D42F52">
        <w:rPr>
          <w:rStyle w:val="selectable"/>
          <w:rFonts w:asciiTheme="majorHAnsi" w:hAnsiTheme="majorHAnsi" w:cstheme="majorHAnsi"/>
          <w:sz w:val="24"/>
          <w:szCs w:val="24"/>
        </w:rPr>
        <w:t>The Scheme of work followed throughout this investigation led towards Solving Equations, conscious effort was made to allow pupils to steer the direction of the lessons dependant on results and evaluated progression in terms of assessment for learning. The majority of pupils were confident when applying their understanding of simplifying expressions when multiplying, 4f x 6g, for example. However, prior to solving equations, following consolidation of learning in relation to BIDMAS,</w:t>
      </w:r>
      <w:r w:rsidR="000C1AAB" w:rsidRPr="00D42F52">
        <w:rPr>
          <w:rStyle w:val="selectable"/>
          <w:rFonts w:asciiTheme="majorHAnsi" w:hAnsiTheme="majorHAnsi" w:cstheme="majorHAnsi"/>
          <w:sz w:val="24"/>
          <w:szCs w:val="24"/>
        </w:rPr>
        <w:t xml:space="preserve"> and following evaluation in relation to expansion of brackets in </w:t>
      </w:r>
      <w:r w:rsidR="00E33D40" w:rsidRPr="00D42F52">
        <w:rPr>
          <w:rStyle w:val="selectable"/>
          <w:rFonts w:asciiTheme="majorHAnsi" w:hAnsiTheme="majorHAnsi" w:cstheme="majorHAnsi"/>
          <w:sz w:val="24"/>
          <w:szCs w:val="24"/>
        </w:rPr>
        <w:t>Qu</w:t>
      </w:r>
      <w:r w:rsidR="000C1AAB" w:rsidRPr="00D42F52">
        <w:rPr>
          <w:rStyle w:val="selectable"/>
          <w:rFonts w:asciiTheme="majorHAnsi" w:hAnsiTheme="majorHAnsi" w:cstheme="majorHAnsi"/>
          <w:sz w:val="24"/>
          <w:szCs w:val="24"/>
        </w:rPr>
        <w:t>estion 9</w:t>
      </w:r>
      <w:r w:rsidR="00E33D40" w:rsidRPr="00D42F52">
        <w:rPr>
          <w:rStyle w:val="selectable"/>
          <w:rFonts w:asciiTheme="majorHAnsi" w:hAnsiTheme="majorHAnsi" w:cstheme="majorHAnsi"/>
          <w:sz w:val="24"/>
          <w:szCs w:val="24"/>
        </w:rPr>
        <w:t xml:space="preserve"> (</w:t>
      </w:r>
      <w:r w:rsidR="00D57E77" w:rsidRPr="00D42F52">
        <w:rPr>
          <w:rStyle w:val="selectable"/>
          <w:rFonts w:asciiTheme="majorHAnsi" w:hAnsiTheme="majorHAnsi" w:cstheme="majorHAnsi"/>
          <w:sz w:val="24"/>
          <w:szCs w:val="24"/>
        </w:rPr>
        <w:t>Figure</w:t>
      </w:r>
      <w:r w:rsidR="00E33D40" w:rsidRPr="00D42F52">
        <w:rPr>
          <w:rStyle w:val="selectable"/>
          <w:rFonts w:asciiTheme="majorHAnsi" w:hAnsiTheme="majorHAnsi" w:cstheme="majorHAnsi"/>
          <w:sz w:val="24"/>
          <w:szCs w:val="24"/>
        </w:rPr>
        <w:t>1.10)</w:t>
      </w:r>
      <w:r w:rsidR="000C1AAB" w:rsidRPr="00D42F52">
        <w:rPr>
          <w:rStyle w:val="selectable"/>
          <w:rFonts w:asciiTheme="majorHAnsi" w:hAnsiTheme="majorHAnsi" w:cstheme="majorHAnsi"/>
          <w:sz w:val="24"/>
          <w:szCs w:val="24"/>
        </w:rPr>
        <w:t xml:space="preserve">, pupils generally lacked confidence and held a tendency to disregard knowledge of operation when considering expressions within brackets. </w:t>
      </w:r>
      <w:r w:rsidR="004A7657" w:rsidRPr="00D42F52">
        <w:rPr>
          <w:rStyle w:val="selectable"/>
          <w:rFonts w:asciiTheme="majorHAnsi" w:hAnsiTheme="majorHAnsi" w:cstheme="majorHAnsi"/>
          <w:sz w:val="24"/>
          <w:szCs w:val="24"/>
        </w:rPr>
        <w:t xml:space="preserve">A lesson was dedicated to challenging pupils with expanding brackets, and then further reflected on when considering solving equations in a future lesson. Pupils </w:t>
      </w:r>
      <w:r w:rsidR="000F2B66" w:rsidRPr="00D42F52">
        <w:rPr>
          <w:rStyle w:val="selectable"/>
          <w:rFonts w:asciiTheme="majorHAnsi" w:hAnsiTheme="majorHAnsi" w:cstheme="majorHAnsi"/>
          <w:sz w:val="24"/>
          <w:szCs w:val="24"/>
        </w:rPr>
        <w:t>initially appeared far less confident when presented with a request to expand brackets with many producing an outcome as below:</w:t>
      </w:r>
    </w:p>
    <w:p w14:paraId="10181509" w14:textId="5D7ADE58" w:rsidR="000F2B66" w:rsidRPr="00D42F52" w:rsidRDefault="000F2B66" w:rsidP="00D42F52">
      <w:pPr>
        <w:spacing w:after="0" w:line="480" w:lineRule="auto"/>
        <w:jc w:val="center"/>
        <w:rPr>
          <w:rStyle w:val="selectable"/>
          <w:rFonts w:asciiTheme="majorHAnsi" w:hAnsiTheme="majorHAnsi" w:cstheme="majorHAnsi"/>
          <w:sz w:val="24"/>
          <w:szCs w:val="24"/>
        </w:rPr>
      </w:pPr>
      <w:r w:rsidRPr="00D42F52">
        <w:rPr>
          <w:rStyle w:val="selectable"/>
          <w:rFonts w:asciiTheme="majorHAnsi" w:hAnsiTheme="majorHAnsi" w:cstheme="majorHAnsi"/>
          <w:sz w:val="24"/>
          <w:szCs w:val="24"/>
        </w:rPr>
        <w:t xml:space="preserve">When asked to expand </w:t>
      </w:r>
      <w:r w:rsidRPr="00D42F52">
        <w:rPr>
          <w:rStyle w:val="selectable"/>
          <w:rFonts w:asciiTheme="majorHAnsi" w:hAnsiTheme="majorHAnsi" w:cstheme="majorHAnsi"/>
          <w:b/>
          <w:sz w:val="24"/>
          <w:szCs w:val="24"/>
        </w:rPr>
        <w:t>5(b + 5)</w:t>
      </w:r>
    </w:p>
    <w:p w14:paraId="664FA377" w14:textId="4654C7D0" w:rsidR="000F2B66" w:rsidRPr="00D42F52" w:rsidRDefault="000F2B66" w:rsidP="00D42F52">
      <w:pPr>
        <w:spacing w:after="0" w:line="480" w:lineRule="auto"/>
        <w:jc w:val="center"/>
        <w:rPr>
          <w:rStyle w:val="selectable"/>
          <w:rFonts w:asciiTheme="majorHAnsi" w:hAnsiTheme="majorHAnsi" w:cstheme="majorHAnsi"/>
          <w:sz w:val="24"/>
          <w:szCs w:val="24"/>
        </w:rPr>
      </w:pPr>
      <w:r w:rsidRPr="00D42F52">
        <w:rPr>
          <w:rStyle w:val="selectable"/>
          <w:rFonts w:asciiTheme="majorHAnsi" w:hAnsiTheme="majorHAnsi" w:cstheme="majorHAnsi"/>
          <w:sz w:val="24"/>
          <w:szCs w:val="24"/>
        </w:rPr>
        <w:t xml:space="preserve">Pupils responded with </w:t>
      </w:r>
      <w:r w:rsidRPr="00D42F52">
        <w:rPr>
          <w:rStyle w:val="selectable"/>
          <w:rFonts w:asciiTheme="majorHAnsi" w:hAnsiTheme="majorHAnsi" w:cstheme="majorHAnsi"/>
          <w:b/>
          <w:sz w:val="24"/>
          <w:szCs w:val="24"/>
        </w:rPr>
        <w:t xml:space="preserve">5b + 5 </w:t>
      </w:r>
      <w:r w:rsidRPr="00D42F52">
        <w:rPr>
          <w:rStyle w:val="selectable"/>
          <w:rFonts w:asciiTheme="majorHAnsi" w:hAnsiTheme="majorHAnsi" w:cstheme="majorHAnsi"/>
          <w:sz w:val="24"/>
          <w:szCs w:val="24"/>
        </w:rPr>
        <w:t>or</w:t>
      </w:r>
      <w:r w:rsidRPr="00D42F52">
        <w:rPr>
          <w:rStyle w:val="selectable"/>
          <w:rFonts w:asciiTheme="majorHAnsi" w:hAnsiTheme="majorHAnsi" w:cstheme="majorHAnsi"/>
          <w:b/>
          <w:sz w:val="24"/>
          <w:szCs w:val="24"/>
        </w:rPr>
        <w:t xml:space="preserve"> 10b</w:t>
      </w:r>
    </w:p>
    <w:p w14:paraId="36B9B33C" w14:textId="65C5D5D0" w:rsidR="00765F6D" w:rsidRPr="00D42F52" w:rsidRDefault="000F2B66" w:rsidP="00D42F52">
      <w:pPr>
        <w:spacing w:after="0" w:line="480" w:lineRule="auto"/>
        <w:jc w:val="both"/>
        <w:rPr>
          <w:rStyle w:val="selectable"/>
          <w:rFonts w:asciiTheme="majorHAnsi" w:hAnsiTheme="majorHAnsi" w:cstheme="majorHAnsi"/>
          <w:sz w:val="24"/>
          <w:szCs w:val="24"/>
        </w:rPr>
      </w:pPr>
      <w:r w:rsidRPr="00D42F52">
        <w:rPr>
          <w:rStyle w:val="selectable"/>
          <w:rFonts w:asciiTheme="majorHAnsi" w:hAnsiTheme="majorHAnsi" w:cstheme="majorHAnsi"/>
          <w:sz w:val="24"/>
          <w:szCs w:val="24"/>
        </w:rPr>
        <w:t>Pupils initially disregarded the operation applied by the multiplier outside the bracket. Open questioning was used as the exposition</w:t>
      </w:r>
      <w:r w:rsidR="00B23BD3" w:rsidRPr="00D42F52">
        <w:rPr>
          <w:rStyle w:val="selectable"/>
          <w:rFonts w:asciiTheme="majorHAnsi" w:hAnsiTheme="majorHAnsi" w:cstheme="majorHAnsi"/>
          <w:sz w:val="24"/>
          <w:szCs w:val="24"/>
        </w:rPr>
        <w:t xml:space="preserve"> </w:t>
      </w:r>
      <w:r w:rsidR="00E33D40" w:rsidRPr="00D42F52">
        <w:rPr>
          <w:rStyle w:val="selectable"/>
          <w:rFonts w:asciiTheme="majorHAnsi" w:hAnsiTheme="majorHAnsi" w:cstheme="majorHAnsi"/>
          <w:sz w:val="24"/>
          <w:szCs w:val="24"/>
        </w:rPr>
        <w:t xml:space="preserve">and mini white boards were used in ‘show me’ activities to provide assessment for learning. Reasoning was sough from pupils with both correct and incorrect answers which supported pupils arriving at their own conclusion where the multiplier </w:t>
      </w:r>
      <w:r w:rsidR="00E33D40" w:rsidRPr="00D42F52">
        <w:rPr>
          <w:rStyle w:val="selectable"/>
          <w:rFonts w:asciiTheme="majorHAnsi" w:hAnsiTheme="majorHAnsi" w:cstheme="majorHAnsi"/>
          <w:sz w:val="24"/>
          <w:szCs w:val="24"/>
        </w:rPr>
        <w:lastRenderedPageBreak/>
        <w:t>outside the bracket indicates how many ‘lots’ of the expression inside the bracket. Little input from the teacher was needed for this part of the exposition, pupils responded well to each-others contribution and conversation supported pupils applying their procedural knowledge of ‘lots of’ in reference to multiplication and applying it to higher order cognitive skills (</w:t>
      </w:r>
      <w:proofErr w:type="spellStart"/>
      <w:r w:rsidR="00E33D40" w:rsidRPr="00D42F52">
        <w:rPr>
          <w:rFonts w:asciiTheme="majorHAnsi" w:hAnsiTheme="majorHAnsi" w:cstheme="majorHAnsi"/>
          <w:sz w:val="24"/>
          <w:szCs w:val="24"/>
        </w:rPr>
        <w:t>Benassi</w:t>
      </w:r>
      <w:proofErr w:type="spellEnd"/>
      <w:r w:rsidR="00E33D40" w:rsidRPr="00D42F52">
        <w:rPr>
          <w:rFonts w:asciiTheme="majorHAnsi" w:hAnsiTheme="majorHAnsi" w:cstheme="majorHAnsi"/>
          <w:sz w:val="24"/>
          <w:szCs w:val="24"/>
        </w:rPr>
        <w:t xml:space="preserve">, et al. 2014; Swan, 2001) required to solve more complex problems such as expanding brackets. </w:t>
      </w:r>
    </w:p>
    <w:p w14:paraId="41EEE1B4" w14:textId="48295C0B" w:rsidR="00B41498" w:rsidRPr="00D42F52" w:rsidRDefault="00E33D40"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t>Regular links were made to simplifying</w:t>
      </w:r>
      <w:r w:rsidR="00EC7334" w:rsidRPr="00D42F52">
        <w:rPr>
          <w:rFonts w:asciiTheme="majorHAnsi" w:eastAsia="Times New Roman" w:hAnsiTheme="majorHAnsi" w:cstheme="majorHAnsi"/>
          <w:sz w:val="24"/>
          <w:szCs w:val="24"/>
          <w:lang w:eastAsia="en-GB"/>
        </w:rPr>
        <w:t xml:space="preserve"> which was completed successfully in relation to Question 6 (</w:t>
      </w:r>
      <w:r w:rsidR="00D57E77" w:rsidRPr="00D42F52">
        <w:rPr>
          <w:rFonts w:asciiTheme="majorHAnsi" w:eastAsia="Times New Roman" w:hAnsiTheme="majorHAnsi" w:cstheme="majorHAnsi"/>
          <w:sz w:val="24"/>
          <w:szCs w:val="24"/>
          <w:lang w:eastAsia="en-GB"/>
        </w:rPr>
        <w:t>Figure</w:t>
      </w:r>
      <w:r w:rsidR="00EC7334" w:rsidRPr="00D42F52">
        <w:rPr>
          <w:rFonts w:asciiTheme="majorHAnsi" w:eastAsia="Times New Roman" w:hAnsiTheme="majorHAnsi" w:cstheme="majorHAnsi"/>
          <w:sz w:val="24"/>
          <w:szCs w:val="24"/>
          <w:lang w:eastAsia="en-GB"/>
        </w:rPr>
        <w:t xml:space="preserve">1.8) which supported pupils’ developing confidence in their ability to evaluate expressions, calculate substitutions and further lead to increased confidence (Chew; et al, 2010; Dweck, 2002) when approaching solving equations. </w:t>
      </w:r>
    </w:p>
    <w:p w14:paraId="69BEB1BE" w14:textId="1E9BC4D9" w:rsidR="00D42F52" w:rsidRDefault="00C34327"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t xml:space="preserve">Reflecting on the scheme of work, and basis for the research, pupils were expected to hold the ability to solve one and two step equations within the lessons available. </w:t>
      </w:r>
      <w:r w:rsidR="00D57E77" w:rsidRPr="00D42F52">
        <w:rPr>
          <w:rFonts w:asciiTheme="majorHAnsi" w:eastAsia="Times New Roman" w:hAnsiTheme="majorHAnsi" w:cstheme="majorHAnsi"/>
          <w:sz w:val="24"/>
          <w:szCs w:val="24"/>
          <w:lang w:eastAsia="en-GB"/>
        </w:rPr>
        <w:t>Fundamentally</w:t>
      </w:r>
      <w:r w:rsidRPr="00D42F52">
        <w:rPr>
          <w:rFonts w:asciiTheme="majorHAnsi" w:eastAsia="Times New Roman" w:hAnsiTheme="majorHAnsi" w:cstheme="majorHAnsi"/>
          <w:sz w:val="24"/>
          <w:szCs w:val="24"/>
          <w:lang w:eastAsia="en-GB"/>
        </w:rPr>
        <w:t xml:space="preserve">, pupils must have a sound understanding of the equals sign (=). Core to mathematics, the equals sign often hosts many learners’ misconceptions </w:t>
      </w:r>
      <w:r w:rsidRPr="00D42F52">
        <w:rPr>
          <w:rFonts w:asciiTheme="majorHAnsi" w:hAnsiTheme="majorHAnsi" w:cstheme="majorHAnsi"/>
          <w:sz w:val="24"/>
          <w:szCs w:val="24"/>
        </w:rPr>
        <w:t xml:space="preserve">(Booth; et al., 2016; </w:t>
      </w:r>
      <w:proofErr w:type="spellStart"/>
      <w:r w:rsidRPr="00D42F52">
        <w:rPr>
          <w:rFonts w:asciiTheme="majorHAnsi" w:hAnsiTheme="majorHAnsi" w:cstheme="majorHAnsi"/>
          <w:sz w:val="24"/>
          <w:szCs w:val="24"/>
        </w:rPr>
        <w:t>Mulungye</w:t>
      </w:r>
      <w:proofErr w:type="spellEnd"/>
      <w:r w:rsidRPr="00D42F52">
        <w:rPr>
          <w:rFonts w:asciiTheme="majorHAnsi" w:hAnsiTheme="majorHAnsi" w:cstheme="majorHAnsi"/>
          <w:sz w:val="24"/>
          <w:szCs w:val="24"/>
        </w:rPr>
        <w:t xml:space="preserve">, et al., 2016). </w:t>
      </w:r>
      <w:r w:rsidRPr="00D42F52">
        <w:rPr>
          <w:rFonts w:asciiTheme="majorHAnsi" w:eastAsia="Times New Roman" w:hAnsiTheme="majorHAnsi" w:cstheme="majorHAnsi"/>
          <w:sz w:val="24"/>
          <w:szCs w:val="24"/>
          <w:lang w:eastAsia="en-GB"/>
        </w:rPr>
        <w:t>Question 5 (</w:t>
      </w:r>
      <w:r w:rsidR="00D57E77" w:rsidRPr="00D42F52">
        <w:rPr>
          <w:rFonts w:asciiTheme="majorHAnsi" w:eastAsia="Times New Roman" w:hAnsiTheme="majorHAnsi" w:cstheme="majorHAnsi"/>
          <w:sz w:val="24"/>
          <w:szCs w:val="24"/>
          <w:lang w:eastAsia="en-GB"/>
        </w:rPr>
        <w:t>Figure</w:t>
      </w:r>
      <w:r w:rsidRPr="00D42F52">
        <w:rPr>
          <w:rFonts w:asciiTheme="majorHAnsi" w:eastAsia="Times New Roman" w:hAnsiTheme="majorHAnsi" w:cstheme="majorHAnsi"/>
          <w:sz w:val="24"/>
          <w:szCs w:val="24"/>
          <w:lang w:eastAsia="en-GB"/>
        </w:rPr>
        <w:t xml:space="preserve">1.1) identified </w:t>
      </w:r>
      <w:r w:rsidR="00551F19" w:rsidRPr="00D42F52">
        <w:rPr>
          <w:rFonts w:asciiTheme="majorHAnsi" w:eastAsia="Times New Roman" w:hAnsiTheme="majorHAnsi" w:cstheme="majorHAnsi"/>
          <w:sz w:val="24"/>
          <w:szCs w:val="24"/>
          <w:lang w:eastAsia="en-GB"/>
        </w:rPr>
        <w:t xml:space="preserve">that only 60% of the class identified a correct equation when the ‘answer’ was presented to the left of the equals sign. </w:t>
      </w:r>
      <w:proofErr w:type="spellStart"/>
      <w:r w:rsidR="00551F19" w:rsidRPr="00D42F52">
        <w:rPr>
          <w:rFonts w:asciiTheme="majorHAnsi" w:eastAsia="Times New Roman" w:hAnsiTheme="majorHAnsi" w:cstheme="majorHAnsi"/>
          <w:sz w:val="24"/>
          <w:szCs w:val="24"/>
          <w:lang w:eastAsia="en-GB"/>
        </w:rPr>
        <w:t>Mulungye</w:t>
      </w:r>
      <w:proofErr w:type="spellEnd"/>
      <w:r w:rsidR="00551F19" w:rsidRPr="00D42F52">
        <w:rPr>
          <w:rFonts w:asciiTheme="majorHAnsi" w:eastAsia="Times New Roman" w:hAnsiTheme="majorHAnsi" w:cstheme="majorHAnsi"/>
          <w:sz w:val="24"/>
          <w:szCs w:val="24"/>
          <w:lang w:eastAsia="en-GB"/>
        </w:rPr>
        <w:t>; et al (2016) suggests that pupils regard the equals sign as a directional sign towards the solution rather than a symbol of equivalence. To explore this, pupils were introduced to a familiar expression (Figure 2.4)</w:t>
      </w:r>
      <w:r w:rsidR="00030E2D" w:rsidRPr="00D42F52">
        <w:rPr>
          <w:rFonts w:asciiTheme="majorHAnsi" w:eastAsia="Times New Roman" w:hAnsiTheme="majorHAnsi" w:cstheme="majorHAnsi"/>
          <w:sz w:val="24"/>
          <w:szCs w:val="24"/>
          <w:lang w:eastAsia="en-GB"/>
        </w:rPr>
        <w:t xml:space="preserve"> which </w:t>
      </w:r>
      <w:r w:rsidR="005116B2" w:rsidRPr="00D42F52">
        <w:rPr>
          <w:rFonts w:asciiTheme="majorHAnsi" w:eastAsia="Times New Roman" w:hAnsiTheme="majorHAnsi" w:cstheme="majorHAnsi"/>
          <w:sz w:val="24"/>
          <w:szCs w:val="24"/>
          <w:lang w:eastAsia="en-GB"/>
        </w:rPr>
        <w:t>t</w:t>
      </w:r>
      <w:r w:rsidR="00030E2D" w:rsidRPr="00D42F52">
        <w:rPr>
          <w:rFonts w:asciiTheme="majorHAnsi" w:eastAsia="Times New Roman" w:hAnsiTheme="majorHAnsi" w:cstheme="majorHAnsi"/>
          <w:sz w:val="24"/>
          <w:szCs w:val="24"/>
          <w:lang w:eastAsia="en-GB"/>
        </w:rPr>
        <w:t>hey could evaluate</w:t>
      </w:r>
      <w:r w:rsidR="00551F19" w:rsidRPr="00D42F52">
        <w:rPr>
          <w:rFonts w:asciiTheme="majorHAnsi" w:eastAsia="Times New Roman" w:hAnsiTheme="majorHAnsi" w:cstheme="majorHAnsi"/>
          <w:sz w:val="24"/>
          <w:szCs w:val="24"/>
          <w:lang w:eastAsia="en-GB"/>
        </w:rPr>
        <w:t xml:space="preserve">, </w:t>
      </w:r>
      <w:r w:rsidR="00030E2D" w:rsidRPr="00D42F52">
        <w:rPr>
          <w:rFonts w:asciiTheme="majorHAnsi" w:eastAsia="Times New Roman" w:hAnsiTheme="majorHAnsi" w:cstheme="majorHAnsi"/>
          <w:sz w:val="24"/>
          <w:szCs w:val="24"/>
          <w:lang w:eastAsia="en-GB"/>
        </w:rPr>
        <w:t>and further introduced to the concept of ‘scales’ to symbolise equivalence (Figure 2.5).</w:t>
      </w:r>
    </w:p>
    <w:p w14:paraId="4ECAE07F" w14:textId="58DB6BDB" w:rsidR="00030E2D" w:rsidRPr="00D42F52" w:rsidRDefault="00D42F52" w:rsidP="00D42F52">
      <w:pPr>
        <w:spacing w:after="0" w:line="480" w:lineRule="auto"/>
        <w:jc w:val="right"/>
        <w:rPr>
          <w:rStyle w:val="selectable"/>
          <w:rFonts w:asciiTheme="majorHAnsi" w:hAnsiTheme="majorHAnsi" w:cstheme="majorHAnsi"/>
          <w:i/>
          <w:sz w:val="24"/>
          <w:szCs w:val="24"/>
        </w:rPr>
      </w:pPr>
      <w:r w:rsidRPr="00D42F52">
        <w:rPr>
          <w:rFonts w:asciiTheme="majorHAnsi" w:eastAsia="Times New Roman" w:hAnsiTheme="majorHAnsi" w:cstheme="majorHAnsi"/>
          <w:noProof/>
          <w:sz w:val="24"/>
          <w:szCs w:val="24"/>
          <w:lang w:eastAsia="en-GB"/>
        </w:rPr>
        <w:lastRenderedPageBreak/>
        <w:drawing>
          <wp:anchor distT="0" distB="0" distL="114300" distR="114300" simplePos="0" relativeHeight="251696640" behindDoc="0" locked="0" layoutInCell="1" allowOverlap="1" wp14:anchorId="6BBC2B09" wp14:editId="0DA8DE6B">
            <wp:simplePos x="0" y="0"/>
            <wp:positionH relativeFrom="margin">
              <wp:posOffset>1044130</wp:posOffset>
            </wp:positionH>
            <wp:positionV relativeFrom="paragraph">
              <wp:posOffset>56993</wp:posOffset>
            </wp:positionV>
            <wp:extent cx="3571240" cy="1664970"/>
            <wp:effectExtent l="57150" t="57150" r="105410" b="106680"/>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D68661E.tmp"/>
                    <pic:cNvPicPr/>
                  </pic:nvPicPr>
                  <pic:blipFill>
                    <a:blip r:embed="rId23">
                      <a:extLst>
                        <a:ext uri="{28A0092B-C50C-407E-A947-70E740481C1C}">
                          <a14:useLocalDpi xmlns:a14="http://schemas.microsoft.com/office/drawing/2010/main" val="0"/>
                        </a:ext>
                      </a:extLst>
                    </a:blip>
                    <a:stretch>
                      <a:fillRect/>
                    </a:stretch>
                  </pic:blipFill>
                  <pic:spPr>
                    <a:xfrm>
                      <a:off x="0" y="0"/>
                      <a:ext cx="3571240" cy="1664970"/>
                    </a:xfrm>
                    <a:prstGeom prst="rect">
                      <a:avLst/>
                    </a:prstGeom>
                    <a:ln>
                      <a:solidFill>
                        <a:schemeClr val="tx1"/>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5116B2" w:rsidRPr="00D42F52">
        <w:rPr>
          <w:rFonts w:asciiTheme="majorHAnsi" w:hAnsiTheme="majorHAnsi" w:cstheme="majorHAnsi"/>
          <w:noProof/>
          <w:sz w:val="24"/>
          <w:szCs w:val="24"/>
        </w:rPr>
        <w:drawing>
          <wp:anchor distT="0" distB="0" distL="114300" distR="114300" simplePos="0" relativeHeight="251708928" behindDoc="0" locked="0" layoutInCell="1" allowOverlap="1" wp14:anchorId="67452CC2" wp14:editId="62C90CB8">
            <wp:simplePos x="0" y="0"/>
            <wp:positionH relativeFrom="margin">
              <wp:align>center</wp:align>
            </wp:positionH>
            <wp:positionV relativeFrom="paragraph">
              <wp:posOffset>2315416</wp:posOffset>
            </wp:positionV>
            <wp:extent cx="3601720" cy="1992630"/>
            <wp:effectExtent l="57150" t="57150" r="113030" b="121920"/>
            <wp:wrapTopAndBottom/>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D6879A2.tmp"/>
                    <pic:cNvPicPr/>
                  </pic:nvPicPr>
                  <pic:blipFill>
                    <a:blip r:embed="rId24">
                      <a:extLst>
                        <a:ext uri="{28A0092B-C50C-407E-A947-70E740481C1C}">
                          <a14:useLocalDpi xmlns:a14="http://schemas.microsoft.com/office/drawing/2010/main" val="0"/>
                        </a:ext>
                      </a:extLst>
                    </a:blip>
                    <a:stretch>
                      <a:fillRect/>
                    </a:stretch>
                  </pic:blipFill>
                  <pic:spPr>
                    <a:xfrm>
                      <a:off x="0" y="0"/>
                      <a:ext cx="3601720" cy="1992630"/>
                    </a:xfrm>
                    <a:prstGeom prst="rect">
                      <a:avLst/>
                    </a:prstGeom>
                    <a:ln>
                      <a:solidFill>
                        <a:schemeClr val="tx1"/>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030E2D" w:rsidRPr="00D42F52">
        <w:rPr>
          <w:rStyle w:val="selectable"/>
          <w:rFonts w:asciiTheme="majorHAnsi" w:hAnsiTheme="majorHAnsi" w:cstheme="majorHAnsi"/>
          <w:i/>
          <w:sz w:val="24"/>
          <w:szCs w:val="24"/>
        </w:rPr>
        <w:t>Figure 2.4 – Recap on equivalence starter expression.</w:t>
      </w:r>
    </w:p>
    <w:p w14:paraId="1172CEE0" w14:textId="295620E0" w:rsidR="00030E2D" w:rsidRPr="00D42F52" w:rsidRDefault="00030E2D" w:rsidP="00D42F52">
      <w:pPr>
        <w:spacing w:after="0" w:line="480" w:lineRule="auto"/>
        <w:jc w:val="right"/>
        <w:rPr>
          <w:rStyle w:val="selectable"/>
          <w:rFonts w:asciiTheme="majorHAnsi" w:hAnsiTheme="majorHAnsi" w:cstheme="majorHAnsi"/>
          <w:i/>
          <w:sz w:val="24"/>
          <w:szCs w:val="24"/>
        </w:rPr>
      </w:pPr>
      <w:r w:rsidRPr="00D42F52">
        <w:rPr>
          <w:rStyle w:val="selectable"/>
          <w:rFonts w:asciiTheme="majorHAnsi" w:hAnsiTheme="majorHAnsi" w:cstheme="majorHAnsi"/>
          <w:i/>
          <w:sz w:val="24"/>
          <w:szCs w:val="24"/>
        </w:rPr>
        <w:t>Figure 2.5 – Introduction of scales to illustrate equivalence</w:t>
      </w:r>
    </w:p>
    <w:p w14:paraId="77075017" w14:textId="77777777" w:rsidR="00D42F52" w:rsidRDefault="00D42F52" w:rsidP="00D42F52">
      <w:pPr>
        <w:spacing w:after="0" w:line="480" w:lineRule="auto"/>
        <w:jc w:val="both"/>
        <w:rPr>
          <w:rFonts w:asciiTheme="majorHAnsi" w:hAnsiTheme="majorHAnsi" w:cstheme="majorHAnsi"/>
          <w:sz w:val="24"/>
          <w:szCs w:val="24"/>
        </w:rPr>
      </w:pPr>
    </w:p>
    <w:p w14:paraId="03A86C94" w14:textId="11A99A9A" w:rsidR="00030E2D" w:rsidRDefault="00030E2D"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 xml:space="preserve">Identified by Booth; et al. (2016) and Steward (2016) as an effective tool to demonstrate equivalence, scales supported </w:t>
      </w:r>
      <w:r w:rsidR="004A64CC" w:rsidRPr="00D42F52">
        <w:rPr>
          <w:rFonts w:asciiTheme="majorHAnsi" w:hAnsiTheme="majorHAnsi" w:cstheme="majorHAnsi"/>
          <w:sz w:val="24"/>
          <w:szCs w:val="24"/>
        </w:rPr>
        <w:t>learners’</w:t>
      </w:r>
      <w:r w:rsidRPr="00D42F52">
        <w:rPr>
          <w:rFonts w:asciiTheme="majorHAnsi" w:hAnsiTheme="majorHAnsi" w:cstheme="majorHAnsi"/>
          <w:sz w:val="24"/>
          <w:szCs w:val="24"/>
        </w:rPr>
        <w:t xml:space="preserve"> discussion and to develop </w:t>
      </w:r>
      <w:r w:rsidR="004A64CC" w:rsidRPr="00D42F52">
        <w:rPr>
          <w:rFonts w:asciiTheme="majorHAnsi" w:hAnsiTheme="majorHAnsi" w:cstheme="majorHAnsi"/>
          <w:sz w:val="24"/>
          <w:szCs w:val="24"/>
        </w:rPr>
        <w:t>a sound grasp of the equals. Equations were also included where each ‘side of the scale’ were not equal and which in turn would case the scales to appear imbalanced.</w:t>
      </w:r>
      <w:r w:rsidR="00186178" w:rsidRPr="00D42F52">
        <w:rPr>
          <w:rFonts w:asciiTheme="majorHAnsi" w:hAnsiTheme="majorHAnsi" w:cstheme="majorHAnsi"/>
          <w:sz w:val="24"/>
          <w:szCs w:val="24"/>
        </w:rPr>
        <w:t xml:space="preserve"> </w:t>
      </w:r>
      <w:r w:rsidR="004A64CC" w:rsidRPr="00D42F52">
        <w:rPr>
          <w:rFonts w:asciiTheme="majorHAnsi" w:hAnsiTheme="majorHAnsi" w:cstheme="majorHAnsi"/>
          <w:sz w:val="24"/>
          <w:szCs w:val="24"/>
        </w:rPr>
        <w:t xml:space="preserve">Pupils were invited to suggest their own equations, discussion surrounded the operations implied by algebraic expressions, including multiplication, addition and subtraction which aided to help refute prior misconceptions and simply place onto the scale without solution. Pupils were observed creating their own, complex equations, including equations where peers were required to simplify expressions, which further provided opportunity for assessment for learning (Black and </w:t>
      </w:r>
      <w:proofErr w:type="spellStart"/>
      <w:r w:rsidR="004A64CC" w:rsidRPr="00D42F52">
        <w:rPr>
          <w:rFonts w:asciiTheme="majorHAnsi" w:hAnsiTheme="majorHAnsi" w:cstheme="majorHAnsi"/>
          <w:sz w:val="24"/>
          <w:szCs w:val="24"/>
        </w:rPr>
        <w:t>Wiliam</w:t>
      </w:r>
      <w:proofErr w:type="spellEnd"/>
      <w:r w:rsidR="004A64CC" w:rsidRPr="00D42F52">
        <w:rPr>
          <w:rFonts w:asciiTheme="majorHAnsi" w:hAnsiTheme="majorHAnsi" w:cstheme="majorHAnsi"/>
          <w:sz w:val="24"/>
          <w:szCs w:val="24"/>
        </w:rPr>
        <w:t xml:space="preserve">, 1998), where learners would support and advise peers to ‘organise their scales as neatly as possible’ by collecting like terms and simplifying. </w:t>
      </w:r>
      <w:r w:rsidR="00BB3953" w:rsidRPr="00D42F52">
        <w:rPr>
          <w:rFonts w:asciiTheme="majorHAnsi" w:hAnsiTheme="majorHAnsi" w:cstheme="majorHAnsi"/>
          <w:sz w:val="24"/>
          <w:szCs w:val="24"/>
        </w:rPr>
        <w:t xml:space="preserve">This process in turn also supported further understanding for pupils who still showed some confusion with operations, presenting a scenario where pupils </w:t>
      </w:r>
      <w:r w:rsidR="00BB3953" w:rsidRPr="00D42F52">
        <w:rPr>
          <w:rFonts w:asciiTheme="majorHAnsi" w:hAnsiTheme="majorHAnsi" w:cstheme="majorHAnsi"/>
          <w:sz w:val="24"/>
          <w:szCs w:val="24"/>
        </w:rPr>
        <w:lastRenderedPageBreak/>
        <w:t xml:space="preserve">considered they’d already been given the answer meant many could ‘spot’ that ‘x’ would equal 4 from the example shown in Figure 2.5. </w:t>
      </w:r>
      <w:r w:rsidR="005F3AD0" w:rsidRPr="00D42F52">
        <w:rPr>
          <w:rFonts w:asciiTheme="majorHAnsi" w:hAnsiTheme="majorHAnsi" w:cstheme="majorHAnsi"/>
          <w:sz w:val="24"/>
          <w:szCs w:val="24"/>
        </w:rPr>
        <w:t xml:space="preserve">Evaluating </w:t>
      </w:r>
      <w:proofErr w:type="gramStart"/>
      <w:r w:rsidR="005F3AD0" w:rsidRPr="00D42F52">
        <w:rPr>
          <w:rFonts w:asciiTheme="majorHAnsi" w:hAnsiTheme="majorHAnsi" w:cstheme="majorHAnsi"/>
          <w:sz w:val="24"/>
          <w:szCs w:val="24"/>
        </w:rPr>
        <w:t>learners</w:t>
      </w:r>
      <w:proofErr w:type="gramEnd"/>
      <w:r w:rsidR="005F3AD0" w:rsidRPr="00D42F52">
        <w:rPr>
          <w:rFonts w:asciiTheme="majorHAnsi" w:hAnsiTheme="majorHAnsi" w:cstheme="majorHAnsi"/>
          <w:sz w:val="24"/>
          <w:szCs w:val="24"/>
        </w:rPr>
        <w:t xml:space="preserve"> performance in relation to Question 5</w:t>
      </w:r>
      <w:r w:rsidR="00D57E77" w:rsidRPr="00D42F52">
        <w:rPr>
          <w:rFonts w:asciiTheme="majorHAnsi" w:hAnsiTheme="majorHAnsi" w:cstheme="majorHAnsi"/>
          <w:sz w:val="24"/>
          <w:szCs w:val="24"/>
        </w:rPr>
        <w:t xml:space="preserve"> (Figure1.1)</w:t>
      </w:r>
      <w:r w:rsidR="005F3AD0" w:rsidRPr="00D42F52">
        <w:rPr>
          <w:rFonts w:asciiTheme="majorHAnsi" w:hAnsiTheme="majorHAnsi" w:cstheme="majorHAnsi"/>
          <w:sz w:val="24"/>
          <w:szCs w:val="24"/>
        </w:rPr>
        <w:t xml:space="preserve">, there was a 33% uplift in correct responses, however 20% of learners still failed to identify all correct expressions.  </w:t>
      </w:r>
      <w:r w:rsidR="00BB3953" w:rsidRPr="00D42F52">
        <w:rPr>
          <w:rFonts w:asciiTheme="majorHAnsi" w:hAnsiTheme="majorHAnsi" w:cstheme="majorHAnsi"/>
          <w:sz w:val="24"/>
          <w:szCs w:val="24"/>
        </w:rPr>
        <w:t xml:space="preserve">Pupils were later presented with a curated ‘homework’ submission outlining some key misconceptions which were woven through discussion although these were discussed and addressed mostly be peer exposition and reasoning. The ‘Homework’ shown in Figure 2.6, allowed pupils the opportunity to correct Simon Silly Mistake’s work, taking the role of the teacher and writing, in their own words, why his work was incorrect and guidance to help him understand. Pupils were allowed ample time to discuss, considered where ‘Simon’ had gone wrong. Identified by Swan (2005) as an effective </w:t>
      </w:r>
      <w:r w:rsidR="005F3AD0" w:rsidRPr="00D42F52">
        <w:rPr>
          <w:rFonts w:asciiTheme="majorHAnsi" w:hAnsiTheme="majorHAnsi" w:cstheme="majorHAnsi"/>
          <w:sz w:val="24"/>
          <w:szCs w:val="24"/>
        </w:rPr>
        <w:t xml:space="preserve">assessment tool, correcting errors allowed pupils to feel empowered in their own knowledge, developing comprehensive reasoning skills (Black and </w:t>
      </w:r>
      <w:proofErr w:type="spellStart"/>
      <w:r w:rsidR="005F3AD0" w:rsidRPr="00D42F52">
        <w:rPr>
          <w:rFonts w:asciiTheme="majorHAnsi" w:hAnsiTheme="majorHAnsi" w:cstheme="majorHAnsi"/>
          <w:sz w:val="24"/>
          <w:szCs w:val="24"/>
        </w:rPr>
        <w:t>Wiliam</w:t>
      </w:r>
      <w:proofErr w:type="spellEnd"/>
      <w:r w:rsidR="005F3AD0" w:rsidRPr="00D42F52">
        <w:rPr>
          <w:rFonts w:asciiTheme="majorHAnsi" w:hAnsiTheme="majorHAnsi" w:cstheme="majorHAnsi"/>
          <w:sz w:val="24"/>
          <w:szCs w:val="24"/>
        </w:rPr>
        <w:t>, 1998).</w:t>
      </w:r>
    </w:p>
    <w:p w14:paraId="7F39AEA0" w14:textId="329CAEC8" w:rsidR="00D42F52" w:rsidRPr="00D42F52" w:rsidRDefault="00D42F52"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noProof/>
          <w:sz w:val="24"/>
          <w:szCs w:val="24"/>
        </w:rPr>
        <w:drawing>
          <wp:anchor distT="0" distB="0" distL="114300" distR="114300" simplePos="0" relativeHeight="251716096" behindDoc="0" locked="0" layoutInCell="1" allowOverlap="1" wp14:anchorId="4609EF81" wp14:editId="5CA8DD6E">
            <wp:simplePos x="0" y="0"/>
            <wp:positionH relativeFrom="margin">
              <wp:posOffset>1383030</wp:posOffset>
            </wp:positionH>
            <wp:positionV relativeFrom="paragraph">
              <wp:posOffset>291424</wp:posOffset>
            </wp:positionV>
            <wp:extent cx="3122762" cy="1723989"/>
            <wp:effectExtent l="57150" t="57150" r="116205" b="105410"/>
            <wp:wrapTopAndBottom/>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D68964F.tmp"/>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22762" cy="1723989"/>
                    </a:xfrm>
                    <a:prstGeom prst="rect">
                      <a:avLst/>
                    </a:prstGeom>
                    <a:ln>
                      <a:solidFill>
                        <a:schemeClr val="tx1"/>
                      </a:solid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5A27394D" w14:textId="53C8BDEA" w:rsidR="005F3AD0" w:rsidRDefault="005F3AD0" w:rsidP="00D42F52">
      <w:pPr>
        <w:spacing w:after="0" w:line="480" w:lineRule="auto"/>
        <w:jc w:val="right"/>
        <w:rPr>
          <w:rStyle w:val="selectable"/>
          <w:rFonts w:asciiTheme="majorHAnsi" w:hAnsiTheme="majorHAnsi" w:cstheme="majorHAnsi"/>
          <w:i/>
          <w:sz w:val="24"/>
          <w:szCs w:val="24"/>
        </w:rPr>
      </w:pPr>
      <w:r w:rsidRPr="00D42F52">
        <w:rPr>
          <w:rStyle w:val="selectable"/>
          <w:rFonts w:asciiTheme="majorHAnsi" w:hAnsiTheme="majorHAnsi" w:cstheme="majorHAnsi"/>
          <w:i/>
          <w:sz w:val="24"/>
          <w:szCs w:val="24"/>
        </w:rPr>
        <w:t>Figure 2.6 – Simon Silly Mistake Homework Correction Task</w:t>
      </w:r>
    </w:p>
    <w:p w14:paraId="572AAD79" w14:textId="77777777" w:rsidR="00D42F52" w:rsidRPr="00D42F52" w:rsidRDefault="00D42F52" w:rsidP="00D42F52">
      <w:pPr>
        <w:spacing w:after="0" w:line="480" w:lineRule="auto"/>
        <w:jc w:val="right"/>
        <w:rPr>
          <w:rStyle w:val="selectable"/>
          <w:rFonts w:asciiTheme="majorHAnsi" w:hAnsiTheme="majorHAnsi" w:cstheme="majorHAnsi"/>
          <w:i/>
          <w:sz w:val="24"/>
          <w:szCs w:val="24"/>
        </w:rPr>
      </w:pPr>
    </w:p>
    <w:p w14:paraId="43CA9A46" w14:textId="09A1AAFF" w:rsidR="00D57E77" w:rsidRPr="00D42F52" w:rsidRDefault="00D57E77" w:rsidP="00D42F52">
      <w:pPr>
        <w:spacing w:after="0" w:line="480" w:lineRule="auto"/>
        <w:jc w:val="both"/>
        <w:rPr>
          <w:rFonts w:asciiTheme="majorHAnsi" w:hAnsiTheme="majorHAnsi" w:cstheme="majorHAnsi"/>
          <w:sz w:val="24"/>
          <w:szCs w:val="24"/>
        </w:rPr>
      </w:pPr>
      <w:r w:rsidRPr="00D42F52">
        <w:rPr>
          <w:rFonts w:asciiTheme="majorHAnsi" w:hAnsiTheme="majorHAnsi" w:cstheme="majorHAnsi"/>
          <w:sz w:val="24"/>
          <w:szCs w:val="24"/>
        </w:rPr>
        <w:t xml:space="preserve">Considering the priorities outline following the pre-test, through the application and support of Assessment for Learning within the lessons prescribed by the results, pupils made considerable progress in relation to approaching algebra as a topic in itself. Discussed by Chew (2010) when introduced to the pre-test </w:t>
      </w:r>
      <w:r w:rsidR="00CE69F6" w:rsidRPr="00D42F52">
        <w:rPr>
          <w:rFonts w:asciiTheme="majorHAnsi" w:hAnsiTheme="majorHAnsi" w:cstheme="majorHAnsi"/>
          <w:sz w:val="24"/>
          <w:szCs w:val="24"/>
        </w:rPr>
        <w:t>the vast majority of pupils proclaimed they ‘couldn’t do’ algebra or ‘didn’t get it’ an outcome identified throughout the investigation was to move learners towards Dweck (2002)</w:t>
      </w:r>
      <w:r w:rsidR="00081C50" w:rsidRPr="00D42F52">
        <w:rPr>
          <w:rFonts w:asciiTheme="majorHAnsi" w:hAnsiTheme="majorHAnsi" w:cstheme="majorHAnsi"/>
          <w:sz w:val="24"/>
          <w:szCs w:val="24"/>
        </w:rPr>
        <w:t xml:space="preserve"> suggested mindset where pupils acknowledge they work hard </w:t>
      </w:r>
      <w:r w:rsidR="00081C50" w:rsidRPr="00D42F52">
        <w:rPr>
          <w:rFonts w:asciiTheme="majorHAnsi" w:hAnsiTheme="majorHAnsi" w:cstheme="majorHAnsi"/>
          <w:sz w:val="24"/>
          <w:szCs w:val="24"/>
        </w:rPr>
        <w:lastRenderedPageBreak/>
        <w:t xml:space="preserve">at mathematics but have the confidence and resilience to challenge themselves. The structure of lessons and interventions supported this objective, highlighting areas where pupils felt more confident (Li and Li, 2008) consolidating prior knowledge (Booth; et al. 2016) and further reflecting and applying </w:t>
      </w:r>
      <w:r w:rsidR="00B55243" w:rsidRPr="00D42F52">
        <w:rPr>
          <w:rFonts w:asciiTheme="majorHAnsi" w:hAnsiTheme="majorHAnsi" w:cstheme="majorHAnsi"/>
          <w:sz w:val="24"/>
          <w:szCs w:val="24"/>
        </w:rPr>
        <w:t>said knowledge to more complex problems. Although the average score rose from 50% to 70%, pupils were able to articulate and evaluate reasoning within the classroom when facing algebraic problems</w:t>
      </w:r>
      <w:r w:rsidR="006746B3" w:rsidRPr="00D42F52">
        <w:rPr>
          <w:rFonts w:asciiTheme="majorHAnsi" w:hAnsiTheme="majorHAnsi" w:cstheme="majorHAnsi"/>
          <w:sz w:val="24"/>
          <w:szCs w:val="24"/>
        </w:rPr>
        <w:t xml:space="preserve"> which was vastly improved</w:t>
      </w:r>
      <w:r w:rsidR="00B55243" w:rsidRPr="00D42F52">
        <w:rPr>
          <w:rFonts w:asciiTheme="majorHAnsi" w:hAnsiTheme="majorHAnsi" w:cstheme="majorHAnsi"/>
          <w:sz w:val="24"/>
          <w:szCs w:val="24"/>
        </w:rPr>
        <w:t>. The role of the teacher overall was to facilitate and ensure open questioning throughout while the use of familiar examples applied to a</w:t>
      </w:r>
      <w:r w:rsidR="006746B3" w:rsidRPr="00D42F52">
        <w:rPr>
          <w:rFonts w:asciiTheme="majorHAnsi" w:hAnsiTheme="majorHAnsi" w:cstheme="majorHAnsi"/>
          <w:sz w:val="24"/>
          <w:szCs w:val="24"/>
        </w:rPr>
        <w:t>n</w:t>
      </w:r>
      <w:r w:rsidR="00B55243" w:rsidRPr="00D42F52">
        <w:rPr>
          <w:rFonts w:asciiTheme="majorHAnsi" w:hAnsiTheme="majorHAnsi" w:cstheme="majorHAnsi"/>
          <w:sz w:val="24"/>
          <w:szCs w:val="24"/>
        </w:rPr>
        <w:t xml:space="preserve"> unfamiliar concept, such as solving equations or finding the value of ‘x’ not only allowed pupils to gain grater understanding in the field of algebra but allowed for appropriate scaffolding and structure of lessons to support higher order cognitive thinking. </w:t>
      </w:r>
    </w:p>
    <w:p w14:paraId="275F3A34" w14:textId="1E15EDC7" w:rsidR="005F3AD0" w:rsidRPr="00D42F52" w:rsidRDefault="005F3AD0" w:rsidP="00D42F52">
      <w:pPr>
        <w:spacing w:after="0" w:line="480" w:lineRule="auto"/>
        <w:jc w:val="both"/>
        <w:rPr>
          <w:rFonts w:asciiTheme="majorHAnsi" w:hAnsiTheme="majorHAnsi" w:cstheme="majorHAnsi"/>
          <w:sz w:val="24"/>
          <w:szCs w:val="24"/>
        </w:rPr>
      </w:pPr>
    </w:p>
    <w:p w14:paraId="6E155138" w14:textId="2B582DC1" w:rsidR="00030E2D" w:rsidRPr="00D42F52" w:rsidRDefault="00030E2D" w:rsidP="00D42F52">
      <w:pPr>
        <w:spacing w:after="0" w:line="480" w:lineRule="auto"/>
        <w:jc w:val="both"/>
        <w:rPr>
          <w:rFonts w:asciiTheme="majorHAnsi" w:hAnsiTheme="majorHAnsi" w:cstheme="majorHAnsi"/>
          <w:sz w:val="24"/>
          <w:szCs w:val="24"/>
        </w:rPr>
      </w:pPr>
    </w:p>
    <w:p w14:paraId="4093349C" w14:textId="186DE6CF" w:rsidR="00D92C76" w:rsidRPr="00D42F52" w:rsidRDefault="00D92C76" w:rsidP="00D42F52">
      <w:pPr>
        <w:spacing w:after="0" w:line="480" w:lineRule="auto"/>
        <w:jc w:val="both"/>
        <w:rPr>
          <w:rFonts w:asciiTheme="majorHAnsi" w:eastAsia="Times New Roman" w:hAnsiTheme="majorHAnsi" w:cstheme="majorHAnsi"/>
          <w:sz w:val="24"/>
          <w:szCs w:val="24"/>
          <w:lang w:eastAsia="en-GB"/>
        </w:rPr>
      </w:pPr>
    </w:p>
    <w:p w14:paraId="13624DDD" w14:textId="77777777" w:rsidR="00D42F52" w:rsidRDefault="00D42F52">
      <w:pPr>
        <w:spacing w:after="160" w:line="259" w:lineRule="auto"/>
        <w:rPr>
          <w:rFonts w:asciiTheme="majorHAnsi" w:eastAsia="Times New Roman" w:hAnsiTheme="majorHAnsi" w:cstheme="majorHAnsi"/>
          <w:b/>
          <w:sz w:val="24"/>
          <w:szCs w:val="24"/>
          <w:lang w:eastAsia="en-GB"/>
        </w:rPr>
      </w:pPr>
      <w:r>
        <w:rPr>
          <w:rFonts w:asciiTheme="majorHAnsi" w:eastAsia="Times New Roman" w:hAnsiTheme="majorHAnsi" w:cstheme="majorHAnsi"/>
          <w:b/>
          <w:sz w:val="24"/>
          <w:szCs w:val="24"/>
          <w:lang w:eastAsia="en-GB"/>
        </w:rPr>
        <w:br w:type="page"/>
      </w:r>
    </w:p>
    <w:p w14:paraId="063564C0" w14:textId="1B4DD147" w:rsidR="00F85182" w:rsidRPr="00D42F52" w:rsidRDefault="005116B2" w:rsidP="00D42F52">
      <w:pPr>
        <w:spacing w:after="0" w:line="480" w:lineRule="auto"/>
        <w:jc w:val="both"/>
        <w:rPr>
          <w:rFonts w:asciiTheme="majorHAnsi" w:eastAsia="Times New Roman" w:hAnsiTheme="majorHAnsi" w:cstheme="majorHAnsi"/>
          <w:b/>
          <w:sz w:val="24"/>
          <w:szCs w:val="24"/>
          <w:lang w:eastAsia="en-GB"/>
        </w:rPr>
      </w:pPr>
      <w:r w:rsidRPr="00D42F52">
        <w:rPr>
          <w:rFonts w:asciiTheme="majorHAnsi" w:eastAsia="Times New Roman" w:hAnsiTheme="majorHAnsi" w:cstheme="majorHAnsi"/>
          <w:b/>
          <w:sz w:val="24"/>
          <w:szCs w:val="24"/>
          <w:lang w:eastAsia="en-GB"/>
        </w:rPr>
        <w:lastRenderedPageBreak/>
        <w:t>CONCLUSIONS</w:t>
      </w:r>
    </w:p>
    <w:p w14:paraId="3DEFA4DE" w14:textId="6DF6C453" w:rsidR="00810297" w:rsidRPr="00D42F52" w:rsidRDefault="00810297" w:rsidP="00D42F52">
      <w:pPr>
        <w:spacing w:after="0" w:line="480" w:lineRule="auto"/>
        <w:jc w:val="both"/>
        <w:rPr>
          <w:rFonts w:asciiTheme="majorHAnsi" w:eastAsia="Times New Roman" w:hAnsiTheme="majorHAnsi" w:cstheme="majorHAnsi"/>
          <w:i/>
          <w:sz w:val="24"/>
          <w:szCs w:val="24"/>
          <w:lang w:eastAsia="en-GB"/>
        </w:rPr>
      </w:pPr>
    </w:p>
    <w:p w14:paraId="2ED684BC" w14:textId="49DD825E" w:rsidR="0022368C" w:rsidRPr="00D42F52" w:rsidRDefault="0022368C"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t xml:space="preserve">Throughout the investigation, learners’ progression and understanding were continually evaluated. Misconceptions identified within the pre-test were consistent with those identified in literature. Although, it is suggested that the misconceptions highlighted are those sought by considered selection of questions (Coe; et al, 2017) and it is likely that additional misconceptions can be identified should further questioning be carried out. Supporting findings detailed by Booth, et al; </w:t>
      </w:r>
      <w:r w:rsidR="009B3F9B" w:rsidRPr="00D42F52">
        <w:rPr>
          <w:rFonts w:asciiTheme="majorHAnsi" w:eastAsia="Times New Roman" w:hAnsiTheme="majorHAnsi" w:cstheme="majorHAnsi"/>
          <w:sz w:val="24"/>
          <w:szCs w:val="24"/>
          <w:lang w:eastAsia="en-GB"/>
        </w:rPr>
        <w:t xml:space="preserve">(2016), pre-test identified that many pupils held multiple misconceptions and were challenged when considering application of computational mathematical concepts and understanding to a challenging topic. </w:t>
      </w:r>
      <w:r w:rsidR="006363A4" w:rsidRPr="00D42F52">
        <w:rPr>
          <w:rFonts w:asciiTheme="majorHAnsi" w:eastAsia="Times New Roman" w:hAnsiTheme="majorHAnsi" w:cstheme="majorHAnsi"/>
          <w:sz w:val="24"/>
          <w:szCs w:val="24"/>
          <w:lang w:eastAsia="en-GB"/>
        </w:rPr>
        <w:t xml:space="preserve">This dictated the structure of lessons within the scheme of work, identifying areas of strength amongst pupils, and developing considered questioning and examples to drive understanding forward. As discussed by Booth and Koedinger (2008), it was imperative to refine </w:t>
      </w:r>
      <w:r w:rsidR="00013EAF" w:rsidRPr="00D42F52">
        <w:rPr>
          <w:rFonts w:asciiTheme="majorHAnsi" w:eastAsia="Times New Roman" w:hAnsiTheme="majorHAnsi" w:cstheme="majorHAnsi"/>
          <w:sz w:val="24"/>
          <w:szCs w:val="24"/>
          <w:lang w:eastAsia="en-GB"/>
        </w:rPr>
        <w:t>learners’</w:t>
      </w:r>
      <w:r w:rsidR="006363A4" w:rsidRPr="00D42F52">
        <w:rPr>
          <w:rFonts w:asciiTheme="majorHAnsi" w:eastAsia="Times New Roman" w:hAnsiTheme="majorHAnsi" w:cstheme="majorHAnsi"/>
          <w:sz w:val="24"/>
          <w:szCs w:val="24"/>
          <w:lang w:eastAsia="en-GB"/>
        </w:rPr>
        <w:t xml:space="preserve"> computational skills before applying their understanding to higher order tasks. Pupils knowledge of operations, namely BIDMAS </w:t>
      </w:r>
      <w:r w:rsidR="00A9469A" w:rsidRPr="00D42F52">
        <w:rPr>
          <w:rFonts w:asciiTheme="majorHAnsi" w:eastAsia="Times New Roman" w:hAnsiTheme="majorHAnsi" w:cstheme="majorHAnsi"/>
          <w:sz w:val="24"/>
          <w:szCs w:val="24"/>
          <w:lang w:eastAsia="en-GB"/>
        </w:rPr>
        <w:t>upheld</w:t>
      </w:r>
      <w:r w:rsidR="006363A4" w:rsidRPr="00D42F52">
        <w:rPr>
          <w:rFonts w:asciiTheme="majorHAnsi" w:eastAsia="Times New Roman" w:hAnsiTheme="majorHAnsi" w:cstheme="majorHAnsi"/>
          <w:sz w:val="24"/>
          <w:szCs w:val="24"/>
          <w:lang w:eastAsia="en-GB"/>
        </w:rPr>
        <w:t xml:space="preserve"> a misconception detailed by </w:t>
      </w:r>
      <w:r w:rsidR="006363A4" w:rsidRPr="00D42F52">
        <w:rPr>
          <w:rFonts w:asciiTheme="majorHAnsi" w:hAnsiTheme="majorHAnsi" w:cstheme="majorHAnsi"/>
          <w:sz w:val="24"/>
          <w:szCs w:val="24"/>
        </w:rPr>
        <w:t>McGowen (2017), further supported by Croft; et al. (2007)</w:t>
      </w:r>
      <w:r w:rsidR="00A9469A" w:rsidRPr="00D42F52">
        <w:rPr>
          <w:rFonts w:asciiTheme="majorHAnsi" w:hAnsiTheme="majorHAnsi" w:cstheme="majorHAnsi"/>
          <w:sz w:val="24"/>
          <w:szCs w:val="24"/>
        </w:rPr>
        <w:t>. McGowen (2017) discusses</w:t>
      </w:r>
      <w:r w:rsidR="006363A4" w:rsidRPr="00D42F52">
        <w:rPr>
          <w:rFonts w:asciiTheme="majorHAnsi" w:hAnsiTheme="majorHAnsi" w:cstheme="majorHAnsi"/>
          <w:sz w:val="24"/>
          <w:szCs w:val="24"/>
        </w:rPr>
        <w:t xml:space="preserve"> where pupils prior knowledge supported their understanding of algebraic expressions</w:t>
      </w:r>
      <w:r w:rsidR="00A9469A" w:rsidRPr="00D42F52">
        <w:rPr>
          <w:rFonts w:asciiTheme="majorHAnsi" w:hAnsiTheme="majorHAnsi" w:cstheme="majorHAnsi"/>
          <w:sz w:val="24"/>
          <w:szCs w:val="24"/>
        </w:rPr>
        <w:t xml:space="preserve"> however, it could also be considered as the root of a misconception. W</w:t>
      </w:r>
      <w:r w:rsidR="006363A4" w:rsidRPr="00D42F52">
        <w:rPr>
          <w:rFonts w:asciiTheme="majorHAnsi" w:hAnsiTheme="majorHAnsi" w:cstheme="majorHAnsi"/>
          <w:sz w:val="24"/>
          <w:szCs w:val="24"/>
        </w:rPr>
        <w:t>hen considering expansion of brackets</w:t>
      </w:r>
      <w:r w:rsidR="0042541A" w:rsidRPr="00D42F52">
        <w:rPr>
          <w:rFonts w:asciiTheme="majorHAnsi" w:hAnsiTheme="majorHAnsi" w:cstheme="majorHAnsi"/>
          <w:sz w:val="24"/>
          <w:szCs w:val="24"/>
        </w:rPr>
        <w:t>,</w:t>
      </w:r>
      <w:r w:rsidR="006363A4" w:rsidRPr="00D42F52">
        <w:rPr>
          <w:rFonts w:asciiTheme="majorHAnsi" w:hAnsiTheme="majorHAnsi" w:cstheme="majorHAnsi"/>
          <w:sz w:val="24"/>
          <w:szCs w:val="24"/>
        </w:rPr>
        <w:t xml:space="preserve"> the desire to ‘address brackets’ as a first priority </w:t>
      </w:r>
      <w:r w:rsidR="0042541A" w:rsidRPr="00D42F52">
        <w:rPr>
          <w:rFonts w:asciiTheme="majorHAnsi" w:hAnsiTheme="majorHAnsi" w:cstheme="majorHAnsi"/>
          <w:sz w:val="24"/>
          <w:szCs w:val="24"/>
        </w:rPr>
        <w:t>led</w:t>
      </w:r>
      <w:r w:rsidR="006363A4" w:rsidRPr="00D42F52">
        <w:rPr>
          <w:rFonts w:asciiTheme="majorHAnsi" w:hAnsiTheme="majorHAnsi" w:cstheme="majorHAnsi"/>
          <w:sz w:val="24"/>
          <w:szCs w:val="24"/>
        </w:rPr>
        <w:t xml:space="preserve"> to pupils disregarding their procedural understanding of operations within </w:t>
      </w:r>
      <w:proofErr w:type="gramStart"/>
      <w:r w:rsidR="00A9469A" w:rsidRPr="00D42F52">
        <w:rPr>
          <w:rFonts w:asciiTheme="majorHAnsi" w:hAnsiTheme="majorHAnsi" w:cstheme="majorHAnsi"/>
          <w:sz w:val="24"/>
          <w:szCs w:val="24"/>
        </w:rPr>
        <w:t>algebra</w:t>
      </w:r>
      <w:r w:rsidR="0042541A" w:rsidRPr="00D42F52">
        <w:rPr>
          <w:rFonts w:asciiTheme="majorHAnsi" w:hAnsiTheme="majorHAnsi" w:cstheme="majorHAnsi"/>
          <w:sz w:val="24"/>
          <w:szCs w:val="24"/>
        </w:rPr>
        <w:t>,</w:t>
      </w:r>
      <w:r w:rsidR="006363A4" w:rsidRPr="00D42F52">
        <w:rPr>
          <w:rFonts w:asciiTheme="majorHAnsi" w:hAnsiTheme="majorHAnsi" w:cstheme="majorHAnsi"/>
          <w:sz w:val="24"/>
          <w:szCs w:val="24"/>
        </w:rPr>
        <w:t xml:space="preserve"> and</w:t>
      </w:r>
      <w:proofErr w:type="gramEnd"/>
      <w:r w:rsidR="006363A4" w:rsidRPr="00D42F52">
        <w:rPr>
          <w:rFonts w:asciiTheme="majorHAnsi" w:hAnsiTheme="majorHAnsi" w:cstheme="majorHAnsi"/>
          <w:sz w:val="24"/>
          <w:szCs w:val="24"/>
        </w:rPr>
        <w:t xml:space="preserve"> seek to combine elements within the bracket</w:t>
      </w:r>
      <w:r w:rsidR="00A9469A" w:rsidRPr="00D42F52">
        <w:rPr>
          <w:rFonts w:asciiTheme="majorHAnsi" w:hAnsiTheme="majorHAnsi" w:cstheme="majorHAnsi"/>
          <w:sz w:val="24"/>
          <w:szCs w:val="24"/>
        </w:rPr>
        <w:t xml:space="preserve">. The use of discussion, learner led reasoning and mini white board tasks allowed class wide assessment of understanding which identified the specific misconception within the </w:t>
      </w:r>
      <w:r w:rsidR="00013EAF" w:rsidRPr="00D42F52">
        <w:rPr>
          <w:rFonts w:asciiTheme="majorHAnsi" w:hAnsiTheme="majorHAnsi" w:cstheme="majorHAnsi"/>
          <w:sz w:val="24"/>
          <w:szCs w:val="24"/>
        </w:rPr>
        <w:t>context of the classroom. Allowing ample thinking time (Swan, 2001, Piaget</w:t>
      </w:r>
      <w:r w:rsidR="00A9469A" w:rsidRPr="00D42F52">
        <w:rPr>
          <w:rFonts w:asciiTheme="majorHAnsi" w:hAnsiTheme="majorHAnsi" w:cstheme="majorHAnsi"/>
          <w:sz w:val="24"/>
          <w:szCs w:val="24"/>
        </w:rPr>
        <w:t xml:space="preserve"> </w:t>
      </w:r>
      <w:r w:rsidR="00013EAF" w:rsidRPr="00D42F52">
        <w:rPr>
          <w:rFonts w:asciiTheme="majorHAnsi" w:hAnsiTheme="majorHAnsi" w:cstheme="majorHAnsi"/>
          <w:sz w:val="24"/>
          <w:szCs w:val="24"/>
        </w:rPr>
        <w:t xml:space="preserve">1970) saw pupils assessing their own responses more carefully, </w:t>
      </w:r>
      <w:r w:rsidR="00196432" w:rsidRPr="00D42F52">
        <w:rPr>
          <w:rFonts w:asciiTheme="majorHAnsi" w:hAnsiTheme="majorHAnsi" w:cstheme="majorHAnsi"/>
          <w:sz w:val="24"/>
          <w:szCs w:val="24"/>
        </w:rPr>
        <w:t>this</w:t>
      </w:r>
      <w:r w:rsidR="00013EAF" w:rsidRPr="00D42F52">
        <w:rPr>
          <w:rFonts w:asciiTheme="majorHAnsi" w:hAnsiTheme="majorHAnsi" w:cstheme="majorHAnsi"/>
          <w:sz w:val="24"/>
          <w:szCs w:val="24"/>
        </w:rPr>
        <w:t xml:space="preserve">, supported by the inclusion of Think-Pair-Share and further Assessment for Learning techniques (Black and </w:t>
      </w:r>
      <w:proofErr w:type="spellStart"/>
      <w:r w:rsidR="00013EAF" w:rsidRPr="00D42F52">
        <w:rPr>
          <w:rFonts w:asciiTheme="majorHAnsi" w:hAnsiTheme="majorHAnsi" w:cstheme="majorHAnsi"/>
          <w:sz w:val="24"/>
          <w:szCs w:val="24"/>
        </w:rPr>
        <w:t>Wiliam</w:t>
      </w:r>
      <w:proofErr w:type="spellEnd"/>
      <w:r w:rsidR="00013EAF" w:rsidRPr="00D42F52">
        <w:rPr>
          <w:rFonts w:asciiTheme="majorHAnsi" w:hAnsiTheme="majorHAnsi" w:cstheme="majorHAnsi"/>
          <w:sz w:val="24"/>
          <w:szCs w:val="24"/>
        </w:rPr>
        <w:t>, 1998)</w:t>
      </w:r>
      <w:r w:rsidR="00196432" w:rsidRPr="00D42F52">
        <w:rPr>
          <w:rFonts w:asciiTheme="majorHAnsi" w:hAnsiTheme="majorHAnsi" w:cstheme="majorHAnsi"/>
          <w:sz w:val="24"/>
          <w:szCs w:val="24"/>
        </w:rPr>
        <w:t xml:space="preserve">. </w:t>
      </w:r>
    </w:p>
    <w:p w14:paraId="69E0BE70" w14:textId="3C21A178" w:rsidR="0022368C" w:rsidRPr="00D42F52" w:rsidRDefault="00196432"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lastRenderedPageBreak/>
        <w:t xml:space="preserve">Whilst </w:t>
      </w:r>
      <w:r w:rsidR="001B3B32" w:rsidRPr="00D42F52">
        <w:rPr>
          <w:rFonts w:asciiTheme="majorHAnsi" w:eastAsia="Times New Roman" w:hAnsiTheme="majorHAnsi" w:cstheme="majorHAnsi"/>
          <w:sz w:val="24"/>
          <w:szCs w:val="24"/>
          <w:lang w:eastAsia="en-GB"/>
        </w:rPr>
        <w:t>the majority of</w:t>
      </w:r>
      <w:r w:rsidRPr="00D42F52">
        <w:rPr>
          <w:rFonts w:asciiTheme="majorHAnsi" w:eastAsia="Times New Roman" w:hAnsiTheme="majorHAnsi" w:cstheme="majorHAnsi"/>
          <w:sz w:val="24"/>
          <w:szCs w:val="24"/>
          <w:lang w:eastAsia="en-GB"/>
        </w:rPr>
        <w:t xml:space="preserve"> </w:t>
      </w:r>
      <w:r w:rsidR="001B3B32" w:rsidRPr="00D42F52">
        <w:rPr>
          <w:rFonts w:asciiTheme="majorHAnsi" w:eastAsia="Times New Roman" w:hAnsiTheme="majorHAnsi" w:cstheme="majorHAnsi"/>
          <w:sz w:val="24"/>
          <w:szCs w:val="24"/>
          <w:lang w:eastAsia="en-GB"/>
        </w:rPr>
        <w:t>results</w:t>
      </w:r>
      <w:r w:rsidRPr="00D42F52">
        <w:rPr>
          <w:rFonts w:asciiTheme="majorHAnsi" w:eastAsia="Times New Roman" w:hAnsiTheme="majorHAnsi" w:cstheme="majorHAnsi"/>
          <w:sz w:val="24"/>
          <w:szCs w:val="24"/>
          <w:lang w:eastAsia="en-GB"/>
        </w:rPr>
        <w:t xml:space="preserve"> in the post-test saw an uplift, consideration must be given to the inclusion of fractions throughout exposition and classroom examples. </w:t>
      </w:r>
      <w:r w:rsidR="008E4BB6" w:rsidRPr="00D42F52">
        <w:rPr>
          <w:rFonts w:asciiTheme="majorHAnsi" w:eastAsia="Times New Roman" w:hAnsiTheme="majorHAnsi" w:cstheme="majorHAnsi"/>
          <w:sz w:val="24"/>
          <w:szCs w:val="24"/>
          <w:lang w:eastAsia="en-GB"/>
        </w:rPr>
        <w:t>Although</w:t>
      </w:r>
      <w:r w:rsidRPr="00D42F52">
        <w:rPr>
          <w:rFonts w:asciiTheme="majorHAnsi" w:eastAsia="Times New Roman" w:hAnsiTheme="majorHAnsi" w:cstheme="majorHAnsi"/>
          <w:sz w:val="24"/>
          <w:szCs w:val="24"/>
          <w:lang w:eastAsia="en-GB"/>
        </w:rPr>
        <w:t xml:space="preserve"> the diagnostic results from the pre-test identified that learners exhibited misconceptions in the operations and therefore substitution of values in algebraic expressions</w:t>
      </w:r>
      <w:r w:rsidR="001B3B32" w:rsidRPr="00D42F52">
        <w:rPr>
          <w:rFonts w:asciiTheme="majorHAnsi" w:eastAsia="Times New Roman" w:hAnsiTheme="majorHAnsi" w:cstheme="majorHAnsi"/>
          <w:sz w:val="24"/>
          <w:szCs w:val="24"/>
          <w:lang w:eastAsia="en-GB"/>
        </w:rPr>
        <w:t>.</w:t>
      </w:r>
      <w:r w:rsidRPr="00D42F52">
        <w:rPr>
          <w:rFonts w:asciiTheme="majorHAnsi" w:eastAsia="Times New Roman" w:hAnsiTheme="majorHAnsi" w:cstheme="majorHAnsi"/>
          <w:sz w:val="24"/>
          <w:szCs w:val="24"/>
          <w:lang w:eastAsia="en-GB"/>
        </w:rPr>
        <w:t xml:space="preserve"> </w:t>
      </w:r>
      <w:r w:rsidR="008E4BB6" w:rsidRPr="00D42F52">
        <w:rPr>
          <w:rFonts w:asciiTheme="majorHAnsi" w:eastAsia="Times New Roman" w:hAnsiTheme="majorHAnsi" w:cstheme="majorHAnsi"/>
          <w:sz w:val="24"/>
          <w:szCs w:val="24"/>
          <w:lang w:eastAsia="en-GB"/>
        </w:rPr>
        <w:t>Thorough</w:t>
      </w:r>
      <w:r w:rsidRPr="00D42F52">
        <w:rPr>
          <w:rFonts w:asciiTheme="majorHAnsi" w:eastAsia="Times New Roman" w:hAnsiTheme="majorHAnsi" w:cstheme="majorHAnsi"/>
          <w:sz w:val="24"/>
          <w:szCs w:val="24"/>
          <w:lang w:eastAsia="en-GB"/>
        </w:rPr>
        <w:t xml:space="preserve"> reflection </w:t>
      </w:r>
      <w:r w:rsidR="001B3B32" w:rsidRPr="00D42F52">
        <w:rPr>
          <w:rFonts w:asciiTheme="majorHAnsi" w:eastAsia="Times New Roman" w:hAnsiTheme="majorHAnsi" w:cstheme="majorHAnsi"/>
          <w:sz w:val="24"/>
          <w:szCs w:val="24"/>
          <w:lang w:eastAsia="en-GB"/>
        </w:rPr>
        <w:t xml:space="preserve">observed via the post-test remains clear that there is a computational misconception held amongst learners in the sample group, namely surrounding division displayed as a fraction, top heavy fractions and fraction or decimal solutions. </w:t>
      </w:r>
      <w:proofErr w:type="gramStart"/>
      <w:r w:rsidR="001B3B32" w:rsidRPr="00D42F52">
        <w:rPr>
          <w:rFonts w:asciiTheme="majorHAnsi" w:eastAsia="Times New Roman" w:hAnsiTheme="majorHAnsi" w:cstheme="majorHAnsi"/>
          <w:sz w:val="24"/>
          <w:szCs w:val="24"/>
          <w:lang w:eastAsia="en-GB"/>
        </w:rPr>
        <w:t>Similarly</w:t>
      </w:r>
      <w:proofErr w:type="gramEnd"/>
      <w:r w:rsidR="001B3B32" w:rsidRPr="00D42F52">
        <w:rPr>
          <w:rFonts w:asciiTheme="majorHAnsi" w:eastAsia="Times New Roman" w:hAnsiTheme="majorHAnsi" w:cstheme="majorHAnsi"/>
          <w:sz w:val="24"/>
          <w:szCs w:val="24"/>
          <w:lang w:eastAsia="en-GB"/>
        </w:rPr>
        <w:t xml:space="preserve"> to that discussed by Booth; et al., (2016) and </w:t>
      </w:r>
      <w:r w:rsidR="00B90031" w:rsidRPr="00D42F52">
        <w:rPr>
          <w:rFonts w:asciiTheme="majorHAnsi" w:eastAsia="Times New Roman" w:hAnsiTheme="majorHAnsi" w:cstheme="majorHAnsi"/>
          <w:sz w:val="24"/>
          <w:szCs w:val="24"/>
          <w:lang w:eastAsia="en-GB"/>
        </w:rPr>
        <w:t xml:space="preserve">observed by </w:t>
      </w:r>
      <w:proofErr w:type="spellStart"/>
      <w:r w:rsidR="00B90031" w:rsidRPr="00D42F52">
        <w:rPr>
          <w:rStyle w:val="selectable"/>
          <w:rFonts w:asciiTheme="majorHAnsi" w:hAnsiTheme="majorHAnsi" w:cstheme="majorHAnsi"/>
          <w:sz w:val="24"/>
          <w:szCs w:val="24"/>
        </w:rPr>
        <w:t>Ojose</w:t>
      </w:r>
      <w:proofErr w:type="spellEnd"/>
      <w:r w:rsidR="00B90031" w:rsidRPr="00D42F52">
        <w:rPr>
          <w:rStyle w:val="selectable"/>
          <w:rFonts w:asciiTheme="majorHAnsi" w:hAnsiTheme="majorHAnsi" w:cstheme="majorHAnsi"/>
          <w:sz w:val="24"/>
          <w:szCs w:val="24"/>
        </w:rPr>
        <w:t xml:space="preserve">, (2015), fractions and decimals present as a consistent misconception throughout mathematics and significantly so within higher order conceptual topics such as algebra, this could be considered as a future sub-topic for focus as a pre-requisite misconception investigation prior to the teaching and learning of Algebra. </w:t>
      </w:r>
    </w:p>
    <w:p w14:paraId="136F8F43" w14:textId="5E9A3D0B" w:rsidR="001B3B32" w:rsidRPr="00D42F52" w:rsidRDefault="001B3B32"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t xml:space="preserve">Although some misconceptions still remain within the post test, it is vital to continue the use of effective assessment for learning within every lesson to assess learners current understanding, as well as utilising opportunities to attribute </w:t>
      </w:r>
      <w:r w:rsidR="00B90031" w:rsidRPr="00D42F52">
        <w:rPr>
          <w:rFonts w:asciiTheme="majorHAnsi" w:eastAsia="Times New Roman" w:hAnsiTheme="majorHAnsi" w:cstheme="majorHAnsi"/>
          <w:sz w:val="24"/>
          <w:szCs w:val="24"/>
          <w:lang w:eastAsia="en-GB"/>
        </w:rPr>
        <w:t xml:space="preserve">correct understanding to topics which appear more challenging. </w:t>
      </w:r>
      <w:r w:rsidR="008E4BB6" w:rsidRPr="00D42F52">
        <w:rPr>
          <w:rFonts w:asciiTheme="majorHAnsi" w:eastAsia="Times New Roman" w:hAnsiTheme="majorHAnsi" w:cstheme="majorHAnsi"/>
          <w:sz w:val="24"/>
          <w:szCs w:val="24"/>
          <w:lang w:eastAsia="en-GB"/>
        </w:rPr>
        <w:t>The</w:t>
      </w:r>
      <w:r w:rsidR="00B90031" w:rsidRPr="00D42F52">
        <w:rPr>
          <w:rFonts w:asciiTheme="majorHAnsi" w:eastAsia="Times New Roman" w:hAnsiTheme="majorHAnsi" w:cstheme="majorHAnsi"/>
          <w:sz w:val="24"/>
          <w:szCs w:val="24"/>
          <w:lang w:eastAsia="en-GB"/>
        </w:rPr>
        <w:t xml:space="preserve"> use of this method throughout this research alongside differentiated questionings and tasks designed to steer pupils into the Zone of Proximal Development allowed the assessment of pupils’ attainment outside of the post test to be considered and benchmarked as an approach to learning and understanding (Vygotsky, 1987; Piaget; 1970; Black and </w:t>
      </w:r>
      <w:proofErr w:type="spellStart"/>
      <w:r w:rsidR="00B90031" w:rsidRPr="00D42F52">
        <w:rPr>
          <w:rFonts w:asciiTheme="majorHAnsi" w:eastAsia="Times New Roman" w:hAnsiTheme="majorHAnsi" w:cstheme="majorHAnsi"/>
          <w:sz w:val="24"/>
          <w:szCs w:val="24"/>
          <w:lang w:eastAsia="en-GB"/>
        </w:rPr>
        <w:t>Wiliam</w:t>
      </w:r>
      <w:proofErr w:type="spellEnd"/>
      <w:r w:rsidR="00B90031" w:rsidRPr="00D42F52">
        <w:rPr>
          <w:rFonts w:asciiTheme="majorHAnsi" w:eastAsia="Times New Roman" w:hAnsiTheme="majorHAnsi" w:cstheme="majorHAnsi"/>
          <w:sz w:val="24"/>
          <w:szCs w:val="24"/>
          <w:lang w:eastAsia="en-GB"/>
        </w:rPr>
        <w:t xml:space="preserve">, 1998).  It must also be considered that one pupil presents a decline in results in the post-test, it should be noted that this pupil refused to complete all bar two of the questions whilst their participation and engagement with the lesson content and classroom activities was of a high standard and therefore it could be considered that this is an inadequate representation of their post-test level of understanding. </w:t>
      </w:r>
    </w:p>
    <w:p w14:paraId="12D45DD5" w14:textId="4CE97FC4" w:rsidR="00B90031" w:rsidRPr="00D42F52" w:rsidRDefault="00B90031" w:rsidP="00D42F52">
      <w:pPr>
        <w:spacing w:after="0" w:line="480" w:lineRule="auto"/>
        <w:jc w:val="both"/>
        <w:rPr>
          <w:rFonts w:asciiTheme="majorHAnsi" w:eastAsia="Times New Roman" w:hAnsiTheme="majorHAnsi" w:cstheme="majorHAnsi"/>
          <w:sz w:val="24"/>
          <w:szCs w:val="24"/>
          <w:lang w:eastAsia="en-GB"/>
        </w:rPr>
      </w:pPr>
      <w:r w:rsidRPr="00D42F52">
        <w:rPr>
          <w:rFonts w:asciiTheme="majorHAnsi" w:eastAsia="Times New Roman" w:hAnsiTheme="majorHAnsi" w:cstheme="majorHAnsi"/>
          <w:sz w:val="24"/>
          <w:szCs w:val="24"/>
          <w:lang w:eastAsia="en-GB"/>
        </w:rPr>
        <w:t xml:space="preserve">In light of this research, future recommendations would surround </w:t>
      </w:r>
      <w:r w:rsidR="0025251A" w:rsidRPr="00D42F52">
        <w:rPr>
          <w:rFonts w:asciiTheme="majorHAnsi" w:eastAsia="Times New Roman" w:hAnsiTheme="majorHAnsi" w:cstheme="majorHAnsi"/>
          <w:sz w:val="24"/>
          <w:szCs w:val="24"/>
          <w:lang w:eastAsia="en-GB"/>
        </w:rPr>
        <w:t xml:space="preserve">a thorough understanding of pupils’ prior knowledge. Identified as the key to further understanding, it is suggested that a pupils’ ability to apply computational understanding to any higher order mathematical topic </w:t>
      </w:r>
      <w:r w:rsidR="0025251A" w:rsidRPr="00D42F52">
        <w:rPr>
          <w:rFonts w:asciiTheme="majorHAnsi" w:eastAsia="Times New Roman" w:hAnsiTheme="majorHAnsi" w:cstheme="majorHAnsi"/>
          <w:sz w:val="24"/>
          <w:szCs w:val="24"/>
          <w:lang w:eastAsia="en-GB"/>
        </w:rPr>
        <w:lastRenderedPageBreak/>
        <w:t xml:space="preserve">lies solely in their understanding of the fundamental principles of procedural mathematics (Booth et al; 2016; </w:t>
      </w:r>
      <w:r w:rsidR="0025251A" w:rsidRPr="00D42F52">
        <w:rPr>
          <w:rFonts w:asciiTheme="majorHAnsi" w:hAnsiTheme="majorHAnsi" w:cstheme="majorHAnsi"/>
          <w:sz w:val="24"/>
          <w:szCs w:val="24"/>
        </w:rPr>
        <w:t xml:space="preserve">McGowen, 2017; Croft; et al., 2007; and Booth and Koedinger; 2006). Allowing pupils’ adequate thinking time to dispel misconceptions which were seen within the classroom often as a result of an immediate response to questioning (Piaget, 1970). This was particularly </w:t>
      </w:r>
      <w:r w:rsidR="004A28E9" w:rsidRPr="00D42F52">
        <w:rPr>
          <w:rFonts w:asciiTheme="majorHAnsi" w:hAnsiTheme="majorHAnsi" w:cstheme="majorHAnsi"/>
          <w:sz w:val="24"/>
          <w:szCs w:val="24"/>
        </w:rPr>
        <w:t>insightful</w:t>
      </w:r>
      <w:r w:rsidR="0025251A" w:rsidRPr="00D42F52">
        <w:rPr>
          <w:rFonts w:asciiTheme="majorHAnsi" w:hAnsiTheme="majorHAnsi" w:cstheme="majorHAnsi"/>
          <w:sz w:val="24"/>
          <w:szCs w:val="24"/>
        </w:rPr>
        <w:t xml:space="preserve"> when </w:t>
      </w:r>
      <w:r w:rsidR="004A28E9" w:rsidRPr="00D42F52">
        <w:rPr>
          <w:rFonts w:asciiTheme="majorHAnsi" w:hAnsiTheme="majorHAnsi" w:cstheme="majorHAnsi"/>
          <w:sz w:val="24"/>
          <w:szCs w:val="24"/>
        </w:rPr>
        <w:t xml:space="preserve">introducing pupils’ to solving equations which allowed pupils to refine their understanding of the equals sign (Knuth, et al; 2008), which in turn facilitated discussion for pupils to ‘spot’ and then prove </w:t>
      </w:r>
      <w:r w:rsidR="008E4BB6" w:rsidRPr="00D42F52">
        <w:rPr>
          <w:rFonts w:asciiTheme="majorHAnsi" w:hAnsiTheme="majorHAnsi" w:cstheme="majorHAnsi"/>
          <w:sz w:val="24"/>
          <w:szCs w:val="24"/>
        </w:rPr>
        <w:t>the</w:t>
      </w:r>
      <w:r w:rsidR="004A28E9" w:rsidRPr="00D42F52">
        <w:rPr>
          <w:rFonts w:asciiTheme="majorHAnsi" w:hAnsiTheme="majorHAnsi" w:cstheme="majorHAnsi"/>
          <w:sz w:val="24"/>
          <w:szCs w:val="24"/>
        </w:rPr>
        <w:t xml:space="preserve"> value of a variable whilst developing their understanding of the operation expressed within algebraic notation. </w:t>
      </w:r>
    </w:p>
    <w:p w14:paraId="7C1BC1AA" w14:textId="7A26060A" w:rsidR="006363A4" w:rsidRPr="00D42F52" w:rsidRDefault="006363A4" w:rsidP="00D42F52">
      <w:pPr>
        <w:spacing w:after="160" w:line="480" w:lineRule="auto"/>
        <w:jc w:val="both"/>
        <w:rPr>
          <w:rFonts w:asciiTheme="majorHAnsi" w:eastAsia="Times New Roman" w:hAnsiTheme="majorHAnsi" w:cstheme="majorHAnsi"/>
          <w:i/>
          <w:sz w:val="24"/>
          <w:szCs w:val="24"/>
          <w:lang w:eastAsia="en-GB"/>
        </w:rPr>
      </w:pPr>
      <w:r w:rsidRPr="00D42F52">
        <w:rPr>
          <w:rFonts w:asciiTheme="majorHAnsi" w:eastAsia="Times New Roman" w:hAnsiTheme="majorHAnsi" w:cstheme="majorHAnsi"/>
          <w:i/>
          <w:sz w:val="24"/>
          <w:szCs w:val="24"/>
          <w:lang w:eastAsia="en-GB"/>
        </w:rPr>
        <w:br w:type="page"/>
      </w:r>
    </w:p>
    <w:p w14:paraId="57ABBF61" w14:textId="0A14FBCC" w:rsidR="00F85182" w:rsidRPr="00D42F52" w:rsidRDefault="005116B2" w:rsidP="00D42F52">
      <w:pPr>
        <w:spacing w:after="0" w:line="480" w:lineRule="auto"/>
        <w:jc w:val="both"/>
        <w:rPr>
          <w:rFonts w:asciiTheme="majorHAnsi" w:eastAsia="Times New Roman" w:hAnsiTheme="majorHAnsi" w:cstheme="majorHAnsi"/>
          <w:b/>
          <w:sz w:val="24"/>
          <w:szCs w:val="24"/>
          <w:lang w:eastAsia="en-GB"/>
        </w:rPr>
      </w:pPr>
      <w:r w:rsidRPr="00D42F52">
        <w:rPr>
          <w:rFonts w:asciiTheme="majorHAnsi" w:eastAsia="Times New Roman" w:hAnsiTheme="majorHAnsi" w:cstheme="majorHAnsi"/>
          <w:b/>
          <w:sz w:val="24"/>
          <w:szCs w:val="24"/>
          <w:lang w:eastAsia="en-GB"/>
        </w:rPr>
        <w:lastRenderedPageBreak/>
        <w:t>LIMITATIONS AND FUTURE DEVELOPMENT</w:t>
      </w:r>
    </w:p>
    <w:p w14:paraId="40D87E6D" w14:textId="0338B2B5" w:rsidR="0055024E" w:rsidRPr="00D42F52" w:rsidRDefault="0055024E" w:rsidP="00D42F52">
      <w:pPr>
        <w:spacing w:after="160" w:line="480" w:lineRule="auto"/>
        <w:jc w:val="both"/>
        <w:rPr>
          <w:rFonts w:asciiTheme="majorHAnsi" w:hAnsiTheme="majorHAnsi" w:cstheme="majorHAnsi"/>
          <w:sz w:val="24"/>
          <w:szCs w:val="24"/>
        </w:rPr>
      </w:pPr>
    </w:p>
    <w:p w14:paraId="26E4A46D" w14:textId="4113DBE4" w:rsidR="004A28E9" w:rsidRPr="00D42F52" w:rsidRDefault="0042541A" w:rsidP="00D42F52">
      <w:pPr>
        <w:spacing w:after="160" w:line="480" w:lineRule="auto"/>
        <w:jc w:val="both"/>
        <w:rPr>
          <w:rFonts w:asciiTheme="majorHAnsi" w:hAnsiTheme="majorHAnsi" w:cstheme="majorHAnsi"/>
          <w:sz w:val="24"/>
          <w:szCs w:val="24"/>
        </w:rPr>
      </w:pPr>
      <w:r w:rsidRPr="00D42F52">
        <w:rPr>
          <w:rFonts w:asciiTheme="majorHAnsi" w:hAnsiTheme="majorHAnsi" w:cstheme="majorHAnsi"/>
          <w:sz w:val="24"/>
          <w:szCs w:val="24"/>
        </w:rPr>
        <w:t>Coe; et al, (2017) discuss wide reaching limitations which can be applied to most research studies. Considering this research study, the limitations</w:t>
      </w:r>
      <w:r w:rsidR="008E4BB6" w:rsidRPr="00D42F52">
        <w:rPr>
          <w:rFonts w:asciiTheme="majorHAnsi" w:hAnsiTheme="majorHAnsi" w:cstheme="majorHAnsi"/>
          <w:sz w:val="24"/>
          <w:szCs w:val="24"/>
        </w:rPr>
        <w:t xml:space="preserve"> are vast. The study was conducted with one particular group of Year 7 pupils, who had previously been introduced to algebra, in their recent academic study. The pre and post-test method holds numerous limitations which in itself limits the scope of </w:t>
      </w:r>
      <w:r w:rsidR="00AD5FBF" w:rsidRPr="00D42F52">
        <w:rPr>
          <w:rFonts w:asciiTheme="majorHAnsi" w:hAnsiTheme="majorHAnsi" w:cstheme="majorHAnsi"/>
          <w:sz w:val="24"/>
          <w:szCs w:val="24"/>
        </w:rPr>
        <w:t>its</w:t>
      </w:r>
      <w:r w:rsidR="008E4BB6" w:rsidRPr="00D42F52">
        <w:rPr>
          <w:rFonts w:asciiTheme="majorHAnsi" w:hAnsiTheme="majorHAnsi" w:cstheme="majorHAnsi"/>
          <w:sz w:val="24"/>
          <w:szCs w:val="24"/>
        </w:rPr>
        <w:t xml:space="preserve"> diagnostic function limiting the results to the topics for which it test</w:t>
      </w:r>
      <w:r w:rsidR="008037D0" w:rsidRPr="00D42F52">
        <w:rPr>
          <w:rFonts w:asciiTheme="majorHAnsi" w:hAnsiTheme="majorHAnsi" w:cstheme="majorHAnsi"/>
          <w:sz w:val="24"/>
          <w:szCs w:val="24"/>
        </w:rPr>
        <w:t>s</w:t>
      </w:r>
      <w:r w:rsidR="008E4BB6" w:rsidRPr="00D42F52">
        <w:rPr>
          <w:rFonts w:asciiTheme="majorHAnsi" w:hAnsiTheme="majorHAnsi" w:cstheme="majorHAnsi"/>
          <w:sz w:val="24"/>
          <w:szCs w:val="24"/>
        </w:rPr>
        <w:t>. As discussed by Cohen; et al (2013),</w:t>
      </w:r>
      <w:r w:rsidR="00647F58" w:rsidRPr="00D42F52">
        <w:rPr>
          <w:rFonts w:asciiTheme="majorHAnsi" w:hAnsiTheme="majorHAnsi" w:cstheme="majorHAnsi"/>
          <w:sz w:val="24"/>
          <w:szCs w:val="24"/>
        </w:rPr>
        <w:t xml:space="preserve"> the effectiveness of</w:t>
      </w:r>
      <w:r w:rsidR="008E4BB6" w:rsidRPr="00D42F52">
        <w:rPr>
          <w:rFonts w:asciiTheme="majorHAnsi" w:hAnsiTheme="majorHAnsi" w:cstheme="majorHAnsi"/>
          <w:sz w:val="24"/>
          <w:szCs w:val="24"/>
        </w:rPr>
        <w:t xml:space="preserve"> pre and post</w:t>
      </w:r>
      <w:r w:rsidR="00647F58" w:rsidRPr="00D42F52">
        <w:rPr>
          <w:rFonts w:asciiTheme="majorHAnsi" w:hAnsiTheme="majorHAnsi" w:cstheme="majorHAnsi"/>
          <w:sz w:val="24"/>
          <w:szCs w:val="24"/>
        </w:rPr>
        <w:t xml:space="preserve"> testing</w:t>
      </w:r>
      <w:r w:rsidR="008E4BB6" w:rsidRPr="00D42F52">
        <w:rPr>
          <w:rFonts w:asciiTheme="majorHAnsi" w:hAnsiTheme="majorHAnsi" w:cstheme="majorHAnsi"/>
          <w:sz w:val="24"/>
          <w:szCs w:val="24"/>
        </w:rPr>
        <w:t xml:space="preserve"> lie</w:t>
      </w:r>
      <w:r w:rsidR="00647F58" w:rsidRPr="00D42F52">
        <w:rPr>
          <w:rFonts w:asciiTheme="majorHAnsi" w:hAnsiTheme="majorHAnsi" w:cstheme="majorHAnsi"/>
          <w:sz w:val="24"/>
          <w:szCs w:val="24"/>
        </w:rPr>
        <w:t>s</w:t>
      </w:r>
      <w:r w:rsidR="008E4BB6" w:rsidRPr="00D42F52">
        <w:rPr>
          <w:rFonts w:asciiTheme="majorHAnsi" w:hAnsiTheme="majorHAnsi" w:cstheme="majorHAnsi"/>
          <w:sz w:val="24"/>
          <w:szCs w:val="24"/>
        </w:rPr>
        <w:t xml:space="preserve"> in the learners’ appropriate prior </w:t>
      </w:r>
      <w:r w:rsidR="00AD5FBF" w:rsidRPr="00D42F52">
        <w:rPr>
          <w:rFonts w:asciiTheme="majorHAnsi" w:hAnsiTheme="majorHAnsi" w:cstheme="majorHAnsi"/>
          <w:sz w:val="24"/>
          <w:szCs w:val="24"/>
        </w:rPr>
        <w:t>knowledge, (</w:t>
      </w:r>
      <w:proofErr w:type="spellStart"/>
      <w:r w:rsidR="008E4BB6" w:rsidRPr="00D42F52">
        <w:rPr>
          <w:rFonts w:asciiTheme="majorHAnsi" w:hAnsiTheme="majorHAnsi" w:cstheme="majorHAnsi"/>
          <w:sz w:val="24"/>
          <w:szCs w:val="24"/>
        </w:rPr>
        <w:t>Dugard</w:t>
      </w:r>
      <w:proofErr w:type="spellEnd"/>
      <w:r w:rsidR="008E4BB6" w:rsidRPr="00D42F52">
        <w:rPr>
          <w:rFonts w:asciiTheme="majorHAnsi" w:hAnsiTheme="majorHAnsi" w:cstheme="majorHAnsi"/>
          <w:sz w:val="24"/>
          <w:szCs w:val="24"/>
        </w:rPr>
        <w:t xml:space="preserve"> and </w:t>
      </w:r>
      <w:proofErr w:type="spellStart"/>
      <w:r w:rsidR="008E4BB6" w:rsidRPr="00D42F52">
        <w:rPr>
          <w:rFonts w:asciiTheme="majorHAnsi" w:hAnsiTheme="majorHAnsi" w:cstheme="majorHAnsi"/>
          <w:sz w:val="24"/>
          <w:szCs w:val="24"/>
        </w:rPr>
        <w:t>Todman</w:t>
      </w:r>
      <w:proofErr w:type="spellEnd"/>
      <w:r w:rsidR="008E4BB6" w:rsidRPr="00D42F52">
        <w:rPr>
          <w:rFonts w:asciiTheme="majorHAnsi" w:hAnsiTheme="majorHAnsi" w:cstheme="majorHAnsi"/>
          <w:sz w:val="24"/>
          <w:szCs w:val="24"/>
        </w:rPr>
        <w:t xml:space="preserve">, 1995, </w:t>
      </w:r>
      <w:proofErr w:type="spellStart"/>
      <w:r w:rsidR="008E4BB6" w:rsidRPr="00D42F52">
        <w:rPr>
          <w:rFonts w:asciiTheme="majorHAnsi" w:hAnsiTheme="majorHAnsi" w:cstheme="majorHAnsi"/>
          <w:sz w:val="24"/>
          <w:szCs w:val="24"/>
        </w:rPr>
        <w:t>Boyas</w:t>
      </w:r>
      <w:proofErr w:type="spellEnd"/>
      <w:r w:rsidR="008E4BB6" w:rsidRPr="00D42F52">
        <w:rPr>
          <w:rFonts w:asciiTheme="majorHAnsi" w:hAnsiTheme="majorHAnsi" w:cstheme="majorHAnsi"/>
          <w:sz w:val="24"/>
          <w:szCs w:val="24"/>
        </w:rPr>
        <w:t>; et al., 2012) which in this research study was adequate to support the level of questioning used, it must be considered that should this investigation be carried out with pupils with</w:t>
      </w:r>
      <w:r w:rsidR="00AD5FBF" w:rsidRPr="00D42F52">
        <w:rPr>
          <w:rFonts w:asciiTheme="majorHAnsi" w:hAnsiTheme="majorHAnsi" w:cstheme="majorHAnsi"/>
          <w:sz w:val="24"/>
          <w:szCs w:val="24"/>
        </w:rPr>
        <w:t xml:space="preserve"> varying prior knowledge then the methods for questioning should be amended and therefore differing results could be expected. Should this research be repeated, a future improvement would be to involve a far wider ability range of learners, as the same group considered in this investigation should be considered as limited. There must also be caution applied to the impact of intervention within this research, limiting the consideration of a ‘one size fits all’ approach. The inclusion of Assessment for Learning techniques (Black and </w:t>
      </w:r>
      <w:proofErr w:type="spellStart"/>
      <w:r w:rsidR="00AD5FBF" w:rsidRPr="00D42F52">
        <w:rPr>
          <w:rFonts w:asciiTheme="majorHAnsi" w:hAnsiTheme="majorHAnsi" w:cstheme="majorHAnsi"/>
          <w:sz w:val="24"/>
          <w:szCs w:val="24"/>
        </w:rPr>
        <w:t>Wiliam</w:t>
      </w:r>
      <w:proofErr w:type="spellEnd"/>
      <w:r w:rsidR="00AD5FBF" w:rsidRPr="00D42F52">
        <w:rPr>
          <w:rFonts w:asciiTheme="majorHAnsi" w:hAnsiTheme="majorHAnsi" w:cstheme="majorHAnsi"/>
          <w:sz w:val="24"/>
          <w:szCs w:val="24"/>
        </w:rPr>
        <w:t xml:space="preserve">, 1998) could be considered far more indicative as an indicator of understanding than that of the results within the pre and post-test. Coe; et al, (2017) discuss that single group testing in itself holds a significant caveat, namely that external learning factors, including maturity, mindset, cognitive load could all be attributed to performance changes in both pre and post test results. </w:t>
      </w:r>
    </w:p>
    <w:p w14:paraId="50D49A10" w14:textId="1A6F6BF0" w:rsidR="00292927" w:rsidRPr="00D42F52" w:rsidRDefault="00AD5FBF" w:rsidP="00D42F52">
      <w:pPr>
        <w:spacing w:after="160" w:line="480" w:lineRule="auto"/>
        <w:jc w:val="both"/>
        <w:rPr>
          <w:rStyle w:val="selectable"/>
          <w:rFonts w:asciiTheme="majorHAnsi" w:hAnsiTheme="majorHAnsi" w:cstheme="majorHAnsi"/>
          <w:sz w:val="24"/>
          <w:szCs w:val="24"/>
        </w:rPr>
        <w:sectPr w:rsidR="00292927" w:rsidRPr="00D42F52" w:rsidSect="00EA3273">
          <w:headerReference w:type="default" r:id="rId26"/>
          <w:pgSz w:w="11906" w:h="16838"/>
          <w:pgMar w:top="851" w:right="1440" w:bottom="851" w:left="1440" w:header="708" w:footer="708" w:gutter="0"/>
          <w:cols w:space="708"/>
          <w:docGrid w:linePitch="360"/>
        </w:sectPr>
      </w:pPr>
      <w:r w:rsidRPr="00D42F52">
        <w:rPr>
          <w:rFonts w:asciiTheme="majorHAnsi" w:hAnsiTheme="majorHAnsi" w:cstheme="majorHAnsi"/>
          <w:sz w:val="24"/>
          <w:szCs w:val="24"/>
        </w:rPr>
        <w:t xml:space="preserve">In relation to further study of this subject, it would be advantageous to apply the same pre-test to a variety of learning groups at similar stages in their learning journey (Li and Li, 2008) to provide a </w:t>
      </w:r>
      <w:r w:rsidR="004638E8" w:rsidRPr="00D42F52">
        <w:rPr>
          <w:rFonts w:asciiTheme="majorHAnsi" w:hAnsiTheme="majorHAnsi" w:cstheme="majorHAnsi"/>
          <w:sz w:val="24"/>
          <w:szCs w:val="24"/>
        </w:rPr>
        <w:t>broader</w:t>
      </w:r>
      <w:r w:rsidRPr="00D42F52">
        <w:rPr>
          <w:rFonts w:asciiTheme="majorHAnsi" w:hAnsiTheme="majorHAnsi" w:cstheme="majorHAnsi"/>
          <w:sz w:val="24"/>
          <w:szCs w:val="24"/>
        </w:rPr>
        <w:t xml:space="preserve"> audience for evaluation and hence further development of teaching techniques. </w:t>
      </w:r>
      <w:r w:rsidR="004638E8" w:rsidRPr="00D42F52">
        <w:rPr>
          <w:rFonts w:asciiTheme="majorHAnsi" w:hAnsiTheme="majorHAnsi" w:cstheme="majorHAnsi"/>
          <w:sz w:val="24"/>
          <w:szCs w:val="24"/>
        </w:rPr>
        <w:t xml:space="preserve">It must also be considered that lack of a control group used with this research </w:t>
      </w:r>
      <w:r w:rsidR="004638E8" w:rsidRPr="00D42F52">
        <w:rPr>
          <w:rFonts w:asciiTheme="majorHAnsi" w:hAnsiTheme="majorHAnsi" w:cstheme="majorHAnsi"/>
          <w:sz w:val="24"/>
          <w:szCs w:val="24"/>
        </w:rPr>
        <w:lastRenderedPageBreak/>
        <w:t>supports identified limitations and whilst improvements can be concluded from the results this must be considered. Alongside the limitations of the sample group, Coe; et all. (2017), identify the role of the Teacher Researcher as a further limitation, citing a teacher’s unconscious behaviour within the classroom as a limiting factor relating to terminology, exposition and steering learners.  Applying</w:t>
      </w:r>
      <w:r w:rsidRPr="00D42F52">
        <w:rPr>
          <w:rFonts w:asciiTheme="majorHAnsi" w:hAnsiTheme="majorHAnsi" w:cstheme="majorHAnsi"/>
          <w:sz w:val="24"/>
          <w:szCs w:val="24"/>
        </w:rPr>
        <w:t xml:space="preserve"> this</w:t>
      </w:r>
      <w:r w:rsidR="004638E8" w:rsidRPr="00D42F52">
        <w:rPr>
          <w:rFonts w:asciiTheme="majorHAnsi" w:hAnsiTheme="majorHAnsi" w:cstheme="majorHAnsi"/>
          <w:sz w:val="24"/>
          <w:szCs w:val="24"/>
        </w:rPr>
        <w:t xml:space="preserve"> teaching</w:t>
      </w:r>
      <w:r w:rsidRPr="00D42F52">
        <w:rPr>
          <w:rFonts w:asciiTheme="majorHAnsi" w:hAnsiTheme="majorHAnsi" w:cstheme="majorHAnsi"/>
          <w:sz w:val="24"/>
          <w:szCs w:val="24"/>
        </w:rPr>
        <w:t xml:space="preserve"> approach outside of the topic of algebra, the inclusion of pre-testing to support Assessment </w:t>
      </w:r>
      <w:r w:rsidR="004638E8" w:rsidRPr="00D42F52">
        <w:rPr>
          <w:rFonts w:asciiTheme="majorHAnsi" w:hAnsiTheme="majorHAnsi" w:cstheme="majorHAnsi"/>
          <w:sz w:val="24"/>
          <w:szCs w:val="24"/>
        </w:rPr>
        <w:t xml:space="preserve">is a tool which could be considered as an ongoing assessment tool, careful consideration of questioning as starter activities or within an exposition supported by assessment for learning and facilitation of discussion can be invaluable to provide tailored, appropriate support to learners. </w:t>
      </w:r>
    </w:p>
    <w:p w14:paraId="66C61552" w14:textId="0882A4DB" w:rsidR="00A6197E" w:rsidRPr="00D42F52" w:rsidRDefault="00A6197E" w:rsidP="002C3ECA">
      <w:pPr>
        <w:spacing w:line="480" w:lineRule="auto"/>
        <w:jc w:val="both"/>
        <w:rPr>
          <w:rFonts w:asciiTheme="majorHAnsi" w:hAnsiTheme="majorHAnsi" w:cstheme="majorHAnsi"/>
        </w:rPr>
      </w:pPr>
      <w:bookmarkStart w:id="0" w:name="_GoBack"/>
      <w:bookmarkEnd w:id="0"/>
    </w:p>
    <w:sectPr w:rsidR="00A6197E" w:rsidRPr="00D42F52" w:rsidSect="00810297">
      <w:headerReference w:type="default" r:id="rId27"/>
      <w:pgSz w:w="11906" w:h="16838"/>
      <w:pgMar w:top="993" w:right="1440" w:bottom="1440" w:left="1440" w:header="426"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9BCFB7" w14:textId="77777777" w:rsidR="00433BF0" w:rsidRDefault="00433BF0" w:rsidP="00810297">
      <w:pPr>
        <w:spacing w:after="0" w:line="240" w:lineRule="auto"/>
      </w:pPr>
      <w:r>
        <w:separator/>
      </w:r>
    </w:p>
  </w:endnote>
  <w:endnote w:type="continuationSeparator" w:id="0">
    <w:p w14:paraId="5B0982AE" w14:textId="77777777" w:rsidR="00433BF0" w:rsidRDefault="00433BF0" w:rsidP="00810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1C0D68" w14:textId="77777777" w:rsidR="00433BF0" w:rsidRDefault="00433BF0" w:rsidP="00810297">
      <w:pPr>
        <w:spacing w:after="0" w:line="240" w:lineRule="auto"/>
      </w:pPr>
      <w:r>
        <w:separator/>
      </w:r>
    </w:p>
  </w:footnote>
  <w:footnote w:type="continuationSeparator" w:id="0">
    <w:p w14:paraId="68A08CC9" w14:textId="77777777" w:rsidR="00433BF0" w:rsidRDefault="00433BF0" w:rsidP="008102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FD1222" w14:textId="7E4B713C" w:rsidR="00D42F52" w:rsidRDefault="00D42F52">
    <w:pPr>
      <w:pStyle w:val="Header"/>
    </w:pPr>
    <w:r>
      <w:t xml:space="preserve">1706145 </w:t>
    </w:r>
    <w:r>
      <w:tab/>
      <w:t xml:space="preserve"> ECSP7002 – Curriculum Development and Enhancement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DE0EA4" w14:textId="555646F7" w:rsidR="00433BF0" w:rsidRDefault="00433BF0">
    <w:pPr>
      <w:pStyle w:val="Header"/>
    </w:pPr>
    <w:r>
      <w:t>1706145 – ECSP7002 – Curriculum Development and Enhancement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12393E"/>
    <w:multiLevelType w:val="hybridMultilevel"/>
    <w:tmpl w:val="7C0C7860"/>
    <w:lvl w:ilvl="0" w:tplc="EBEAF94C">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76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746"/>
    <w:rsid w:val="00003059"/>
    <w:rsid w:val="00007310"/>
    <w:rsid w:val="00013EAF"/>
    <w:rsid w:val="00030E2D"/>
    <w:rsid w:val="00042F3F"/>
    <w:rsid w:val="000711C5"/>
    <w:rsid w:val="00081C50"/>
    <w:rsid w:val="000A5933"/>
    <w:rsid w:val="000C1AAB"/>
    <w:rsid w:val="000C7513"/>
    <w:rsid w:val="000E5C30"/>
    <w:rsid w:val="000F2B66"/>
    <w:rsid w:val="000F3CD6"/>
    <w:rsid w:val="0010488F"/>
    <w:rsid w:val="00151712"/>
    <w:rsid w:val="00156BBE"/>
    <w:rsid w:val="00165429"/>
    <w:rsid w:val="00186178"/>
    <w:rsid w:val="00196432"/>
    <w:rsid w:val="001B205F"/>
    <w:rsid w:val="001B3B32"/>
    <w:rsid w:val="001C71EF"/>
    <w:rsid w:val="001C7E74"/>
    <w:rsid w:val="001D1EFB"/>
    <w:rsid w:val="001E0B2D"/>
    <w:rsid w:val="001E5C19"/>
    <w:rsid w:val="001F3CBE"/>
    <w:rsid w:val="001F490B"/>
    <w:rsid w:val="001F787B"/>
    <w:rsid w:val="00203FB7"/>
    <w:rsid w:val="00205F54"/>
    <w:rsid w:val="00217435"/>
    <w:rsid w:val="0022368C"/>
    <w:rsid w:val="0025148A"/>
    <w:rsid w:val="0025251A"/>
    <w:rsid w:val="00260BF3"/>
    <w:rsid w:val="00265B62"/>
    <w:rsid w:val="00266785"/>
    <w:rsid w:val="00275AE9"/>
    <w:rsid w:val="00292927"/>
    <w:rsid w:val="002A62AF"/>
    <w:rsid w:val="002A6E92"/>
    <w:rsid w:val="002A7881"/>
    <w:rsid w:val="002C3ECA"/>
    <w:rsid w:val="002C5E3D"/>
    <w:rsid w:val="003014EB"/>
    <w:rsid w:val="003022E2"/>
    <w:rsid w:val="00320AB3"/>
    <w:rsid w:val="003217E5"/>
    <w:rsid w:val="00326813"/>
    <w:rsid w:val="00347D4C"/>
    <w:rsid w:val="003528B7"/>
    <w:rsid w:val="00355AD4"/>
    <w:rsid w:val="00366CD6"/>
    <w:rsid w:val="003731FE"/>
    <w:rsid w:val="00384362"/>
    <w:rsid w:val="003B62EE"/>
    <w:rsid w:val="003C7B22"/>
    <w:rsid w:val="003D247E"/>
    <w:rsid w:val="003D58E1"/>
    <w:rsid w:val="003E3C04"/>
    <w:rsid w:val="003E63B0"/>
    <w:rsid w:val="003E7F35"/>
    <w:rsid w:val="0040517C"/>
    <w:rsid w:val="00407E4A"/>
    <w:rsid w:val="0042541A"/>
    <w:rsid w:val="00427692"/>
    <w:rsid w:val="00431E2B"/>
    <w:rsid w:val="00433BF0"/>
    <w:rsid w:val="0043733E"/>
    <w:rsid w:val="00444A6E"/>
    <w:rsid w:val="00461E53"/>
    <w:rsid w:val="004638E8"/>
    <w:rsid w:val="004669A9"/>
    <w:rsid w:val="00466E27"/>
    <w:rsid w:val="00474A8C"/>
    <w:rsid w:val="004812DB"/>
    <w:rsid w:val="004971CD"/>
    <w:rsid w:val="00497372"/>
    <w:rsid w:val="004A28E9"/>
    <w:rsid w:val="004A64CC"/>
    <w:rsid w:val="004A7657"/>
    <w:rsid w:val="004B1EB3"/>
    <w:rsid w:val="004C3BA9"/>
    <w:rsid w:val="004E3511"/>
    <w:rsid w:val="004E4EF3"/>
    <w:rsid w:val="004E6042"/>
    <w:rsid w:val="00501842"/>
    <w:rsid w:val="005116B2"/>
    <w:rsid w:val="00512E2E"/>
    <w:rsid w:val="005209A7"/>
    <w:rsid w:val="00524A24"/>
    <w:rsid w:val="00526DC8"/>
    <w:rsid w:val="005319EE"/>
    <w:rsid w:val="0055010F"/>
    <w:rsid w:val="0055024E"/>
    <w:rsid w:val="00551F19"/>
    <w:rsid w:val="005521E8"/>
    <w:rsid w:val="005777D9"/>
    <w:rsid w:val="005A116F"/>
    <w:rsid w:val="005B04D5"/>
    <w:rsid w:val="005B4C75"/>
    <w:rsid w:val="005E2DAD"/>
    <w:rsid w:val="005F3AD0"/>
    <w:rsid w:val="005F519B"/>
    <w:rsid w:val="005F6DCB"/>
    <w:rsid w:val="00601522"/>
    <w:rsid w:val="006077E5"/>
    <w:rsid w:val="0062268A"/>
    <w:rsid w:val="006232D8"/>
    <w:rsid w:val="00624BB8"/>
    <w:rsid w:val="006301F4"/>
    <w:rsid w:val="006363A4"/>
    <w:rsid w:val="00647F58"/>
    <w:rsid w:val="00654B24"/>
    <w:rsid w:val="006746B3"/>
    <w:rsid w:val="00681C17"/>
    <w:rsid w:val="006861AC"/>
    <w:rsid w:val="006B15B4"/>
    <w:rsid w:val="006B40EB"/>
    <w:rsid w:val="006F0252"/>
    <w:rsid w:val="0070082F"/>
    <w:rsid w:val="00705403"/>
    <w:rsid w:val="007146A0"/>
    <w:rsid w:val="00717E83"/>
    <w:rsid w:val="00736348"/>
    <w:rsid w:val="00744B3B"/>
    <w:rsid w:val="00757812"/>
    <w:rsid w:val="00762795"/>
    <w:rsid w:val="00763694"/>
    <w:rsid w:val="00765F6D"/>
    <w:rsid w:val="00773D88"/>
    <w:rsid w:val="007844EA"/>
    <w:rsid w:val="007965E5"/>
    <w:rsid w:val="007A4341"/>
    <w:rsid w:val="007B0B0F"/>
    <w:rsid w:val="007B7936"/>
    <w:rsid w:val="007C63E6"/>
    <w:rsid w:val="007E5F28"/>
    <w:rsid w:val="00800B08"/>
    <w:rsid w:val="008037D0"/>
    <w:rsid w:val="00810297"/>
    <w:rsid w:val="00820F5B"/>
    <w:rsid w:val="00841E34"/>
    <w:rsid w:val="00880FBC"/>
    <w:rsid w:val="008D15B7"/>
    <w:rsid w:val="008D26DF"/>
    <w:rsid w:val="008D3984"/>
    <w:rsid w:val="008E4BB6"/>
    <w:rsid w:val="008F5A91"/>
    <w:rsid w:val="008F7D71"/>
    <w:rsid w:val="00900B50"/>
    <w:rsid w:val="00900CA1"/>
    <w:rsid w:val="00911098"/>
    <w:rsid w:val="00911A47"/>
    <w:rsid w:val="00930AF7"/>
    <w:rsid w:val="00932CC2"/>
    <w:rsid w:val="00934E42"/>
    <w:rsid w:val="00952D0E"/>
    <w:rsid w:val="00953587"/>
    <w:rsid w:val="009546DA"/>
    <w:rsid w:val="00981CA6"/>
    <w:rsid w:val="00987D4C"/>
    <w:rsid w:val="009A0C9C"/>
    <w:rsid w:val="009A31F5"/>
    <w:rsid w:val="009B3F9B"/>
    <w:rsid w:val="009E02F5"/>
    <w:rsid w:val="00A06BE2"/>
    <w:rsid w:val="00A16F3D"/>
    <w:rsid w:val="00A3446E"/>
    <w:rsid w:val="00A44338"/>
    <w:rsid w:val="00A50112"/>
    <w:rsid w:val="00A6197E"/>
    <w:rsid w:val="00A660A3"/>
    <w:rsid w:val="00A66270"/>
    <w:rsid w:val="00A855E7"/>
    <w:rsid w:val="00A9469A"/>
    <w:rsid w:val="00A97748"/>
    <w:rsid w:val="00AA044B"/>
    <w:rsid w:val="00AC04CA"/>
    <w:rsid w:val="00AD5F63"/>
    <w:rsid w:val="00AD5FBF"/>
    <w:rsid w:val="00AD7936"/>
    <w:rsid w:val="00B02D11"/>
    <w:rsid w:val="00B06F1D"/>
    <w:rsid w:val="00B10F4C"/>
    <w:rsid w:val="00B11C65"/>
    <w:rsid w:val="00B22D7B"/>
    <w:rsid w:val="00B23BD3"/>
    <w:rsid w:val="00B3501B"/>
    <w:rsid w:val="00B36DFA"/>
    <w:rsid w:val="00B41498"/>
    <w:rsid w:val="00B444FD"/>
    <w:rsid w:val="00B55243"/>
    <w:rsid w:val="00B555E8"/>
    <w:rsid w:val="00B60C27"/>
    <w:rsid w:val="00B84F7E"/>
    <w:rsid w:val="00B85F7E"/>
    <w:rsid w:val="00B90031"/>
    <w:rsid w:val="00B9006E"/>
    <w:rsid w:val="00BA4763"/>
    <w:rsid w:val="00BB3953"/>
    <w:rsid w:val="00BC54AE"/>
    <w:rsid w:val="00BF52AF"/>
    <w:rsid w:val="00C01381"/>
    <w:rsid w:val="00C05167"/>
    <w:rsid w:val="00C25102"/>
    <w:rsid w:val="00C3404A"/>
    <w:rsid w:val="00C34327"/>
    <w:rsid w:val="00C43746"/>
    <w:rsid w:val="00C62512"/>
    <w:rsid w:val="00C6493A"/>
    <w:rsid w:val="00C6716F"/>
    <w:rsid w:val="00C85003"/>
    <w:rsid w:val="00C87828"/>
    <w:rsid w:val="00C9208D"/>
    <w:rsid w:val="00C978B0"/>
    <w:rsid w:val="00CA66A4"/>
    <w:rsid w:val="00CA6777"/>
    <w:rsid w:val="00CB26F4"/>
    <w:rsid w:val="00CB4618"/>
    <w:rsid w:val="00CE69F6"/>
    <w:rsid w:val="00CF09F6"/>
    <w:rsid w:val="00CF15A3"/>
    <w:rsid w:val="00D07656"/>
    <w:rsid w:val="00D13ABB"/>
    <w:rsid w:val="00D24351"/>
    <w:rsid w:val="00D261BD"/>
    <w:rsid w:val="00D42F52"/>
    <w:rsid w:val="00D57E77"/>
    <w:rsid w:val="00D70D2F"/>
    <w:rsid w:val="00D74C57"/>
    <w:rsid w:val="00D757ED"/>
    <w:rsid w:val="00D86A8B"/>
    <w:rsid w:val="00D87206"/>
    <w:rsid w:val="00D92C76"/>
    <w:rsid w:val="00DA20C1"/>
    <w:rsid w:val="00DA3425"/>
    <w:rsid w:val="00DD1974"/>
    <w:rsid w:val="00E067E6"/>
    <w:rsid w:val="00E17ECB"/>
    <w:rsid w:val="00E33D40"/>
    <w:rsid w:val="00E36F32"/>
    <w:rsid w:val="00E46ADF"/>
    <w:rsid w:val="00E50359"/>
    <w:rsid w:val="00E50C83"/>
    <w:rsid w:val="00E60E39"/>
    <w:rsid w:val="00E65DE9"/>
    <w:rsid w:val="00E718CA"/>
    <w:rsid w:val="00E72654"/>
    <w:rsid w:val="00E770AA"/>
    <w:rsid w:val="00EA3273"/>
    <w:rsid w:val="00EA6457"/>
    <w:rsid w:val="00EC316A"/>
    <w:rsid w:val="00EC3E99"/>
    <w:rsid w:val="00EC7334"/>
    <w:rsid w:val="00ED2B4A"/>
    <w:rsid w:val="00ED53E3"/>
    <w:rsid w:val="00EE5D6C"/>
    <w:rsid w:val="00F05AEB"/>
    <w:rsid w:val="00F23BA3"/>
    <w:rsid w:val="00F3655A"/>
    <w:rsid w:val="00F51E79"/>
    <w:rsid w:val="00F545C4"/>
    <w:rsid w:val="00F74C08"/>
    <w:rsid w:val="00F80353"/>
    <w:rsid w:val="00F85182"/>
    <w:rsid w:val="00FA0CE8"/>
    <w:rsid w:val="00FA298D"/>
    <w:rsid w:val="00FD2C5E"/>
    <w:rsid w:val="00FD4837"/>
    <w:rsid w:val="00FF6C84"/>
    <w:rsid w:val="00FF7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7649"/>
    <o:shapelayout v:ext="edit">
      <o:idmap v:ext="edit" data="1"/>
    </o:shapelayout>
  </w:shapeDefaults>
  <w:decimalSymbol w:val="."/>
  <w:listSeparator w:val=","/>
  <w14:docId w14:val="52292AA7"/>
  <w15:chartTrackingRefBased/>
  <w15:docId w15:val="{60EE93D2-B181-4744-9CF1-1E385BB08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43746"/>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9A31F5"/>
  </w:style>
  <w:style w:type="paragraph" w:styleId="Header">
    <w:name w:val="header"/>
    <w:basedOn w:val="Normal"/>
    <w:link w:val="HeaderChar"/>
    <w:uiPriority w:val="99"/>
    <w:unhideWhenUsed/>
    <w:rsid w:val="00810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297"/>
  </w:style>
  <w:style w:type="paragraph" w:styleId="Footer">
    <w:name w:val="footer"/>
    <w:basedOn w:val="Normal"/>
    <w:link w:val="FooterChar"/>
    <w:uiPriority w:val="99"/>
    <w:unhideWhenUsed/>
    <w:rsid w:val="00810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297"/>
  </w:style>
  <w:style w:type="character" w:styleId="Hyperlink">
    <w:name w:val="Hyperlink"/>
    <w:basedOn w:val="DefaultParagraphFont"/>
    <w:uiPriority w:val="99"/>
    <w:unhideWhenUsed/>
    <w:rsid w:val="0055010F"/>
    <w:rPr>
      <w:color w:val="0563C1" w:themeColor="hyperlink"/>
      <w:u w:val="single"/>
    </w:rPr>
  </w:style>
  <w:style w:type="character" w:styleId="UnresolvedMention">
    <w:name w:val="Unresolved Mention"/>
    <w:basedOn w:val="DefaultParagraphFont"/>
    <w:uiPriority w:val="99"/>
    <w:semiHidden/>
    <w:unhideWhenUsed/>
    <w:rsid w:val="0055010F"/>
    <w:rPr>
      <w:color w:val="808080"/>
      <w:shd w:val="clear" w:color="auto" w:fill="E6E6E6"/>
    </w:rPr>
  </w:style>
  <w:style w:type="paragraph" w:styleId="ListParagraph">
    <w:name w:val="List Paragraph"/>
    <w:basedOn w:val="Normal"/>
    <w:uiPriority w:val="34"/>
    <w:qFormat/>
    <w:rsid w:val="00DA3425"/>
    <w:pPr>
      <w:ind w:left="720"/>
      <w:contextualSpacing/>
    </w:pPr>
  </w:style>
  <w:style w:type="table" w:styleId="TableGrid">
    <w:name w:val="Table Grid"/>
    <w:basedOn w:val="TableNormal"/>
    <w:uiPriority w:val="39"/>
    <w:rsid w:val="00E50C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92C7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732375">
      <w:bodyDiv w:val="1"/>
      <w:marLeft w:val="0"/>
      <w:marRight w:val="0"/>
      <w:marTop w:val="0"/>
      <w:marBottom w:val="0"/>
      <w:divBdr>
        <w:top w:val="none" w:sz="0" w:space="0" w:color="auto"/>
        <w:left w:val="none" w:sz="0" w:space="0" w:color="auto"/>
        <w:bottom w:val="none" w:sz="0" w:space="0" w:color="auto"/>
        <w:right w:val="none" w:sz="0" w:space="0" w:color="auto"/>
      </w:divBdr>
      <w:divsChild>
        <w:div w:id="41831576">
          <w:marLeft w:val="0"/>
          <w:marRight w:val="0"/>
          <w:marTop w:val="0"/>
          <w:marBottom w:val="0"/>
          <w:divBdr>
            <w:top w:val="none" w:sz="0" w:space="0" w:color="auto"/>
            <w:left w:val="none" w:sz="0" w:space="0" w:color="auto"/>
            <w:bottom w:val="none" w:sz="0" w:space="0" w:color="auto"/>
            <w:right w:val="none" w:sz="0" w:space="0" w:color="auto"/>
          </w:divBdr>
        </w:div>
        <w:div w:id="98960820">
          <w:marLeft w:val="0"/>
          <w:marRight w:val="0"/>
          <w:marTop w:val="0"/>
          <w:marBottom w:val="0"/>
          <w:divBdr>
            <w:top w:val="none" w:sz="0" w:space="0" w:color="auto"/>
            <w:left w:val="none" w:sz="0" w:space="0" w:color="auto"/>
            <w:bottom w:val="none" w:sz="0" w:space="0" w:color="auto"/>
            <w:right w:val="none" w:sz="0" w:space="0" w:color="auto"/>
          </w:divBdr>
        </w:div>
        <w:div w:id="1196431375">
          <w:marLeft w:val="0"/>
          <w:marRight w:val="0"/>
          <w:marTop w:val="0"/>
          <w:marBottom w:val="0"/>
          <w:divBdr>
            <w:top w:val="none" w:sz="0" w:space="0" w:color="auto"/>
            <w:left w:val="none" w:sz="0" w:space="0" w:color="auto"/>
            <w:bottom w:val="none" w:sz="0" w:space="0" w:color="auto"/>
            <w:right w:val="none" w:sz="0" w:space="0" w:color="auto"/>
          </w:divBdr>
        </w:div>
      </w:divsChild>
    </w:div>
    <w:div w:id="202056261">
      <w:bodyDiv w:val="1"/>
      <w:marLeft w:val="0"/>
      <w:marRight w:val="0"/>
      <w:marTop w:val="0"/>
      <w:marBottom w:val="0"/>
      <w:divBdr>
        <w:top w:val="none" w:sz="0" w:space="0" w:color="auto"/>
        <w:left w:val="none" w:sz="0" w:space="0" w:color="auto"/>
        <w:bottom w:val="none" w:sz="0" w:space="0" w:color="auto"/>
        <w:right w:val="none" w:sz="0" w:space="0" w:color="auto"/>
      </w:divBdr>
      <w:divsChild>
        <w:div w:id="15204381">
          <w:marLeft w:val="0"/>
          <w:marRight w:val="0"/>
          <w:marTop w:val="0"/>
          <w:marBottom w:val="0"/>
          <w:divBdr>
            <w:top w:val="none" w:sz="0" w:space="0" w:color="auto"/>
            <w:left w:val="none" w:sz="0" w:space="0" w:color="auto"/>
            <w:bottom w:val="none" w:sz="0" w:space="0" w:color="auto"/>
            <w:right w:val="none" w:sz="0" w:space="0" w:color="auto"/>
          </w:divBdr>
        </w:div>
        <w:div w:id="292487241">
          <w:marLeft w:val="0"/>
          <w:marRight w:val="0"/>
          <w:marTop w:val="0"/>
          <w:marBottom w:val="0"/>
          <w:divBdr>
            <w:top w:val="none" w:sz="0" w:space="0" w:color="auto"/>
            <w:left w:val="none" w:sz="0" w:space="0" w:color="auto"/>
            <w:bottom w:val="none" w:sz="0" w:space="0" w:color="auto"/>
            <w:right w:val="none" w:sz="0" w:space="0" w:color="auto"/>
          </w:divBdr>
        </w:div>
        <w:div w:id="999893062">
          <w:marLeft w:val="0"/>
          <w:marRight w:val="0"/>
          <w:marTop w:val="0"/>
          <w:marBottom w:val="0"/>
          <w:divBdr>
            <w:top w:val="none" w:sz="0" w:space="0" w:color="auto"/>
            <w:left w:val="none" w:sz="0" w:space="0" w:color="auto"/>
            <w:bottom w:val="none" w:sz="0" w:space="0" w:color="auto"/>
            <w:right w:val="none" w:sz="0" w:space="0" w:color="auto"/>
          </w:divBdr>
        </w:div>
        <w:div w:id="1320578146">
          <w:marLeft w:val="0"/>
          <w:marRight w:val="0"/>
          <w:marTop w:val="0"/>
          <w:marBottom w:val="0"/>
          <w:divBdr>
            <w:top w:val="none" w:sz="0" w:space="0" w:color="auto"/>
            <w:left w:val="none" w:sz="0" w:space="0" w:color="auto"/>
            <w:bottom w:val="none" w:sz="0" w:space="0" w:color="auto"/>
            <w:right w:val="none" w:sz="0" w:space="0" w:color="auto"/>
          </w:divBdr>
        </w:div>
        <w:div w:id="1808475520">
          <w:marLeft w:val="0"/>
          <w:marRight w:val="0"/>
          <w:marTop w:val="0"/>
          <w:marBottom w:val="0"/>
          <w:divBdr>
            <w:top w:val="none" w:sz="0" w:space="0" w:color="auto"/>
            <w:left w:val="none" w:sz="0" w:space="0" w:color="auto"/>
            <w:bottom w:val="none" w:sz="0" w:space="0" w:color="auto"/>
            <w:right w:val="none" w:sz="0" w:space="0" w:color="auto"/>
          </w:divBdr>
        </w:div>
        <w:div w:id="2004317474">
          <w:marLeft w:val="0"/>
          <w:marRight w:val="0"/>
          <w:marTop w:val="0"/>
          <w:marBottom w:val="0"/>
          <w:divBdr>
            <w:top w:val="none" w:sz="0" w:space="0" w:color="auto"/>
            <w:left w:val="none" w:sz="0" w:space="0" w:color="auto"/>
            <w:bottom w:val="none" w:sz="0" w:space="0" w:color="auto"/>
            <w:right w:val="none" w:sz="0" w:space="0" w:color="auto"/>
          </w:divBdr>
        </w:div>
        <w:div w:id="2123450967">
          <w:marLeft w:val="0"/>
          <w:marRight w:val="0"/>
          <w:marTop w:val="0"/>
          <w:marBottom w:val="0"/>
          <w:divBdr>
            <w:top w:val="none" w:sz="0" w:space="0" w:color="auto"/>
            <w:left w:val="none" w:sz="0" w:space="0" w:color="auto"/>
            <w:bottom w:val="none" w:sz="0" w:space="0" w:color="auto"/>
            <w:right w:val="none" w:sz="0" w:space="0" w:color="auto"/>
          </w:divBdr>
        </w:div>
      </w:divsChild>
    </w:div>
    <w:div w:id="328144493">
      <w:bodyDiv w:val="1"/>
      <w:marLeft w:val="0"/>
      <w:marRight w:val="0"/>
      <w:marTop w:val="0"/>
      <w:marBottom w:val="0"/>
      <w:divBdr>
        <w:top w:val="none" w:sz="0" w:space="0" w:color="auto"/>
        <w:left w:val="none" w:sz="0" w:space="0" w:color="auto"/>
        <w:bottom w:val="none" w:sz="0" w:space="0" w:color="auto"/>
        <w:right w:val="none" w:sz="0" w:space="0" w:color="auto"/>
      </w:divBdr>
      <w:divsChild>
        <w:div w:id="196699179">
          <w:marLeft w:val="0"/>
          <w:marRight w:val="0"/>
          <w:marTop w:val="0"/>
          <w:marBottom w:val="0"/>
          <w:divBdr>
            <w:top w:val="none" w:sz="0" w:space="0" w:color="auto"/>
            <w:left w:val="none" w:sz="0" w:space="0" w:color="auto"/>
            <w:bottom w:val="none" w:sz="0" w:space="0" w:color="auto"/>
            <w:right w:val="none" w:sz="0" w:space="0" w:color="auto"/>
          </w:divBdr>
        </w:div>
        <w:div w:id="574357847">
          <w:marLeft w:val="0"/>
          <w:marRight w:val="0"/>
          <w:marTop w:val="0"/>
          <w:marBottom w:val="0"/>
          <w:divBdr>
            <w:top w:val="none" w:sz="0" w:space="0" w:color="auto"/>
            <w:left w:val="none" w:sz="0" w:space="0" w:color="auto"/>
            <w:bottom w:val="none" w:sz="0" w:space="0" w:color="auto"/>
            <w:right w:val="none" w:sz="0" w:space="0" w:color="auto"/>
          </w:divBdr>
        </w:div>
        <w:div w:id="1029332274">
          <w:marLeft w:val="0"/>
          <w:marRight w:val="0"/>
          <w:marTop w:val="0"/>
          <w:marBottom w:val="0"/>
          <w:divBdr>
            <w:top w:val="none" w:sz="0" w:space="0" w:color="auto"/>
            <w:left w:val="none" w:sz="0" w:space="0" w:color="auto"/>
            <w:bottom w:val="none" w:sz="0" w:space="0" w:color="auto"/>
            <w:right w:val="none" w:sz="0" w:space="0" w:color="auto"/>
          </w:divBdr>
        </w:div>
        <w:div w:id="1491214663">
          <w:marLeft w:val="0"/>
          <w:marRight w:val="0"/>
          <w:marTop w:val="0"/>
          <w:marBottom w:val="0"/>
          <w:divBdr>
            <w:top w:val="none" w:sz="0" w:space="0" w:color="auto"/>
            <w:left w:val="none" w:sz="0" w:space="0" w:color="auto"/>
            <w:bottom w:val="none" w:sz="0" w:space="0" w:color="auto"/>
            <w:right w:val="none" w:sz="0" w:space="0" w:color="auto"/>
          </w:divBdr>
        </w:div>
        <w:div w:id="1581671629">
          <w:marLeft w:val="0"/>
          <w:marRight w:val="0"/>
          <w:marTop w:val="0"/>
          <w:marBottom w:val="0"/>
          <w:divBdr>
            <w:top w:val="none" w:sz="0" w:space="0" w:color="auto"/>
            <w:left w:val="none" w:sz="0" w:space="0" w:color="auto"/>
            <w:bottom w:val="none" w:sz="0" w:space="0" w:color="auto"/>
            <w:right w:val="none" w:sz="0" w:space="0" w:color="auto"/>
          </w:divBdr>
        </w:div>
        <w:div w:id="1908880448">
          <w:marLeft w:val="0"/>
          <w:marRight w:val="0"/>
          <w:marTop w:val="0"/>
          <w:marBottom w:val="0"/>
          <w:divBdr>
            <w:top w:val="none" w:sz="0" w:space="0" w:color="auto"/>
            <w:left w:val="none" w:sz="0" w:space="0" w:color="auto"/>
            <w:bottom w:val="none" w:sz="0" w:space="0" w:color="auto"/>
            <w:right w:val="none" w:sz="0" w:space="0" w:color="auto"/>
          </w:divBdr>
        </w:div>
        <w:div w:id="2111704706">
          <w:marLeft w:val="0"/>
          <w:marRight w:val="0"/>
          <w:marTop w:val="0"/>
          <w:marBottom w:val="0"/>
          <w:divBdr>
            <w:top w:val="none" w:sz="0" w:space="0" w:color="auto"/>
            <w:left w:val="none" w:sz="0" w:space="0" w:color="auto"/>
            <w:bottom w:val="none" w:sz="0" w:space="0" w:color="auto"/>
            <w:right w:val="none" w:sz="0" w:space="0" w:color="auto"/>
          </w:divBdr>
        </w:div>
      </w:divsChild>
    </w:div>
    <w:div w:id="492139319">
      <w:bodyDiv w:val="1"/>
      <w:marLeft w:val="0"/>
      <w:marRight w:val="0"/>
      <w:marTop w:val="0"/>
      <w:marBottom w:val="0"/>
      <w:divBdr>
        <w:top w:val="none" w:sz="0" w:space="0" w:color="auto"/>
        <w:left w:val="none" w:sz="0" w:space="0" w:color="auto"/>
        <w:bottom w:val="none" w:sz="0" w:space="0" w:color="auto"/>
        <w:right w:val="none" w:sz="0" w:space="0" w:color="auto"/>
      </w:divBdr>
    </w:div>
    <w:div w:id="635141155">
      <w:bodyDiv w:val="1"/>
      <w:marLeft w:val="0"/>
      <w:marRight w:val="0"/>
      <w:marTop w:val="0"/>
      <w:marBottom w:val="0"/>
      <w:divBdr>
        <w:top w:val="none" w:sz="0" w:space="0" w:color="auto"/>
        <w:left w:val="none" w:sz="0" w:space="0" w:color="auto"/>
        <w:bottom w:val="none" w:sz="0" w:space="0" w:color="auto"/>
        <w:right w:val="none" w:sz="0" w:space="0" w:color="auto"/>
      </w:divBdr>
    </w:div>
    <w:div w:id="652487236">
      <w:bodyDiv w:val="1"/>
      <w:marLeft w:val="0"/>
      <w:marRight w:val="0"/>
      <w:marTop w:val="0"/>
      <w:marBottom w:val="0"/>
      <w:divBdr>
        <w:top w:val="none" w:sz="0" w:space="0" w:color="auto"/>
        <w:left w:val="none" w:sz="0" w:space="0" w:color="auto"/>
        <w:bottom w:val="none" w:sz="0" w:space="0" w:color="auto"/>
        <w:right w:val="none" w:sz="0" w:space="0" w:color="auto"/>
      </w:divBdr>
      <w:divsChild>
        <w:div w:id="141774277">
          <w:marLeft w:val="0"/>
          <w:marRight w:val="0"/>
          <w:marTop w:val="0"/>
          <w:marBottom w:val="0"/>
          <w:divBdr>
            <w:top w:val="none" w:sz="0" w:space="0" w:color="auto"/>
            <w:left w:val="none" w:sz="0" w:space="0" w:color="auto"/>
            <w:bottom w:val="none" w:sz="0" w:space="0" w:color="auto"/>
            <w:right w:val="none" w:sz="0" w:space="0" w:color="auto"/>
          </w:divBdr>
          <w:divsChild>
            <w:div w:id="909778360">
              <w:marLeft w:val="0"/>
              <w:marRight w:val="0"/>
              <w:marTop w:val="0"/>
              <w:marBottom w:val="0"/>
              <w:divBdr>
                <w:top w:val="none" w:sz="0" w:space="0" w:color="auto"/>
                <w:left w:val="none" w:sz="0" w:space="0" w:color="auto"/>
                <w:bottom w:val="none" w:sz="0" w:space="0" w:color="auto"/>
                <w:right w:val="none" w:sz="0" w:space="0" w:color="auto"/>
              </w:divBdr>
            </w:div>
            <w:div w:id="107030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685622">
      <w:bodyDiv w:val="1"/>
      <w:marLeft w:val="0"/>
      <w:marRight w:val="0"/>
      <w:marTop w:val="0"/>
      <w:marBottom w:val="0"/>
      <w:divBdr>
        <w:top w:val="none" w:sz="0" w:space="0" w:color="auto"/>
        <w:left w:val="none" w:sz="0" w:space="0" w:color="auto"/>
        <w:bottom w:val="none" w:sz="0" w:space="0" w:color="auto"/>
        <w:right w:val="none" w:sz="0" w:space="0" w:color="auto"/>
      </w:divBdr>
      <w:divsChild>
        <w:div w:id="6292209">
          <w:marLeft w:val="0"/>
          <w:marRight w:val="0"/>
          <w:marTop w:val="0"/>
          <w:marBottom w:val="0"/>
          <w:divBdr>
            <w:top w:val="none" w:sz="0" w:space="0" w:color="auto"/>
            <w:left w:val="none" w:sz="0" w:space="0" w:color="auto"/>
            <w:bottom w:val="none" w:sz="0" w:space="0" w:color="auto"/>
            <w:right w:val="none" w:sz="0" w:space="0" w:color="auto"/>
          </w:divBdr>
        </w:div>
        <w:div w:id="69088043">
          <w:marLeft w:val="0"/>
          <w:marRight w:val="0"/>
          <w:marTop w:val="0"/>
          <w:marBottom w:val="0"/>
          <w:divBdr>
            <w:top w:val="none" w:sz="0" w:space="0" w:color="auto"/>
            <w:left w:val="none" w:sz="0" w:space="0" w:color="auto"/>
            <w:bottom w:val="none" w:sz="0" w:space="0" w:color="auto"/>
            <w:right w:val="none" w:sz="0" w:space="0" w:color="auto"/>
          </w:divBdr>
        </w:div>
        <w:div w:id="144666196">
          <w:marLeft w:val="0"/>
          <w:marRight w:val="0"/>
          <w:marTop w:val="0"/>
          <w:marBottom w:val="0"/>
          <w:divBdr>
            <w:top w:val="none" w:sz="0" w:space="0" w:color="auto"/>
            <w:left w:val="none" w:sz="0" w:space="0" w:color="auto"/>
            <w:bottom w:val="none" w:sz="0" w:space="0" w:color="auto"/>
            <w:right w:val="none" w:sz="0" w:space="0" w:color="auto"/>
          </w:divBdr>
        </w:div>
        <w:div w:id="166748075">
          <w:marLeft w:val="0"/>
          <w:marRight w:val="0"/>
          <w:marTop w:val="0"/>
          <w:marBottom w:val="0"/>
          <w:divBdr>
            <w:top w:val="none" w:sz="0" w:space="0" w:color="auto"/>
            <w:left w:val="none" w:sz="0" w:space="0" w:color="auto"/>
            <w:bottom w:val="none" w:sz="0" w:space="0" w:color="auto"/>
            <w:right w:val="none" w:sz="0" w:space="0" w:color="auto"/>
          </w:divBdr>
        </w:div>
        <w:div w:id="190655389">
          <w:marLeft w:val="0"/>
          <w:marRight w:val="0"/>
          <w:marTop w:val="0"/>
          <w:marBottom w:val="0"/>
          <w:divBdr>
            <w:top w:val="none" w:sz="0" w:space="0" w:color="auto"/>
            <w:left w:val="none" w:sz="0" w:space="0" w:color="auto"/>
            <w:bottom w:val="none" w:sz="0" w:space="0" w:color="auto"/>
            <w:right w:val="none" w:sz="0" w:space="0" w:color="auto"/>
          </w:divBdr>
        </w:div>
        <w:div w:id="197357871">
          <w:marLeft w:val="0"/>
          <w:marRight w:val="0"/>
          <w:marTop w:val="0"/>
          <w:marBottom w:val="0"/>
          <w:divBdr>
            <w:top w:val="none" w:sz="0" w:space="0" w:color="auto"/>
            <w:left w:val="none" w:sz="0" w:space="0" w:color="auto"/>
            <w:bottom w:val="none" w:sz="0" w:space="0" w:color="auto"/>
            <w:right w:val="none" w:sz="0" w:space="0" w:color="auto"/>
          </w:divBdr>
        </w:div>
        <w:div w:id="208300327">
          <w:marLeft w:val="0"/>
          <w:marRight w:val="0"/>
          <w:marTop w:val="0"/>
          <w:marBottom w:val="0"/>
          <w:divBdr>
            <w:top w:val="none" w:sz="0" w:space="0" w:color="auto"/>
            <w:left w:val="none" w:sz="0" w:space="0" w:color="auto"/>
            <w:bottom w:val="none" w:sz="0" w:space="0" w:color="auto"/>
            <w:right w:val="none" w:sz="0" w:space="0" w:color="auto"/>
          </w:divBdr>
        </w:div>
        <w:div w:id="224412218">
          <w:marLeft w:val="0"/>
          <w:marRight w:val="0"/>
          <w:marTop w:val="0"/>
          <w:marBottom w:val="0"/>
          <w:divBdr>
            <w:top w:val="none" w:sz="0" w:space="0" w:color="auto"/>
            <w:left w:val="none" w:sz="0" w:space="0" w:color="auto"/>
            <w:bottom w:val="none" w:sz="0" w:space="0" w:color="auto"/>
            <w:right w:val="none" w:sz="0" w:space="0" w:color="auto"/>
          </w:divBdr>
        </w:div>
        <w:div w:id="270820357">
          <w:marLeft w:val="0"/>
          <w:marRight w:val="0"/>
          <w:marTop w:val="0"/>
          <w:marBottom w:val="0"/>
          <w:divBdr>
            <w:top w:val="none" w:sz="0" w:space="0" w:color="auto"/>
            <w:left w:val="none" w:sz="0" w:space="0" w:color="auto"/>
            <w:bottom w:val="none" w:sz="0" w:space="0" w:color="auto"/>
            <w:right w:val="none" w:sz="0" w:space="0" w:color="auto"/>
          </w:divBdr>
        </w:div>
        <w:div w:id="273220054">
          <w:marLeft w:val="0"/>
          <w:marRight w:val="0"/>
          <w:marTop w:val="0"/>
          <w:marBottom w:val="0"/>
          <w:divBdr>
            <w:top w:val="none" w:sz="0" w:space="0" w:color="auto"/>
            <w:left w:val="none" w:sz="0" w:space="0" w:color="auto"/>
            <w:bottom w:val="none" w:sz="0" w:space="0" w:color="auto"/>
            <w:right w:val="none" w:sz="0" w:space="0" w:color="auto"/>
          </w:divBdr>
        </w:div>
        <w:div w:id="274095244">
          <w:marLeft w:val="0"/>
          <w:marRight w:val="0"/>
          <w:marTop w:val="0"/>
          <w:marBottom w:val="0"/>
          <w:divBdr>
            <w:top w:val="none" w:sz="0" w:space="0" w:color="auto"/>
            <w:left w:val="none" w:sz="0" w:space="0" w:color="auto"/>
            <w:bottom w:val="none" w:sz="0" w:space="0" w:color="auto"/>
            <w:right w:val="none" w:sz="0" w:space="0" w:color="auto"/>
          </w:divBdr>
        </w:div>
        <w:div w:id="341051445">
          <w:marLeft w:val="0"/>
          <w:marRight w:val="0"/>
          <w:marTop w:val="0"/>
          <w:marBottom w:val="0"/>
          <w:divBdr>
            <w:top w:val="none" w:sz="0" w:space="0" w:color="auto"/>
            <w:left w:val="none" w:sz="0" w:space="0" w:color="auto"/>
            <w:bottom w:val="none" w:sz="0" w:space="0" w:color="auto"/>
            <w:right w:val="none" w:sz="0" w:space="0" w:color="auto"/>
          </w:divBdr>
        </w:div>
        <w:div w:id="402876599">
          <w:marLeft w:val="0"/>
          <w:marRight w:val="0"/>
          <w:marTop w:val="0"/>
          <w:marBottom w:val="0"/>
          <w:divBdr>
            <w:top w:val="none" w:sz="0" w:space="0" w:color="auto"/>
            <w:left w:val="none" w:sz="0" w:space="0" w:color="auto"/>
            <w:bottom w:val="none" w:sz="0" w:space="0" w:color="auto"/>
            <w:right w:val="none" w:sz="0" w:space="0" w:color="auto"/>
          </w:divBdr>
        </w:div>
        <w:div w:id="559247678">
          <w:marLeft w:val="0"/>
          <w:marRight w:val="0"/>
          <w:marTop w:val="0"/>
          <w:marBottom w:val="0"/>
          <w:divBdr>
            <w:top w:val="none" w:sz="0" w:space="0" w:color="auto"/>
            <w:left w:val="none" w:sz="0" w:space="0" w:color="auto"/>
            <w:bottom w:val="none" w:sz="0" w:space="0" w:color="auto"/>
            <w:right w:val="none" w:sz="0" w:space="0" w:color="auto"/>
          </w:divBdr>
        </w:div>
        <w:div w:id="601840039">
          <w:marLeft w:val="0"/>
          <w:marRight w:val="0"/>
          <w:marTop w:val="0"/>
          <w:marBottom w:val="0"/>
          <w:divBdr>
            <w:top w:val="none" w:sz="0" w:space="0" w:color="auto"/>
            <w:left w:val="none" w:sz="0" w:space="0" w:color="auto"/>
            <w:bottom w:val="none" w:sz="0" w:space="0" w:color="auto"/>
            <w:right w:val="none" w:sz="0" w:space="0" w:color="auto"/>
          </w:divBdr>
        </w:div>
        <w:div w:id="606499110">
          <w:marLeft w:val="0"/>
          <w:marRight w:val="0"/>
          <w:marTop w:val="0"/>
          <w:marBottom w:val="0"/>
          <w:divBdr>
            <w:top w:val="none" w:sz="0" w:space="0" w:color="auto"/>
            <w:left w:val="none" w:sz="0" w:space="0" w:color="auto"/>
            <w:bottom w:val="none" w:sz="0" w:space="0" w:color="auto"/>
            <w:right w:val="none" w:sz="0" w:space="0" w:color="auto"/>
          </w:divBdr>
        </w:div>
        <w:div w:id="782111590">
          <w:marLeft w:val="0"/>
          <w:marRight w:val="0"/>
          <w:marTop w:val="0"/>
          <w:marBottom w:val="0"/>
          <w:divBdr>
            <w:top w:val="none" w:sz="0" w:space="0" w:color="auto"/>
            <w:left w:val="none" w:sz="0" w:space="0" w:color="auto"/>
            <w:bottom w:val="none" w:sz="0" w:space="0" w:color="auto"/>
            <w:right w:val="none" w:sz="0" w:space="0" w:color="auto"/>
          </w:divBdr>
        </w:div>
        <w:div w:id="791822411">
          <w:marLeft w:val="0"/>
          <w:marRight w:val="0"/>
          <w:marTop w:val="0"/>
          <w:marBottom w:val="0"/>
          <w:divBdr>
            <w:top w:val="none" w:sz="0" w:space="0" w:color="auto"/>
            <w:left w:val="none" w:sz="0" w:space="0" w:color="auto"/>
            <w:bottom w:val="none" w:sz="0" w:space="0" w:color="auto"/>
            <w:right w:val="none" w:sz="0" w:space="0" w:color="auto"/>
          </w:divBdr>
        </w:div>
        <w:div w:id="912812203">
          <w:marLeft w:val="0"/>
          <w:marRight w:val="0"/>
          <w:marTop w:val="0"/>
          <w:marBottom w:val="0"/>
          <w:divBdr>
            <w:top w:val="none" w:sz="0" w:space="0" w:color="auto"/>
            <w:left w:val="none" w:sz="0" w:space="0" w:color="auto"/>
            <w:bottom w:val="none" w:sz="0" w:space="0" w:color="auto"/>
            <w:right w:val="none" w:sz="0" w:space="0" w:color="auto"/>
          </w:divBdr>
        </w:div>
        <w:div w:id="1020007701">
          <w:marLeft w:val="0"/>
          <w:marRight w:val="0"/>
          <w:marTop w:val="0"/>
          <w:marBottom w:val="0"/>
          <w:divBdr>
            <w:top w:val="none" w:sz="0" w:space="0" w:color="auto"/>
            <w:left w:val="none" w:sz="0" w:space="0" w:color="auto"/>
            <w:bottom w:val="none" w:sz="0" w:space="0" w:color="auto"/>
            <w:right w:val="none" w:sz="0" w:space="0" w:color="auto"/>
          </w:divBdr>
        </w:div>
        <w:div w:id="1052655692">
          <w:marLeft w:val="0"/>
          <w:marRight w:val="0"/>
          <w:marTop w:val="0"/>
          <w:marBottom w:val="0"/>
          <w:divBdr>
            <w:top w:val="none" w:sz="0" w:space="0" w:color="auto"/>
            <w:left w:val="none" w:sz="0" w:space="0" w:color="auto"/>
            <w:bottom w:val="none" w:sz="0" w:space="0" w:color="auto"/>
            <w:right w:val="none" w:sz="0" w:space="0" w:color="auto"/>
          </w:divBdr>
        </w:div>
        <w:div w:id="1054357271">
          <w:marLeft w:val="0"/>
          <w:marRight w:val="0"/>
          <w:marTop w:val="0"/>
          <w:marBottom w:val="0"/>
          <w:divBdr>
            <w:top w:val="none" w:sz="0" w:space="0" w:color="auto"/>
            <w:left w:val="none" w:sz="0" w:space="0" w:color="auto"/>
            <w:bottom w:val="none" w:sz="0" w:space="0" w:color="auto"/>
            <w:right w:val="none" w:sz="0" w:space="0" w:color="auto"/>
          </w:divBdr>
        </w:div>
        <w:div w:id="1061976944">
          <w:marLeft w:val="0"/>
          <w:marRight w:val="0"/>
          <w:marTop w:val="0"/>
          <w:marBottom w:val="0"/>
          <w:divBdr>
            <w:top w:val="none" w:sz="0" w:space="0" w:color="auto"/>
            <w:left w:val="none" w:sz="0" w:space="0" w:color="auto"/>
            <w:bottom w:val="none" w:sz="0" w:space="0" w:color="auto"/>
            <w:right w:val="none" w:sz="0" w:space="0" w:color="auto"/>
          </w:divBdr>
        </w:div>
        <w:div w:id="1130169658">
          <w:marLeft w:val="0"/>
          <w:marRight w:val="0"/>
          <w:marTop w:val="0"/>
          <w:marBottom w:val="0"/>
          <w:divBdr>
            <w:top w:val="none" w:sz="0" w:space="0" w:color="auto"/>
            <w:left w:val="none" w:sz="0" w:space="0" w:color="auto"/>
            <w:bottom w:val="none" w:sz="0" w:space="0" w:color="auto"/>
            <w:right w:val="none" w:sz="0" w:space="0" w:color="auto"/>
          </w:divBdr>
        </w:div>
        <w:div w:id="1251233747">
          <w:marLeft w:val="0"/>
          <w:marRight w:val="0"/>
          <w:marTop w:val="0"/>
          <w:marBottom w:val="0"/>
          <w:divBdr>
            <w:top w:val="none" w:sz="0" w:space="0" w:color="auto"/>
            <w:left w:val="none" w:sz="0" w:space="0" w:color="auto"/>
            <w:bottom w:val="none" w:sz="0" w:space="0" w:color="auto"/>
            <w:right w:val="none" w:sz="0" w:space="0" w:color="auto"/>
          </w:divBdr>
        </w:div>
        <w:div w:id="1260408845">
          <w:marLeft w:val="0"/>
          <w:marRight w:val="0"/>
          <w:marTop w:val="0"/>
          <w:marBottom w:val="0"/>
          <w:divBdr>
            <w:top w:val="none" w:sz="0" w:space="0" w:color="auto"/>
            <w:left w:val="none" w:sz="0" w:space="0" w:color="auto"/>
            <w:bottom w:val="none" w:sz="0" w:space="0" w:color="auto"/>
            <w:right w:val="none" w:sz="0" w:space="0" w:color="auto"/>
          </w:divBdr>
        </w:div>
        <w:div w:id="1277298229">
          <w:marLeft w:val="0"/>
          <w:marRight w:val="0"/>
          <w:marTop w:val="0"/>
          <w:marBottom w:val="0"/>
          <w:divBdr>
            <w:top w:val="none" w:sz="0" w:space="0" w:color="auto"/>
            <w:left w:val="none" w:sz="0" w:space="0" w:color="auto"/>
            <w:bottom w:val="none" w:sz="0" w:space="0" w:color="auto"/>
            <w:right w:val="none" w:sz="0" w:space="0" w:color="auto"/>
          </w:divBdr>
        </w:div>
        <w:div w:id="1307585298">
          <w:marLeft w:val="0"/>
          <w:marRight w:val="0"/>
          <w:marTop w:val="0"/>
          <w:marBottom w:val="0"/>
          <w:divBdr>
            <w:top w:val="none" w:sz="0" w:space="0" w:color="auto"/>
            <w:left w:val="none" w:sz="0" w:space="0" w:color="auto"/>
            <w:bottom w:val="none" w:sz="0" w:space="0" w:color="auto"/>
            <w:right w:val="none" w:sz="0" w:space="0" w:color="auto"/>
          </w:divBdr>
        </w:div>
        <w:div w:id="1314220323">
          <w:marLeft w:val="0"/>
          <w:marRight w:val="0"/>
          <w:marTop w:val="0"/>
          <w:marBottom w:val="0"/>
          <w:divBdr>
            <w:top w:val="none" w:sz="0" w:space="0" w:color="auto"/>
            <w:left w:val="none" w:sz="0" w:space="0" w:color="auto"/>
            <w:bottom w:val="none" w:sz="0" w:space="0" w:color="auto"/>
            <w:right w:val="none" w:sz="0" w:space="0" w:color="auto"/>
          </w:divBdr>
        </w:div>
        <w:div w:id="1359549441">
          <w:marLeft w:val="0"/>
          <w:marRight w:val="0"/>
          <w:marTop w:val="0"/>
          <w:marBottom w:val="0"/>
          <w:divBdr>
            <w:top w:val="none" w:sz="0" w:space="0" w:color="auto"/>
            <w:left w:val="none" w:sz="0" w:space="0" w:color="auto"/>
            <w:bottom w:val="none" w:sz="0" w:space="0" w:color="auto"/>
            <w:right w:val="none" w:sz="0" w:space="0" w:color="auto"/>
          </w:divBdr>
        </w:div>
        <w:div w:id="1405488477">
          <w:marLeft w:val="0"/>
          <w:marRight w:val="0"/>
          <w:marTop w:val="0"/>
          <w:marBottom w:val="0"/>
          <w:divBdr>
            <w:top w:val="none" w:sz="0" w:space="0" w:color="auto"/>
            <w:left w:val="none" w:sz="0" w:space="0" w:color="auto"/>
            <w:bottom w:val="none" w:sz="0" w:space="0" w:color="auto"/>
            <w:right w:val="none" w:sz="0" w:space="0" w:color="auto"/>
          </w:divBdr>
        </w:div>
        <w:div w:id="1467315538">
          <w:marLeft w:val="0"/>
          <w:marRight w:val="0"/>
          <w:marTop w:val="0"/>
          <w:marBottom w:val="0"/>
          <w:divBdr>
            <w:top w:val="none" w:sz="0" w:space="0" w:color="auto"/>
            <w:left w:val="none" w:sz="0" w:space="0" w:color="auto"/>
            <w:bottom w:val="none" w:sz="0" w:space="0" w:color="auto"/>
            <w:right w:val="none" w:sz="0" w:space="0" w:color="auto"/>
          </w:divBdr>
        </w:div>
        <w:div w:id="1547329217">
          <w:marLeft w:val="0"/>
          <w:marRight w:val="0"/>
          <w:marTop w:val="0"/>
          <w:marBottom w:val="0"/>
          <w:divBdr>
            <w:top w:val="none" w:sz="0" w:space="0" w:color="auto"/>
            <w:left w:val="none" w:sz="0" w:space="0" w:color="auto"/>
            <w:bottom w:val="none" w:sz="0" w:space="0" w:color="auto"/>
            <w:right w:val="none" w:sz="0" w:space="0" w:color="auto"/>
          </w:divBdr>
        </w:div>
        <w:div w:id="1568611455">
          <w:marLeft w:val="0"/>
          <w:marRight w:val="0"/>
          <w:marTop w:val="0"/>
          <w:marBottom w:val="0"/>
          <w:divBdr>
            <w:top w:val="none" w:sz="0" w:space="0" w:color="auto"/>
            <w:left w:val="none" w:sz="0" w:space="0" w:color="auto"/>
            <w:bottom w:val="none" w:sz="0" w:space="0" w:color="auto"/>
            <w:right w:val="none" w:sz="0" w:space="0" w:color="auto"/>
          </w:divBdr>
        </w:div>
        <w:div w:id="1595282150">
          <w:marLeft w:val="0"/>
          <w:marRight w:val="0"/>
          <w:marTop w:val="0"/>
          <w:marBottom w:val="0"/>
          <w:divBdr>
            <w:top w:val="none" w:sz="0" w:space="0" w:color="auto"/>
            <w:left w:val="none" w:sz="0" w:space="0" w:color="auto"/>
            <w:bottom w:val="none" w:sz="0" w:space="0" w:color="auto"/>
            <w:right w:val="none" w:sz="0" w:space="0" w:color="auto"/>
          </w:divBdr>
        </w:div>
        <w:div w:id="1610746397">
          <w:marLeft w:val="0"/>
          <w:marRight w:val="0"/>
          <w:marTop w:val="0"/>
          <w:marBottom w:val="0"/>
          <w:divBdr>
            <w:top w:val="none" w:sz="0" w:space="0" w:color="auto"/>
            <w:left w:val="none" w:sz="0" w:space="0" w:color="auto"/>
            <w:bottom w:val="none" w:sz="0" w:space="0" w:color="auto"/>
            <w:right w:val="none" w:sz="0" w:space="0" w:color="auto"/>
          </w:divBdr>
        </w:div>
        <w:div w:id="1617442247">
          <w:marLeft w:val="0"/>
          <w:marRight w:val="0"/>
          <w:marTop w:val="0"/>
          <w:marBottom w:val="0"/>
          <w:divBdr>
            <w:top w:val="none" w:sz="0" w:space="0" w:color="auto"/>
            <w:left w:val="none" w:sz="0" w:space="0" w:color="auto"/>
            <w:bottom w:val="none" w:sz="0" w:space="0" w:color="auto"/>
            <w:right w:val="none" w:sz="0" w:space="0" w:color="auto"/>
          </w:divBdr>
        </w:div>
        <w:div w:id="1672833415">
          <w:marLeft w:val="0"/>
          <w:marRight w:val="0"/>
          <w:marTop w:val="0"/>
          <w:marBottom w:val="0"/>
          <w:divBdr>
            <w:top w:val="none" w:sz="0" w:space="0" w:color="auto"/>
            <w:left w:val="none" w:sz="0" w:space="0" w:color="auto"/>
            <w:bottom w:val="none" w:sz="0" w:space="0" w:color="auto"/>
            <w:right w:val="none" w:sz="0" w:space="0" w:color="auto"/>
          </w:divBdr>
        </w:div>
        <w:div w:id="1807356632">
          <w:marLeft w:val="0"/>
          <w:marRight w:val="0"/>
          <w:marTop w:val="0"/>
          <w:marBottom w:val="0"/>
          <w:divBdr>
            <w:top w:val="none" w:sz="0" w:space="0" w:color="auto"/>
            <w:left w:val="none" w:sz="0" w:space="0" w:color="auto"/>
            <w:bottom w:val="none" w:sz="0" w:space="0" w:color="auto"/>
            <w:right w:val="none" w:sz="0" w:space="0" w:color="auto"/>
          </w:divBdr>
        </w:div>
        <w:div w:id="1830705295">
          <w:marLeft w:val="0"/>
          <w:marRight w:val="0"/>
          <w:marTop w:val="0"/>
          <w:marBottom w:val="0"/>
          <w:divBdr>
            <w:top w:val="none" w:sz="0" w:space="0" w:color="auto"/>
            <w:left w:val="none" w:sz="0" w:space="0" w:color="auto"/>
            <w:bottom w:val="none" w:sz="0" w:space="0" w:color="auto"/>
            <w:right w:val="none" w:sz="0" w:space="0" w:color="auto"/>
          </w:divBdr>
        </w:div>
        <w:div w:id="1831093829">
          <w:marLeft w:val="0"/>
          <w:marRight w:val="0"/>
          <w:marTop w:val="0"/>
          <w:marBottom w:val="0"/>
          <w:divBdr>
            <w:top w:val="none" w:sz="0" w:space="0" w:color="auto"/>
            <w:left w:val="none" w:sz="0" w:space="0" w:color="auto"/>
            <w:bottom w:val="none" w:sz="0" w:space="0" w:color="auto"/>
            <w:right w:val="none" w:sz="0" w:space="0" w:color="auto"/>
          </w:divBdr>
        </w:div>
        <w:div w:id="1894853049">
          <w:marLeft w:val="0"/>
          <w:marRight w:val="0"/>
          <w:marTop w:val="0"/>
          <w:marBottom w:val="0"/>
          <w:divBdr>
            <w:top w:val="none" w:sz="0" w:space="0" w:color="auto"/>
            <w:left w:val="none" w:sz="0" w:space="0" w:color="auto"/>
            <w:bottom w:val="none" w:sz="0" w:space="0" w:color="auto"/>
            <w:right w:val="none" w:sz="0" w:space="0" w:color="auto"/>
          </w:divBdr>
        </w:div>
        <w:div w:id="1956251140">
          <w:marLeft w:val="0"/>
          <w:marRight w:val="0"/>
          <w:marTop w:val="0"/>
          <w:marBottom w:val="0"/>
          <w:divBdr>
            <w:top w:val="none" w:sz="0" w:space="0" w:color="auto"/>
            <w:left w:val="none" w:sz="0" w:space="0" w:color="auto"/>
            <w:bottom w:val="none" w:sz="0" w:space="0" w:color="auto"/>
            <w:right w:val="none" w:sz="0" w:space="0" w:color="auto"/>
          </w:divBdr>
        </w:div>
        <w:div w:id="1971471730">
          <w:marLeft w:val="0"/>
          <w:marRight w:val="0"/>
          <w:marTop w:val="0"/>
          <w:marBottom w:val="0"/>
          <w:divBdr>
            <w:top w:val="none" w:sz="0" w:space="0" w:color="auto"/>
            <w:left w:val="none" w:sz="0" w:space="0" w:color="auto"/>
            <w:bottom w:val="none" w:sz="0" w:space="0" w:color="auto"/>
            <w:right w:val="none" w:sz="0" w:space="0" w:color="auto"/>
          </w:divBdr>
        </w:div>
        <w:div w:id="1972468817">
          <w:marLeft w:val="0"/>
          <w:marRight w:val="0"/>
          <w:marTop w:val="0"/>
          <w:marBottom w:val="0"/>
          <w:divBdr>
            <w:top w:val="none" w:sz="0" w:space="0" w:color="auto"/>
            <w:left w:val="none" w:sz="0" w:space="0" w:color="auto"/>
            <w:bottom w:val="none" w:sz="0" w:space="0" w:color="auto"/>
            <w:right w:val="none" w:sz="0" w:space="0" w:color="auto"/>
          </w:divBdr>
        </w:div>
        <w:div w:id="1982997854">
          <w:marLeft w:val="0"/>
          <w:marRight w:val="0"/>
          <w:marTop w:val="0"/>
          <w:marBottom w:val="0"/>
          <w:divBdr>
            <w:top w:val="none" w:sz="0" w:space="0" w:color="auto"/>
            <w:left w:val="none" w:sz="0" w:space="0" w:color="auto"/>
            <w:bottom w:val="none" w:sz="0" w:space="0" w:color="auto"/>
            <w:right w:val="none" w:sz="0" w:space="0" w:color="auto"/>
          </w:divBdr>
        </w:div>
        <w:div w:id="2097364496">
          <w:marLeft w:val="0"/>
          <w:marRight w:val="0"/>
          <w:marTop w:val="0"/>
          <w:marBottom w:val="0"/>
          <w:divBdr>
            <w:top w:val="none" w:sz="0" w:space="0" w:color="auto"/>
            <w:left w:val="none" w:sz="0" w:space="0" w:color="auto"/>
            <w:bottom w:val="none" w:sz="0" w:space="0" w:color="auto"/>
            <w:right w:val="none" w:sz="0" w:space="0" w:color="auto"/>
          </w:divBdr>
        </w:div>
        <w:div w:id="2119369394">
          <w:marLeft w:val="0"/>
          <w:marRight w:val="0"/>
          <w:marTop w:val="0"/>
          <w:marBottom w:val="0"/>
          <w:divBdr>
            <w:top w:val="none" w:sz="0" w:space="0" w:color="auto"/>
            <w:left w:val="none" w:sz="0" w:space="0" w:color="auto"/>
            <w:bottom w:val="none" w:sz="0" w:space="0" w:color="auto"/>
            <w:right w:val="none" w:sz="0" w:space="0" w:color="auto"/>
          </w:divBdr>
        </w:div>
      </w:divsChild>
    </w:div>
    <w:div w:id="712728759">
      <w:bodyDiv w:val="1"/>
      <w:marLeft w:val="0"/>
      <w:marRight w:val="0"/>
      <w:marTop w:val="0"/>
      <w:marBottom w:val="0"/>
      <w:divBdr>
        <w:top w:val="none" w:sz="0" w:space="0" w:color="auto"/>
        <w:left w:val="none" w:sz="0" w:space="0" w:color="auto"/>
        <w:bottom w:val="none" w:sz="0" w:space="0" w:color="auto"/>
        <w:right w:val="none" w:sz="0" w:space="0" w:color="auto"/>
      </w:divBdr>
      <w:divsChild>
        <w:div w:id="343016617">
          <w:marLeft w:val="0"/>
          <w:marRight w:val="0"/>
          <w:marTop w:val="0"/>
          <w:marBottom w:val="0"/>
          <w:divBdr>
            <w:top w:val="none" w:sz="0" w:space="0" w:color="auto"/>
            <w:left w:val="none" w:sz="0" w:space="0" w:color="auto"/>
            <w:bottom w:val="none" w:sz="0" w:space="0" w:color="auto"/>
            <w:right w:val="none" w:sz="0" w:space="0" w:color="auto"/>
          </w:divBdr>
        </w:div>
        <w:div w:id="590968998">
          <w:marLeft w:val="0"/>
          <w:marRight w:val="0"/>
          <w:marTop w:val="0"/>
          <w:marBottom w:val="0"/>
          <w:divBdr>
            <w:top w:val="none" w:sz="0" w:space="0" w:color="auto"/>
            <w:left w:val="none" w:sz="0" w:space="0" w:color="auto"/>
            <w:bottom w:val="none" w:sz="0" w:space="0" w:color="auto"/>
            <w:right w:val="none" w:sz="0" w:space="0" w:color="auto"/>
          </w:divBdr>
        </w:div>
        <w:div w:id="893583935">
          <w:marLeft w:val="0"/>
          <w:marRight w:val="0"/>
          <w:marTop w:val="0"/>
          <w:marBottom w:val="0"/>
          <w:divBdr>
            <w:top w:val="none" w:sz="0" w:space="0" w:color="auto"/>
            <w:left w:val="none" w:sz="0" w:space="0" w:color="auto"/>
            <w:bottom w:val="none" w:sz="0" w:space="0" w:color="auto"/>
            <w:right w:val="none" w:sz="0" w:space="0" w:color="auto"/>
          </w:divBdr>
        </w:div>
        <w:div w:id="1302232524">
          <w:marLeft w:val="0"/>
          <w:marRight w:val="0"/>
          <w:marTop w:val="0"/>
          <w:marBottom w:val="0"/>
          <w:divBdr>
            <w:top w:val="none" w:sz="0" w:space="0" w:color="auto"/>
            <w:left w:val="none" w:sz="0" w:space="0" w:color="auto"/>
            <w:bottom w:val="none" w:sz="0" w:space="0" w:color="auto"/>
            <w:right w:val="none" w:sz="0" w:space="0" w:color="auto"/>
          </w:divBdr>
        </w:div>
      </w:divsChild>
    </w:div>
    <w:div w:id="746802289">
      <w:bodyDiv w:val="1"/>
      <w:marLeft w:val="0"/>
      <w:marRight w:val="0"/>
      <w:marTop w:val="0"/>
      <w:marBottom w:val="0"/>
      <w:divBdr>
        <w:top w:val="none" w:sz="0" w:space="0" w:color="auto"/>
        <w:left w:val="none" w:sz="0" w:space="0" w:color="auto"/>
        <w:bottom w:val="none" w:sz="0" w:space="0" w:color="auto"/>
        <w:right w:val="none" w:sz="0" w:space="0" w:color="auto"/>
      </w:divBdr>
      <w:divsChild>
        <w:div w:id="828860561">
          <w:marLeft w:val="0"/>
          <w:marRight w:val="0"/>
          <w:marTop w:val="0"/>
          <w:marBottom w:val="0"/>
          <w:divBdr>
            <w:top w:val="none" w:sz="0" w:space="0" w:color="auto"/>
            <w:left w:val="none" w:sz="0" w:space="0" w:color="auto"/>
            <w:bottom w:val="none" w:sz="0" w:space="0" w:color="auto"/>
            <w:right w:val="none" w:sz="0" w:space="0" w:color="auto"/>
          </w:divBdr>
        </w:div>
        <w:div w:id="896745278">
          <w:marLeft w:val="0"/>
          <w:marRight w:val="0"/>
          <w:marTop w:val="0"/>
          <w:marBottom w:val="0"/>
          <w:divBdr>
            <w:top w:val="none" w:sz="0" w:space="0" w:color="auto"/>
            <w:left w:val="none" w:sz="0" w:space="0" w:color="auto"/>
            <w:bottom w:val="none" w:sz="0" w:space="0" w:color="auto"/>
            <w:right w:val="none" w:sz="0" w:space="0" w:color="auto"/>
          </w:divBdr>
        </w:div>
        <w:div w:id="964850457">
          <w:marLeft w:val="0"/>
          <w:marRight w:val="0"/>
          <w:marTop w:val="0"/>
          <w:marBottom w:val="0"/>
          <w:divBdr>
            <w:top w:val="none" w:sz="0" w:space="0" w:color="auto"/>
            <w:left w:val="none" w:sz="0" w:space="0" w:color="auto"/>
            <w:bottom w:val="none" w:sz="0" w:space="0" w:color="auto"/>
            <w:right w:val="none" w:sz="0" w:space="0" w:color="auto"/>
          </w:divBdr>
        </w:div>
        <w:div w:id="1338725987">
          <w:marLeft w:val="0"/>
          <w:marRight w:val="0"/>
          <w:marTop w:val="0"/>
          <w:marBottom w:val="0"/>
          <w:divBdr>
            <w:top w:val="none" w:sz="0" w:space="0" w:color="auto"/>
            <w:left w:val="none" w:sz="0" w:space="0" w:color="auto"/>
            <w:bottom w:val="none" w:sz="0" w:space="0" w:color="auto"/>
            <w:right w:val="none" w:sz="0" w:space="0" w:color="auto"/>
          </w:divBdr>
        </w:div>
      </w:divsChild>
    </w:div>
    <w:div w:id="846944051">
      <w:bodyDiv w:val="1"/>
      <w:marLeft w:val="0"/>
      <w:marRight w:val="0"/>
      <w:marTop w:val="0"/>
      <w:marBottom w:val="0"/>
      <w:divBdr>
        <w:top w:val="none" w:sz="0" w:space="0" w:color="auto"/>
        <w:left w:val="none" w:sz="0" w:space="0" w:color="auto"/>
        <w:bottom w:val="none" w:sz="0" w:space="0" w:color="auto"/>
        <w:right w:val="none" w:sz="0" w:space="0" w:color="auto"/>
      </w:divBdr>
      <w:divsChild>
        <w:div w:id="1009211389">
          <w:marLeft w:val="0"/>
          <w:marRight w:val="0"/>
          <w:marTop w:val="0"/>
          <w:marBottom w:val="0"/>
          <w:divBdr>
            <w:top w:val="none" w:sz="0" w:space="0" w:color="auto"/>
            <w:left w:val="none" w:sz="0" w:space="0" w:color="auto"/>
            <w:bottom w:val="none" w:sz="0" w:space="0" w:color="auto"/>
            <w:right w:val="none" w:sz="0" w:space="0" w:color="auto"/>
          </w:divBdr>
        </w:div>
        <w:div w:id="632441275">
          <w:marLeft w:val="0"/>
          <w:marRight w:val="0"/>
          <w:marTop w:val="0"/>
          <w:marBottom w:val="0"/>
          <w:divBdr>
            <w:top w:val="none" w:sz="0" w:space="0" w:color="auto"/>
            <w:left w:val="none" w:sz="0" w:space="0" w:color="auto"/>
            <w:bottom w:val="none" w:sz="0" w:space="0" w:color="auto"/>
            <w:right w:val="none" w:sz="0" w:space="0" w:color="auto"/>
          </w:divBdr>
        </w:div>
        <w:div w:id="531845404">
          <w:marLeft w:val="0"/>
          <w:marRight w:val="0"/>
          <w:marTop w:val="0"/>
          <w:marBottom w:val="0"/>
          <w:divBdr>
            <w:top w:val="none" w:sz="0" w:space="0" w:color="auto"/>
            <w:left w:val="none" w:sz="0" w:space="0" w:color="auto"/>
            <w:bottom w:val="none" w:sz="0" w:space="0" w:color="auto"/>
            <w:right w:val="none" w:sz="0" w:space="0" w:color="auto"/>
          </w:divBdr>
        </w:div>
      </w:divsChild>
    </w:div>
    <w:div w:id="973103127">
      <w:bodyDiv w:val="1"/>
      <w:marLeft w:val="0"/>
      <w:marRight w:val="0"/>
      <w:marTop w:val="0"/>
      <w:marBottom w:val="0"/>
      <w:divBdr>
        <w:top w:val="none" w:sz="0" w:space="0" w:color="auto"/>
        <w:left w:val="none" w:sz="0" w:space="0" w:color="auto"/>
        <w:bottom w:val="none" w:sz="0" w:space="0" w:color="auto"/>
        <w:right w:val="none" w:sz="0" w:space="0" w:color="auto"/>
      </w:divBdr>
      <w:divsChild>
        <w:div w:id="519513559">
          <w:marLeft w:val="0"/>
          <w:marRight w:val="0"/>
          <w:marTop w:val="0"/>
          <w:marBottom w:val="0"/>
          <w:divBdr>
            <w:top w:val="none" w:sz="0" w:space="0" w:color="auto"/>
            <w:left w:val="none" w:sz="0" w:space="0" w:color="auto"/>
            <w:bottom w:val="none" w:sz="0" w:space="0" w:color="auto"/>
            <w:right w:val="none" w:sz="0" w:space="0" w:color="auto"/>
          </w:divBdr>
        </w:div>
        <w:div w:id="1058822925">
          <w:marLeft w:val="0"/>
          <w:marRight w:val="0"/>
          <w:marTop w:val="0"/>
          <w:marBottom w:val="0"/>
          <w:divBdr>
            <w:top w:val="none" w:sz="0" w:space="0" w:color="auto"/>
            <w:left w:val="none" w:sz="0" w:space="0" w:color="auto"/>
            <w:bottom w:val="none" w:sz="0" w:space="0" w:color="auto"/>
            <w:right w:val="none" w:sz="0" w:space="0" w:color="auto"/>
          </w:divBdr>
        </w:div>
        <w:div w:id="593363024">
          <w:marLeft w:val="0"/>
          <w:marRight w:val="0"/>
          <w:marTop w:val="0"/>
          <w:marBottom w:val="0"/>
          <w:divBdr>
            <w:top w:val="none" w:sz="0" w:space="0" w:color="auto"/>
            <w:left w:val="none" w:sz="0" w:space="0" w:color="auto"/>
            <w:bottom w:val="none" w:sz="0" w:space="0" w:color="auto"/>
            <w:right w:val="none" w:sz="0" w:space="0" w:color="auto"/>
          </w:divBdr>
        </w:div>
        <w:div w:id="2100171809">
          <w:marLeft w:val="0"/>
          <w:marRight w:val="0"/>
          <w:marTop w:val="0"/>
          <w:marBottom w:val="0"/>
          <w:divBdr>
            <w:top w:val="none" w:sz="0" w:space="0" w:color="auto"/>
            <w:left w:val="none" w:sz="0" w:space="0" w:color="auto"/>
            <w:bottom w:val="none" w:sz="0" w:space="0" w:color="auto"/>
            <w:right w:val="none" w:sz="0" w:space="0" w:color="auto"/>
          </w:divBdr>
        </w:div>
      </w:divsChild>
    </w:div>
    <w:div w:id="1102267245">
      <w:bodyDiv w:val="1"/>
      <w:marLeft w:val="0"/>
      <w:marRight w:val="0"/>
      <w:marTop w:val="0"/>
      <w:marBottom w:val="0"/>
      <w:divBdr>
        <w:top w:val="none" w:sz="0" w:space="0" w:color="auto"/>
        <w:left w:val="none" w:sz="0" w:space="0" w:color="auto"/>
        <w:bottom w:val="none" w:sz="0" w:space="0" w:color="auto"/>
        <w:right w:val="none" w:sz="0" w:space="0" w:color="auto"/>
      </w:divBdr>
    </w:div>
    <w:div w:id="1205486682">
      <w:bodyDiv w:val="1"/>
      <w:marLeft w:val="0"/>
      <w:marRight w:val="0"/>
      <w:marTop w:val="0"/>
      <w:marBottom w:val="0"/>
      <w:divBdr>
        <w:top w:val="none" w:sz="0" w:space="0" w:color="auto"/>
        <w:left w:val="none" w:sz="0" w:space="0" w:color="auto"/>
        <w:bottom w:val="none" w:sz="0" w:space="0" w:color="auto"/>
        <w:right w:val="none" w:sz="0" w:space="0" w:color="auto"/>
      </w:divBdr>
      <w:divsChild>
        <w:div w:id="658971351">
          <w:marLeft w:val="0"/>
          <w:marRight w:val="0"/>
          <w:marTop w:val="0"/>
          <w:marBottom w:val="0"/>
          <w:divBdr>
            <w:top w:val="none" w:sz="0" w:space="0" w:color="auto"/>
            <w:left w:val="none" w:sz="0" w:space="0" w:color="auto"/>
            <w:bottom w:val="none" w:sz="0" w:space="0" w:color="auto"/>
            <w:right w:val="none" w:sz="0" w:space="0" w:color="auto"/>
          </w:divBdr>
          <w:divsChild>
            <w:div w:id="33652557">
              <w:marLeft w:val="0"/>
              <w:marRight w:val="0"/>
              <w:marTop w:val="0"/>
              <w:marBottom w:val="0"/>
              <w:divBdr>
                <w:top w:val="none" w:sz="0" w:space="0" w:color="auto"/>
                <w:left w:val="none" w:sz="0" w:space="0" w:color="auto"/>
                <w:bottom w:val="none" w:sz="0" w:space="0" w:color="auto"/>
                <w:right w:val="none" w:sz="0" w:space="0" w:color="auto"/>
              </w:divBdr>
            </w:div>
            <w:div w:id="160094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490741">
      <w:bodyDiv w:val="1"/>
      <w:marLeft w:val="0"/>
      <w:marRight w:val="0"/>
      <w:marTop w:val="0"/>
      <w:marBottom w:val="0"/>
      <w:divBdr>
        <w:top w:val="none" w:sz="0" w:space="0" w:color="auto"/>
        <w:left w:val="none" w:sz="0" w:space="0" w:color="auto"/>
        <w:bottom w:val="none" w:sz="0" w:space="0" w:color="auto"/>
        <w:right w:val="none" w:sz="0" w:space="0" w:color="auto"/>
      </w:divBdr>
      <w:divsChild>
        <w:div w:id="374938709">
          <w:marLeft w:val="0"/>
          <w:marRight w:val="0"/>
          <w:marTop w:val="0"/>
          <w:marBottom w:val="0"/>
          <w:divBdr>
            <w:top w:val="none" w:sz="0" w:space="0" w:color="auto"/>
            <w:left w:val="none" w:sz="0" w:space="0" w:color="auto"/>
            <w:bottom w:val="none" w:sz="0" w:space="0" w:color="auto"/>
            <w:right w:val="none" w:sz="0" w:space="0" w:color="auto"/>
          </w:divBdr>
        </w:div>
        <w:div w:id="1861241113">
          <w:marLeft w:val="0"/>
          <w:marRight w:val="0"/>
          <w:marTop w:val="0"/>
          <w:marBottom w:val="0"/>
          <w:divBdr>
            <w:top w:val="none" w:sz="0" w:space="0" w:color="auto"/>
            <w:left w:val="none" w:sz="0" w:space="0" w:color="auto"/>
            <w:bottom w:val="none" w:sz="0" w:space="0" w:color="auto"/>
            <w:right w:val="none" w:sz="0" w:space="0" w:color="auto"/>
          </w:divBdr>
        </w:div>
        <w:div w:id="1937857358">
          <w:marLeft w:val="0"/>
          <w:marRight w:val="0"/>
          <w:marTop w:val="0"/>
          <w:marBottom w:val="0"/>
          <w:divBdr>
            <w:top w:val="none" w:sz="0" w:space="0" w:color="auto"/>
            <w:left w:val="none" w:sz="0" w:space="0" w:color="auto"/>
            <w:bottom w:val="none" w:sz="0" w:space="0" w:color="auto"/>
            <w:right w:val="none" w:sz="0" w:space="0" w:color="auto"/>
          </w:divBdr>
        </w:div>
        <w:div w:id="2011909602">
          <w:marLeft w:val="0"/>
          <w:marRight w:val="0"/>
          <w:marTop w:val="0"/>
          <w:marBottom w:val="0"/>
          <w:divBdr>
            <w:top w:val="none" w:sz="0" w:space="0" w:color="auto"/>
            <w:left w:val="none" w:sz="0" w:space="0" w:color="auto"/>
            <w:bottom w:val="none" w:sz="0" w:space="0" w:color="auto"/>
            <w:right w:val="none" w:sz="0" w:space="0" w:color="auto"/>
          </w:divBdr>
        </w:div>
        <w:div w:id="2111506663">
          <w:marLeft w:val="0"/>
          <w:marRight w:val="0"/>
          <w:marTop w:val="0"/>
          <w:marBottom w:val="0"/>
          <w:divBdr>
            <w:top w:val="none" w:sz="0" w:space="0" w:color="auto"/>
            <w:left w:val="none" w:sz="0" w:space="0" w:color="auto"/>
            <w:bottom w:val="none" w:sz="0" w:space="0" w:color="auto"/>
            <w:right w:val="none" w:sz="0" w:space="0" w:color="auto"/>
          </w:divBdr>
        </w:div>
      </w:divsChild>
    </w:div>
    <w:div w:id="1536312191">
      <w:bodyDiv w:val="1"/>
      <w:marLeft w:val="0"/>
      <w:marRight w:val="0"/>
      <w:marTop w:val="0"/>
      <w:marBottom w:val="0"/>
      <w:divBdr>
        <w:top w:val="none" w:sz="0" w:space="0" w:color="auto"/>
        <w:left w:val="none" w:sz="0" w:space="0" w:color="auto"/>
        <w:bottom w:val="none" w:sz="0" w:space="0" w:color="auto"/>
        <w:right w:val="none" w:sz="0" w:space="0" w:color="auto"/>
      </w:divBdr>
      <w:divsChild>
        <w:div w:id="745033854">
          <w:marLeft w:val="0"/>
          <w:marRight w:val="0"/>
          <w:marTop w:val="0"/>
          <w:marBottom w:val="0"/>
          <w:divBdr>
            <w:top w:val="none" w:sz="0" w:space="0" w:color="auto"/>
            <w:left w:val="none" w:sz="0" w:space="0" w:color="auto"/>
            <w:bottom w:val="none" w:sz="0" w:space="0" w:color="auto"/>
            <w:right w:val="none" w:sz="0" w:space="0" w:color="auto"/>
          </w:divBdr>
        </w:div>
        <w:div w:id="52968585">
          <w:marLeft w:val="0"/>
          <w:marRight w:val="0"/>
          <w:marTop w:val="0"/>
          <w:marBottom w:val="0"/>
          <w:divBdr>
            <w:top w:val="none" w:sz="0" w:space="0" w:color="auto"/>
            <w:left w:val="none" w:sz="0" w:space="0" w:color="auto"/>
            <w:bottom w:val="none" w:sz="0" w:space="0" w:color="auto"/>
            <w:right w:val="none" w:sz="0" w:space="0" w:color="auto"/>
          </w:divBdr>
        </w:div>
        <w:div w:id="1803569365">
          <w:marLeft w:val="0"/>
          <w:marRight w:val="0"/>
          <w:marTop w:val="0"/>
          <w:marBottom w:val="0"/>
          <w:divBdr>
            <w:top w:val="none" w:sz="0" w:space="0" w:color="auto"/>
            <w:left w:val="none" w:sz="0" w:space="0" w:color="auto"/>
            <w:bottom w:val="none" w:sz="0" w:space="0" w:color="auto"/>
            <w:right w:val="none" w:sz="0" w:space="0" w:color="auto"/>
          </w:divBdr>
        </w:div>
        <w:div w:id="840970289">
          <w:marLeft w:val="0"/>
          <w:marRight w:val="0"/>
          <w:marTop w:val="0"/>
          <w:marBottom w:val="0"/>
          <w:divBdr>
            <w:top w:val="none" w:sz="0" w:space="0" w:color="auto"/>
            <w:left w:val="none" w:sz="0" w:space="0" w:color="auto"/>
            <w:bottom w:val="none" w:sz="0" w:space="0" w:color="auto"/>
            <w:right w:val="none" w:sz="0" w:space="0" w:color="auto"/>
          </w:divBdr>
        </w:div>
        <w:div w:id="1596211079">
          <w:marLeft w:val="0"/>
          <w:marRight w:val="0"/>
          <w:marTop w:val="0"/>
          <w:marBottom w:val="0"/>
          <w:divBdr>
            <w:top w:val="none" w:sz="0" w:space="0" w:color="auto"/>
            <w:left w:val="none" w:sz="0" w:space="0" w:color="auto"/>
            <w:bottom w:val="none" w:sz="0" w:space="0" w:color="auto"/>
            <w:right w:val="none" w:sz="0" w:space="0" w:color="auto"/>
          </w:divBdr>
        </w:div>
        <w:div w:id="855575527">
          <w:marLeft w:val="0"/>
          <w:marRight w:val="0"/>
          <w:marTop w:val="0"/>
          <w:marBottom w:val="0"/>
          <w:divBdr>
            <w:top w:val="none" w:sz="0" w:space="0" w:color="auto"/>
            <w:left w:val="none" w:sz="0" w:space="0" w:color="auto"/>
            <w:bottom w:val="none" w:sz="0" w:space="0" w:color="auto"/>
            <w:right w:val="none" w:sz="0" w:space="0" w:color="auto"/>
          </w:divBdr>
        </w:div>
        <w:div w:id="399719945">
          <w:marLeft w:val="0"/>
          <w:marRight w:val="0"/>
          <w:marTop w:val="0"/>
          <w:marBottom w:val="0"/>
          <w:divBdr>
            <w:top w:val="none" w:sz="0" w:space="0" w:color="auto"/>
            <w:left w:val="none" w:sz="0" w:space="0" w:color="auto"/>
            <w:bottom w:val="none" w:sz="0" w:space="0" w:color="auto"/>
            <w:right w:val="none" w:sz="0" w:space="0" w:color="auto"/>
          </w:divBdr>
        </w:div>
        <w:div w:id="1871145716">
          <w:marLeft w:val="0"/>
          <w:marRight w:val="0"/>
          <w:marTop w:val="0"/>
          <w:marBottom w:val="0"/>
          <w:divBdr>
            <w:top w:val="none" w:sz="0" w:space="0" w:color="auto"/>
            <w:left w:val="none" w:sz="0" w:space="0" w:color="auto"/>
            <w:bottom w:val="none" w:sz="0" w:space="0" w:color="auto"/>
            <w:right w:val="none" w:sz="0" w:space="0" w:color="auto"/>
          </w:divBdr>
        </w:div>
        <w:div w:id="814689269">
          <w:marLeft w:val="0"/>
          <w:marRight w:val="0"/>
          <w:marTop w:val="0"/>
          <w:marBottom w:val="0"/>
          <w:divBdr>
            <w:top w:val="none" w:sz="0" w:space="0" w:color="auto"/>
            <w:left w:val="none" w:sz="0" w:space="0" w:color="auto"/>
            <w:bottom w:val="none" w:sz="0" w:space="0" w:color="auto"/>
            <w:right w:val="none" w:sz="0" w:space="0" w:color="auto"/>
          </w:divBdr>
        </w:div>
      </w:divsChild>
    </w:div>
    <w:div w:id="1578787963">
      <w:bodyDiv w:val="1"/>
      <w:marLeft w:val="0"/>
      <w:marRight w:val="0"/>
      <w:marTop w:val="0"/>
      <w:marBottom w:val="0"/>
      <w:divBdr>
        <w:top w:val="none" w:sz="0" w:space="0" w:color="auto"/>
        <w:left w:val="none" w:sz="0" w:space="0" w:color="auto"/>
        <w:bottom w:val="none" w:sz="0" w:space="0" w:color="auto"/>
        <w:right w:val="none" w:sz="0" w:space="0" w:color="auto"/>
      </w:divBdr>
      <w:divsChild>
        <w:div w:id="938489542">
          <w:marLeft w:val="0"/>
          <w:marRight w:val="0"/>
          <w:marTop w:val="0"/>
          <w:marBottom w:val="0"/>
          <w:divBdr>
            <w:top w:val="none" w:sz="0" w:space="0" w:color="auto"/>
            <w:left w:val="none" w:sz="0" w:space="0" w:color="auto"/>
            <w:bottom w:val="none" w:sz="0" w:space="0" w:color="auto"/>
            <w:right w:val="none" w:sz="0" w:space="0" w:color="auto"/>
          </w:divBdr>
        </w:div>
        <w:div w:id="1239906465">
          <w:marLeft w:val="0"/>
          <w:marRight w:val="0"/>
          <w:marTop w:val="0"/>
          <w:marBottom w:val="0"/>
          <w:divBdr>
            <w:top w:val="none" w:sz="0" w:space="0" w:color="auto"/>
            <w:left w:val="none" w:sz="0" w:space="0" w:color="auto"/>
            <w:bottom w:val="none" w:sz="0" w:space="0" w:color="auto"/>
            <w:right w:val="none" w:sz="0" w:space="0" w:color="auto"/>
          </w:divBdr>
        </w:div>
        <w:div w:id="1627815376">
          <w:marLeft w:val="0"/>
          <w:marRight w:val="0"/>
          <w:marTop w:val="0"/>
          <w:marBottom w:val="0"/>
          <w:divBdr>
            <w:top w:val="none" w:sz="0" w:space="0" w:color="auto"/>
            <w:left w:val="none" w:sz="0" w:space="0" w:color="auto"/>
            <w:bottom w:val="none" w:sz="0" w:space="0" w:color="auto"/>
            <w:right w:val="none" w:sz="0" w:space="0" w:color="auto"/>
          </w:divBdr>
        </w:div>
        <w:div w:id="1789003628">
          <w:marLeft w:val="0"/>
          <w:marRight w:val="0"/>
          <w:marTop w:val="0"/>
          <w:marBottom w:val="0"/>
          <w:divBdr>
            <w:top w:val="none" w:sz="0" w:space="0" w:color="auto"/>
            <w:left w:val="none" w:sz="0" w:space="0" w:color="auto"/>
            <w:bottom w:val="none" w:sz="0" w:space="0" w:color="auto"/>
            <w:right w:val="none" w:sz="0" w:space="0" w:color="auto"/>
          </w:divBdr>
        </w:div>
        <w:div w:id="2052067512">
          <w:marLeft w:val="0"/>
          <w:marRight w:val="0"/>
          <w:marTop w:val="0"/>
          <w:marBottom w:val="0"/>
          <w:divBdr>
            <w:top w:val="none" w:sz="0" w:space="0" w:color="auto"/>
            <w:left w:val="none" w:sz="0" w:space="0" w:color="auto"/>
            <w:bottom w:val="none" w:sz="0" w:space="0" w:color="auto"/>
            <w:right w:val="none" w:sz="0" w:space="0" w:color="auto"/>
          </w:divBdr>
        </w:div>
        <w:div w:id="2081443188">
          <w:marLeft w:val="0"/>
          <w:marRight w:val="0"/>
          <w:marTop w:val="0"/>
          <w:marBottom w:val="0"/>
          <w:divBdr>
            <w:top w:val="none" w:sz="0" w:space="0" w:color="auto"/>
            <w:left w:val="none" w:sz="0" w:space="0" w:color="auto"/>
            <w:bottom w:val="none" w:sz="0" w:space="0" w:color="auto"/>
            <w:right w:val="none" w:sz="0" w:space="0" w:color="auto"/>
          </w:divBdr>
        </w:div>
      </w:divsChild>
    </w:div>
    <w:div w:id="1581136749">
      <w:bodyDiv w:val="1"/>
      <w:marLeft w:val="0"/>
      <w:marRight w:val="0"/>
      <w:marTop w:val="0"/>
      <w:marBottom w:val="0"/>
      <w:divBdr>
        <w:top w:val="none" w:sz="0" w:space="0" w:color="auto"/>
        <w:left w:val="none" w:sz="0" w:space="0" w:color="auto"/>
        <w:bottom w:val="none" w:sz="0" w:space="0" w:color="auto"/>
        <w:right w:val="none" w:sz="0" w:space="0" w:color="auto"/>
      </w:divBdr>
      <w:divsChild>
        <w:div w:id="86194703">
          <w:marLeft w:val="0"/>
          <w:marRight w:val="0"/>
          <w:marTop w:val="0"/>
          <w:marBottom w:val="0"/>
          <w:divBdr>
            <w:top w:val="none" w:sz="0" w:space="0" w:color="auto"/>
            <w:left w:val="none" w:sz="0" w:space="0" w:color="auto"/>
            <w:bottom w:val="none" w:sz="0" w:space="0" w:color="auto"/>
            <w:right w:val="none" w:sz="0" w:space="0" w:color="auto"/>
          </w:divBdr>
        </w:div>
        <w:div w:id="273101672">
          <w:marLeft w:val="0"/>
          <w:marRight w:val="0"/>
          <w:marTop w:val="0"/>
          <w:marBottom w:val="0"/>
          <w:divBdr>
            <w:top w:val="none" w:sz="0" w:space="0" w:color="auto"/>
            <w:left w:val="none" w:sz="0" w:space="0" w:color="auto"/>
            <w:bottom w:val="none" w:sz="0" w:space="0" w:color="auto"/>
            <w:right w:val="none" w:sz="0" w:space="0" w:color="auto"/>
          </w:divBdr>
        </w:div>
        <w:div w:id="449784933">
          <w:marLeft w:val="0"/>
          <w:marRight w:val="0"/>
          <w:marTop w:val="0"/>
          <w:marBottom w:val="0"/>
          <w:divBdr>
            <w:top w:val="none" w:sz="0" w:space="0" w:color="auto"/>
            <w:left w:val="none" w:sz="0" w:space="0" w:color="auto"/>
            <w:bottom w:val="none" w:sz="0" w:space="0" w:color="auto"/>
            <w:right w:val="none" w:sz="0" w:space="0" w:color="auto"/>
          </w:divBdr>
        </w:div>
        <w:div w:id="453715115">
          <w:marLeft w:val="0"/>
          <w:marRight w:val="0"/>
          <w:marTop w:val="0"/>
          <w:marBottom w:val="0"/>
          <w:divBdr>
            <w:top w:val="none" w:sz="0" w:space="0" w:color="auto"/>
            <w:left w:val="none" w:sz="0" w:space="0" w:color="auto"/>
            <w:bottom w:val="none" w:sz="0" w:space="0" w:color="auto"/>
            <w:right w:val="none" w:sz="0" w:space="0" w:color="auto"/>
          </w:divBdr>
        </w:div>
        <w:div w:id="464932977">
          <w:marLeft w:val="0"/>
          <w:marRight w:val="0"/>
          <w:marTop w:val="0"/>
          <w:marBottom w:val="0"/>
          <w:divBdr>
            <w:top w:val="none" w:sz="0" w:space="0" w:color="auto"/>
            <w:left w:val="none" w:sz="0" w:space="0" w:color="auto"/>
            <w:bottom w:val="none" w:sz="0" w:space="0" w:color="auto"/>
            <w:right w:val="none" w:sz="0" w:space="0" w:color="auto"/>
          </w:divBdr>
        </w:div>
        <w:div w:id="579870468">
          <w:marLeft w:val="0"/>
          <w:marRight w:val="0"/>
          <w:marTop w:val="0"/>
          <w:marBottom w:val="0"/>
          <w:divBdr>
            <w:top w:val="none" w:sz="0" w:space="0" w:color="auto"/>
            <w:left w:val="none" w:sz="0" w:space="0" w:color="auto"/>
            <w:bottom w:val="none" w:sz="0" w:space="0" w:color="auto"/>
            <w:right w:val="none" w:sz="0" w:space="0" w:color="auto"/>
          </w:divBdr>
        </w:div>
        <w:div w:id="609975405">
          <w:marLeft w:val="0"/>
          <w:marRight w:val="0"/>
          <w:marTop w:val="0"/>
          <w:marBottom w:val="0"/>
          <w:divBdr>
            <w:top w:val="none" w:sz="0" w:space="0" w:color="auto"/>
            <w:left w:val="none" w:sz="0" w:space="0" w:color="auto"/>
            <w:bottom w:val="none" w:sz="0" w:space="0" w:color="auto"/>
            <w:right w:val="none" w:sz="0" w:space="0" w:color="auto"/>
          </w:divBdr>
        </w:div>
        <w:div w:id="715812806">
          <w:marLeft w:val="0"/>
          <w:marRight w:val="0"/>
          <w:marTop w:val="0"/>
          <w:marBottom w:val="0"/>
          <w:divBdr>
            <w:top w:val="none" w:sz="0" w:space="0" w:color="auto"/>
            <w:left w:val="none" w:sz="0" w:space="0" w:color="auto"/>
            <w:bottom w:val="none" w:sz="0" w:space="0" w:color="auto"/>
            <w:right w:val="none" w:sz="0" w:space="0" w:color="auto"/>
          </w:divBdr>
        </w:div>
        <w:div w:id="940406805">
          <w:marLeft w:val="0"/>
          <w:marRight w:val="0"/>
          <w:marTop w:val="0"/>
          <w:marBottom w:val="0"/>
          <w:divBdr>
            <w:top w:val="none" w:sz="0" w:space="0" w:color="auto"/>
            <w:left w:val="none" w:sz="0" w:space="0" w:color="auto"/>
            <w:bottom w:val="none" w:sz="0" w:space="0" w:color="auto"/>
            <w:right w:val="none" w:sz="0" w:space="0" w:color="auto"/>
          </w:divBdr>
        </w:div>
        <w:div w:id="946305437">
          <w:marLeft w:val="0"/>
          <w:marRight w:val="0"/>
          <w:marTop w:val="0"/>
          <w:marBottom w:val="0"/>
          <w:divBdr>
            <w:top w:val="none" w:sz="0" w:space="0" w:color="auto"/>
            <w:left w:val="none" w:sz="0" w:space="0" w:color="auto"/>
            <w:bottom w:val="none" w:sz="0" w:space="0" w:color="auto"/>
            <w:right w:val="none" w:sz="0" w:space="0" w:color="auto"/>
          </w:divBdr>
        </w:div>
        <w:div w:id="959720962">
          <w:marLeft w:val="0"/>
          <w:marRight w:val="0"/>
          <w:marTop w:val="0"/>
          <w:marBottom w:val="0"/>
          <w:divBdr>
            <w:top w:val="none" w:sz="0" w:space="0" w:color="auto"/>
            <w:left w:val="none" w:sz="0" w:space="0" w:color="auto"/>
            <w:bottom w:val="none" w:sz="0" w:space="0" w:color="auto"/>
            <w:right w:val="none" w:sz="0" w:space="0" w:color="auto"/>
          </w:divBdr>
        </w:div>
        <w:div w:id="1079861333">
          <w:marLeft w:val="0"/>
          <w:marRight w:val="0"/>
          <w:marTop w:val="0"/>
          <w:marBottom w:val="0"/>
          <w:divBdr>
            <w:top w:val="none" w:sz="0" w:space="0" w:color="auto"/>
            <w:left w:val="none" w:sz="0" w:space="0" w:color="auto"/>
            <w:bottom w:val="none" w:sz="0" w:space="0" w:color="auto"/>
            <w:right w:val="none" w:sz="0" w:space="0" w:color="auto"/>
          </w:divBdr>
        </w:div>
        <w:div w:id="1168866015">
          <w:marLeft w:val="0"/>
          <w:marRight w:val="0"/>
          <w:marTop w:val="0"/>
          <w:marBottom w:val="0"/>
          <w:divBdr>
            <w:top w:val="none" w:sz="0" w:space="0" w:color="auto"/>
            <w:left w:val="none" w:sz="0" w:space="0" w:color="auto"/>
            <w:bottom w:val="none" w:sz="0" w:space="0" w:color="auto"/>
            <w:right w:val="none" w:sz="0" w:space="0" w:color="auto"/>
          </w:divBdr>
        </w:div>
        <w:div w:id="1190071890">
          <w:marLeft w:val="0"/>
          <w:marRight w:val="0"/>
          <w:marTop w:val="0"/>
          <w:marBottom w:val="0"/>
          <w:divBdr>
            <w:top w:val="none" w:sz="0" w:space="0" w:color="auto"/>
            <w:left w:val="none" w:sz="0" w:space="0" w:color="auto"/>
            <w:bottom w:val="none" w:sz="0" w:space="0" w:color="auto"/>
            <w:right w:val="none" w:sz="0" w:space="0" w:color="auto"/>
          </w:divBdr>
        </w:div>
        <w:div w:id="1329600594">
          <w:marLeft w:val="0"/>
          <w:marRight w:val="0"/>
          <w:marTop w:val="0"/>
          <w:marBottom w:val="0"/>
          <w:divBdr>
            <w:top w:val="none" w:sz="0" w:space="0" w:color="auto"/>
            <w:left w:val="none" w:sz="0" w:space="0" w:color="auto"/>
            <w:bottom w:val="none" w:sz="0" w:space="0" w:color="auto"/>
            <w:right w:val="none" w:sz="0" w:space="0" w:color="auto"/>
          </w:divBdr>
        </w:div>
        <w:div w:id="1530410729">
          <w:marLeft w:val="0"/>
          <w:marRight w:val="0"/>
          <w:marTop w:val="0"/>
          <w:marBottom w:val="0"/>
          <w:divBdr>
            <w:top w:val="none" w:sz="0" w:space="0" w:color="auto"/>
            <w:left w:val="none" w:sz="0" w:space="0" w:color="auto"/>
            <w:bottom w:val="none" w:sz="0" w:space="0" w:color="auto"/>
            <w:right w:val="none" w:sz="0" w:space="0" w:color="auto"/>
          </w:divBdr>
        </w:div>
        <w:div w:id="1792167564">
          <w:marLeft w:val="0"/>
          <w:marRight w:val="0"/>
          <w:marTop w:val="0"/>
          <w:marBottom w:val="0"/>
          <w:divBdr>
            <w:top w:val="none" w:sz="0" w:space="0" w:color="auto"/>
            <w:left w:val="none" w:sz="0" w:space="0" w:color="auto"/>
            <w:bottom w:val="none" w:sz="0" w:space="0" w:color="auto"/>
            <w:right w:val="none" w:sz="0" w:space="0" w:color="auto"/>
          </w:divBdr>
        </w:div>
        <w:div w:id="1919051197">
          <w:marLeft w:val="0"/>
          <w:marRight w:val="0"/>
          <w:marTop w:val="0"/>
          <w:marBottom w:val="0"/>
          <w:divBdr>
            <w:top w:val="none" w:sz="0" w:space="0" w:color="auto"/>
            <w:left w:val="none" w:sz="0" w:space="0" w:color="auto"/>
            <w:bottom w:val="none" w:sz="0" w:space="0" w:color="auto"/>
            <w:right w:val="none" w:sz="0" w:space="0" w:color="auto"/>
          </w:divBdr>
        </w:div>
        <w:div w:id="2016103371">
          <w:marLeft w:val="0"/>
          <w:marRight w:val="0"/>
          <w:marTop w:val="0"/>
          <w:marBottom w:val="0"/>
          <w:divBdr>
            <w:top w:val="none" w:sz="0" w:space="0" w:color="auto"/>
            <w:left w:val="none" w:sz="0" w:space="0" w:color="auto"/>
            <w:bottom w:val="none" w:sz="0" w:space="0" w:color="auto"/>
            <w:right w:val="none" w:sz="0" w:space="0" w:color="auto"/>
          </w:divBdr>
        </w:div>
        <w:div w:id="2037342894">
          <w:marLeft w:val="0"/>
          <w:marRight w:val="0"/>
          <w:marTop w:val="0"/>
          <w:marBottom w:val="0"/>
          <w:divBdr>
            <w:top w:val="none" w:sz="0" w:space="0" w:color="auto"/>
            <w:left w:val="none" w:sz="0" w:space="0" w:color="auto"/>
            <w:bottom w:val="none" w:sz="0" w:space="0" w:color="auto"/>
            <w:right w:val="none" w:sz="0" w:space="0" w:color="auto"/>
          </w:divBdr>
        </w:div>
        <w:div w:id="2077507640">
          <w:marLeft w:val="0"/>
          <w:marRight w:val="0"/>
          <w:marTop w:val="0"/>
          <w:marBottom w:val="0"/>
          <w:divBdr>
            <w:top w:val="none" w:sz="0" w:space="0" w:color="auto"/>
            <w:left w:val="none" w:sz="0" w:space="0" w:color="auto"/>
            <w:bottom w:val="none" w:sz="0" w:space="0" w:color="auto"/>
            <w:right w:val="none" w:sz="0" w:space="0" w:color="auto"/>
          </w:divBdr>
        </w:div>
        <w:div w:id="2113359545">
          <w:marLeft w:val="0"/>
          <w:marRight w:val="0"/>
          <w:marTop w:val="0"/>
          <w:marBottom w:val="0"/>
          <w:divBdr>
            <w:top w:val="none" w:sz="0" w:space="0" w:color="auto"/>
            <w:left w:val="none" w:sz="0" w:space="0" w:color="auto"/>
            <w:bottom w:val="none" w:sz="0" w:space="0" w:color="auto"/>
            <w:right w:val="none" w:sz="0" w:space="0" w:color="auto"/>
          </w:divBdr>
        </w:div>
      </w:divsChild>
    </w:div>
    <w:div w:id="1786076984">
      <w:bodyDiv w:val="1"/>
      <w:marLeft w:val="0"/>
      <w:marRight w:val="0"/>
      <w:marTop w:val="0"/>
      <w:marBottom w:val="0"/>
      <w:divBdr>
        <w:top w:val="none" w:sz="0" w:space="0" w:color="auto"/>
        <w:left w:val="none" w:sz="0" w:space="0" w:color="auto"/>
        <w:bottom w:val="none" w:sz="0" w:space="0" w:color="auto"/>
        <w:right w:val="none" w:sz="0" w:space="0" w:color="auto"/>
      </w:divBdr>
      <w:divsChild>
        <w:div w:id="9378528">
          <w:marLeft w:val="0"/>
          <w:marRight w:val="0"/>
          <w:marTop w:val="0"/>
          <w:marBottom w:val="0"/>
          <w:divBdr>
            <w:top w:val="none" w:sz="0" w:space="0" w:color="auto"/>
            <w:left w:val="none" w:sz="0" w:space="0" w:color="auto"/>
            <w:bottom w:val="none" w:sz="0" w:space="0" w:color="auto"/>
            <w:right w:val="none" w:sz="0" w:space="0" w:color="auto"/>
          </w:divBdr>
        </w:div>
        <w:div w:id="13069989">
          <w:marLeft w:val="0"/>
          <w:marRight w:val="0"/>
          <w:marTop w:val="0"/>
          <w:marBottom w:val="0"/>
          <w:divBdr>
            <w:top w:val="none" w:sz="0" w:space="0" w:color="auto"/>
            <w:left w:val="none" w:sz="0" w:space="0" w:color="auto"/>
            <w:bottom w:val="none" w:sz="0" w:space="0" w:color="auto"/>
            <w:right w:val="none" w:sz="0" w:space="0" w:color="auto"/>
          </w:divBdr>
        </w:div>
        <w:div w:id="63308683">
          <w:marLeft w:val="0"/>
          <w:marRight w:val="0"/>
          <w:marTop w:val="0"/>
          <w:marBottom w:val="0"/>
          <w:divBdr>
            <w:top w:val="none" w:sz="0" w:space="0" w:color="auto"/>
            <w:left w:val="none" w:sz="0" w:space="0" w:color="auto"/>
            <w:bottom w:val="none" w:sz="0" w:space="0" w:color="auto"/>
            <w:right w:val="none" w:sz="0" w:space="0" w:color="auto"/>
          </w:divBdr>
        </w:div>
        <w:div w:id="77097299">
          <w:marLeft w:val="0"/>
          <w:marRight w:val="0"/>
          <w:marTop w:val="0"/>
          <w:marBottom w:val="0"/>
          <w:divBdr>
            <w:top w:val="none" w:sz="0" w:space="0" w:color="auto"/>
            <w:left w:val="none" w:sz="0" w:space="0" w:color="auto"/>
            <w:bottom w:val="none" w:sz="0" w:space="0" w:color="auto"/>
            <w:right w:val="none" w:sz="0" w:space="0" w:color="auto"/>
          </w:divBdr>
        </w:div>
        <w:div w:id="106973119">
          <w:marLeft w:val="0"/>
          <w:marRight w:val="0"/>
          <w:marTop w:val="0"/>
          <w:marBottom w:val="0"/>
          <w:divBdr>
            <w:top w:val="none" w:sz="0" w:space="0" w:color="auto"/>
            <w:left w:val="none" w:sz="0" w:space="0" w:color="auto"/>
            <w:bottom w:val="none" w:sz="0" w:space="0" w:color="auto"/>
            <w:right w:val="none" w:sz="0" w:space="0" w:color="auto"/>
          </w:divBdr>
        </w:div>
        <w:div w:id="122773161">
          <w:marLeft w:val="0"/>
          <w:marRight w:val="0"/>
          <w:marTop w:val="0"/>
          <w:marBottom w:val="0"/>
          <w:divBdr>
            <w:top w:val="none" w:sz="0" w:space="0" w:color="auto"/>
            <w:left w:val="none" w:sz="0" w:space="0" w:color="auto"/>
            <w:bottom w:val="none" w:sz="0" w:space="0" w:color="auto"/>
            <w:right w:val="none" w:sz="0" w:space="0" w:color="auto"/>
          </w:divBdr>
        </w:div>
        <w:div w:id="176232590">
          <w:marLeft w:val="0"/>
          <w:marRight w:val="0"/>
          <w:marTop w:val="0"/>
          <w:marBottom w:val="0"/>
          <w:divBdr>
            <w:top w:val="none" w:sz="0" w:space="0" w:color="auto"/>
            <w:left w:val="none" w:sz="0" w:space="0" w:color="auto"/>
            <w:bottom w:val="none" w:sz="0" w:space="0" w:color="auto"/>
            <w:right w:val="none" w:sz="0" w:space="0" w:color="auto"/>
          </w:divBdr>
        </w:div>
        <w:div w:id="211160763">
          <w:marLeft w:val="0"/>
          <w:marRight w:val="0"/>
          <w:marTop w:val="0"/>
          <w:marBottom w:val="0"/>
          <w:divBdr>
            <w:top w:val="none" w:sz="0" w:space="0" w:color="auto"/>
            <w:left w:val="none" w:sz="0" w:space="0" w:color="auto"/>
            <w:bottom w:val="none" w:sz="0" w:space="0" w:color="auto"/>
            <w:right w:val="none" w:sz="0" w:space="0" w:color="auto"/>
          </w:divBdr>
        </w:div>
        <w:div w:id="233439801">
          <w:marLeft w:val="0"/>
          <w:marRight w:val="0"/>
          <w:marTop w:val="0"/>
          <w:marBottom w:val="0"/>
          <w:divBdr>
            <w:top w:val="none" w:sz="0" w:space="0" w:color="auto"/>
            <w:left w:val="none" w:sz="0" w:space="0" w:color="auto"/>
            <w:bottom w:val="none" w:sz="0" w:space="0" w:color="auto"/>
            <w:right w:val="none" w:sz="0" w:space="0" w:color="auto"/>
          </w:divBdr>
        </w:div>
        <w:div w:id="237712564">
          <w:marLeft w:val="0"/>
          <w:marRight w:val="0"/>
          <w:marTop w:val="0"/>
          <w:marBottom w:val="0"/>
          <w:divBdr>
            <w:top w:val="none" w:sz="0" w:space="0" w:color="auto"/>
            <w:left w:val="none" w:sz="0" w:space="0" w:color="auto"/>
            <w:bottom w:val="none" w:sz="0" w:space="0" w:color="auto"/>
            <w:right w:val="none" w:sz="0" w:space="0" w:color="auto"/>
          </w:divBdr>
        </w:div>
        <w:div w:id="249050115">
          <w:marLeft w:val="0"/>
          <w:marRight w:val="0"/>
          <w:marTop w:val="0"/>
          <w:marBottom w:val="0"/>
          <w:divBdr>
            <w:top w:val="none" w:sz="0" w:space="0" w:color="auto"/>
            <w:left w:val="none" w:sz="0" w:space="0" w:color="auto"/>
            <w:bottom w:val="none" w:sz="0" w:space="0" w:color="auto"/>
            <w:right w:val="none" w:sz="0" w:space="0" w:color="auto"/>
          </w:divBdr>
        </w:div>
        <w:div w:id="291643382">
          <w:marLeft w:val="0"/>
          <w:marRight w:val="0"/>
          <w:marTop w:val="0"/>
          <w:marBottom w:val="0"/>
          <w:divBdr>
            <w:top w:val="none" w:sz="0" w:space="0" w:color="auto"/>
            <w:left w:val="none" w:sz="0" w:space="0" w:color="auto"/>
            <w:bottom w:val="none" w:sz="0" w:space="0" w:color="auto"/>
            <w:right w:val="none" w:sz="0" w:space="0" w:color="auto"/>
          </w:divBdr>
        </w:div>
        <w:div w:id="352532762">
          <w:marLeft w:val="0"/>
          <w:marRight w:val="0"/>
          <w:marTop w:val="0"/>
          <w:marBottom w:val="0"/>
          <w:divBdr>
            <w:top w:val="none" w:sz="0" w:space="0" w:color="auto"/>
            <w:left w:val="none" w:sz="0" w:space="0" w:color="auto"/>
            <w:bottom w:val="none" w:sz="0" w:space="0" w:color="auto"/>
            <w:right w:val="none" w:sz="0" w:space="0" w:color="auto"/>
          </w:divBdr>
        </w:div>
        <w:div w:id="430398482">
          <w:marLeft w:val="0"/>
          <w:marRight w:val="0"/>
          <w:marTop w:val="0"/>
          <w:marBottom w:val="0"/>
          <w:divBdr>
            <w:top w:val="none" w:sz="0" w:space="0" w:color="auto"/>
            <w:left w:val="none" w:sz="0" w:space="0" w:color="auto"/>
            <w:bottom w:val="none" w:sz="0" w:space="0" w:color="auto"/>
            <w:right w:val="none" w:sz="0" w:space="0" w:color="auto"/>
          </w:divBdr>
        </w:div>
        <w:div w:id="499926765">
          <w:marLeft w:val="0"/>
          <w:marRight w:val="0"/>
          <w:marTop w:val="0"/>
          <w:marBottom w:val="0"/>
          <w:divBdr>
            <w:top w:val="none" w:sz="0" w:space="0" w:color="auto"/>
            <w:left w:val="none" w:sz="0" w:space="0" w:color="auto"/>
            <w:bottom w:val="none" w:sz="0" w:space="0" w:color="auto"/>
            <w:right w:val="none" w:sz="0" w:space="0" w:color="auto"/>
          </w:divBdr>
        </w:div>
        <w:div w:id="562984808">
          <w:marLeft w:val="0"/>
          <w:marRight w:val="0"/>
          <w:marTop w:val="0"/>
          <w:marBottom w:val="0"/>
          <w:divBdr>
            <w:top w:val="none" w:sz="0" w:space="0" w:color="auto"/>
            <w:left w:val="none" w:sz="0" w:space="0" w:color="auto"/>
            <w:bottom w:val="none" w:sz="0" w:space="0" w:color="auto"/>
            <w:right w:val="none" w:sz="0" w:space="0" w:color="auto"/>
          </w:divBdr>
        </w:div>
        <w:div w:id="574362095">
          <w:marLeft w:val="0"/>
          <w:marRight w:val="0"/>
          <w:marTop w:val="0"/>
          <w:marBottom w:val="0"/>
          <w:divBdr>
            <w:top w:val="none" w:sz="0" w:space="0" w:color="auto"/>
            <w:left w:val="none" w:sz="0" w:space="0" w:color="auto"/>
            <w:bottom w:val="none" w:sz="0" w:space="0" w:color="auto"/>
            <w:right w:val="none" w:sz="0" w:space="0" w:color="auto"/>
          </w:divBdr>
        </w:div>
        <w:div w:id="766344092">
          <w:marLeft w:val="0"/>
          <w:marRight w:val="0"/>
          <w:marTop w:val="0"/>
          <w:marBottom w:val="0"/>
          <w:divBdr>
            <w:top w:val="none" w:sz="0" w:space="0" w:color="auto"/>
            <w:left w:val="none" w:sz="0" w:space="0" w:color="auto"/>
            <w:bottom w:val="none" w:sz="0" w:space="0" w:color="auto"/>
            <w:right w:val="none" w:sz="0" w:space="0" w:color="auto"/>
          </w:divBdr>
        </w:div>
        <w:div w:id="772016386">
          <w:marLeft w:val="0"/>
          <w:marRight w:val="0"/>
          <w:marTop w:val="0"/>
          <w:marBottom w:val="0"/>
          <w:divBdr>
            <w:top w:val="none" w:sz="0" w:space="0" w:color="auto"/>
            <w:left w:val="none" w:sz="0" w:space="0" w:color="auto"/>
            <w:bottom w:val="none" w:sz="0" w:space="0" w:color="auto"/>
            <w:right w:val="none" w:sz="0" w:space="0" w:color="auto"/>
          </w:divBdr>
        </w:div>
        <w:div w:id="785660823">
          <w:marLeft w:val="0"/>
          <w:marRight w:val="0"/>
          <w:marTop w:val="0"/>
          <w:marBottom w:val="0"/>
          <w:divBdr>
            <w:top w:val="none" w:sz="0" w:space="0" w:color="auto"/>
            <w:left w:val="none" w:sz="0" w:space="0" w:color="auto"/>
            <w:bottom w:val="none" w:sz="0" w:space="0" w:color="auto"/>
            <w:right w:val="none" w:sz="0" w:space="0" w:color="auto"/>
          </w:divBdr>
        </w:div>
        <w:div w:id="809516438">
          <w:marLeft w:val="0"/>
          <w:marRight w:val="0"/>
          <w:marTop w:val="0"/>
          <w:marBottom w:val="0"/>
          <w:divBdr>
            <w:top w:val="none" w:sz="0" w:space="0" w:color="auto"/>
            <w:left w:val="none" w:sz="0" w:space="0" w:color="auto"/>
            <w:bottom w:val="none" w:sz="0" w:space="0" w:color="auto"/>
            <w:right w:val="none" w:sz="0" w:space="0" w:color="auto"/>
          </w:divBdr>
        </w:div>
        <w:div w:id="914390233">
          <w:marLeft w:val="0"/>
          <w:marRight w:val="0"/>
          <w:marTop w:val="0"/>
          <w:marBottom w:val="0"/>
          <w:divBdr>
            <w:top w:val="none" w:sz="0" w:space="0" w:color="auto"/>
            <w:left w:val="none" w:sz="0" w:space="0" w:color="auto"/>
            <w:bottom w:val="none" w:sz="0" w:space="0" w:color="auto"/>
            <w:right w:val="none" w:sz="0" w:space="0" w:color="auto"/>
          </w:divBdr>
        </w:div>
        <w:div w:id="918095605">
          <w:marLeft w:val="0"/>
          <w:marRight w:val="0"/>
          <w:marTop w:val="0"/>
          <w:marBottom w:val="0"/>
          <w:divBdr>
            <w:top w:val="none" w:sz="0" w:space="0" w:color="auto"/>
            <w:left w:val="none" w:sz="0" w:space="0" w:color="auto"/>
            <w:bottom w:val="none" w:sz="0" w:space="0" w:color="auto"/>
            <w:right w:val="none" w:sz="0" w:space="0" w:color="auto"/>
          </w:divBdr>
        </w:div>
        <w:div w:id="941692885">
          <w:marLeft w:val="0"/>
          <w:marRight w:val="0"/>
          <w:marTop w:val="0"/>
          <w:marBottom w:val="0"/>
          <w:divBdr>
            <w:top w:val="none" w:sz="0" w:space="0" w:color="auto"/>
            <w:left w:val="none" w:sz="0" w:space="0" w:color="auto"/>
            <w:bottom w:val="none" w:sz="0" w:space="0" w:color="auto"/>
            <w:right w:val="none" w:sz="0" w:space="0" w:color="auto"/>
          </w:divBdr>
        </w:div>
        <w:div w:id="974869846">
          <w:marLeft w:val="0"/>
          <w:marRight w:val="0"/>
          <w:marTop w:val="0"/>
          <w:marBottom w:val="0"/>
          <w:divBdr>
            <w:top w:val="none" w:sz="0" w:space="0" w:color="auto"/>
            <w:left w:val="none" w:sz="0" w:space="0" w:color="auto"/>
            <w:bottom w:val="none" w:sz="0" w:space="0" w:color="auto"/>
            <w:right w:val="none" w:sz="0" w:space="0" w:color="auto"/>
          </w:divBdr>
        </w:div>
        <w:div w:id="980504869">
          <w:marLeft w:val="0"/>
          <w:marRight w:val="0"/>
          <w:marTop w:val="0"/>
          <w:marBottom w:val="0"/>
          <w:divBdr>
            <w:top w:val="none" w:sz="0" w:space="0" w:color="auto"/>
            <w:left w:val="none" w:sz="0" w:space="0" w:color="auto"/>
            <w:bottom w:val="none" w:sz="0" w:space="0" w:color="auto"/>
            <w:right w:val="none" w:sz="0" w:space="0" w:color="auto"/>
          </w:divBdr>
        </w:div>
        <w:div w:id="981272894">
          <w:marLeft w:val="0"/>
          <w:marRight w:val="0"/>
          <w:marTop w:val="0"/>
          <w:marBottom w:val="0"/>
          <w:divBdr>
            <w:top w:val="none" w:sz="0" w:space="0" w:color="auto"/>
            <w:left w:val="none" w:sz="0" w:space="0" w:color="auto"/>
            <w:bottom w:val="none" w:sz="0" w:space="0" w:color="auto"/>
            <w:right w:val="none" w:sz="0" w:space="0" w:color="auto"/>
          </w:divBdr>
        </w:div>
        <w:div w:id="993992252">
          <w:marLeft w:val="0"/>
          <w:marRight w:val="0"/>
          <w:marTop w:val="0"/>
          <w:marBottom w:val="0"/>
          <w:divBdr>
            <w:top w:val="none" w:sz="0" w:space="0" w:color="auto"/>
            <w:left w:val="none" w:sz="0" w:space="0" w:color="auto"/>
            <w:bottom w:val="none" w:sz="0" w:space="0" w:color="auto"/>
            <w:right w:val="none" w:sz="0" w:space="0" w:color="auto"/>
          </w:divBdr>
        </w:div>
        <w:div w:id="995186289">
          <w:marLeft w:val="0"/>
          <w:marRight w:val="0"/>
          <w:marTop w:val="0"/>
          <w:marBottom w:val="0"/>
          <w:divBdr>
            <w:top w:val="none" w:sz="0" w:space="0" w:color="auto"/>
            <w:left w:val="none" w:sz="0" w:space="0" w:color="auto"/>
            <w:bottom w:val="none" w:sz="0" w:space="0" w:color="auto"/>
            <w:right w:val="none" w:sz="0" w:space="0" w:color="auto"/>
          </w:divBdr>
        </w:div>
        <w:div w:id="1023479917">
          <w:marLeft w:val="0"/>
          <w:marRight w:val="0"/>
          <w:marTop w:val="0"/>
          <w:marBottom w:val="0"/>
          <w:divBdr>
            <w:top w:val="none" w:sz="0" w:space="0" w:color="auto"/>
            <w:left w:val="none" w:sz="0" w:space="0" w:color="auto"/>
            <w:bottom w:val="none" w:sz="0" w:space="0" w:color="auto"/>
            <w:right w:val="none" w:sz="0" w:space="0" w:color="auto"/>
          </w:divBdr>
        </w:div>
        <w:div w:id="1116097504">
          <w:marLeft w:val="0"/>
          <w:marRight w:val="0"/>
          <w:marTop w:val="0"/>
          <w:marBottom w:val="0"/>
          <w:divBdr>
            <w:top w:val="none" w:sz="0" w:space="0" w:color="auto"/>
            <w:left w:val="none" w:sz="0" w:space="0" w:color="auto"/>
            <w:bottom w:val="none" w:sz="0" w:space="0" w:color="auto"/>
            <w:right w:val="none" w:sz="0" w:space="0" w:color="auto"/>
          </w:divBdr>
        </w:div>
        <w:div w:id="1122192174">
          <w:marLeft w:val="0"/>
          <w:marRight w:val="0"/>
          <w:marTop w:val="0"/>
          <w:marBottom w:val="0"/>
          <w:divBdr>
            <w:top w:val="none" w:sz="0" w:space="0" w:color="auto"/>
            <w:left w:val="none" w:sz="0" w:space="0" w:color="auto"/>
            <w:bottom w:val="none" w:sz="0" w:space="0" w:color="auto"/>
            <w:right w:val="none" w:sz="0" w:space="0" w:color="auto"/>
          </w:divBdr>
        </w:div>
        <w:div w:id="1212770057">
          <w:marLeft w:val="0"/>
          <w:marRight w:val="0"/>
          <w:marTop w:val="0"/>
          <w:marBottom w:val="0"/>
          <w:divBdr>
            <w:top w:val="none" w:sz="0" w:space="0" w:color="auto"/>
            <w:left w:val="none" w:sz="0" w:space="0" w:color="auto"/>
            <w:bottom w:val="none" w:sz="0" w:space="0" w:color="auto"/>
            <w:right w:val="none" w:sz="0" w:space="0" w:color="auto"/>
          </w:divBdr>
        </w:div>
        <w:div w:id="1239174653">
          <w:marLeft w:val="0"/>
          <w:marRight w:val="0"/>
          <w:marTop w:val="0"/>
          <w:marBottom w:val="0"/>
          <w:divBdr>
            <w:top w:val="none" w:sz="0" w:space="0" w:color="auto"/>
            <w:left w:val="none" w:sz="0" w:space="0" w:color="auto"/>
            <w:bottom w:val="none" w:sz="0" w:space="0" w:color="auto"/>
            <w:right w:val="none" w:sz="0" w:space="0" w:color="auto"/>
          </w:divBdr>
        </w:div>
        <w:div w:id="1284966702">
          <w:marLeft w:val="0"/>
          <w:marRight w:val="0"/>
          <w:marTop w:val="0"/>
          <w:marBottom w:val="0"/>
          <w:divBdr>
            <w:top w:val="none" w:sz="0" w:space="0" w:color="auto"/>
            <w:left w:val="none" w:sz="0" w:space="0" w:color="auto"/>
            <w:bottom w:val="none" w:sz="0" w:space="0" w:color="auto"/>
            <w:right w:val="none" w:sz="0" w:space="0" w:color="auto"/>
          </w:divBdr>
        </w:div>
        <w:div w:id="1336541971">
          <w:marLeft w:val="0"/>
          <w:marRight w:val="0"/>
          <w:marTop w:val="0"/>
          <w:marBottom w:val="0"/>
          <w:divBdr>
            <w:top w:val="none" w:sz="0" w:space="0" w:color="auto"/>
            <w:left w:val="none" w:sz="0" w:space="0" w:color="auto"/>
            <w:bottom w:val="none" w:sz="0" w:space="0" w:color="auto"/>
            <w:right w:val="none" w:sz="0" w:space="0" w:color="auto"/>
          </w:divBdr>
        </w:div>
        <w:div w:id="1409376674">
          <w:marLeft w:val="0"/>
          <w:marRight w:val="0"/>
          <w:marTop w:val="0"/>
          <w:marBottom w:val="0"/>
          <w:divBdr>
            <w:top w:val="none" w:sz="0" w:space="0" w:color="auto"/>
            <w:left w:val="none" w:sz="0" w:space="0" w:color="auto"/>
            <w:bottom w:val="none" w:sz="0" w:space="0" w:color="auto"/>
            <w:right w:val="none" w:sz="0" w:space="0" w:color="auto"/>
          </w:divBdr>
        </w:div>
        <w:div w:id="1510872938">
          <w:marLeft w:val="0"/>
          <w:marRight w:val="0"/>
          <w:marTop w:val="0"/>
          <w:marBottom w:val="0"/>
          <w:divBdr>
            <w:top w:val="none" w:sz="0" w:space="0" w:color="auto"/>
            <w:left w:val="none" w:sz="0" w:space="0" w:color="auto"/>
            <w:bottom w:val="none" w:sz="0" w:space="0" w:color="auto"/>
            <w:right w:val="none" w:sz="0" w:space="0" w:color="auto"/>
          </w:divBdr>
        </w:div>
        <w:div w:id="1559591878">
          <w:marLeft w:val="0"/>
          <w:marRight w:val="0"/>
          <w:marTop w:val="0"/>
          <w:marBottom w:val="0"/>
          <w:divBdr>
            <w:top w:val="none" w:sz="0" w:space="0" w:color="auto"/>
            <w:left w:val="none" w:sz="0" w:space="0" w:color="auto"/>
            <w:bottom w:val="none" w:sz="0" w:space="0" w:color="auto"/>
            <w:right w:val="none" w:sz="0" w:space="0" w:color="auto"/>
          </w:divBdr>
        </w:div>
        <w:div w:id="1610628180">
          <w:marLeft w:val="0"/>
          <w:marRight w:val="0"/>
          <w:marTop w:val="0"/>
          <w:marBottom w:val="0"/>
          <w:divBdr>
            <w:top w:val="none" w:sz="0" w:space="0" w:color="auto"/>
            <w:left w:val="none" w:sz="0" w:space="0" w:color="auto"/>
            <w:bottom w:val="none" w:sz="0" w:space="0" w:color="auto"/>
            <w:right w:val="none" w:sz="0" w:space="0" w:color="auto"/>
          </w:divBdr>
        </w:div>
        <w:div w:id="1631745791">
          <w:marLeft w:val="0"/>
          <w:marRight w:val="0"/>
          <w:marTop w:val="0"/>
          <w:marBottom w:val="0"/>
          <w:divBdr>
            <w:top w:val="none" w:sz="0" w:space="0" w:color="auto"/>
            <w:left w:val="none" w:sz="0" w:space="0" w:color="auto"/>
            <w:bottom w:val="none" w:sz="0" w:space="0" w:color="auto"/>
            <w:right w:val="none" w:sz="0" w:space="0" w:color="auto"/>
          </w:divBdr>
        </w:div>
        <w:div w:id="1678731854">
          <w:marLeft w:val="0"/>
          <w:marRight w:val="0"/>
          <w:marTop w:val="0"/>
          <w:marBottom w:val="0"/>
          <w:divBdr>
            <w:top w:val="none" w:sz="0" w:space="0" w:color="auto"/>
            <w:left w:val="none" w:sz="0" w:space="0" w:color="auto"/>
            <w:bottom w:val="none" w:sz="0" w:space="0" w:color="auto"/>
            <w:right w:val="none" w:sz="0" w:space="0" w:color="auto"/>
          </w:divBdr>
        </w:div>
        <w:div w:id="1848323475">
          <w:marLeft w:val="0"/>
          <w:marRight w:val="0"/>
          <w:marTop w:val="0"/>
          <w:marBottom w:val="0"/>
          <w:divBdr>
            <w:top w:val="none" w:sz="0" w:space="0" w:color="auto"/>
            <w:left w:val="none" w:sz="0" w:space="0" w:color="auto"/>
            <w:bottom w:val="none" w:sz="0" w:space="0" w:color="auto"/>
            <w:right w:val="none" w:sz="0" w:space="0" w:color="auto"/>
          </w:divBdr>
        </w:div>
        <w:div w:id="1860704664">
          <w:marLeft w:val="0"/>
          <w:marRight w:val="0"/>
          <w:marTop w:val="0"/>
          <w:marBottom w:val="0"/>
          <w:divBdr>
            <w:top w:val="none" w:sz="0" w:space="0" w:color="auto"/>
            <w:left w:val="none" w:sz="0" w:space="0" w:color="auto"/>
            <w:bottom w:val="none" w:sz="0" w:space="0" w:color="auto"/>
            <w:right w:val="none" w:sz="0" w:space="0" w:color="auto"/>
          </w:divBdr>
        </w:div>
        <w:div w:id="1966345276">
          <w:marLeft w:val="0"/>
          <w:marRight w:val="0"/>
          <w:marTop w:val="0"/>
          <w:marBottom w:val="0"/>
          <w:divBdr>
            <w:top w:val="none" w:sz="0" w:space="0" w:color="auto"/>
            <w:left w:val="none" w:sz="0" w:space="0" w:color="auto"/>
            <w:bottom w:val="none" w:sz="0" w:space="0" w:color="auto"/>
            <w:right w:val="none" w:sz="0" w:space="0" w:color="auto"/>
          </w:divBdr>
        </w:div>
        <w:div w:id="2053571902">
          <w:marLeft w:val="0"/>
          <w:marRight w:val="0"/>
          <w:marTop w:val="0"/>
          <w:marBottom w:val="0"/>
          <w:divBdr>
            <w:top w:val="none" w:sz="0" w:space="0" w:color="auto"/>
            <w:left w:val="none" w:sz="0" w:space="0" w:color="auto"/>
            <w:bottom w:val="none" w:sz="0" w:space="0" w:color="auto"/>
            <w:right w:val="none" w:sz="0" w:space="0" w:color="auto"/>
          </w:divBdr>
        </w:div>
        <w:div w:id="2086606981">
          <w:marLeft w:val="0"/>
          <w:marRight w:val="0"/>
          <w:marTop w:val="0"/>
          <w:marBottom w:val="0"/>
          <w:divBdr>
            <w:top w:val="none" w:sz="0" w:space="0" w:color="auto"/>
            <w:left w:val="none" w:sz="0" w:space="0" w:color="auto"/>
            <w:bottom w:val="none" w:sz="0" w:space="0" w:color="auto"/>
            <w:right w:val="none" w:sz="0" w:space="0" w:color="auto"/>
          </w:divBdr>
        </w:div>
        <w:div w:id="2104761506">
          <w:marLeft w:val="0"/>
          <w:marRight w:val="0"/>
          <w:marTop w:val="0"/>
          <w:marBottom w:val="0"/>
          <w:divBdr>
            <w:top w:val="none" w:sz="0" w:space="0" w:color="auto"/>
            <w:left w:val="none" w:sz="0" w:space="0" w:color="auto"/>
            <w:bottom w:val="none" w:sz="0" w:space="0" w:color="auto"/>
            <w:right w:val="none" w:sz="0" w:space="0" w:color="auto"/>
          </w:divBdr>
        </w:div>
      </w:divsChild>
    </w:div>
    <w:div w:id="1794713416">
      <w:bodyDiv w:val="1"/>
      <w:marLeft w:val="0"/>
      <w:marRight w:val="0"/>
      <w:marTop w:val="0"/>
      <w:marBottom w:val="0"/>
      <w:divBdr>
        <w:top w:val="none" w:sz="0" w:space="0" w:color="auto"/>
        <w:left w:val="none" w:sz="0" w:space="0" w:color="auto"/>
        <w:bottom w:val="none" w:sz="0" w:space="0" w:color="auto"/>
        <w:right w:val="none" w:sz="0" w:space="0" w:color="auto"/>
      </w:divBdr>
      <w:divsChild>
        <w:div w:id="985351893">
          <w:marLeft w:val="0"/>
          <w:marRight w:val="0"/>
          <w:marTop w:val="0"/>
          <w:marBottom w:val="0"/>
          <w:divBdr>
            <w:top w:val="none" w:sz="0" w:space="0" w:color="auto"/>
            <w:left w:val="none" w:sz="0" w:space="0" w:color="auto"/>
            <w:bottom w:val="none" w:sz="0" w:space="0" w:color="auto"/>
            <w:right w:val="none" w:sz="0" w:space="0" w:color="auto"/>
          </w:divBdr>
          <w:divsChild>
            <w:div w:id="138041217">
              <w:marLeft w:val="0"/>
              <w:marRight w:val="0"/>
              <w:marTop w:val="0"/>
              <w:marBottom w:val="0"/>
              <w:divBdr>
                <w:top w:val="none" w:sz="0" w:space="0" w:color="auto"/>
                <w:left w:val="none" w:sz="0" w:space="0" w:color="auto"/>
                <w:bottom w:val="none" w:sz="0" w:space="0" w:color="auto"/>
                <w:right w:val="none" w:sz="0" w:space="0" w:color="auto"/>
              </w:divBdr>
            </w:div>
            <w:div w:id="7292848">
              <w:marLeft w:val="0"/>
              <w:marRight w:val="0"/>
              <w:marTop w:val="0"/>
              <w:marBottom w:val="0"/>
              <w:divBdr>
                <w:top w:val="none" w:sz="0" w:space="0" w:color="auto"/>
                <w:left w:val="none" w:sz="0" w:space="0" w:color="auto"/>
                <w:bottom w:val="none" w:sz="0" w:space="0" w:color="auto"/>
                <w:right w:val="none" w:sz="0" w:space="0" w:color="auto"/>
              </w:divBdr>
            </w:div>
            <w:div w:id="1090083316">
              <w:marLeft w:val="0"/>
              <w:marRight w:val="0"/>
              <w:marTop w:val="0"/>
              <w:marBottom w:val="0"/>
              <w:divBdr>
                <w:top w:val="none" w:sz="0" w:space="0" w:color="auto"/>
                <w:left w:val="none" w:sz="0" w:space="0" w:color="auto"/>
                <w:bottom w:val="none" w:sz="0" w:space="0" w:color="auto"/>
                <w:right w:val="none" w:sz="0" w:space="0" w:color="auto"/>
              </w:divBdr>
            </w:div>
            <w:div w:id="250356346">
              <w:marLeft w:val="0"/>
              <w:marRight w:val="0"/>
              <w:marTop w:val="0"/>
              <w:marBottom w:val="0"/>
              <w:divBdr>
                <w:top w:val="none" w:sz="0" w:space="0" w:color="auto"/>
                <w:left w:val="none" w:sz="0" w:space="0" w:color="auto"/>
                <w:bottom w:val="none" w:sz="0" w:space="0" w:color="auto"/>
                <w:right w:val="none" w:sz="0" w:space="0" w:color="auto"/>
              </w:divBdr>
            </w:div>
            <w:div w:id="821118840">
              <w:marLeft w:val="0"/>
              <w:marRight w:val="0"/>
              <w:marTop w:val="0"/>
              <w:marBottom w:val="0"/>
              <w:divBdr>
                <w:top w:val="none" w:sz="0" w:space="0" w:color="auto"/>
                <w:left w:val="none" w:sz="0" w:space="0" w:color="auto"/>
                <w:bottom w:val="none" w:sz="0" w:space="0" w:color="auto"/>
                <w:right w:val="none" w:sz="0" w:space="0" w:color="auto"/>
              </w:divBdr>
            </w:div>
            <w:div w:id="1535998256">
              <w:marLeft w:val="0"/>
              <w:marRight w:val="0"/>
              <w:marTop w:val="0"/>
              <w:marBottom w:val="0"/>
              <w:divBdr>
                <w:top w:val="none" w:sz="0" w:space="0" w:color="auto"/>
                <w:left w:val="none" w:sz="0" w:space="0" w:color="auto"/>
                <w:bottom w:val="none" w:sz="0" w:space="0" w:color="auto"/>
                <w:right w:val="none" w:sz="0" w:space="0" w:color="auto"/>
              </w:divBdr>
            </w:div>
            <w:div w:id="1323780573">
              <w:marLeft w:val="0"/>
              <w:marRight w:val="0"/>
              <w:marTop w:val="0"/>
              <w:marBottom w:val="0"/>
              <w:divBdr>
                <w:top w:val="none" w:sz="0" w:space="0" w:color="auto"/>
                <w:left w:val="none" w:sz="0" w:space="0" w:color="auto"/>
                <w:bottom w:val="none" w:sz="0" w:space="0" w:color="auto"/>
                <w:right w:val="none" w:sz="0" w:space="0" w:color="auto"/>
              </w:divBdr>
            </w:div>
            <w:div w:id="978605384">
              <w:marLeft w:val="0"/>
              <w:marRight w:val="0"/>
              <w:marTop w:val="0"/>
              <w:marBottom w:val="0"/>
              <w:divBdr>
                <w:top w:val="none" w:sz="0" w:space="0" w:color="auto"/>
                <w:left w:val="none" w:sz="0" w:space="0" w:color="auto"/>
                <w:bottom w:val="none" w:sz="0" w:space="0" w:color="auto"/>
                <w:right w:val="none" w:sz="0" w:space="0" w:color="auto"/>
              </w:divBdr>
            </w:div>
            <w:div w:id="1056929361">
              <w:marLeft w:val="0"/>
              <w:marRight w:val="0"/>
              <w:marTop w:val="0"/>
              <w:marBottom w:val="0"/>
              <w:divBdr>
                <w:top w:val="none" w:sz="0" w:space="0" w:color="auto"/>
                <w:left w:val="none" w:sz="0" w:space="0" w:color="auto"/>
                <w:bottom w:val="none" w:sz="0" w:space="0" w:color="auto"/>
                <w:right w:val="none" w:sz="0" w:space="0" w:color="auto"/>
              </w:divBdr>
            </w:div>
            <w:div w:id="669019473">
              <w:marLeft w:val="0"/>
              <w:marRight w:val="0"/>
              <w:marTop w:val="0"/>
              <w:marBottom w:val="0"/>
              <w:divBdr>
                <w:top w:val="none" w:sz="0" w:space="0" w:color="auto"/>
                <w:left w:val="none" w:sz="0" w:space="0" w:color="auto"/>
                <w:bottom w:val="none" w:sz="0" w:space="0" w:color="auto"/>
                <w:right w:val="none" w:sz="0" w:space="0" w:color="auto"/>
              </w:divBdr>
            </w:div>
            <w:div w:id="1981881144">
              <w:marLeft w:val="0"/>
              <w:marRight w:val="0"/>
              <w:marTop w:val="0"/>
              <w:marBottom w:val="0"/>
              <w:divBdr>
                <w:top w:val="none" w:sz="0" w:space="0" w:color="auto"/>
                <w:left w:val="none" w:sz="0" w:space="0" w:color="auto"/>
                <w:bottom w:val="none" w:sz="0" w:space="0" w:color="auto"/>
                <w:right w:val="none" w:sz="0" w:space="0" w:color="auto"/>
              </w:divBdr>
            </w:div>
            <w:div w:id="1112894954">
              <w:marLeft w:val="0"/>
              <w:marRight w:val="0"/>
              <w:marTop w:val="0"/>
              <w:marBottom w:val="0"/>
              <w:divBdr>
                <w:top w:val="none" w:sz="0" w:space="0" w:color="auto"/>
                <w:left w:val="none" w:sz="0" w:space="0" w:color="auto"/>
                <w:bottom w:val="none" w:sz="0" w:space="0" w:color="auto"/>
                <w:right w:val="none" w:sz="0" w:space="0" w:color="auto"/>
              </w:divBdr>
            </w:div>
            <w:div w:id="1626620775">
              <w:marLeft w:val="0"/>
              <w:marRight w:val="0"/>
              <w:marTop w:val="0"/>
              <w:marBottom w:val="0"/>
              <w:divBdr>
                <w:top w:val="none" w:sz="0" w:space="0" w:color="auto"/>
                <w:left w:val="none" w:sz="0" w:space="0" w:color="auto"/>
                <w:bottom w:val="none" w:sz="0" w:space="0" w:color="auto"/>
                <w:right w:val="none" w:sz="0" w:space="0" w:color="auto"/>
              </w:divBdr>
            </w:div>
            <w:div w:id="165074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977135">
      <w:bodyDiv w:val="1"/>
      <w:marLeft w:val="0"/>
      <w:marRight w:val="0"/>
      <w:marTop w:val="0"/>
      <w:marBottom w:val="0"/>
      <w:divBdr>
        <w:top w:val="none" w:sz="0" w:space="0" w:color="auto"/>
        <w:left w:val="none" w:sz="0" w:space="0" w:color="auto"/>
        <w:bottom w:val="none" w:sz="0" w:space="0" w:color="auto"/>
        <w:right w:val="none" w:sz="0" w:space="0" w:color="auto"/>
      </w:divBdr>
    </w:div>
    <w:div w:id="2062099164">
      <w:bodyDiv w:val="1"/>
      <w:marLeft w:val="0"/>
      <w:marRight w:val="0"/>
      <w:marTop w:val="0"/>
      <w:marBottom w:val="0"/>
      <w:divBdr>
        <w:top w:val="none" w:sz="0" w:space="0" w:color="auto"/>
        <w:left w:val="none" w:sz="0" w:space="0" w:color="auto"/>
        <w:bottom w:val="none" w:sz="0" w:space="0" w:color="auto"/>
        <w:right w:val="none" w:sz="0" w:space="0" w:color="auto"/>
      </w:divBdr>
      <w:divsChild>
        <w:div w:id="430054313">
          <w:marLeft w:val="0"/>
          <w:marRight w:val="0"/>
          <w:marTop w:val="0"/>
          <w:marBottom w:val="0"/>
          <w:divBdr>
            <w:top w:val="none" w:sz="0" w:space="0" w:color="auto"/>
            <w:left w:val="none" w:sz="0" w:space="0" w:color="auto"/>
            <w:bottom w:val="none" w:sz="0" w:space="0" w:color="auto"/>
            <w:right w:val="none" w:sz="0" w:space="0" w:color="auto"/>
          </w:divBdr>
        </w:div>
        <w:div w:id="594703358">
          <w:marLeft w:val="0"/>
          <w:marRight w:val="0"/>
          <w:marTop w:val="0"/>
          <w:marBottom w:val="0"/>
          <w:divBdr>
            <w:top w:val="none" w:sz="0" w:space="0" w:color="auto"/>
            <w:left w:val="none" w:sz="0" w:space="0" w:color="auto"/>
            <w:bottom w:val="none" w:sz="0" w:space="0" w:color="auto"/>
            <w:right w:val="none" w:sz="0" w:space="0" w:color="auto"/>
          </w:divBdr>
        </w:div>
        <w:div w:id="615142261">
          <w:marLeft w:val="0"/>
          <w:marRight w:val="0"/>
          <w:marTop w:val="0"/>
          <w:marBottom w:val="0"/>
          <w:divBdr>
            <w:top w:val="none" w:sz="0" w:space="0" w:color="auto"/>
            <w:left w:val="none" w:sz="0" w:space="0" w:color="auto"/>
            <w:bottom w:val="none" w:sz="0" w:space="0" w:color="auto"/>
            <w:right w:val="none" w:sz="0" w:space="0" w:color="auto"/>
          </w:divBdr>
        </w:div>
        <w:div w:id="699818348">
          <w:marLeft w:val="0"/>
          <w:marRight w:val="0"/>
          <w:marTop w:val="0"/>
          <w:marBottom w:val="0"/>
          <w:divBdr>
            <w:top w:val="none" w:sz="0" w:space="0" w:color="auto"/>
            <w:left w:val="none" w:sz="0" w:space="0" w:color="auto"/>
            <w:bottom w:val="none" w:sz="0" w:space="0" w:color="auto"/>
            <w:right w:val="none" w:sz="0" w:space="0" w:color="auto"/>
          </w:divBdr>
        </w:div>
        <w:div w:id="1272276867">
          <w:marLeft w:val="0"/>
          <w:marRight w:val="0"/>
          <w:marTop w:val="0"/>
          <w:marBottom w:val="0"/>
          <w:divBdr>
            <w:top w:val="none" w:sz="0" w:space="0" w:color="auto"/>
            <w:left w:val="none" w:sz="0" w:space="0" w:color="auto"/>
            <w:bottom w:val="none" w:sz="0" w:space="0" w:color="auto"/>
            <w:right w:val="none" w:sz="0" w:space="0" w:color="auto"/>
          </w:divBdr>
        </w:div>
      </w:divsChild>
    </w:div>
    <w:div w:id="2107457860">
      <w:bodyDiv w:val="1"/>
      <w:marLeft w:val="0"/>
      <w:marRight w:val="0"/>
      <w:marTop w:val="0"/>
      <w:marBottom w:val="0"/>
      <w:divBdr>
        <w:top w:val="none" w:sz="0" w:space="0" w:color="auto"/>
        <w:left w:val="none" w:sz="0" w:space="0" w:color="auto"/>
        <w:bottom w:val="none" w:sz="0" w:space="0" w:color="auto"/>
        <w:right w:val="none" w:sz="0" w:space="0" w:color="auto"/>
      </w:divBdr>
    </w:div>
    <w:div w:id="2133866573">
      <w:bodyDiv w:val="1"/>
      <w:marLeft w:val="0"/>
      <w:marRight w:val="0"/>
      <w:marTop w:val="0"/>
      <w:marBottom w:val="0"/>
      <w:divBdr>
        <w:top w:val="none" w:sz="0" w:space="0" w:color="auto"/>
        <w:left w:val="none" w:sz="0" w:space="0" w:color="auto"/>
        <w:bottom w:val="none" w:sz="0" w:space="0" w:color="auto"/>
        <w:right w:val="none" w:sz="0" w:space="0" w:color="auto"/>
      </w:divBdr>
      <w:divsChild>
        <w:div w:id="429132724">
          <w:marLeft w:val="0"/>
          <w:marRight w:val="0"/>
          <w:marTop w:val="0"/>
          <w:marBottom w:val="0"/>
          <w:divBdr>
            <w:top w:val="none" w:sz="0" w:space="0" w:color="auto"/>
            <w:left w:val="none" w:sz="0" w:space="0" w:color="auto"/>
            <w:bottom w:val="none" w:sz="0" w:space="0" w:color="auto"/>
            <w:right w:val="none" w:sz="0" w:space="0" w:color="auto"/>
          </w:divBdr>
        </w:div>
        <w:div w:id="434326168">
          <w:marLeft w:val="0"/>
          <w:marRight w:val="0"/>
          <w:marTop w:val="0"/>
          <w:marBottom w:val="0"/>
          <w:divBdr>
            <w:top w:val="none" w:sz="0" w:space="0" w:color="auto"/>
            <w:left w:val="none" w:sz="0" w:space="0" w:color="auto"/>
            <w:bottom w:val="none" w:sz="0" w:space="0" w:color="auto"/>
            <w:right w:val="none" w:sz="0" w:space="0" w:color="auto"/>
          </w:divBdr>
        </w:div>
        <w:div w:id="956644528">
          <w:marLeft w:val="0"/>
          <w:marRight w:val="0"/>
          <w:marTop w:val="0"/>
          <w:marBottom w:val="0"/>
          <w:divBdr>
            <w:top w:val="none" w:sz="0" w:space="0" w:color="auto"/>
            <w:left w:val="none" w:sz="0" w:space="0" w:color="auto"/>
            <w:bottom w:val="none" w:sz="0" w:space="0" w:color="auto"/>
            <w:right w:val="none" w:sz="0" w:space="0" w:color="auto"/>
          </w:divBdr>
        </w:div>
        <w:div w:id="1167088750">
          <w:marLeft w:val="0"/>
          <w:marRight w:val="0"/>
          <w:marTop w:val="0"/>
          <w:marBottom w:val="0"/>
          <w:divBdr>
            <w:top w:val="none" w:sz="0" w:space="0" w:color="auto"/>
            <w:left w:val="none" w:sz="0" w:space="0" w:color="auto"/>
            <w:bottom w:val="none" w:sz="0" w:space="0" w:color="auto"/>
            <w:right w:val="none" w:sz="0" w:space="0" w:color="auto"/>
          </w:divBdr>
        </w:div>
        <w:div w:id="21347149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tmp"/><Relationship Id="rId18" Type="http://schemas.openxmlformats.org/officeDocument/2006/relationships/image" Target="media/image11.emf"/><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image" Target="media/image18.tmp"/><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tmp"/><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image" Target="media/image17.tmp"/><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tmp"/><Relationship Id="rId28" Type="http://schemas.openxmlformats.org/officeDocument/2006/relationships/fontTable" Target="fontTable.xml"/><Relationship Id="rId10" Type="http://schemas.openxmlformats.org/officeDocument/2006/relationships/image" Target="media/image3.tmp"/><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image" Target="media/image15.tmp"/><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20307-56A5-42A4-A96C-019A3EAAB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8518</Words>
  <Characters>48556</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White (1706145)</dc:creator>
  <cp:keywords/>
  <dc:description/>
  <cp:lastModifiedBy>Amy White (1706145)</cp:lastModifiedBy>
  <cp:revision>2</cp:revision>
  <dcterms:created xsi:type="dcterms:W3CDTF">2018-05-13T23:19:00Z</dcterms:created>
  <dcterms:modified xsi:type="dcterms:W3CDTF">2018-05-13T23:19:00Z</dcterms:modified>
</cp:coreProperties>
</file>