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10.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nts/font8.odttf" ContentType="application/vnd.openxmlformats-officedocument.obfuscatedFont"/>
  <Override PartName="/word/fonts/font9.odttf" ContentType="application/vnd.openxmlformats-officedocument.obfuscatedFont"/>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222FCD8">
      <w:pPr>
        <w:pStyle w:val="2"/>
        <w:spacing w:line="360" w:lineRule="auto"/>
        <w:jc w:val="both"/>
        <w:rPr>
          <w:rFonts w:ascii="Times New Roman" w:hAnsi="Times New Roman" w:cs="Times New Roman"/>
          <w:color w:val="auto"/>
        </w:rPr>
      </w:pPr>
      <w:r>
        <w:drawing>
          <wp:inline distT="0" distB="0" distL="0" distR="0">
            <wp:extent cx="3656965" cy="1254125"/>
            <wp:effectExtent l="0" t="0" r="635" b="10795"/>
            <wp:docPr id="130" name="Google Shape;130;p19" descr="A close 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130" name="Google Shape;130;p19" descr="A close up of a sign&#10;&#10;AI-generated content may be incorrect."/>
                    <pic:cNvPicPr preferRelativeResize="0"/>
                  </pic:nvPicPr>
                  <pic:blipFill>
                    <a:blip r:embed="rId9"/>
                    <a:srcRect/>
                    <a:stretch>
                      <a:fillRect/>
                    </a:stretch>
                  </pic:blipFill>
                  <pic:spPr>
                    <a:xfrm>
                      <a:off x="0" y="0"/>
                      <a:ext cx="3657425" cy="1254150"/>
                    </a:xfrm>
                    <a:prstGeom prst="rect">
                      <a:avLst/>
                    </a:prstGeom>
                    <a:noFill/>
                    <a:ln>
                      <a:noFill/>
                    </a:ln>
                  </pic:spPr>
                </pic:pic>
              </a:graphicData>
            </a:graphic>
          </wp:inline>
        </w:drawing>
      </w:r>
    </w:p>
    <w:p w14:paraId="17A00B0E">
      <w:pPr>
        <w:spacing w:before="0" w:after="120" w:line="319" w:lineRule="auto"/>
        <w:jc w:val="left"/>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Programme Name: MSc Cybersecurity &amp; Digital Forensics</w:t>
      </w:r>
      <w:bookmarkStart w:id="120" w:name="_GoBack"/>
      <w:bookmarkEnd w:id="120"/>
    </w:p>
    <w:p w14:paraId="00DE3C22">
      <w:pPr>
        <w:spacing w:before="0" w:after="120" w:line="319" w:lineRule="auto"/>
        <w:jc w:val="left"/>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Module Name : MASTER PROJECT</w:t>
      </w:r>
    </w:p>
    <w:p w14:paraId="3CB8A913">
      <w:pPr>
        <w:spacing w:before="0" w:after="120" w:line="319" w:lineRule="auto"/>
        <w:jc w:val="left"/>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Module code: ACFA7003_LON</w:t>
      </w:r>
    </w:p>
    <w:p w14:paraId="5D83E234">
      <w:pPr>
        <w:spacing w:before="0" w:after="120" w:line="319" w:lineRule="auto"/>
        <w:jc w:val="left"/>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Lecturer: </w:t>
      </w:r>
      <w:r>
        <w:rPr>
          <w:rFonts w:hint="default" w:ascii="Arial" w:hAnsi="Arial" w:cs="Arial"/>
          <w:sz w:val="22"/>
          <w:szCs w:val="22"/>
          <w:lang w:val="en-US"/>
        </w:rPr>
        <w:t>Mohamed Ghanem</w:t>
      </w:r>
    </w:p>
    <w:p w14:paraId="3AA87F1F">
      <w:pPr>
        <w:spacing w:before="0" w:after="120" w:line="319" w:lineRule="auto"/>
        <w:jc w:val="left"/>
        <w:rPr>
          <w:rFonts w:hint="default" w:ascii="Times New Roman" w:hAnsi="Times New Roman" w:cs="Times New Roman"/>
          <w:color w:val="000000" w:themeColor="text1"/>
          <w:lang w:val="en-US"/>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Student Name: </w:t>
      </w:r>
      <w:r>
        <w:rPr>
          <w:rFonts w:hint="default" w:ascii="Times New Roman" w:hAnsi="Times New Roman" w:cs="Times New Roman"/>
          <w:color w:val="000000" w:themeColor="text1"/>
          <w:lang w:val="en-US"/>
          <w14:textFill>
            <w14:solidFill>
              <w14:schemeClr w14:val="tx1"/>
            </w14:solidFill>
          </w14:textFill>
        </w:rPr>
        <w:t>Ashthaben Girishbhai Babariya</w:t>
      </w:r>
    </w:p>
    <w:p w14:paraId="2D48F2D4">
      <w:pPr>
        <w:spacing w:before="0" w:after="120" w:line="319" w:lineRule="auto"/>
        <w:jc w:val="left"/>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Student ID: </w:t>
      </w:r>
      <w:r>
        <w:rPr>
          <w:rFonts w:ascii="Arial" w:hAnsi="Arial" w:cs="Arial"/>
          <w:sz w:val="22"/>
          <w:szCs w:val="22"/>
        </w:rPr>
        <w:t>2507706</w:t>
      </w:r>
    </w:p>
    <w:p w14:paraId="6A33BB5D">
      <w:pPr>
        <w:spacing w:before="0" w:after="120" w:line="319" w:lineRule="auto"/>
        <w:jc w:val="left"/>
        <w:rPr>
          <w:rFonts w:hint="default" w:ascii="Times New Roman" w:hAnsi="Times New Roman" w:cs="Times New Roman"/>
          <w:color w:val="000000" w:themeColor="text1"/>
          <w14:textFill>
            <w14:solidFill>
              <w14:schemeClr w14:val="tx1"/>
            </w14:solidFill>
          </w14:textFill>
        </w:rPr>
      </w:pPr>
      <w:r>
        <w:rPr>
          <w:rFonts w:hint="default"/>
          <w:lang w:val="en-US"/>
        </w:rPr>
        <w:t xml:space="preserve">Topic: </w:t>
      </w:r>
      <w:r>
        <w:rPr>
          <w:rFonts w:hint="default" w:ascii="Times New Roman" w:hAnsi="Times New Roman" w:cs="Times New Roman"/>
          <w:color w:val="000000" w:themeColor="text1"/>
          <w14:textFill>
            <w14:solidFill>
              <w14:schemeClr w14:val="tx1"/>
            </w14:solidFill>
          </w14:textFill>
        </w:rPr>
        <w:t>Explainable Artificial Intelligence for Network Intrusion Detection: Bridging the Accuracy–Interpretability Gap</w:t>
      </w:r>
    </w:p>
    <w:p w14:paraId="0000000A">
      <w:pPr>
        <w:spacing w:before="0" w:after="120" w:line="319" w:lineRule="auto"/>
        <w:jc w:val="left"/>
      </w:pPr>
      <w:r>
        <w:br w:type="page"/>
      </w:r>
    </w:p>
    <w:p w14:paraId="0000000D">
      <w:pPr>
        <w:jc w:val="both"/>
        <w:rPr>
          <w:color w:val="000000"/>
        </w:rPr>
      </w:pPr>
      <w:bookmarkStart w:id="0" w:name="_v9lsoe24xl5i" w:colFirst="0" w:colLast="0"/>
      <w:bookmarkEnd w:id="0"/>
      <w:bookmarkStart w:id="1" w:name="_o6d2iknr7cqr" w:colFirst="0" w:colLast="0"/>
      <w:bookmarkEnd w:id="1"/>
      <w:r>
        <w:rPr>
          <w:color w:val="000000"/>
          <w:rtl w:val="0"/>
        </w:rPr>
        <w:t>ACKNOWLEDGEMENTS</w:t>
      </w:r>
    </w:p>
    <w:p w14:paraId="0000000E">
      <w:pPr>
        <w:jc w:val="both"/>
      </w:pPr>
      <w:r>
        <w:rPr>
          <w:rtl w:val="0"/>
        </w:rPr>
        <w:t>I would like to thank my supervisor</w:t>
      </w:r>
      <w:r>
        <w:rPr>
          <w:rFonts w:hint="default"/>
          <w:rtl w:val="0"/>
          <w:lang w:val="en-US"/>
        </w:rPr>
        <w:t xml:space="preserve"> </w:t>
      </w:r>
      <w:r>
        <w:rPr>
          <w:rFonts w:hint="default" w:ascii="Arial" w:hAnsi="Arial" w:cs="Arial"/>
          <w:sz w:val="22"/>
          <w:szCs w:val="22"/>
          <w:lang w:val="en-US"/>
        </w:rPr>
        <w:t>Mohamed Ghanem</w:t>
      </w:r>
      <w:r>
        <w:rPr>
          <w:rtl w:val="0"/>
        </w:rPr>
        <w:t xml:space="preserve"> , for guidance and patience throughout this project, and the staff of the University of Wales Trinity Saint David for their support during the programme. I am also grateful to my family and friends for their encouragement while this work was being completed.</w:t>
      </w:r>
      <w:r>
        <w:br w:type="page"/>
      </w:r>
    </w:p>
    <w:p w14:paraId="0000000F">
      <w:pPr>
        <w:pStyle w:val="2"/>
        <w:rPr>
          <w:color w:val="000000"/>
        </w:rPr>
      </w:pPr>
      <w:bookmarkStart w:id="2" w:name="_e09ohws10061" w:colFirst="0" w:colLast="0"/>
      <w:bookmarkEnd w:id="2"/>
      <w:r>
        <w:rPr>
          <w:color w:val="000000"/>
          <w:rtl w:val="0"/>
        </w:rPr>
        <w:t>ABSTRACT</w:t>
      </w:r>
    </w:p>
    <w:p w14:paraId="00000010">
      <w:pPr>
        <w:jc w:val="both"/>
      </w:pPr>
      <w:r>
        <w:rPr>
          <w:rtl w:val="0"/>
        </w:rPr>
        <w:t>Machine learning has made network intrusion detection far more capable than the signature-based tools that came before it, but the most accurate detectors are also the hardest to understand. A Security Operations Centre (SOC) analyst who receives an alert from a Random Forest or a neural network is usually told that a flow is malicious, not why. This project asks whether that gap can be closed with post-hoc explainable AI (XAI), and whether the choice of explanation method matters as much as the choice of detector.</w:t>
      </w:r>
    </w:p>
    <w:p w14:paraId="00000011">
      <w:pPr>
        <w:jc w:val="both"/>
      </w:pPr>
      <w:r>
        <w:rPr>
          <w:rtl w:val="0"/>
        </w:rPr>
        <w:t>A five-stage pipeline was built in Python and run on the CICIDS2017 benchmark. Three classifiers from two model families (Random Forest, XGBoost and a Long Short-Term Memory network) were trained on the same preprocessed, SMOTE-balanced data, and each was explained with both SHAP and LIME, giving six model–method pairs. Detection was measured with accuracy, precision, recall, F1 and ROC-AUC on a 60,000-flow held-out test set. Explanations were measured with a deletion-based fidelity gap, a Jaccard stability score over repeated runs, and time per explanation. The whole experiment was run at two scales, 50,000 and 300,000 rows, and the preprocessing stage was later reproduced on a second machine running Linux.</w:t>
      </w:r>
    </w:p>
    <w:p w14:paraId="00000012">
      <w:pPr>
        <w:jc w:val="both"/>
      </w:pPr>
      <w:r>
        <w:rPr>
          <w:rtl w:val="0"/>
        </w:rPr>
        <w:t>XGBoost was the strongest detector (F1 0.9971, recall 0.9995), closely followed by Random Forest (F1 0.9956); the LSTM reached an F1 of 0.8667 with noticeably more false alarms. SHAP beat LIME on fidelity for all three models and was perfectly stable on both tree ensembles, while LIME's top features overlapped only around 40% between runs. On the LSTM, however, SHAP's stability fell from 0.640 to 0.341 as the training data grew, almost erasing its lead over LIME. The practical recommendation is XGBoost explained with SHAP TreeExplainer, which combines the best detection with deterministic explanations at about six milliseconds per alert. The wider finding is that model choice and explanation choice interact, and that conclusions drawn from a single, small experiment may not survive a change of scale.</w:t>
      </w:r>
    </w:p>
    <w:p w14:paraId="00000013">
      <w:pPr>
        <w:spacing w:before="200" w:after="160"/>
        <w:jc w:val="both"/>
      </w:pPr>
      <w:r>
        <w:rPr>
          <w:b/>
          <w:bCs/>
          <w:rtl w:val="0"/>
        </w:rPr>
        <w:t xml:space="preserve">Keywords: </w:t>
      </w:r>
      <w:r>
        <w:rPr>
          <w:i/>
          <w:iCs/>
          <w:rtl w:val="0"/>
        </w:rPr>
        <w:t>Explainable AI; network intrusion detection; SHAP; LIME; CICIDS2017; XGBoost; LSTM; explanation fidelity; explanation stability.</w:t>
      </w:r>
      <w:r>
        <w:br w:type="page"/>
      </w:r>
    </w:p>
    <w:p w14:paraId="00000014">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360" w:line="276" w:lineRule="auto"/>
        <w:ind w:left="0" w:right="0" w:firstLine="0"/>
        <w:jc w:val="left"/>
        <w:rPr>
          <w:rFonts w:ascii="Times New Roman" w:hAnsi="Times New Roman" w:eastAsia="Times New Roman" w:cs="Times New Roman"/>
          <w:b/>
          <w:bCs/>
          <w:i w:val="0"/>
          <w:iCs w:val="0"/>
          <w:smallCaps w:val="0"/>
          <w:strike w:val="0"/>
          <w:sz w:val="32"/>
          <w:szCs w:val="32"/>
          <w:u w:val="none"/>
          <w:shd w:val="clear" w:fill="auto"/>
          <w:vertAlign w:val="baseline"/>
        </w:rPr>
      </w:pPr>
      <w:r>
        <w:rPr>
          <w:rFonts w:ascii="Times New Roman" w:hAnsi="Times New Roman" w:eastAsia="Times New Roman" w:cs="Times New Roman"/>
          <w:b/>
          <w:bCs/>
          <w:i w:val="0"/>
          <w:iCs w:val="0"/>
          <w:smallCaps w:val="0"/>
          <w:strike w:val="0"/>
          <w:sz w:val="32"/>
          <w:szCs w:val="32"/>
          <w:u w:val="none"/>
          <w:shd w:val="clear" w:fill="auto"/>
          <w:vertAlign w:val="baseline"/>
          <w:rtl w:val="0"/>
        </w:rPr>
        <w:t>TABLE OF CONTENTS</w:t>
      </w:r>
    </w:p>
    <w:sdt>
      <w:sdtPr>
        <w:id w:val="-985097354"/>
        <w:docPartObj>
          <w:docPartGallery w:val="Table of Contents"/>
          <w:docPartUnique/>
        </w:docPartObj>
      </w:sdtPr>
      <w:sdtContent>
        <w:p w14:paraId="00000015">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TOC \h \u \z \t "Heading 1,1,Heading 2,2,"</w:instrText>
          </w:r>
          <w:r>
            <w:fldChar w:fldCharType="separate"/>
          </w:r>
          <w:r>
            <w:fldChar w:fldCharType="begin"/>
          </w:r>
          <w:r>
            <w:instrText xml:space="preserve"> HYPERLINK \l "_v9lsoe24xl5i"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DECLARATION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ii</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16">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"_o6d2iknr7cqr"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ACKNOWLEDGEMENTS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iii</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17">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"_e09ohws10061"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ABSTRACT</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iv</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18">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"_pd6x8udnk1e7"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LIST OF ABBREVIATIONS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xii</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19">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"_qcpgejfydyir"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CHAPTER 1: INTRODUCTION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1A">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"_sf4brcdo0ipv"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1.1 Background</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1B">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"_oh0l1uymo0ey"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1.2 Statement of the Problem</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1C">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"_r87774l05czz"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1.3 Aim and Objectives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1D">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"_kwqr06sn38ll"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1.4 Significance of the Study</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1E">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"_v6fxs9t6nc9o"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1.5 Scope</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1F">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"_6ejafa4ilk1h"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1.6 Structure of the Report</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20">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"_hflqtrc306lf"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CHAPTER 2: LITERATURE REVIEW</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5</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21">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"_ag8495mxwp53"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2.1 Introduction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5</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22">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"_6rbgweajhk3b"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2.2 The Evolution of Network Intrusion Detection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5</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23">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"_hf9f5cg8g8j8"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2.3 Benchmark Datasets and CICIDS2017</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6</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24">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"_pu9bl3er78n5"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2.4 The Black-Box Problem: Accuracy, Trust and Alert Fatigue</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8</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25">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"_vf90vrxm3kj6"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2.5 Foundations of Explainable AI</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8</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26">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"_p1swun9m4m2f"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2.6 Explainable AI Applied to Network Intrusion Detection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11</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27">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"_nybgflk3m2t6"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2.7 Regulatory and Trust Drivers for Explainability</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13</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28">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"_3jifyv1zopau"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2.8 Research Gap</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13</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29">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"_61n0q57hhutk"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2.9 Chapter Summary</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14</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2A">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"_dyj1dus62wjv"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CHAPTER 3: RESEARCH METHODOLOGY</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15</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2B">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"_g615gb71cv9z"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3.1 Introduction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15</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2C">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"_aoee4ovadd0r"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3.2 Research Philosophy and Approach</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15</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2D">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"_5c1503dc0mrm"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3.3 Research Strategy</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15</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2E">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"_t4spbaapx2sb"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3.4 Dataset</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16</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2F">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"_55onmprh5wy4"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3.5 Data Preprocessing</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17</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30">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"_li3nda4jl4c0"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3.6 Model Selection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18</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31">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"_kdx80awghpk4"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3.7 Explainability Integration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18</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32">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"_gphcy7nr2ks6"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3.8 Evaluation Metrics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19</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33">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"_qqg8hxdrroik"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3.9 Validity and Reliability</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20</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34">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"_63us5z12bugx"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3.10 Ethical Considerations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21</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35">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"_a2f2nbl9vrr4"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3.11 Chapter Summary</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21</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36">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"_h17kfntontz6"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CHAPTER 4: DESIGN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22</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37">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"_12n8vx4mv9dy"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4.1 Introduction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22</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38">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"_xnp5z3pdy6z4"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4.2 Design Requirements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22</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39">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"_7pjjyst8fluw"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4.3 System Architecture Overview</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22</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3A">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"_pynxnbkmud1q"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4.4 Data Preprocessing Design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23</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3B">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"_gl6men8os4k3"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4.5 Model Design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24</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3C">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"_8utquafxu5w0"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4.6 Explainability Module Design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25</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3D">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"_7agpwu6bnvtz"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4.7 Evaluation Design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26</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3E">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"_hpixaqpvmklq"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4.8 Design Alternatives Considered</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27</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3F">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"_h3qvwa81kqlg"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4.9 Tools and Technologies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27</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40">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"_br46gcga9tmj"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4.10 Chapter Summary</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28</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41">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"_x77l1oqnvbdc"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CHAPTER 5: IMPLEMENTATION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29</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42">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"_2w6hqnu1qe2c"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5.1 Introduction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29</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43">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"_b76bf4vo07e8"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5.2 Environment and Data Loading</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29</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44">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"_i0jxbduye7tn"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5.3 Preprocessing Implementation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30</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45">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"_p9uk10v28884"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5.4 Model Training Implementation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31</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46">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"_49zhd5uicv5j"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5.5 Explainability Implementation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32</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47">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"_dn7i3rwvs8st"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5.6 Implementation Challenges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33</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48">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"_n1xn2ii5s2n2"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5.7 Reproducibility Check on a Second Machine</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34</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49">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"_w036p3d4qclc"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5.8 Chapter Summary</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39</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4A">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"_j49wtwtiqt7o"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CHAPTER 6: EVALUATION OF RESULTS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40</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4B">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"_3708xw1u5lwy"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6.1 Introduction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40</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4C">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"_44uzbmg93sm"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6.2 Detection Performance</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40</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4D">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"_67008gtpcgm2"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6.3 SHAP Explanation Analysis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42</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4E">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"_ahe7d6i6ips3"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6.4 LIME Explanation Analysis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43</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4F">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"_carrk482f9la"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6.5 SHAP versus LIME: Comparative Analysis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44</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50">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"_fu0l5ilgvaln"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6.6 Comparing the 50,000-Row and 300,000-Row Runs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46</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51">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"_xe3e53wc7bpe"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6.7 Practitioner Evaluation Results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47</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52">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"_e78htrltrudh"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6.8 Discussion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48</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53">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"_bh5nmaxh5q73"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6.9 Chapter Summary</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49</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54">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"_cr8hkzcjt6jy"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CHAPTER 7: CONCLUSIONS AND RECOMMENDATIONS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50</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55">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"_ky9zjoco7lky"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7.1 Introduction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50</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56">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"_uvpsejyp7x9w"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7.2 Revisiting the Aim and Objectives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50</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57">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"_5sitfjk5g7ku"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7.3 Key Findings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51</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58">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"_wamylve9bbsv"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7.4 Contributions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51</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59">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"_fi7w1ae29igw"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7.5 Limitations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51</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5A">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"_kjaa74ut6b49"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7.6 Recommendations and Future Work</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52</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5B">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pos="8221"/>
              <w:tab w:val="right" w:leader="dot" w:pos="8503"/>
            </w:tabs>
            <w:spacing w:before="0" w:after="160" w:line="360" w:lineRule="auto"/>
            <w:ind w:left="283"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"_nxztgey1k70z"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7.7 Concluding Remarks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53</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5C">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"_tgltylj2s4ec"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REFLECTION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55</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5D">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"_gv51a4miowv5"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REFERENCES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57</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5E">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"_8yzjsq4gesbv"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 xml:space="preserve">APPENDIX </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r>
            <w:fldChar w:fldCharType="begin"/>
          </w:r>
          <w:r>
            <w:instrText xml:space="preserve"> HYPERLINK \l "_8yzjsq4gesbv" \h </w:instrText>
          </w:r>
          <w:r>
            <w:fldChar w:fldCharType="separate"/>
          </w:r>
          <w:r>
            <w:rPr>
              <w:rtl w:val="0"/>
            </w:rPr>
            <w:t>A</w:t>
          </w:r>
          <w:r>
            <w:rPr>
              <w:rtl w:val="0"/>
            </w:rPr>
            <w:fldChar w:fldCharType="end"/>
          </w:r>
          <w:r>
            <w:fldChar w:fldCharType="begin"/>
          </w:r>
          <w:r>
            <w:instrText xml:space="preserve"> HYPERLINK \l "_8yzjsq4gesbv"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 PROJECT STRUCTURE AND MODULE MAPPING</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62</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5F">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"_eb6alprua9iw"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 xml:space="preserve">APPENDIX </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r>
            <w:fldChar w:fldCharType="begin"/>
          </w:r>
          <w:r>
            <w:instrText xml:space="preserve"> HYPERLINK \l "_eb6alprua9iw" \h </w:instrText>
          </w:r>
          <w:r>
            <w:fldChar w:fldCharType="separate"/>
          </w:r>
          <w:r>
            <w:rPr>
              <w:rtl w:val="0"/>
            </w:rPr>
            <w:t>B</w:t>
          </w:r>
          <w:r>
            <w:rPr>
              <w:rtl w:val="0"/>
            </w:rPr>
            <w:fldChar w:fldCharType="end"/>
          </w:r>
          <w:r>
            <w:fldChar w:fldCharType="begin"/>
          </w:r>
          <w:r>
            <w:instrText xml:space="preserve"> HYPERLINK \l "_eb6alprua9iw"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 REPRODUCTION INSTRUCTIONS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63</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60">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"_c5lm9k3ap3nl"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 xml:space="preserve">APPENDIX </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r>
            <w:fldChar w:fldCharType="begin"/>
          </w:r>
          <w:r>
            <w:instrText xml:space="preserve"> HYPERLINK \l "_c5lm9k3ap3nl" \h </w:instrText>
          </w:r>
          <w:r>
            <w:fldChar w:fldCharType="separate"/>
          </w:r>
          <w:r>
            <w:rPr>
              <w:rtl w:val="0"/>
            </w:rPr>
            <w:t>C</w:t>
          </w:r>
          <w:r>
            <w:rPr>
              <w:rtl w:val="0"/>
            </w:rPr>
            <w:fldChar w:fldCharType="end"/>
          </w:r>
          <w:r>
            <w:fldChar w:fldCharType="begin"/>
          </w:r>
          <w:r>
            <w:instrText xml:space="preserve"> HYPERLINK \l "_c5lm9k3ap3nl"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 KEY CONFIGURATION VALUES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64</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61">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"_l0erepjh3trl"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 xml:space="preserve">APPENDIX </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r>
            <w:fldChar w:fldCharType="begin"/>
          </w:r>
          <w:r>
            <w:instrText xml:space="preserve"> HYPERLINK \l "_l0erepjh3trl" \h </w:instrText>
          </w:r>
          <w:r>
            <w:fldChar w:fldCharType="separate"/>
          </w:r>
          <w:r>
            <w:rPr>
              <w:rtl w:val="0"/>
            </w:rPr>
            <w:t>D</w:t>
          </w:r>
          <w:r>
            <w:rPr>
              <w:rtl w:val="0"/>
            </w:rPr>
            <w:fldChar w:fldCharType="end"/>
          </w:r>
          <w:r>
            <w:fldChar w:fldCharType="begin"/>
          </w:r>
          <w:r>
            <w:instrText xml:space="preserve"> HYPERLINK \l "_l0erepjh3trl"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 SELECTED HYPERPARAMETERS AND RUN TIMINGS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65</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62">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"_j5k9e7cj5xj"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 xml:space="preserve">APPENDIX </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r>
            <w:fldChar w:fldCharType="begin"/>
          </w:r>
          <w:r>
            <w:instrText xml:space="preserve"> HYPERLINK \l "_j5k9e7cj5xj" \h </w:instrText>
          </w:r>
          <w:r>
            <w:fldChar w:fldCharType="separate"/>
          </w:r>
          <w:r>
            <w:rPr>
              <w:rtl w:val="0"/>
            </w:rPr>
            <w:t>E</w:t>
          </w:r>
          <w:r>
            <w:rPr>
              <w:rtl w:val="0"/>
            </w:rPr>
            <w:fldChar w:fldCharType="end"/>
          </w:r>
          <w:r>
            <w:fldChar w:fldCharType="begin"/>
          </w:r>
          <w:r>
            <w:instrText xml:space="preserve"> HYPERLINK \l "_j5k9e7cj5xj"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 PSEUDOCODE FOR THE EXPLANATION METRICS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66</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63">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"_ev7eamqrbay5"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 xml:space="preserve">APPENDIX </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r>
            <w:fldChar w:fldCharType="begin"/>
          </w:r>
          <w:r>
            <w:instrText xml:space="preserve"> HYPERLINK \l "_ev7eamqrbay5" \h </w:instrText>
          </w:r>
          <w:r>
            <w:fldChar w:fldCharType="separate"/>
          </w:r>
          <w:r>
            <w:rPr>
              <w:rtl w:val="0"/>
            </w:rPr>
            <w:t>F</w:t>
          </w:r>
          <w:r>
            <w:rPr>
              <w:rtl w:val="0"/>
            </w:rPr>
            <w:fldChar w:fldCharType="end"/>
          </w:r>
          <w:r>
            <w:fldChar w:fldCharType="begin"/>
          </w:r>
          <w:r>
            <w:instrText xml:space="preserve"> HYPERLINK \l "_ev7eamqrbay5"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 CICIDS2017 FLOW FEATURES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67</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64">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"_3whogry7nsbs"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 xml:space="preserve">APPENDIX </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r>
            <w:fldChar w:fldCharType="begin"/>
          </w:r>
          <w:r>
            <w:instrText xml:space="preserve"> HYPERLINK \l "_3whogry7nsbs" \h </w:instrText>
          </w:r>
          <w:r>
            <w:fldChar w:fldCharType="separate"/>
          </w:r>
          <w:r>
            <w:rPr>
              <w:rtl w:val="0"/>
            </w:rPr>
            <w:t>G</w:t>
          </w:r>
          <w:r>
            <w:rPr>
              <w:rtl w:val="0"/>
            </w:rPr>
            <w:fldChar w:fldCharType="end"/>
          </w:r>
          <w:r>
            <w:fldChar w:fldCharType="begin"/>
          </w:r>
          <w:r>
            <w:instrText xml:space="preserve"> HYPERLINK \l "_3whogry7nsbs"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 RUN LOG FROM THE REPRODUCIBILITY CHECK</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68</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65">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"_l3x4k4r9hmmn"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 xml:space="preserve">APPENDIX </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r>
            <w:fldChar w:fldCharType="begin"/>
          </w:r>
          <w:r>
            <w:instrText xml:space="preserve"> HYPERLINK \l "_l3x4k4r9hmmn" \h </w:instrText>
          </w:r>
          <w:r>
            <w:fldChar w:fldCharType="separate"/>
          </w:r>
          <w:r>
            <w:rPr>
              <w:rtl w:val="0"/>
            </w:rPr>
            <w:t>H</w:t>
          </w:r>
          <w:r>
            <w:rPr>
              <w:rtl w:val="0"/>
            </w:rPr>
            <w:fldChar w:fldCharType="end"/>
          </w:r>
          <w:r>
            <w:fldChar w:fldCharType="begin"/>
          </w:r>
          <w:r>
            <w:instrText xml:space="preserve"> HYPERLINK \l "_l3x4k4r9hmmn"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 xml:space="preserve"> RECONSTRUCTING THE CONFUSION MATRICES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69</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r>
            <w:fldChar w:fldCharType="end"/>
          </w:r>
        </w:p>
      </w:sdtContent>
    </w:sdt>
    <w:p w14:paraId="00000066">
      <w:r>
        <w:br w:type="page"/>
      </w:r>
    </w:p>
    <w:p w14:paraId="00000067">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360" w:line="276" w:lineRule="auto"/>
        <w:ind w:left="0" w:right="0" w:firstLine="0"/>
        <w:jc w:val="left"/>
        <w:rPr>
          <w:rFonts w:ascii="Times New Roman" w:hAnsi="Times New Roman" w:eastAsia="Times New Roman" w:cs="Times New Roman"/>
          <w:b/>
          <w:bCs/>
          <w:i w:val="0"/>
          <w:iCs w:val="0"/>
          <w:smallCaps w:val="0"/>
          <w:strike w:val="0"/>
          <w:sz w:val="32"/>
          <w:szCs w:val="32"/>
          <w:u w:val="none"/>
          <w:shd w:val="clear" w:fill="auto"/>
          <w:vertAlign w:val="baseline"/>
        </w:rPr>
      </w:pPr>
      <w:r>
        <w:rPr>
          <w:rFonts w:ascii="Times New Roman" w:hAnsi="Times New Roman" w:eastAsia="Times New Roman" w:cs="Times New Roman"/>
          <w:b/>
          <w:bCs/>
          <w:i w:val="0"/>
          <w:iCs w:val="0"/>
          <w:smallCaps w:val="0"/>
          <w:strike w:val="0"/>
          <w:sz w:val="32"/>
          <w:szCs w:val="32"/>
          <w:u w:val="none"/>
          <w:shd w:val="clear" w:fill="auto"/>
          <w:vertAlign w:val="baseline"/>
          <w:rtl w:val="0"/>
        </w:rPr>
        <w:t>LIST OF FIGURES</w:t>
      </w:r>
    </w:p>
    <w:sdt>
      <w:sdtPr>
        <w:id w:val="-1835198218"/>
        <w:docPartObj>
          <w:docPartGallery w:val="Table of Contents"/>
          <w:docPartUnique/>
        </w:docPartObj>
      </w:sdtPr>
      <w:sdtContent>
        <w:p w14:paraId="00000068">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TOC \h \u \z \t "Heading 1,1,Heading 2,2,Heading 3,3,Heading 4,4,Heading 5,5,Heading 6,6,"</w:instrText>
          </w:r>
          <w:r>
            <w:fldChar w:fldCharType="separate"/>
          </w:r>
          <w:r>
            <w:fldChar w:fldCharType="begin"/>
          </w:r>
          <w:r>
            <w:instrText xml:space="preserve"> HYPERLINK \l "_k1v84bay6fzn"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Figure 2.1: The evolution of network intrusion detection approaches, from signature matching to explainable NIDS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6</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69">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"_8dcbv13fdgf4"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Figure 2.2: A taxonomy of explainable AI methods, showing where the techniques used in this project sit</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9</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6A">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"_fh8aqtupdrdh"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Figure 2.3: How SHAP and LIME produce an explanation for a single prediction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10</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6B">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"_fqn9ueqea2a4"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Figure 3.1: Experimental design showing independent, dependent and controlled variables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16</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6C">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"_2mg71nby0kp5"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Figure 4.1: Five-stage architecture of the explainable NIDS pipeline, showing the fan-out to six model–method pairs and fan-in to a common evaluation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23</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6D">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"_j5js07ldk3ge"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Figure 4.2: Preprocessing design, showing where the scaler and SMOTE are fitted to prevent leakage into the test set</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24</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6E">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"_gnohi7eoh0qh"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Figure 4.3: LSTM design, in which each scaled flow feature is treated as one timestep</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25</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6F">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"_elt968z0dxwz"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Figure 4.4: Procedure for the deletion-based fidelity gap and the Jaccard stability score</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26</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70">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"_amvkkdzea9vk"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Figure 5.1: Row counts at each preprocessing step of the 300,000-row run (logarithmic scale)</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30</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71">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"_sg1r0kg6qali"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Figure 5.2: Class balance of the training set before and after SMOTE</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31</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72">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"_qsm2ooutpms5"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Figure 5.3: Mean time to explain one instance for each model–method pair (300,000-row run)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33</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73">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"_q5qs87kafkdu"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Figure 5.4: Environment verification output followed by the project README on the Kali Linux machine</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35</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74">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"_gedjpdwsrm88"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Figure 5.5: README sections mapping code modules to report chapters and listing known limitations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36</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75">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"_d32i8qdehh84"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Figure 5.6: Synthetic smoke-test data generation and the start of a real-data run with explainability skipped</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37</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76">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"_mewkoxh28vml"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Figure 5.7: Full preprocessing log and start of Random Forest training on the Kali Linux machine</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38</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77">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"_ks4zy4lut33n"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Figure 6.1: Detection metrics for the three classifiers on the held-out test set</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40</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78">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"_dnbemdfzexa5"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Figure 6.2: Approximate confusion matrices for the three models (rows: true class; columns: predicted class)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42</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79">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"_pgae6m92khgl"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Figure 6.3: Fidelity gap and stability of SHAP and LIME for each model</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44</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7A">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"_rre5lqhjsakt"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Figure 6.4: Fidelity–stability map of the six model–method pairs (300,000-row run)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45</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7B">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"_12uv4kqycy6m"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Figure 6.5: Detection and explanation stability at the two training scales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46</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r>
            <w:fldChar w:fldCharType="end"/>
          </w:r>
        </w:p>
      </w:sdtContent>
    </w:sdt>
    <w:p w14:paraId="0000007C">
      <w:r>
        <w:br w:type="page"/>
      </w:r>
    </w:p>
    <w:p w14:paraId="0000007D">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360" w:line="276" w:lineRule="auto"/>
        <w:ind w:left="0" w:right="0" w:firstLine="0"/>
        <w:jc w:val="left"/>
        <w:rPr>
          <w:rFonts w:ascii="Times New Roman" w:hAnsi="Times New Roman" w:eastAsia="Times New Roman" w:cs="Times New Roman"/>
          <w:b/>
          <w:bCs/>
          <w:i w:val="0"/>
          <w:iCs w:val="0"/>
          <w:smallCaps w:val="0"/>
          <w:strike w:val="0"/>
          <w:sz w:val="32"/>
          <w:szCs w:val="32"/>
          <w:u w:val="none"/>
          <w:shd w:val="clear" w:fill="auto"/>
          <w:vertAlign w:val="baseline"/>
        </w:rPr>
      </w:pPr>
      <w:r>
        <w:rPr>
          <w:rFonts w:ascii="Times New Roman" w:hAnsi="Times New Roman" w:eastAsia="Times New Roman" w:cs="Times New Roman"/>
          <w:b/>
          <w:bCs/>
          <w:i w:val="0"/>
          <w:iCs w:val="0"/>
          <w:smallCaps w:val="0"/>
          <w:strike w:val="0"/>
          <w:sz w:val="32"/>
          <w:szCs w:val="32"/>
          <w:u w:val="none"/>
          <w:shd w:val="clear" w:fill="auto"/>
          <w:vertAlign w:val="baseline"/>
          <w:rtl w:val="0"/>
        </w:rPr>
        <w:t>LIST OF TABLES</w:t>
      </w:r>
    </w:p>
    <w:sdt>
      <w:sdtPr>
        <w:id w:val="1970919266"/>
        <w:docPartObj>
          <w:docPartGallery w:val="Table of Contents"/>
          <w:docPartUnique/>
        </w:docPartObj>
      </w:sdtPr>
      <w:sdtContent>
        <w:p w14:paraId="0000007E">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TOC \h \u \z \t "Heading 1,1,Heading 2,2,Heading 3,3,Heading 4,4,Heading 5,5,Heading 6,6,"</w:instrText>
          </w:r>
          <w:r>
            <w:fldChar w:fldCharType="separate"/>
          </w:r>
          <w:r>
            <w:fldChar w:fldCharType="begin"/>
          </w:r>
          <w:r>
            <w:instrText xml:space="preserve"> HYPERLINK \l "_9vafd7x820kq"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Table 2.1: Summary of closely related studies on XAI for intrusion detection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12</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7F">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"_js8o8rlvzyij"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Table 3.1: The eight CICIDS2017 MachineLearningCSV files and the traffic they contain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17</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80">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"_63u0nxt9iktm"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Table 3.2: Detection metrics used in this study</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19</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81">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"_mjxf23fwtuik"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Table 4.1: Design requirements derived from the methodology</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22</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82">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"_e3iop6fqr2vw"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Table 4.2: Tools and libraries used in the implementation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28</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83">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"_hc1529sjy1cn"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Table 5.1: Data volumes through the preprocessing stage (300,000-row run)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31</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84">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"_he6dzc5y6s7n"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Table 5.2: Selected hyperparameters and training cost (300,000-row run)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32</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85">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"_86bx8h8jhyt5"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Table 5.3: Explanation cost per instance and implied throughput on a single CPU</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33</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86">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"_blghdybega1z"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Table 6.1: Detection results on the held-out test set (n = 60,000; 300,000-row run)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40</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87">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"_cnrgtxobfb6i"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Table 6.2: Approximate confusion matrices reconstructed from reported precision and recall (test set, n = 60,000)</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41</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88">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"_b9xyagjvzpaj"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Table 6.3: Explanation quality for each model–method pair (mean over 50 test instances, 5 repeats per instance; 300,000-row run)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43</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89">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"_peywf2ju1ysc"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Table 6.4: Summary of SHAP versus LIME by model (300,000-row run)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46</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8A">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"_kwl4r69lmqx"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Table 6.5: Comparison of the 50,000-row and 300,000-row runs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46</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8B">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"_kegaime196a2"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Table 7.1: How each objective was met</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50</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8C">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"_pkacwff0visx"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Table B.1: Source modules, their responsibilities and the report sections they support</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62</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8D">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"_m6fr207bipgm"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Table D.1: Configuration values used for the main (300,000-row) run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64</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8E">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"_4rf90nkmjb7k"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Table E.1: Selected hyperparameters, cross-validated scores and timings (300,000-row run)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65</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8F">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"_mk4fda441yn8"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Table G.1: The 78 CICIDS2017 flow features used as model inputs</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67</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p>
        <w:p w14:paraId="00000090">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right" w:leader="dot" w:pos="8503"/>
              <w:tab w:val="right" w:pos="8504"/>
            </w:tabs>
            <w:spacing w:before="0" w:after="160" w:line="360" w:lineRule="auto"/>
            <w:ind w:left="0" w:right="0" w:firstLine="0"/>
            <w:jc w:val="left"/>
            <w:rPr>
              <w:rFonts w:ascii="Times New Roman" w:hAnsi="Times New Roman" w:eastAsia="Times New Roman" w:cs="Times New Roman"/>
              <w:b w:val="0"/>
              <w:bCs w:val="0"/>
              <w:i w:val="0"/>
              <w:iCs w:val="0"/>
              <w:smallCaps w:val="0"/>
              <w:strike w:val="0"/>
              <w:sz w:val="24"/>
              <w:szCs w:val="24"/>
              <w:u w:val="none"/>
              <w:shd w:val="clear" w:fill="auto"/>
              <w:vertAlign w:val="baseline"/>
            </w:rPr>
          </w:pPr>
          <w:r>
            <w:fldChar w:fldCharType="begin"/>
          </w:r>
          <w:r>
            <w:instrText xml:space="preserve"> HYPERLINK \l "_xhye1h3u9jjw" \h </w:instrText>
          </w:r>
          <w:r>
            <w:fldChar w:fldCharType="separate"/>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Table H.1: Primary run compared with the reproducibility run</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ab/>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68</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fldChar w:fldCharType="end"/>
          </w:r>
          <w:r>
            <w:fldChar w:fldCharType="end"/>
          </w:r>
        </w:p>
      </w:sdtContent>
    </w:sdt>
    <w:p w14:paraId="00000091">
      <w:r>
        <w:br w:type="page"/>
      </w:r>
    </w:p>
    <w:p w14:paraId="000000D0">
      <w:pPr>
        <w:pStyle w:val="2"/>
        <w:rPr>
          <w:color w:val="000000"/>
        </w:rPr>
      </w:pPr>
      <w:bookmarkStart w:id="3" w:name="_pd6x8udnk1e7" w:colFirst="0" w:colLast="0"/>
      <w:bookmarkEnd w:id="3"/>
      <w:bookmarkStart w:id="4" w:name="_qcpgejfydyir" w:colFirst="0" w:colLast="0"/>
      <w:bookmarkEnd w:id="4"/>
      <w:r>
        <w:rPr>
          <w:color w:val="000000"/>
          <w:rtl w:val="0"/>
        </w:rPr>
        <w:t>CHAPTER 1: INTRODUCTION</w:t>
      </w:r>
    </w:p>
    <w:p w14:paraId="000000D1">
      <w:pPr>
        <w:pStyle w:val="3"/>
        <w:rPr>
          <w:color w:val="000000"/>
        </w:rPr>
      </w:pPr>
      <w:bookmarkStart w:id="5" w:name="_sf4brcdo0ipv" w:colFirst="0" w:colLast="0"/>
      <w:bookmarkEnd w:id="5"/>
      <w:r>
        <w:rPr>
          <w:color w:val="000000"/>
          <w:rtl w:val="0"/>
        </w:rPr>
        <w:t>1.1 Background</w:t>
      </w:r>
    </w:p>
    <w:p w14:paraId="000000D2">
      <w:pPr>
        <w:jc w:val="both"/>
      </w:pPr>
      <w:r>
        <w:rPr>
          <w:rtl w:val="0"/>
        </w:rPr>
        <w:t>Network Intrusion Detection Systems (NIDS) sit near the centre of most enterprise security programmes, and the pressure on them grows every year. IBM's 2024 study put the global average cost of a data breach at USD 4.88 million, a 10% rise on the previous year and the sharpest jump since the pandemic [1]. Much of that cost is driven by how long an intruder goes unnoticed, which is exactly the problem a NIDS is meant to shorten.</w:t>
      </w:r>
    </w:p>
    <w:p w14:paraId="000000D3">
      <w:pPr>
        <w:jc w:val="both"/>
      </w:pPr>
      <w:r>
        <w:rPr>
          <w:rtl w:val="0"/>
        </w:rPr>
        <w:t>Traditional detection relies on signatures and hand-written rules. These work well against attacks that have been seen and catalogued before, but they have nothing to match against a zero-day exploit or a patient, low-and-slow intrusion of the kind associated with advanced persistent threats [2], [3]. Over the last decade, machine learning (ML) and deep learning (DL) have become the main direction of NIDS research, helped along by labelled benchmark datasets such as CICIDS2017 that let researchers train and compare models on realistic traffic [4], [5].</w:t>
      </w:r>
    </w:p>
    <w:p w14:paraId="000000D4">
      <w:pPr>
        <w:jc w:val="both"/>
      </w:pPr>
      <w:r>
        <w:rPr>
          <w:rtl w:val="0"/>
        </w:rPr>
        <w:t>The difficulty is that the models that detect best tend to be the hardest to interpret. Random Forest and XGBoost ensembles, and convolutional or recurrent neural networks, behave as black boxes: they return a verdict, benign or malicious, together with a score, but they do not say which properties of the traffic led to that verdict [6], [7]. In a SOC this is not an abstract concern. Analysts already spend a large share of their time on alerts that turn out to be false positives, and an alert that arrives without any reasoning can only be handled by re-investigating it from scratch [8]. Over time, unexplained alerts wear down the analyst's trust in the tool, and a detector that is not trusted is a detector whose output gets ignored.</w:t>
      </w:r>
    </w:p>
    <w:p w14:paraId="000000D5">
      <w:pPr>
        <w:jc w:val="both"/>
      </w:pPr>
      <w:r>
        <w:rPr>
          <w:rtl w:val="0"/>
        </w:rPr>
        <w:t>There is also a regulatory side to the problem. The European Union's Artificial Intelligence Act requires high-risk AI systems to be designed so that their operation is transparent enough for deployers to interpret the output and use it appropriately [9]. In the UK, guidance from the Information Commissioner's Office and the Alan Turing Institute makes a similar case for explaining decisions made with AI [10]. Security tooling is not automatically classed as high-risk, but the direction of travel is clear, and researchers have already begun to examine how transparency duties can be reconciled with the practical limits of after-the-fact explanation [11].</w:t>
      </w:r>
    </w:p>
    <w:p w14:paraId="000000D6">
      <w:pPr>
        <w:jc w:val="both"/>
      </w:pPr>
      <w:r>
        <w:rPr>
          <w:rtl w:val="0"/>
        </w:rPr>
        <w:t>Explainable Artificial Intelligence (XAI) has emerged as the most promising response. Post-hoc, model-agnostic techniques, in particular SHapley Additive exPlanations (SHAP) [12] and Local Interpretable Model-agnostic Explanations (LIME) [13], can be bolted onto an existing detector and asked, for any single prediction, which input features pushed the model towards its answer. Neither requires the model to be rebuilt. Both have been applied to intrusion detection, and both have been shown to make black-box IDS decisions more understandable to a human reader [6], [14]. What is still missing is a careful, like-for-like comparison of the two methods across several different detectors trained on the same data.</w:t>
      </w:r>
    </w:p>
    <w:p w14:paraId="000000D7">
      <w:pPr>
        <w:pStyle w:val="3"/>
        <w:rPr>
          <w:color w:val="000000"/>
        </w:rPr>
      </w:pPr>
      <w:bookmarkStart w:id="6" w:name="_oh0l1uymo0ey" w:colFirst="0" w:colLast="0"/>
      <w:bookmarkEnd w:id="6"/>
      <w:r>
        <w:rPr>
          <w:color w:val="000000"/>
          <w:rtl w:val="0"/>
        </w:rPr>
        <w:t>1.2 Statement of the Problem</w:t>
      </w:r>
    </w:p>
    <w:p w14:paraId="000000D8">
      <w:pPr>
        <w:jc w:val="both"/>
      </w:pPr>
      <w:r>
        <w:rPr>
          <w:rtl w:val="0"/>
        </w:rPr>
        <w:t>Research on ML-based NIDS has tended to treat detection accuracy and explainability as two separate conversations. One body of work pushes detection scores on CICIDS2017 and similar datasets ever closer to perfect. A second, smaller and more recent body of work shows that SHAP or LIME can be attached to a chosen model and produce sensible-looking explanations [6], [14], [15]. Very few studies compare SHAP and LIME on more than one type of detector under the same conditions, and fewer still ask how useful the resulting explanations would be to a working analyst rather than to a researcher.</w:t>
      </w:r>
    </w:p>
    <w:p w14:paraId="000000D9">
      <w:pPr>
        <w:jc w:val="both"/>
      </w:pPr>
      <w:r>
        <w:rPr>
          <w:rtl w:val="0"/>
        </w:rPr>
        <w:t>This leaves two practical questions without a clear answer. First, does the choice of XAI technique change what the analyst is told about an alert, and does that depend on which model is being explained? Second, can explainability be added to a high-performing detector without giving up detection quality or making the system too slow to use at alert volume? This project sets out to answer both.</w:t>
      </w:r>
    </w:p>
    <w:p w14:paraId="000000DA">
      <w:pPr>
        <w:pStyle w:val="3"/>
        <w:rPr>
          <w:color w:val="000000"/>
        </w:rPr>
      </w:pPr>
      <w:bookmarkStart w:id="7" w:name="_r87774l05czz" w:colFirst="0" w:colLast="0"/>
      <w:bookmarkEnd w:id="7"/>
      <w:r>
        <w:rPr>
          <w:color w:val="000000"/>
          <w:rtl w:val="0"/>
        </w:rPr>
        <w:t>1.3 Aim and Objectives</w:t>
      </w:r>
    </w:p>
    <w:p w14:paraId="000000DB">
      <w:pPr>
        <w:jc w:val="both"/>
      </w:pPr>
      <w:r>
        <w:rPr>
          <w:rtl w:val="0"/>
        </w:rPr>
        <w:t>The aim of this study is to design, implement and evaluate an explainable network intrusion detection pipeline on the CICIDS2017 dataset, comparing SHAP and LIME as post-hoc explanation methods across both ensemble and deep learning classifiers, in order to identify the model–method combination that best balances detection accuracy with interpretability. The aim is met through three objectives:</w:t>
      </w:r>
    </w:p>
    <w:p w14:paraId="000000DC">
      <w:pPr>
        <w:keepNext w:val="0"/>
        <w:keepLines w:val="0"/>
        <w:pageBreakBefore w:val="0"/>
        <w:widowControl/>
        <w:numPr>
          <w:ilvl w:val="0"/>
          <w:numId w:val="1"/>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60"/>
        <w:jc w:val="both"/>
        <w:rPr>
          <w:rFonts w:ascii="Times New Roman" w:hAnsi="Times New Roman" w:eastAsia="Times New Roman" w:cs="Times New Roman"/>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To review the literature on ML-based intrusion detection and explainable AI, establish how SHAP and LIME have been used in cybersecurity so far, and identify the gaps in how they have been compared.</w:t>
      </w:r>
    </w:p>
    <w:p w14:paraId="000000DD">
      <w:pPr>
        <w:keepNext w:val="0"/>
        <w:keepLines w:val="0"/>
        <w:pageBreakBefore w:val="0"/>
        <w:widowControl/>
        <w:numPr>
          <w:ilvl w:val="0"/>
          <w:numId w:val="1"/>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60"/>
        <w:jc w:val="both"/>
        <w:rPr>
          <w:rFonts w:ascii="Times New Roman" w:hAnsi="Times New Roman" w:eastAsia="Times New Roman" w:cs="Times New Roman"/>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To build a set of intrusion detection models from two families, tree-based ensembles and a recurrent neural network, on CICIDS2017, and integrate SHAP and LIME into the same pipeline so that every model's predictions can be explained by both methods.</w:t>
      </w:r>
    </w:p>
    <w:p w14:paraId="000000DE">
      <w:pPr>
        <w:keepNext w:val="0"/>
        <w:keepLines w:val="0"/>
        <w:pageBreakBefore w:val="0"/>
        <w:widowControl/>
        <w:numPr>
          <w:ilvl w:val="0"/>
          <w:numId w:val="1"/>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60"/>
        <w:jc w:val="both"/>
        <w:rPr>
          <w:rFonts w:ascii="Times New Roman" w:hAnsi="Times New Roman" w:eastAsia="Times New Roman" w:cs="Times New Roman"/>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To evaluate the trained models and their explanations using detection metrics (accuracy, precision, recall, F1-score and ROC-AUC) and explanation-quality criteria (fidelity, stability and computational cost), and on that basis recommend the combination most suitable for supporting a SOC analyst's decisions.</w:t>
      </w:r>
    </w:p>
    <w:p w14:paraId="000000DF">
      <w:pPr>
        <w:jc w:val="both"/>
      </w:pPr>
      <w:r>
        <w:rPr>
          <w:rtl w:val="0"/>
        </w:rPr>
        <w:t>Alongside the objectives, the project is guided by three research questions:</w:t>
      </w:r>
    </w:p>
    <w:p w14:paraId="000000E0">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00"/>
        <w:jc w:val="both"/>
        <w:rPr>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RQ1: How do Random Forest, XGBoost and an LSTM compare in detection performance on the same preprocessed CICIDS2017 data?</w:t>
      </w:r>
    </w:p>
    <w:p w14:paraId="000000E1">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00"/>
        <w:jc w:val="both"/>
        <w:rPr>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RQ2: For each of these models, which of SHAP and LIME gives the more faithful and more stable explanation, and at what computational cost?</w:t>
      </w:r>
    </w:p>
    <w:p w14:paraId="000000E2">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00"/>
        <w:jc w:val="both"/>
        <w:rPr>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RQ3: Do the answers to RQ1 and RQ2 hold when the amount of training data changes?</w:t>
      </w:r>
    </w:p>
    <w:p w14:paraId="000000E3">
      <w:pPr>
        <w:pStyle w:val="3"/>
        <w:rPr>
          <w:color w:val="000000"/>
        </w:rPr>
      </w:pPr>
      <w:bookmarkStart w:id="8" w:name="_kwqr06sn38ll" w:colFirst="0" w:colLast="0"/>
      <w:bookmarkEnd w:id="8"/>
      <w:r>
        <w:rPr>
          <w:color w:val="000000"/>
          <w:rtl w:val="0"/>
        </w:rPr>
        <w:t>1.4 Significance of the Study</w:t>
      </w:r>
    </w:p>
    <w:p w14:paraId="000000E4">
      <w:pPr>
        <w:jc w:val="both"/>
      </w:pPr>
      <w:r>
        <w:rPr>
          <w:rtl w:val="0"/>
        </w:rPr>
        <w:t>The study contributes to the growing field of explainable cybersecurity in three ways. First, it is a structured comparison of SHAP and LIME across several detectors on a single, widely used benchmark, rather than a demonstration that one method works on one model [6]. Because every model sees exactly the same data and every explanation method is applied to exactly the same test instances, differences in the results can be attributed to the model and method rather than to differences in setup.</w:t>
      </w:r>
    </w:p>
    <w:p w14:paraId="000000E5">
      <w:pPr>
        <w:jc w:val="both"/>
      </w:pPr>
      <w:r>
        <w:rPr>
          <w:rtl w:val="0"/>
        </w:rPr>
        <w:t>Second, the explanations are judged against criteria that matter operationally. An explanation that points to the wrong features is misleading; one that changes every time it is generated cannot be relied upon in an incident report; and one that takes half a second to compute may be fine for a single investigation but not for thousands of alerts an hour. Fidelity, stability and speed capture these concerns directly.</w:t>
      </w:r>
    </w:p>
    <w:p w14:paraId="000000E6">
      <w:pPr>
        <w:jc w:val="both"/>
      </w:pPr>
      <w:r>
        <w:rPr>
          <w:rtl w:val="0"/>
        </w:rPr>
        <w:t>Third, the results offer practical guidance for teams that want to add explainability to an existing detector without sacrificing its accuracy, a question that more organisations will face as XAI moves out of the research lab and into procurement checklists and compliance reviews [11], [9].</w:t>
      </w:r>
    </w:p>
    <w:p w14:paraId="000000E7">
      <w:pPr>
        <w:pStyle w:val="3"/>
        <w:rPr>
          <w:color w:val="000000"/>
        </w:rPr>
      </w:pPr>
      <w:bookmarkStart w:id="9" w:name="_v6fxs9t6nc9o" w:colFirst="0" w:colLast="0"/>
      <w:bookmarkEnd w:id="9"/>
      <w:r>
        <w:rPr>
          <w:color w:val="000000"/>
          <w:rtl w:val="0"/>
        </w:rPr>
        <w:t>1.5 Scope</w:t>
      </w:r>
    </w:p>
    <w:p w14:paraId="000000E8">
      <w:pPr>
        <w:jc w:val="both"/>
      </w:pPr>
      <w:r>
        <w:rPr>
          <w:rtl w:val="0"/>
        </w:rPr>
        <w:t>The study uses the eight MachineLearningCSV files of CICIDS2017 and frames detection as a binary task (benign versus attack). It compares two explanation methods, SHAP and LIME, and three classifiers. Because of hardware limits, models were trained on stratified subsamples of the cleaned data rather than on all 2.52 million rows; this decision and its consequences are discussed openly in Chapters 5 and 7. A practitioner survey was planned in the Ethics Form but could not be carried out within the project's timeframe, so the evaluation relies on quantitative proxies for usefulness.</w:t>
      </w:r>
    </w:p>
    <w:p w14:paraId="000000E9">
      <w:pPr>
        <w:pStyle w:val="3"/>
        <w:rPr>
          <w:color w:val="000000"/>
        </w:rPr>
      </w:pPr>
      <w:bookmarkStart w:id="10" w:name="_6ejafa4ilk1h" w:colFirst="0" w:colLast="0"/>
      <w:bookmarkEnd w:id="10"/>
      <w:r>
        <w:rPr>
          <w:color w:val="000000"/>
          <w:rtl w:val="0"/>
        </w:rPr>
        <w:t>1.6 Structure of the Report</w:t>
      </w:r>
    </w:p>
    <w:p w14:paraId="000000EA">
      <w:pPr>
        <w:jc w:val="both"/>
      </w:pPr>
      <w:r>
        <w:rPr>
          <w:rtl w:val="0"/>
        </w:rPr>
        <w:t>The rest of the report is organised as follows. Chapter 2 reviews the literature on ML-based intrusion detection, the foundations of XAI and the existing applications of SHAP and LIME in network security, and identifies the gap this research addresses. Chapter 3 sets out the research methodology: the philosophy and strategy, the CICIDS2017 dataset and its preprocessing, the choice of models and the metrics used to judge detection and explanation quality. Chapter 4 describes the design of the detection and explanation pipeline and the reasoning behind each design decision. Chapter 5 explains how the pipeline was implemented, including the practical difficulties met along the way and a reproducibility check on a second machine. Chapter 6 presents and discusses the results. Chapter 7 draws conclusions, states the limitations of the work and recommends directions for future research. A personal reflection and a set of appendices containing configuration details, pseudocode and run logs follow the references.</w:t>
      </w:r>
      <w:r>
        <w:br w:type="page"/>
      </w:r>
    </w:p>
    <w:p w14:paraId="000000EB">
      <w:pPr>
        <w:pStyle w:val="2"/>
        <w:rPr>
          <w:color w:val="000000"/>
        </w:rPr>
      </w:pPr>
      <w:bookmarkStart w:id="11" w:name="_hflqtrc306lf" w:colFirst="0" w:colLast="0"/>
      <w:bookmarkEnd w:id="11"/>
      <w:r>
        <w:rPr>
          <w:color w:val="000000"/>
          <w:rtl w:val="0"/>
        </w:rPr>
        <w:t>CHAPTER 2: LITERATURE REVIEW</w:t>
      </w:r>
    </w:p>
    <w:p w14:paraId="000000EC">
      <w:pPr>
        <w:pStyle w:val="3"/>
        <w:rPr>
          <w:color w:val="000000"/>
        </w:rPr>
      </w:pPr>
      <w:bookmarkStart w:id="12" w:name="_ag8495mxwp53" w:colFirst="0" w:colLast="0"/>
      <w:bookmarkEnd w:id="12"/>
      <w:r>
        <w:rPr>
          <w:color w:val="000000"/>
          <w:rtl w:val="0"/>
        </w:rPr>
        <w:t>2.1 Introduction</w:t>
      </w:r>
    </w:p>
    <w:p w14:paraId="000000ED">
      <w:pPr>
        <w:jc w:val="both"/>
      </w:pPr>
      <w:r>
        <w:rPr>
          <w:rtl w:val="0"/>
        </w:rPr>
        <w:t>This chapter reviews the body of work on which the project is built. It begins with the history of network intrusion detection, from signature matching to machine learning and deep learning, and with the benchmark datasets, CICIDS2017 in particular, that made that shift possible. It then looks at the "black box" problem that the shift created and at its effect on analyst trust and SOC workload. The focus next moves to XAI itself: the theory behind post-hoc explanation, the mechanics of SHAP and LIME, and the ways in which explanation quality can be measured. The chapter then reviews how these methods have been applied to intrusion detection, considers the regulatory pressures pushing organisations towards explainable systems, and closes by setting out the specific research gap this project addresses.</w:t>
      </w:r>
    </w:p>
    <w:p w14:paraId="000000EE">
      <w:pPr>
        <w:pStyle w:val="3"/>
        <w:rPr>
          <w:color w:val="000000"/>
        </w:rPr>
      </w:pPr>
      <w:bookmarkStart w:id="13" w:name="_6rbgweajhk3b" w:colFirst="0" w:colLast="0"/>
      <w:bookmarkEnd w:id="13"/>
      <w:r>
        <w:rPr>
          <w:color w:val="000000"/>
          <w:rtl w:val="0"/>
        </w:rPr>
        <w:t>2.2 The Evolution of Network Intrusion Detection</w:t>
      </w:r>
    </w:p>
    <w:p w14:paraId="000000EF">
      <w:pPr>
        <w:jc w:val="both"/>
      </w:pPr>
      <w:r>
        <w:rPr>
          <w:rtl w:val="0"/>
        </w:rPr>
        <w:t>Intrusion detection as a research field is usually traced back to Denning's model of 1987, which proposed that abnormal patterns of system use could reveal security violations [2]. The first widely deployed network tools, however, followed a different path. Signature-based systems such as Snort compare traffic against a database of patterns describing known attacks [16]. They are fast, their alerts are easy to explain because each one maps to a specific rule, and their false-positive rate on known threats is low. Their weakness is structural: a signature can only be written after an attack has been observed and analysed, so a genuinely new exploit passes straight through [3].</w:t>
      </w:r>
    </w:p>
    <w:p w14:paraId="000000F0">
      <w:pPr>
        <w:jc w:val="both"/>
      </w:pPr>
      <w:r>
        <w:rPr>
          <w:rtl w:val="0"/>
        </w:rPr>
        <w:t>Anomaly detection was the first serious attempt to address this. Instead of describing what attacks look like, an anomaly detector builds a model of normal behaviour and raises an alarm when traffic departs from it. In principle this catches unknown attacks; in practice, real network traffic is so varied that simple statistical models of "normal" generate floods of false alarms. Sommer and Paxson argued influentially that intrusion detection is a poor fit for the closed-world assumptions that make machine learning succeed elsewhere, pointing to the high cost of errors, the scarcity of good training data and the difficulty of interpreting what a model has learned [17]. That last point, made well over a decade ago, is essentially the problem this project is concerned with.</w:t>
      </w:r>
    </w:p>
    <w:p w14:paraId="000000F1">
      <w:pPr>
        <w:jc w:val="both"/>
      </w:pPr>
      <w:r>
        <w:rPr>
          <w:rtl w:val="0"/>
        </w:rPr>
        <w:t>Machine learning moved the field forward by learning non-linear decision boundaries directly from labelled flow data. Surveys of the period document a steady progression from support vector machines and decision trees to ensembles such as Random Forest and gradient boosting [5], and more recently to deep architectures including convolutional networks, LSTMs and autoencoders [18], [3]. Figure 2.1 summarises this progression. As the figure suggests, each step brought more detection power but less transparency, until the most accurate detectors became effectively opaque to the people who have to act on their output.</w:t>
      </w:r>
    </w:p>
    <w:p w14:paraId="000000F2">
      <w:pPr>
        <w:keepNext/>
        <w:spacing w:before="160" w:after="60" w:line="240" w:lineRule="auto"/>
        <w:jc w:val="center"/>
      </w:pPr>
      <w:r>
        <w:drawing>
          <wp:inline distT="0" distB="0" distL="0" distR="0">
            <wp:extent cx="5353050" cy="2028825"/>
            <wp:effectExtent l="0" t="0" r="0" b="0"/>
            <wp:docPr id="1" name="image12.png" descr="Figure 2.1&#10;The evolution of network intrusion detection approaches, from signature matching to explainable NIDS"/>
            <wp:cNvGraphicFramePr/>
            <a:graphic xmlns:a="http://schemas.openxmlformats.org/drawingml/2006/main">
              <a:graphicData uri="http://schemas.openxmlformats.org/drawingml/2006/picture">
                <pic:pic xmlns:pic="http://schemas.openxmlformats.org/drawingml/2006/picture">
                  <pic:nvPicPr>
                    <pic:cNvPr id="1" name="image12.png" descr="Figure 2.1&#10;The evolution of network intrusion detection approaches, from signature matching to explainable NIDS"/>
                    <pic:cNvPicPr preferRelativeResize="0"/>
                  </pic:nvPicPr>
                  <pic:blipFill>
                    <a:blip r:embed="rId10"/>
                    <a:srcRect/>
                    <a:stretch>
                      <a:fillRect/>
                    </a:stretch>
                  </pic:blipFill>
                  <pic:spPr>
                    <a:xfrm>
                      <a:off x="0" y="0"/>
                      <a:ext cx="5353050" cy="2028825"/>
                    </a:xfrm>
                    <a:prstGeom prst="rect">
                      <a:avLst/>
                    </a:prstGeom>
                  </pic:spPr>
                </pic:pic>
              </a:graphicData>
            </a:graphic>
          </wp:inline>
        </w:drawing>
      </w:r>
    </w:p>
    <w:p w14:paraId="000000F3">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60" w:after="24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14" w:name="_k1v84bay6fzn" w:colFirst="0" w:colLast="0"/>
      <w:bookmarkEnd w:id="14"/>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Figure 2.1: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The evolution of network intrusion detection approaches, from signature matching to explainable NIDS</w:t>
      </w:r>
    </w:p>
    <w:p w14:paraId="000000F4">
      <w:pPr>
        <w:pStyle w:val="3"/>
        <w:rPr>
          <w:color w:val="000000"/>
        </w:rPr>
      </w:pPr>
      <w:bookmarkStart w:id="15" w:name="_hf9f5cg8g8j8" w:colFirst="0" w:colLast="0"/>
      <w:bookmarkEnd w:id="15"/>
      <w:r>
        <w:rPr>
          <w:color w:val="000000"/>
          <w:rtl w:val="0"/>
        </w:rPr>
        <w:t>2.3 Benchmark Datasets and CICIDS2017</w:t>
      </w:r>
    </w:p>
    <w:p w14:paraId="000000F5">
      <w:pPr>
        <w:jc w:val="both"/>
      </w:pPr>
      <w:r>
        <w:rPr>
          <w:rtl w:val="0"/>
        </w:rPr>
        <w:t>Progress in ML-based NIDS has depended heavily on the availability of realistic labelled datasets. The older KDD Cup 1999 dataset and its cleaned successor NSL-KDD are still cited, but they are widely criticised for containing outdated attack types, large numbers of duplicate records and traffic that does not resemble a modern network [19], [4]. UNSW-NB15 was created partly to address these problems and remains a popular alternative [20].</w:t>
      </w:r>
    </w:p>
    <w:p w14:paraId="000000F6">
      <w:pPr>
        <w:jc w:val="both"/>
      </w:pPr>
      <w:r>
        <w:rPr>
          <w:rtl w:val="0"/>
        </w:rPr>
        <w:t>CICIDS2017, produced by the Canadian Institute for Cybersecurity, was designed to offer realistic traffic at scale. It contains five days of labelled network activity captured in July 2017, with benign background traffic generated by profiling the behaviour of real users, and a range of contemporary attacks including denial of service, distributed denial of service, brute force, web attacks, infiltration, botnet activity and port scanning [4]. Each flow is described by more than eighty features extracted with the CICFlowMeter tool, covering flow duration, packet counts and sizes, inter-arrival times, TCP flag counts and bulk-transfer statistics. Its realism and size have made it one of the most frequently used benchmarks of recent years, and much of the comparative literature reviewed below relies on it [21], [18].</w:t>
      </w:r>
    </w:p>
    <w:p w14:paraId="000000F7">
      <w:pPr>
        <w:jc w:val="both"/>
      </w:pPr>
      <w:r>
        <w:rPr>
          <w:rtl w:val="0"/>
        </w:rPr>
        <w:t>CICIDS2017 is not flawless, and it would be misleading to present it as though it were. Engelen, Rimmer and Joosen showed that the CICFlowMeter version used to build the dataset introduced artefacts, including incorrectly terminated flows and some mislabelled traffic [22]. Lanvin and colleagues went further, correcting a set of labelling errors and demonstrating that the corrections changed reported detection performance noticeably [23]. More generally, Arp et al. have catalogued pitfalls such as spurious correlations and sampling bias that can make security ML results look better than they would be in deployment [24]. These critiques matter for this project in two ways. They explain why near-perfect detection scores on CICIDS2017 should be read with some caution, and they give explainability an additional job: if a model is leaning on an artefact rather than on genuine attack behaviour, a good explanation should reveal it.</w:t>
      </w:r>
    </w:p>
    <w:p w14:paraId="000000F8">
      <w:pPr>
        <w:jc w:val="both"/>
      </w:pPr>
      <w:r>
        <w:rPr>
          <w:rtl w:val="0"/>
        </w:rPr>
        <w:t>Recent work shows how far detection on the dataset has come. Yang, Moubayed and Shami proposed a multi-tiered hybrid IDS that combines signature-based and anomaly-based stages and reported very high accuracy and F1-scores on both CICIDS2017 and a vehicular CAN-bus dataset, while keeping per-packet processing time low enough for near real-time operation [21]. Results of this kind suggest that raw detection performance on CICIDS2017 is no longer the main bottleneck for well-designed architectures. The harder problem, and the one this project focuses on, is that these high-performing models remain opaque to the analysts who depend on them.</w:t>
      </w:r>
    </w:p>
    <w:p w14:paraId="000000F9">
      <w:pPr>
        <w:jc w:val="both"/>
      </w:pPr>
      <w:r>
        <w:rPr>
          <w:rtl w:val="0"/>
        </w:rPr>
        <w:t>A second, more concrete issue recurs throughout this literature: class imbalance. Attack traffic makes up only a small fraction of most benchmark datasets, CICIDS2017 included. In their systematic review, Zhang, Muniyandi and Qamar show that this imbalance hurts detection of minority attack classes unless it is corrected through resampling or generative methods such as SMOTE or GANs [18]. SMOTE, which creates synthetic minority examples by interpolating between existing ones, remains the most common choice [25]. Arnob et al. likewise identify data quality and class imbalance as unresolved problems across the field rather than quirks of a single dataset [3]. For the present project the point is not only about detection: the way imbalance is handled can change which features a model relies on, and so can change what SHAP and LIME report.</w:t>
      </w:r>
    </w:p>
    <w:p w14:paraId="000000FA">
      <w:pPr>
        <w:pStyle w:val="3"/>
        <w:rPr>
          <w:color w:val="000000"/>
        </w:rPr>
      </w:pPr>
      <w:bookmarkStart w:id="16" w:name="_pu9bl3er78n5" w:colFirst="0" w:colLast="0"/>
      <w:bookmarkEnd w:id="16"/>
      <w:r>
        <w:rPr>
          <w:color w:val="000000"/>
          <w:rtl w:val="0"/>
        </w:rPr>
        <w:t>2.4 The Black-Box Problem: Accuracy, Trust and Alert Fatigue</w:t>
      </w:r>
    </w:p>
    <w:p w14:paraId="000000FB">
      <w:pPr>
        <w:jc w:val="both"/>
      </w:pPr>
      <w:r>
        <w:rPr>
          <w:rtl w:val="0"/>
        </w:rPr>
        <w:t>The trade-off between accuracy and transparency is well established in the wider machine learning literature. The model families that perform best on hard problems, ensembles and deep networks, are also the hardest for people to understand, while models that are transparent by design, such as shallow decision trees or linear models, usually perform worse on the same tasks [7], [26]. Neupane et al. examine this trade-off specifically for intrusion detection and argue that the black-box problem is not simply an academic inconvenience: it actively holds back the deployment of ML-based IDS, because analysts are reluctant to act on a verdict they cannot inspect [6].</w:t>
      </w:r>
    </w:p>
    <w:p w14:paraId="000000FC">
      <w:pPr>
        <w:jc w:val="both"/>
      </w:pPr>
      <w:r>
        <w:rPr>
          <w:rtl w:val="0"/>
        </w:rPr>
        <w:t>That reluctance has a real operational cost. In a comprehensive survey of alert fatigue in SOCs, Tariq et al. identify poorly explained and poorly contextualised alerts as one of the main contributors to analyst burnout and missed threats, alongside sheer alert volume and fragmented tooling [8]. Their work is useful because it reframes explainability. Rather than being a pleasant extra, the ability to make sense of an alert quickly becomes a mechanism for improving SOC performance: an alert that can be understood and verified is an alert that gets resolved rather than ignored or left in a queue.</w:t>
      </w:r>
    </w:p>
    <w:p w14:paraId="000000FD">
      <w:pPr>
        <w:jc w:val="both"/>
      </w:pPr>
      <w:r>
        <w:rPr>
          <w:rtl w:val="0"/>
        </w:rPr>
        <w:t>Both of these papers share a limitation, which should be acknowledged. They are reviews, and neither directly tests whether attaching XAI output to an alert actually shortens triage or improves decisions in practice. That remains an open question for the field as a whole. It is also one reason why this project evaluates explanations on more than one dimension, rather than assuming that any explanation is better than none.</w:t>
      </w:r>
    </w:p>
    <w:p w14:paraId="000000FE">
      <w:pPr>
        <w:pStyle w:val="3"/>
        <w:rPr>
          <w:color w:val="000000"/>
        </w:rPr>
      </w:pPr>
      <w:bookmarkStart w:id="17" w:name="_vf90vrxm3kj6" w:colFirst="0" w:colLast="0"/>
      <w:bookmarkEnd w:id="17"/>
      <w:r>
        <w:rPr>
          <w:color w:val="000000"/>
          <w:rtl w:val="0"/>
        </w:rPr>
        <w:t>2.5 Foundations of Explainable AI</w:t>
      </w:r>
    </w:p>
    <w:p w14:paraId="000000FF">
      <w:pPr>
        <w:pStyle w:val="4"/>
        <w:rPr>
          <w:color w:val="000000"/>
        </w:rPr>
      </w:pPr>
      <w:r>
        <w:rPr>
          <w:color w:val="000000"/>
          <w:rtl w:val="0"/>
        </w:rPr>
        <w:t>2.5.1 A Taxonomy of Explanation Methods</w:t>
      </w:r>
    </w:p>
    <w:p w14:paraId="00000100">
      <w:pPr>
        <w:jc w:val="both"/>
      </w:pPr>
      <w:r>
        <w:rPr>
          <w:rtl w:val="0"/>
        </w:rPr>
        <w:t>The XAI literature distinguishes between models that are intrinsically interpretable and those that need a separate, post-hoc explanation because they are too complex to read directly [7], [27]. Post-hoc methods can be classified along two further axes. Global methods describe how a model behaves overall, while local methods explain one specific prediction. Model-specific methods exploit the internal structure of a particular model type, while model-agnostic methods treat the model purely as a function from inputs to outputs [27], [28]. Doshi-Velez and Kim add a useful caution: interpretability is not a single property but depends on who needs the explanation and for what task, which is why rigorous evaluation of explanations matters [29]. Figure 2.2 places the methods used in this project within this taxonomy.</w:t>
      </w:r>
    </w:p>
    <w:p w14:paraId="00000101">
      <w:pPr>
        <w:keepNext/>
        <w:spacing w:before="160" w:after="60" w:line="240" w:lineRule="auto"/>
        <w:jc w:val="center"/>
      </w:pPr>
      <w:r>
        <w:drawing>
          <wp:inline distT="0" distB="0" distL="0" distR="0">
            <wp:extent cx="5353050" cy="2647950"/>
            <wp:effectExtent l="0" t="0" r="0" b="0"/>
            <wp:docPr id="3" name="image11.png" descr="Figure 2.2&#10;A taxonomy of explainable AI methods, showing where the techniques used in this project sit"/>
            <wp:cNvGraphicFramePr/>
            <a:graphic xmlns:a="http://schemas.openxmlformats.org/drawingml/2006/main">
              <a:graphicData uri="http://schemas.openxmlformats.org/drawingml/2006/picture">
                <pic:pic xmlns:pic="http://schemas.openxmlformats.org/drawingml/2006/picture">
                  <pic:nvPicPr>
                    <pic:cNvPr id="3" name="image11.png" descr="Figure 2.2&#10;A taxonomy of explainable AI methods, showing where the techniques used in this project sit"/>
                    <pic:cNvPicPr preferRelativeResize="0"/>
                  </pic:nvPicPr>
                  <pic:blipFill>
                    <a:blip r:embed="rId11"/>
                    <a:srcRect/>
                    <a:stretch>
                      <a:fillRect/>
                    </a:stretch>
                  </pic:blipFill>
                  <pic:spPr>
                    <a:xfrm>
                      <a:off x="0" y="0"/>
                      <a:ext cx="5353050" cy="2647950"/>
                    </a:xfrm>
                    <a:prstGeom prst="rect">
                      <a:avLst/>
                    </a:prstGeom>
                  </pic:spPr>
                </pic:pic>
              </a:graphicData>
            </a:graphic>
          </wp:inline>
        </w:drawing>
      </w:r>
    </w:p>
    <w:p w14:paraId="00000102">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60" w:after="24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18" w:name="_8dcbv13fdgf4" w:colFirst="0" w:colLast="0"/>
      <w:bookmarkEnd w:id="18"/>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Figure 2.2: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A taxonomy of explainable AI methods, showing where the techniques used in this project sit</w:t>
      </w:r>
    </w:p>
    <w:p w14:paraId="00000103">
      <w:pPr>
        <w:jc w:val="both"/>
      </w:pPr>
      <w:r>
        <w:rPr>
          <w:rtl w:val="0"/>
        </w:rPr>
        <w:t>Programmes such as DARPA's XAI initiative helped establish explainability as a research priority in its own right, with the explicit goal of producing models whose decisions users can understand, trust and manage appropriately [30]. For intrusion detection, where the end user is a security analyst making time-pressured decisions, local explanations are the most directly useful: the analyst wants to know why this alert fired, not how the model behaves on average. Global views still have a role, particularly for engineers validating a model before deployment.</w:t>
      </w:r>
    </w:p>
    <w:p w14:paraId="00000104">
      <w:pPr>
        <w:pStyle w:val="4"/>
        <w:rPr>
          <w:color w:val="000000"/>
        </w:rPr>
      </w:pPr>
      <w:r>
        <w:rPr>
          <w:color w:val="000000"/>
          <w:rtl w:val="0"/>
        </w:rPr>
        <w:t>2.5.2 SHAP</w:t>
      </w:r>
    </w:p>
    <w:p w14:paraId="00000105">
      <w:pPr>
        <w:jc w:val="both"/>
      </w:pPr>
      <w:r>
        <w:rPr>
          <w:rtl w:val="0"/>
        </w:rPr>
        <w:t>SHAP is grounded in cooperative game theory. It treats each input feature as a "player" in a game whose payout is the model's prediction, and assigns each feature its Shapley value: the average of its marginal contribution to the prediction across all possible coalitions of the other features [31], [12]. Lundberg and Lee showed that this is the unique attribution method satisfying three desirable properties, local accuracy, missingness and consistency, and that several earlier methods can be seen as approximations to it [12]. The attributions are additive: the model's output for an instance equals a base value (the average prediction) plus the sum of the SHAP values of its features. Because local explanations can be aggregated, SHAP also yields global importance views such as summary plots.</w:t>
      </w:r>
    </w:p>
    <w:p w14:paraId="00000106">
      <w:pPr>
        <w:jc w:val="both"/>
      </w:pPr>
      <w:r>
        <w:rPr>
          <w:rtl w:val="0"/>
        </w:rPr>
        <w:t>Exact Shapley values require evaluating the model on an exponential number of feature subsets, which is infeasible for eighty features. SHAP therefore offers several estimators. KernelExplainer is model-agnostic but slow. TreeExplainer exploits the structure of decision-tree ensembles to compute exact values in polynomial time, which makes it both fast and deterministic for models such as Random Forest and XGBoost [32]. For neural networks, DeepExplainer and GradientExplainer approximate SHAP values using the model's gradients; GradientExplainer is based on expected gradients, an extension of Integrated Gradients [33], and involves sampling from a background dataset, which introduces some run-to-run variation [27], [34].</w:t>
      </w:r>
    </w:p>
    <w:p w14:paraId="00000107">
      <w:pPr>
        <w:pStyle w:val="4"/>
        <w:rPr>
          <w:color w:val="000000"/>
        </w:rPr>
      </w:pPr>
      <w:r>
        <w:rPr>
          <w:color w:val="000000"/>
          <w:rtl w:val="0"/>
        </w:rPr>
        <w:t>2.5.3 LIME</w:t>
      </w:r>
    </w:p>
    <w:p w14:paraId="00000108">
      <w:pPr>
        <w:jc w:val="both"/>
      </w:pPr>
      <w:r>
        <w:rPr>
          <w:rtl w:val="0"/>
        </w:rPr>
        <w:t>LIME takes a different route. To explain a single prediction, it generates many perturbed versions of the instance, asks the black-box model to score each one, weights the perturbed samples by their closeness to the original, and fits a simple interpretable surrogate, usually a sparse linear model, to that local neighbourhood [13]. The surrogate's coefficients become the explanation. LIME is model-agnostic by construction and conceptually easy to grasp. Its main weakness is that the explanation depends on a random sampling step and on choices such as the kernel width, so two runs on the same instance can produce noticeably different feature rankings [7], [35]. Figure 2.3 contrasts the two mechanisms.</w:t>
      </w:r>
    </w:p>
    <w:p w14:paraId="00000109">
      <w:pPr>
        <w:keepNext/>
        <w:spacing w:before="160" w:after="60" w:line="240" w:lineRule="auto"/>
        <w:jc w:val="center"/>
      </w:pPr>
      <w:r>
        <w:drawing>
          <wp:inline distT="0" distB="0" distL="0" distR="0">
            <wp:extent cx="5353050" cy="2276475"/>
            <wp:effectExtent l="0" t="0" r="0" b="0"/>
            <wp:docPr id="2" name="image9.png" descr="Figure 2.3&#10;How SHAP and LIME produce an explanation for a single prediction"/>
            <wp:cNvGraphicFramePr/>
            <a:graphic xmlns:a="http://schemas.openxmlformats.org/drawingml/2006/main">
              <a:graphicData uri="http://schemas.openxmlformats.org/drawingml/2006/picture">
                <pic:pic xmlns:pic="http://schemas.openxmlformats.org/drawingml/2006/picture">
                  <pic:nvPicPr>
                    <pic:cNvPr id="2" name="image9.png" descr="Figure 2.3&#10;How SHAP and LIME produce an explanation for a single prediction"/>
                    <pic:cNvPicPr preferRelativeResize="0"/>
                  </pic:nvPicPr>
                  <pic:blipFill>
                    <a:blip r:embed="rId12"/>
                    <a:srcRect/>
                    <a:stretch>
                      <a:fillRect/>
                    </a:stretch>
                  </pic:blipFill>
                  <pic:spPr>
                    <a:xfrm>
                      <a:off x="0" y="0"/>
                      <a:ext cx="5353050" cy="2276475"/>
                    </a:xfrm>
                    <a:prstGeom prst="rect">
                      <a:avLst/>
                    </a:prstGeom>
                  </pic:spPr>
                </pic:pic>
              </a:graphicData>
            </a:graphic>
          </wp:inline>
        </w:drawing>
      </w:r>
    </w:p>
    <w:p w14:paraId="0000010A">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60" w:after="24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19" w:name="_fh8aqtupdrdh" w:colFirst="0" w:colLast="0"/>
      <w:bookmarkEnd w:id="19"/>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Figure 2.3: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How SHAP and LIME produce an explanation for a single prediction</w:t>
      </w:r>
    </w:p>
    <w:p w14:paraId="0000010B">
      <w:pPr>
        <w:pStyle w:val="4"/>
        <w:rPr>
          <w:color w:val="000000"/>
        </w:rPr>
      </w:pPr>
      <w:r>
        <w:rPr>
          <w:color w:val="000000"/>
          <w:rtl w:val="0"/>
        </w:rPr>
        <w:t>2.5.4 Trade-offs and Evaluation of Explanations</w:t>
      </w:r>
    </w:p>
    <w:p w14:paraId="0000010C">
      <w:pPr>
        <w:jc w:val="both"/>
      </w:pPr>
      <w:r>
        <w:rPr>
          <w:rtl w:val="0"/>
        </w:rPr>
        <w:t>The difference in mechanism leads to a well-known trade-off. SHAP's game-theoretic basis gives stronger guarantees of consistency, but it is computationally heavier unless a model-specific estimator is available [27], [34]. LIME is often cheaper, but its explanations can be unstable, and Alvarez-Melis and Jaakkola showed that small changes to the input can produce disproportionately large changes in LIME's output [35]. Slack et al. demonstrated a more worrying weakness: because both methods rely on perturbations that can fall outside the data distribution, an adversary can build a model that behaves in a biased way on real data but looks innocent to SHAP and LIME [36]. For a security application, where attackers actively try to evade detection, this is a reminder that explanations are themselves an attack surface.</w:t>
      </w:r>
    </w:p>
    <w:p w14:paraId="0000010D">
      <w:pPr>
        <w:jc w:val="both"/>
      </w:pPr>
      <w:r>
        <w:rPr>
          <w:rtl w:val="0"/>
        </w:rPr>
        <w:t>If explanations can be wrong, they need to be measured. Two families of metric are relevant here. Fidelity asks whether the features an explanation marks as important really drive the model's decision. A common way to test this is by deletion: remove or mask the top-ranked features and see how much the prediction changes, compared with removing features at random. The idea goes back to the "pixel-flipping" evaluations of Samek et al. [37] and was refined by Hooker et al., who warned that simply masking features can push inputs off the data manifold [38]. Stability, or robustness, asks whether repeated explanations of the same instance agree with each other [35]. Arreche, Guntur and Abdallah bring these ideas to intrusion detection in a single evaluation framework, discussed below [15].</w:t>
      </w:r>
    </w:p>
    <w:p w14:paraId="0000010E">
      <w:pPr>
        <w:pStyle w:val="3"/>
        <w:rPr>
          <w:color w:val="000000"/>
        </w:rPr>
      </w:pPr>
      <w:bookmarkStart w:id="20" w:name="_p1swun9m4m2f" w:colFirst="0" w:colLast="0"/>
      <w:bookmarkEnd w:id="20"/>
      <w:r>
        <w:rPr>
          <w:color w:val="000000"/>
          <w:rtl w:val="0"/>
        </w:rPr>
        <w:t>2.6 Explainable AI Applied to Network Intrusion Detection</w:t>
      </w:r>
    </w:p>
    <w:p w14:paraId="0000010F">
      <w:pPr>
        <w:jc w:val="both"/>
      </w:pPr>
      <w:r>
        <w:rPr>
          <w:rtl w:val="0"/>
        </w:rPr>
        <w:t>The application of XAI to intrusion detection is a younger field than XAI in general, but it has grown quickly. Siganos et al. applied SHAP to intrusion detection in Internet of Things (IoT) networks, using summary and waterfall plots to show which flow characteristics, such as packet rates and connection counts, drove the models' predictions [14]. Their analysis is limited to SHAP: it does not compare SHAP with LIME or any other method, and so cannot say whether the two would point to the same features or whether one would be more useful than the other.</w:t>
      </w:r>
    </w:p>
    <w:p w14:paraId="00000110">
      <w:pPr>
        <w:jc w:val="both"/>
      </w:pPr>
      <w:r>
        <w:rPr>
          <w:rtl w:val="0"/>
        </w:rPr>
        <w:t>Mohale and Obagbuwa took a broader approach, applying LIME, SHAP and ELI5 to seven ML classifiers trained on UNSW-NB15. They showed that XAI-enhanced models can retain high predictive accuracy while producing actionable feature-importance output [39]. Their multi-method, multi-model design is the closest in spirit to this project. It differs in using UNSW-NB15 rather than CICIDS2017, and it does not systematically analyse where SHAP and LIME agree and disagree on the same predictions.</w:t>
      </w:r>
    </w:p>
    <w:p w14:paraId="00000111">
      <w:pPr>
        <w:jc w:val="both"/>
      </w:pPr>
      <w:r>
        <w:rPr>
          <w:rtl w:val="0"/>
        </w:rPr>
        <w:t>Two further studies focus explicitly on comparing explanation methods. Arreche, Guntur and Abdallah proposed E-XAI, a framework that evaluates black-box XAI methods including SHAP and LIME on quantitative criteria such as descriptive accuracy, sparsity, stability, efficiency and robustness, across several intrusion detection models and public benchmark datasets [15]. One of their most useful conclusions is that high classification accuracy does not guarantee faithful explanations, which is a direct motivation for treating explanation quality as a separate dimension here. Houda, Brik and Khoukhi proposed an explanation framework for deep learning-based IoT intrusion detection and framed its value in terms of the trust an analyst can place in the IDS [40].</w:t>
      </w:r>
    </w:p>
    <w:p w14:paraId="00000112">
      <w:pPr>
        <w:jc w:val="both"/>
      </w:pPr>
      <w:r>
        <w:rPr>
          <w:rtl w:val="0"/>
        </w:rPr>
        <w:t>The study closest to the current work is that of Kalakoti et al., who compared LIME, SHAP, Integrated Gradients and DeepLIFT on an LSTM classifier trained on real SOC alert data from Tallinn University of Technology rather than on a synthetic benchmark [34]. Their central finding is that different XAI methods frequently disagree about the same alert, and that some classifiers are far more prone to this disagreement than others. This matters a great deal for the present study. It implies that the choice of explanation method and the choice of model are intertwined, so a comparison carried out on a single model, as in Siganos et al., cannot be relied upon to generalise. Kalakoti et al. did, however, use a single deep architecture and a private SOC dataset that is not available to other researchers.</w:t>
      </w:r>
    </w:p>
    <w:p w14:paraId="00000113">
      <w:pPr>
        <w:jc w:val="both"/>
      </w:pPr>
      <w:r>
        <w:rPr>
          <w:rtl w:val="0"/>
        </w:rPr>
        <w:t>Table 2.1 summarises the most relevant studies and how they relate to this project.</w:t>
      </w:r>
    </w:p>
    <w:p w14:paraId="00000114">
      <w:pPr>
        <w:keepNext/>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00" w:after="8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21" w:name="_9vafd7x820kq" w:colFirst="0" w:colLast="0"/>
      <w:bookmarkEnd w:id="21"/>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Table 2.1: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Summary of closely related studies on XAI for intrusion detection</w:t>
      </w:r>
    </w:p>
    <w:tbl>
      <w:tblPr>
        <w:tblStyle w:val="14"/>
        <w:tblW w:w="8503" w:type="dxa"/>
        <w:tblInd w:w="-90" w:type="dxa"/>
        <w:tblLayout w:type="fixed"/>
        <w:tblCellMar>
          <w:top w:w="50" w:type="dxa"/>
          <w:left w:w="90" w:type="dxa"/>
          <w:bottom w:w="50" w:type="dxa"/>
          <w:right w:w="90" w:type="dxa"/>
        </w:tblCellMar>
      </w:tblPr>
      <w:tblGrid>
        <w:gridCol w:w="1137"/>
        <w:gridCol w:w="1329"/>
        <w:gridCol w:w="1188"/>
        <w:gridCol w:w="1188"/>
        <w:gridCol w:w="1138"/>
        <w:gridCol w:w="2523"/>
      </w:tblGrid>
      <w:tr w14:paraId="6D9D2C95">
        <w:tblPrEx>
          <w:tblCellMar>
            <w:top w:w="50" w:type="dxa"/>
            <w:left w:w="90" w:type="dxa"/>
            <w:bottom w:w="50" w:type="dxa"/>
            <w:right w:w="90" w:type="dxa"/>
          </w:tblCellMar>
        </w:tblPrEx>
        <w:trPr>
          <w:cantSplit/>
          <w:tblHeader/>
        </w:trPr>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115">
            <w:pPr>
              <w:keepNext/>
              <w:spacing w:before="0" w:after="0" w:line="240" w:lineRule="auto"/>
              <w:jc w:val="left"/>
            </w:pPr>
            <w:r>
              <w:rPr>
                <w:b/>
                <w:bCs/>
                <w:sz w:val="18"/>
                <w:szCs w:val="18"/>
                <w:rtl w:val="0"/>
              </w:rPr>
              <w:t>Study</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116">
            <w:pPr>
              <w:keepNext/>
              <w:spacing w:before="0" w:after="0" w:line="240" w:lineRule="auto"/>
              <w:jc w:val="left"/>
            </w:pPr>
            <w:r>
              <w:rPr>
                <w:b/>
                <w:bCs/>
                <w:sz w:val="18"/>
                <w:szCs w:val="18"/>
                <w:rtl w:val="0"/>
              </w:rPr>
              <w:t>Dataset</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117">
            <w:pPr>
              <w:keepNext/>
              <w:spacing w:before="0" w:after="0" w:line="240" w:lineRule="auto"/>
              <w:jc w:val="left"/>
            </w:pPr>
            <w:r>
              <w:rPr>
                <w:b/>
                <w:bCs/>
                <w:sz w:val="18"/>
                <w:szCs w:val="18"/>
                <w:rtl w:val="0"/>
              </w:rPr>
              <w:t>Models</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118">
            <w:pPr>
              <w:keepNext/>
              <w:spacing w:before="0" w:after="0" w:line="240" w:lineRule="auto"/>
              <w:jc w:val="left"/>
            </w:pPr>
            <w:r>
              <w:rPr>
                <w:b/>
                <w:bCs/>
                <w:sz w:val="18"/>
                <w:szCs w:val="18"/>
                <w:rtl w:val="0"/>
              </w:rPr>
              <w:t>XAI methods</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119">
            <w:pPr>
              <w:keepNext/>
              <w:spacing w:before="0" w:after="0" w:line="240" w:lineRule="auto"/>
              <w:jc w:val="left"/>
            </w:pPr>
            <w:r>
              <w:rPr>
                <w:b/>
                <w:bCs/>
                <w:sz w:val="18"/>
                <w:szCs w:val="18"/>
                <w:rtl w:val="0"/>
              </w:rPr>
              <w:t>Compares SHAP vs LIME?</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11A">
            <w:pPr>
              <w:keepNext/>
              <w:spacing w:before="0" w:after="0" w:line="240" w:lineRule="auto"/>
              <w:jc w:val="left"/>
            </w:pPr>
            <w:r>
              <w:rPr>
                <w:b/>
                <w:bCs/>
                <w:sz w:val="18"/>
                <w:szCs w:val="18"/>
                <w:rtl w:val="0"/>
              </w:rPr>
              <w:t>Relevance to this project</w:t>
            </w:r>
          </w:p>
        </w:tc>
      </w:tr>
      <w:tr w14:paraId="472FB6B9">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11B">
            <w:pPr>
              <w:keepNext/>
              <w:spacing w:before="0" w:after="0" w:line="240" w:lineRule="auto"/>
              <w:jc w:val="left"/>
            </w:pPr>
            <w:r>
              <w:rPr>
                <w:sz w:val="18"/>
                <w:szCs w:val="18"/>
                <w:rtl w:val="0"/>
              </w:rPr>
              <w:t>Siganos et al. [14]</w:t>
            </w:r>
          </w:p>
        </w:tc>
        <w:tc>
          <w:tcPr>
            <w:tcBorders>
              <w:top w:val="single" w:color="9AA5B1" w:sz="4" w:space="0"/>
              <w:left w:val="single" w:color="9AA5B1" w:sz="4" w:space="0"/>
              <w:bottom w:val="single" w:color="9AA5B1" w:sz="4" w:space="0"/>
              <w:right w:val="single" w:color="9AA5B1" w:sz="4" w:space="0"/>
            </w:tcBorders>
            <w:vAlign w:val="center"/>
          </w:tcPr>
          <w:p w14:paraId="0000011C">
            <w:pPr>
              <w:keepNext/>
              <w:spacing w:before="0" w:after="0" w:line="240" w:lineRule="auto"/>
              <w:jc w:val="left"/>
            </w:pPr>
            <w:r>
              <w:rPr>
                <w:sz w:val="18"/>
                <w:szCs w:val="18"/>
                <w:rtl w:val="0"/>
              </w:rPr>
              <w:t>IoT intrusion data</w:t>
            </w:r>
          </w:p>
        </w:tc>
        <w:tc>
          <w:tcPr>
            <w:tcBorders>
              <w:top w:val="single" w:color="9AA5B1" w:sz="4" w:space="0"/>
              <w:left w:val="single" w:color="9AA5B1" w:sz="4" w:space="0"/>
              <w:bottom w:val="single" w:color="9AA5B1" w:sz="4" w:space="0"/>
              <w:right w:val="single" w:color="9AA5B1" w:sz="4" w:space="0"/>
            </w:tcBorders>
            <w:vAlign w:val="center"/>
          </w:tcPr>
          <w:p w14:paraId="0000011D">
            <w:pPr>
              <w:keepNext/>
              <w:spacing w:before="0" w:after="0" w:line="240" w:lineRule="auto"/>
              <w:jc w:val="left"/>
            </w:pPr>
            <w:r>
              <w:rPr>
                <w:sz w:val="18"/>
                <w:szCs w:val="18"/>
                <w:rtl w:val="0"/>
              </w:rPr>
              <w:t>Several ML models</w:t>
            </w:r>
          </w:p>
        </w:tc>
        <w:tc>
          <w:tcPr>
            <w:tcBorders>
              <w:top w:val="single" w:color="9AA5B1" w:sz="4" w:space="0"/>
              <w:left w:val="single" w:color="9AA5B1" w:sz="4" w:space="0"/>
              <w:bottom w:val="single" w:color="9AA5B1" w:sz="4" w:space="0"/>
              <w:right w:val="single" w:color="9AA5B1" w:sz="4" w:space="0"/>
            </w:tcBorders>
            <w:vAlign w:val="center"/>
          </w:tcPr>
          <w:p w14:paraId="0000011E">
            <w:pPr>
              <w:keepNext/>
              <w:spacing w:before="0" w:after="0" w:line="240" w:lineRule="auto"/>
              <w:jc w:val="left"/>
            </w:pPr>
            <w:r>
              <w:rPr>
                <w:sz w:val="18"/>
                <w:szCs w:val="18"/>
                <w:rtl w:val="0"/>
              </w:rPr>
              <w:t>SHAP</w:t>
            </w:r>
          </w:p>
        </w:tc>
        <w:tc>
          <w:tcPr>
            <w:tcBorders>
              <w:top w:val="single" w:color="9AA5B1" w:sz="4" w:space="0"/>
              <w:left w:val="single" w:color="9AA5B1" w:sz="4" w:space="0"/>
              <w:bottom w:val="single" w:color="9AA5B1" w:sz="4" w:space="0"/>
              <w:right w:val="single" w:color="9AA5B1" w:sz="4" w:space="0"/>
            </w:tcBorders>
            <w:vAlign w:val="center"/>
          </w:tcPr>
          <w:p w14:paraId="0000011F">
            <w:pPr>
              <w:keepNext/>
              <w:spacing w:before="0" w:after="0" w:line="240" w:lineRule="auto"/>
              <w:jc w:val="left"/>
            </w:pPr>
            <w:r>
              <w:rPr>
                <w:sz w:val="18"/>
                <w:szCs w:val="18"/>
                <w:rtl w:val="0"/>
              </w:rPr>
              <w:t>No</w:t>
            </w:r>
          </w:p>
        </w:tc>
        <w:tc>
          <w:tcPr>
            <w:tcBorders>
              <w:top w:val="single" w:color="9AA5B1" w:sz="4" w:space="0"/>
              <w:left w:val="single" w:color="9AA5B1" w:sz="4" w:space="0"/>
              <w:bottom w:val="single" w:color="9AA5B1" w:sz="4" w:space="0"/>
              <w:right w:val="single" w:color="9AA5B1" w:sz="4" w:space="0"/>
            </w:tcBorders>
            <w:vAlign w:val="center"/>
          </w:tcPr>
          <w:p w14:paraId="00000120">
            <w:pPr>
              <w:keepNext/>
              <w:spacing w:before="0" w:after="0" w:line="240" w:lineRule="auto"/>
              <w:jc w:val="left"/>
            </w:pPr>
            <w:r>
              <w:rPr>
                <w:sz w:val="18"/>
                <w:szCs w:val="18"/>
                <w:rtl w:val="0"/>
              </w:rPr>
              <w:t>Shows SHAP plots are usable for IDS; single method</w:t>
            </w:r>
          </w:p>
        </w:tc>
      </w:tr>
      <w:tr w14:paraId="035CA945">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21">
            <w:pPr>
              <w:keepNext/>
              <w:spacing w:before="0" w:after="0" w:line="240" w:lineRule="auto"/>
              <w:jc w:val="left"/>
            </w:pPr>
            <w:r>
              <w:rPr>
                <w:sz w:val="18"/>
                <w:szCs w:val="18"/>
                <w:rtl w:val="0"/>
              </w:rPr>
              <w:t>Mohale &amp; Obagbuwa [39]</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22">
            <w:pPr>
              <w:keepNext/>
              <w:spacing w:before="0" w:after="0" w:line="240" w:lineRule="auto"/>
              <w:jc w:val="left"/>
            </w:pPr>
            <w:r>
              <w:rPr>
                <w:sz w:val="18"/>
                <w:szCs w:val="18"/>
                <w:rtl w:val="0"/>
              </w:rPr>
              <w:t>UNSW-NB15</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23">
            <w:pPr>
              <w:keepNext/>
              <w:spacing w:before="0" w:after="0" w:line="240" w:lineRule="auto"/>
              <w:jc w:val="left"/>
            </w:pPr>
            <w:r>
              <w:rPr>
                <w:sz w:val="18"/>
                <w:szCs w:val="18"/>
                <w:rtl w:val="0"/>
              </w:rPr>
              <w:t>Seven ML models</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24">
            <w:pPr>
              <w:keepNext/>
              <w:spacing w:before="0" w:after="0" w:line="240" w:lineRule="auto"/>
              <w:jc w:val="left"/>
            </w:pPr>
            <w:r>
              <w:rPr>
                <w:sz w:val="18"/>
                <w:szCs w:val="18"/>
                <w:rtl w:val="0"/>
              </w:rPr>
              <w:t>SHAP, LIME, ELI5</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25">
            <w:pPr>
              <w:keepNext/>
              <w:spacing w:before="0" w:after="0" w:line="240" w:lineRule="auto"/>
              <w:jc w:val="left"/>
            </w:pPr>
            <w:r>
              <w:rPr>
                <w:sz w:val="18"/>
                <w:szCs w:val="18"/>
                <w:rtl w:val="0"/>
              </w:rPr>
              <w:t>Partly</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26">
            <w:pPr>
              <w:keepNext/>
              <w:spacing w:before="0" w:after="0" w:line="240" w:lineRule="auto"/>
              <w:jc w:val="left"/>
            </w:pPr>
            <w:r>
              <w:rPr>
                <w:sz w:val="18"/>
                <w:szCs w:val="18"/>
                <w:rtl w:val="0"/>
              </w:rPr>
              <w:t>Multi-model, multi-method; different dataset, no agreement analysis</w:t>
            </w:r>
          </w:p>
        </w:tc>
      </w:tr>
      <w:tr w14:paraId="73E9FE89">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127">
            <w:pPr>
              <w:keepNext/>
              <w:spacing w:before="0" w:after="0" w:line="240" w:lineRule="auto"/>
              <w:jc w:val="left"/>
            </w:pPr>
            <w:r>
              <w:rPr>
                <w:sz w:val="18"/>
                <w:szCs w:val="18"/>
                <w:rtl w:val="0"/>
              </w:rPr>
              <w:t>Arreche et al. [15]</w:t>
            </w:r>
          </w:p>
        </w:tc>
        <w:tc>
          <w:tcPr>
            <w:tcBorders>
              <w:top w:val="single" w:color="9AA5B1" w:sz="4" w:space="0"/>
              <w:left w:val="single" w:color="9AA5B1" w:sz="4" w:space="0"/>
              <w:bottom w:val="single" w:color="9AA5B1" w:sz="4" w:space="0"/>
              <w:right w:val="single" w:color="9AA5B1" w:sz="4" w:space="0"/>
            </w:tcBorders>
            <w:vAlign w:val="center"/>
          </w:tcPr>
          <w:p w14:paraId="00000128">
            <w:pPr>
              <w:keepNext/>
              <w:spacing w:before="0" w:after="0" w:line="240" w:lineRule="auto"/>
              <w:jc w:val="left"/>
            </w:pPr>
            <w:r>
              <w:rPr>
                <w:sz w:val="18"/>
                <w:szCs w:val="18"/>
                <w:rtl w:val="0"/>
              </w:rPr>
              <w:t>Several public NIDS benchmarks</w:t>
            </w:r>
          </w:p>
        </w:tc>
        <w:tc>
          <w:tcPr>
            <w:tcBorders>
              <w:top w:val="single" w:color="9AA5B1" w:sz="4" w:space="0"/>
              <w:left w:val="single" w:color="9AA5B1" w:sz="4" w:space="0"/>
              <w:bottom w:val="single" w:color="9AA5B1" w:sz="4" w:space="0"/>
              <w:right w:val="single" w:color="9AA5B1" w:sz="4" w:space="0"/>
            </w:tcBorders>
            <w:vAlign w:val="center"/>
          </w:tcPr>
          <w:p w14:paraId="00000129">
            <w:pPr>
              <w:keepNext/>
              <w:spacing w:before="0" w:after="0" w:line="240" w:lineRule="auto"/>
              <w:jc w:val="left"/>
            </w:pPr>
            <w:r>
              <w:rPr>
                <w:sz w:val="18"/>
                <w:szCs w:val="18"/>
                <w:rtl w:val="0"/>
              </w:rPr>
              <w:t>Several ML and DL models</w:t>
            </w:r>
          </w:p>
        </w:tc>
        <w:tc>
          <w:tcPr>
            <w:tcBorders>
              <w:top w:val="single" w:color="9AA5B1" w:sz="4" w:space="0"/>
              <w:left w:val="single" w:color="9AA5B1" w:sz="4" w:space="0"/>
              <w:bottom w:val="single" w:color="9AA5B1" w:sz="4" w:space="0"/>
              <w:right w:val="single" w:color="9AA5B1" w:sz="4" w:space="0"/>
            </w:tcBorders>
            <w:vAlign w:val="center"/>
          </w:tcPr>
          <w:p w14:paraId="0000012A">
            <w:pPr>
              <w:keepNext/>
              <w:spacing w:before="0" w:after="0" w:line="240" w:lineRule="auto"/>
              <w:jc w:val="left"/>
            </w:pPr>
            <w:r>
              <w:rPr>
                <w:sz w:val="18"/>
                <w:szCs w:val="18"/>
                <w:rtl w:val="0"/>
              </w:rPr>
              <w:t>SHAP, LIME</w:t>
            </w:r>
          </w:p>
        </w:tc>
        <w:tc>
          <w:tcPr>
            <w:tcBorders>
              <w:top w:val="single" w:color="9AA5B1" w:sz="4" w:space="0"/>
              <w:left w:val="single" w:color="9AA5B1" w:sz="4" w:space="0"/>
              <w:bottom w:val="single" w:color="9AA5B1" w:sz="4" w:space="0"/>
              <w:right w:val="single" w:color="9AA5B1" w:sz="4" w:space="0"/>
            </w:tcBorders>
            <w:vAlign w:val="center"/>
          </w:tcPr>
          <w:p w14:paraId="0000012B">
            <w:pPr>
              <w:keepNext/>
              <w:spacing w:before="0" w:after="0" w:line="240" w:lineRule="auto"/>
              <w:jc w:val="left"/>
            </w:pPr>
            <w:r>
              <w:rPr>
                <w:sz w:val="18"/>
                <w:szCs w:val="18"/>
                <w:rtl w:val="0"/>
              </w:rPr>
              <w:t>Yes</w:t>
            </w:r>
          </w:p>
        </w:tc>
        <w:tc>
          <w:tcPr>
            <w:tcBorders>
              <w:top w:val="single" w:color="9AA5B1" w:sz="4" w:space="0"/>
              <w:left w:val="single" w:color="9AA5B1" w:sz="4" w:space="0"/>
              <w:bottom w:val="single" w:color="9AA5B1" w:sz="4" w:space="0"/>
              <w:right w:val="single" w:color="9AA5B1" w:sz="4" w:space="0"/>
            </w:tcBorders>
            <w:vAlign w:val="center"/>
          </w:tcPr>
          <w:p w14:paraId="0000012C">
            <w:pPr>
              <w:keepNext/>
              <w:spacing w:before="0" w:after="0" w:line="240" w:lineRule="auto"/>
              <w:jc w:val="left"/>
            </w:pPr>
            <w:r>
              <w:rPr>
                <w:sz w:val="18"/>
                <w:szCs w:val="18"/>
                <w:rtl w:val="0"/>
              </w:rPr>
              <w:t>Defines quantitative explanation metrics used as a basis here; does not examine the effect of training scale</w:t>
            </w:r>
          </w:p>
        </w:tc>
      </w:tr>
      <w:tr w14:paraId="210366B4">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2D">
            <w:pPr>
              <w:keepNext/>
              <w:spacing w:before="0" w:after="0" w:line="240" w:lineRule="auto"/>
              <w:jc w:val="left"/>
            </w:pPr>
            <w:r>
              <w:rPr>
                <w:sz w:val="18"/>
                <w:szCs w:val="18"/>
                <w:rtl w:val="0"/>
              </w:rPr>
              <w:t>Houda et al. [40]</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2E">
            <w:pPr>
              <w:keepNext/>
              <w:spacing w:before="0" w:after="0" w:line="240" w:lineRule="auto"/>
              <w:jc w:val="left"/>
            </w:pPr>
            <w:r>
              <w:rPr>
                <w:sz w:val="18"/>
                <w:szCs w:val="18"/>
                <w:rtl w:val="0"/>
              </w:rPr>
              <w:t>IoT datasets</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2F">
            <w:pPr>
              <w:keepNext/>
              <w:spacing w:before="0" w:after="0" w:line="240" w:lineRule="auto"/>
              <w:jc w:val="left"/>
            </w:pPr>
            <w:r>
              <w:rPr>
                <w:sz w:val="18"/>
                <w:szCs w:val="18"/>
                <w:rtl w:val="0"/>
              </w:rPr>
              <w:t>Deep learning</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30">
            <w:pPr>
              <w:keepNext/>
              <w:spacing w:before="0" w:after="0" w:line="240" w:lineRule="auto"/>
              <w:jc w:val="left"/>
            </w:pPr>
            <w:r>
              <w:rPr>
                <w:sz w:val="18"/>
                <w:szCs w:val="18"/>
                <w:rtl w:val="0"/>
              </w:rPr>
              <w:t>SHAP, LIME, RuleFit</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31">
            <w:pPr>
              <w:keepNext/>
              <w:spacing w:before="0" w:after="0" w:line="240" w:lineRule="auto"/>
              <w:jc w:val="left"/>
            </w:pPr>
            <w:r>
              <w:rPr>
                <w:sz w:val="18"/>
                <w:szCs w:val="18"/>
                <w:rtl w:val="0"/>
              </w:rPr>
              <w:t>Partly</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32">
            <w:pPr>
              <w:keepNext/>
              <w:spacing w:before="0" w:after="0" w:line="240" w:lineRule="auto"/>
              <w:jc w:val="left"/>
            </w:pPr>
            <w:r>
              <w:rPr>
                <w:sz w:val="18"/>
                <w:szCs w:val="18"/>
                <w:rtl w:val="0"/>
              </w:rPr>
              <w:t>Frames XAI as a route to analyst trust</w:t>
            </w:r>
          </w:p>
        </w:tc>
      </w:tr>
      <w:tr w14:paraId="77E869A6">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133">
            <w:pPr>
              <w:keepNext/>
              <w:spacing w:before="0" w:after="0" w:line="240" w:lineRule="auto"/>
              <w:jc w:val="left"/>
            </w:pPr>
            <w:r>
              <w:rPr>
                <w:sz w:val="18"/>
                <w:szCs w:val="18"/>
                <w:rtl w:val="0"/>
              </w:rPr>
              <w:t>Kalakoti et al. [34]</w:t>
            </w:r>
          </w:p>
        </w:tc>
        <w:tc>
          <w:tcPr>
            <w:tcBorders>
              <w:top w:val="single" w:color="9AA5B1" w:sz="4" w:space="0"/>
              <w:left w:val="single" w:color="9AA5B1" w:sz="4" w:space="0"/>
              <w:bottom w:val="single" w:color="9AA5B1" w:sz="4" w:space="0"/>
              <w:right w:val="single" w:color="9AA5B1" w:sz="4" w:space="0"/>
            </w:tcBorders>
            <w:vAlign w:val="center"/>
          </w:tcPr>
          <w:p w14:paraId="00000134">
            <w:pPr>
              <w:keepNext/>
              <w:spacing w:before="0" w:after="0" w:line="240" w:lineRule="auto"/>
              <w:jc w:val="left"/>
            </w:pPr>
            <w:r>
              <w:rPr>
                <w:sz w:val="18"/>
                <w:szCs w:val="18"/>
                <w:rtl w:val="0"/>
              </w:rPr>
              <w:t>Private SOC alerts</w:t>
            </w:r>
          </w:p>
        </w:tc>
        <w:tc>
          <w:tcPr>
            <w:tcBorders>
              <w:top w:val="single" w:color="9AA5B1" w:sz="4" w:space="0"/>
              <w:left w:val="single" w:color="9AA5B1" w:sz="4" w:space="0"/>
              <w:bottom w:val="single" w:color="9AA5B1" w:sz="4" w:space="0"/>
              <w:right w:val="single" w:color="9AA5B1" w:sz="4" w:space="0"/>
            </w:tcBorders>
            <w:vAlign w:val="center"/>
          </w:tcPr>
          <w:p w14:paraId="00000135">
            <w:pPr>
              <w:keepNext/>
              <w:spacing w:before="0" w:after="0" w:line="240" w:lineRule="auto"/>
              <w:jc w:val="left"/>
            </w:pPr>
            <w:r>
              <w:rPr>
                <w:sz w:val="18"/>
                <w:szCs w:val="18"/>
                <w:rtl w:val="0"/>
              </w:rPr>
              <w:t>LSTM</w:t>
            </w:r>
          </w:p>
        </w:tc>
        <w:tc>
          <w:tcPr>
            <w:tcBorders>
              <w:top w:val="single" w:color="9AA5B1" w:sz="4" w:space="0"/>
              <w:left w:val="single" w:color="9AA5B1" w:sz="4" w:space="0"/>
              <w:bottom w:val="single" w:color="9AA5B1" w:sz="4" w:space="0"/>
              <w:right w:val="single" w:color="9AA5B1" w:sz="4" w:space="0"/>
            </w:tcBorders>
            <w:vAlign w:val="center"/>
          </w:tcPr>
          <w:p w14:paraId="00000136">
            <w:pPr>
              <w:keepNext/>
              <w:spacing w:before="0" w:after="0" w:line="240" w:lineRule="auto"/>
              <w:jc w:val="left"/>
            </w:pPr>
            <w:r>
              <w:rPr>
                <w:sz w:val="18"/>
                <w:szCs w:val="18"/>
                <w:rtl w:val="0"/>
              </w:rPr>
              <w:t>SHAP, LIME, IG, DeepLIFT</w:t>
            </w:r>
          </w:p>
        </w:tc>
        <w:tc>
          <w:tcPr>
            <w:tcBorders>
              <w:top w:val="single" w:color="9AA5B1" w:sz="4" w:space="0"/>
              <w:left w:val="single" w:color="9AA5B1" w:sz="4" w:space="0"/>
              <w:bottom w:val="single" w:color="9AA5B1" w:sz="4" w:space="0"/>
              <w:right w:val="single" w:color="9AA5B1" w:sz="4" w:space="0"/>
            </w:tcBorders>
            <w:vAlign w:val="center"/>
          </w:tcPr>
          <w:p w14:paraId="00000137">
            <w:pPr>
              <w:keepNext/>
              <w:spacing w:before="0" w:after="0" w:line="240" w:lineRule="auto"/>
              <w:jc w:val="left"/>
            </w:pPr>
            <w:r>
              <w:rPr>
                <w:sz w:val="18"/>
                <w:szCs w:val="18"/>
                <w:rtl w:val="0"/>
              </w:rPr>
              <w:t>Yes</w:t>
            </w:r>
          </w:p>
        </w:tc>
        <w:tc>
          <w:tcPr>
            <w:tcBorders>
              <w:top w:val="single" w:color="9AA5B1" w:sz="4" w:space="0"/>
              <w:left w:val="single" w:color="9AA5B1" w:sz="4" w:space="0"/>
              <w:bottom w:val="single" w:color="9AA5B1" w:sz="4" w:space="0"/>
              <w:right w:val="single" w:color="9AA5B1" w:sz="4" w:space="0"/>
            </w:tcBorders>
            <w:vAlign w:val="center"/>
          </w:tcPr>
          <w:p w14:paraId="00000138">
            <w:pPr>
              <w:keepNext/>
              <w:spacing w:before="0" w:after="0" w:line="240" w:lineRule="auto"/>
              <w:jc w:val="left"/>
            </w:pPr>
            <w:r>
              <w:rPr>
                <w:sz w:val="18"/>
                <w:szCs w:val="18"/>
                <w:rtl w:val="0"/>
              </w:rPr>
              <w:t>Finds method disagreement depends on model; one architecture only</w:t>
            </w:r>
          </w:p>
        </w:tc>
      </w:tr>
      <w:tr w14:paraId="7B52A71C">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39">
            <w:pPr>
              <w:keepNext w:val="0"/>
              <w:spacing w:before="0" w:after="0" w:line="240" w:lineRule="auto"/>
              <w:jc w:val="left"/>
            </w:pPr>
            <w:r>
              <w:rPr>
                <w:sz w:val="18"/>
                <w:szCs w:val="18"/>
                <w:rtl w:val="0"/>
              </w:rPr>
              <w:t>This project</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3A">
            <w:pPr>
              <w:keepNext w:val="0"/>
              <w:spacing w:before="0" w:after="0" w:line="240" w:lineRule="auto"/>
              <w:jc w:val="left"/>
            </w:pPr>
            <w:r>
              <w:rPr>
                <w:sz w:val="18"/>
                <w:szCs w:val="18"/>
                <w:rtl w:val="0"/>
              </w:rPr>
              <w:t>CICIDS2017</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3B">
            <w:pPr>
              <w:keepNext w:val="0"/>
              <w:spacing w:before="0" w:after="0" w:line="240" w:lineRule="auto"/>
              <w:jc w:val="left"/>
            </w:pPr>
            <w:r>
              <w:rPr>
                <w:sz w:val="18"/>
                <w:szCs w:val="18"/>
                <w:rtl w:val="0"/>
              </w:rPr>
              <w:t>RF, XGBoost, LSTM</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3C">
            <w:pPr>
              <w:keepNext w:val="0"/>
              <w:spacing w:before="0" w:after="0" w:line="240" w:lineRule="auto"/>
              <w:jc w:val="left"/>
            </w:pPr>
            <w:r>
              <w:rPr>
                <w:sz w:val="18"/>
                <w:szCs w:val="18"/>
                <w:rtl w:val="0"/>
              </w:rPr>
              <w:t>SHAP, LIME</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3D">
            <w:pPr>
              <w:keepNext w:val="0"/>
              <w:spacing w:before="0" w:after="0" w:line="240" w:lineRule="auto"/>
              <w:jc w:val="left"/>
            </w:pPr>
            <w:r>
              <w:rPr>
                <w:sz w:val="18"/>
                <w:szCs w:val="18"/>
                <w:rtl w:val="0"/>
              </w:rPr>
              <w:t>Yes</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3E">
            <w:pPr>
              <w:keepNext w:val="0"/>
              <w:spacing w:before="0" w:after="0" w:line="240" w:lineRule="auto"/>
              <w:jc w:val="left"/>
            </w:pPr>
            <w:r>
              <w:rPr>
                <w:sz w:val="18"/>
                <w:szCs w:val="18"/>
                <w:rtl w:val="0"/>
              </w:rPr>
              <w:t>Same data, split and instances for all six model–method pairs, at two scales</w:t>
            </w:r>
          </w:p>
        </w:tc>
      </w:tr>
    </w:tbl>
    <w:p w14:paraId="0000013F">
      <w:pPr>
        <w:spacing w:before="0" w:after="120"/>
      </w:pPr>
    </w:p>
    <w:p w14:paraId="00000140">
      <w:pPr>
        <w:jc w:val="both"/>
      </w:pPr>
      <w:r>
        <w:rPr>
          <w:rtl w:val="0"/>
        </w:rPr>
        <w:t>Taken together, this literature establishes three things. First, SHAP and LIME have both been shown repeatedly to be usable for intrusion detection across a range of models and datasets [14], [39], [15], [40]. Second, when the two are compared directly, they sometimes give conflicting results, and the source of the conflict lies as much in the model as in the method [34]. Third, the studies that compare SHAP and LIME directly [15], [34] either rely on a single architecture and a private dataset, or aim for breadth across many models and datasets with a general-purpose metric suite, and neither asks whether the comparison holds when the amount of training data changes. As far as this review could establish, no study compares SHAP and LIME across tree-ensemble and recurrent models on CICIDS2017, under identical data and test instances, while reporting fidelity, stability and the per-alert cost that determines whether an explanation can be used in a SOC.</w:t>
      </w:r>
    </w:p>
    <w:p w14:paraId="00000141">
      <w:pPr>
        <w:pStyle w:val="3"/>
        <w:rPr>
          <w:color w:val="000000"/>
        </w:rPr>
      </w:pPr>
      <w:bookmarkStart w:id="22" w:name="_nybgflk3m2t6" w:colFirst="0" w:colLast="0"/>
      <w:bookmarkEnd w:id="22"/>
      <w:r>
        <w:rPr>
          <w:color w:val="000000"/>
          <w:rtl w:val="0"/>
        </w:rPr>
        <w:t>2.7 Regulatory and Trust Drivers for Explainability</w:t>
      </w:r>
    </w:p>
    <w:p w14:paraId="00000142">
      <w:pPr>
        <w:jc w:val="both"/>
      </w:pPr>
      <w:r>
        <w:rPr>
          <w:rtl w:val="0"/>
        </w:rPr>
        <w:t>Explainability is no longer only a research pursuit. Article 13 of the EU Artificial Intelligence Act requires that high-risk AI systems be designed so that their operation is sufficiently transparent to enable deployers to interpret the output and use it appropriately [9]. Cybersecurity detection systems are not automatically classed as high-risk under the Act, but there is a clear trend in AI regulation towards explainability for consequential automated decisions. In the UK, the ICO and the Alan Turing Institute have published detailed guidance on explaining AI-assisted decisions, emphasising that organisations should be able to justify how a system reached its output [10].</w:t>
      </w:r>
    </w:p>
    <w:p w14:paraId="00000143">
      <w:pPr>
        <w:jc w:val="both"/>
      </w:pPr>
      <w:r>
        <w:rPr>
          <w:rtl w:val="0"/>
        </w:rPr>
        <w:t>Nannini highlights a real tension in how such transparency duties should be met, particularly in security contexts. There are legitimate reasons to keep a model confidential, and an overly detailed explanation of how detection works could help an attacker evade it just as much as it helps a defender understand it [11]. The adversarial results of Slack et al. make the same point from a technical angle [36]. For NIDS, then, explanations should be designed for the analyst inside the organisation rather than published externally.</w:t>
      </w:r>
    </w:p>
    <w:p w14:paraId="00000144">
      <w:pPr>
        <w:jc w:val="both"/>
      </w:pPr>
      <w:r>
        <w:rPr>
          <w:rtl w:val="0"/>
        </w:rPr>
        <w:t>The regulatory argument supports rather than replaces the operational one set out in Section 2.4. Whether an organisation adopts XAI so that its analysts can work more effectively [8] or because future compliance will require it [11], [9], the underlying question is the same: which combination of detection model and explanation method offers the best balance of accuracy, speed and intelligibility?</w:t>
      </w:r>
    </w:p>
    <w:p w14:paraId="00000145">
      <w:pPr>
        <w:pStyle w:val="3"/>
        <w:rPr>
          <w:color w:val="000000"/>
        </w:rPr>
      </w:pPr>
      <w:bookmarkStart w:id="23" w:name="_3jifyv1zopau" w:colFirst="0" w:colLast="0"/>
      <w:bookmarkEnd w:id="23"/>
      <w:r>
        <w:rPr>
          <w:color w:val="000000"/>
          <w:rtl w:val="0"/>
        </w:rPr>
        <w:t>2.8 Research Gap</w:t>
      </w:r>
    </w:p>
    <w:p w14:paraId="00000146">
      <w:pPr>
        <w:jc w:val="both"/>
      </w:pPr>
      <w:r>
        <w:rPr>
          <w:rtl w:val="0"/>
        </w:rPr>
        <w:t>Four points emerge from the literature reviewed in this chapter. First, CICIDS2017 remains a relevant and widely used benchmark for evaluating ML- and DL-based NIDS, and raw detection accuracy on it is no longer the main barrier to adoption [4], [21], [18], although its known artefacts mean high scores should be interpreted carefully [22], [23]. Second, the opacity of these models has real consequences in SOC operations, contributing directly to alert fatigue and to reduced analyst confidence [6], [8]. Third, SHAP and LIME have been used separately, and in some studies together, to explain intrusion detectors, and where they have been compared directly their outputs have not agreed reliably, with the disagreement appearing to depend on the model rather than being a fixed property of either method [34]. Fourth, controlled comparisons of SHAP and LIME that hold the data, split and explained instances fixed across different model families on CICIDS2017, and that report technical fidelity alongside practical cost, remain scarce, and none of the reviewed studies tested whether their conclusions survive a change in training scale [14], [39], [15], [40], [34].</w:t>
      </w:r>
    </w:p>
    <w:p w14:paraId="00000147">
      <w:pPr>
        <w:jc w:val="both"/>
      </w:pPr>
      <w:r>
        <w:rPr>
          <w:rtl w:val="0"/>
        </w:rPr>
        <w:t>This project addresses that gap by comparing the two techniques across three detectors from two model families on CICIDS2017, using the same data, the same split and the same explained instances for every combination. It also adds a dimension that none of the reviewed studies examined: whether the comparison holds when the amount of training data changes.</w:t>
      </w:r>
    </w:p>
    <w:p w14:paraId="00000148">
      <w:pPr>
        <w:pStyle w:val="3"/>
        <w:rPr>
          <w:color w:val="000000"/>
        </w:rPr>
      </w:pPr>
      <w:bookmarkStart w:id="24" w:name="_61n0q57hhutk" w:colFirst="0" w:colLast="0"/>
      <w:bookmarkEnd w:id="24"/>
      <w:r>
        <w:rPr>
          <w:color w:val="000000"/>
          <w:rtl w:val="0"/>
        </w:rPr>
        <w:t>2.9 Chapter Summary</w:t>
      </w:r>
    </w:p>
    <w:p w14:paraId="00000149">
      <w:pPr>
        <w:jc w:val="both"/>
      </w:pPr>
      <w:r>
        <w:rPr>
          <w:rtl w:val="0"/>
        </w:rPr>
        <w:t>This chapter has traced the move from signature-based to ML-based intrusion detection, explained why the opacity of the resulting models is a genuine operational and regulatory problem, and reviewed the theory behind SHAP and LIME and how the quality of their explanations can be measured. The literature agrees that both methods can be applied to intrusion detectors without damaging them, but it has not yet produced a controlled, multi-model comparison on CICIDS2017. Chapter 3 describes the methodology used to provide one.</w:t>
      </w:r>
      <w:r>
        <w:br w:type="page"/>
      </w:r>
    </w:p>
    <w:p w14:paraId="0000014A">
      <w:pPr>
        <w:pStyle w:val="2"/>
        <w:rPr>
          <w:color w:val="000000"/>
        </w:rPr>
      </w:pPr>
      <w:bookmarkStart w:id="25" w:name="_dyj1dus62wjv" w:colFirst="0" w:colLast="0"/>
      <w:bookmarkEnd w:id="25"/>
      <w:r>
        <w:rPr>
          <w:color w:val="000000"/>
          <w:rtl w:val="0"/>
        </w:rPr>
        <w:t>CHAPTER 3: RESEARCH METHODOLOGY</w:t>
      </w:r>
    </w:p>
    <w:p w14:paraId="0000014B">
      <w:pPr>
        <w:pStyle w:val="3"/>
        <w:rPr>
          <w:color w:val="000000"/>
        </w:rPr>
      </w:pPr>
      <w:bookmarkStart w:id="26" w:name="_g615gb71cv9z" w:colFirst="0" w:colLast="0"/>
      <w:bookmarkEnd w:id="26"/>
      <w:r>
        <w:rPr>
          <w:color w:val="000000"/>
          <w:rtl w:val="0"/>
        </w:rPr>
        <w:t>3.1 Introduction</w:t>
      </w:r>
    </w:p>
    <w:p w14:paraId="0000014C">
      <w:pPr>
        <w:jc w:val="both"/>
      </w:pPr>
      <w:r>
        <w:rPr>
          <w:rtl w:val="0"/>
        </w:rPr>
        <w:t>This chapter explains how the aim and objectives set out in Chapter 1 were addressed. It describes the research philosophy and approach, the overall research strategy, the CICIDS2017 dataset and the reasons for choosing it, the preprocessing applied, the classifiers and explanation methods compared, and the metrics used to judge both detection and explanation quality. It closes with the ethical considerations that shaped the work.</w:t>
      </w:r>
    </w:p>
    <w:p w14:paraId="0000014D">
      <w:pPr>
        <w:pStyle w:val="3"/>
        <w:rPr>
          <w:color w:val="000000"/>
        </w:rPr>
      </w:pPr>
      <w:bookmarkStart w:id="27" w:name="_aoee4ovadd0r" w:colFirst="0" w:colLast="0"/>
      <w:bookmarkEnd w:id="27"/>
      <w:r>
        <w:rPr>
          <w:color w:val="000000"/>
          <w:rtl w:val="0"/>
        </w:rPr>
        <w:t>3.2 Research Philosophy and Approach</w:t>
      </w:r>
    </w:p>
    <w:p w14:paraId="0000014E">
      <w:pPr>
        <w:jc w:val="both"/>
      </w:pPr>
      <w:r>
        <w:rPr>
          <w:rtl w:val="0"/>
        </w:rPr>
        <w:t>The project adopts a positivist philosophy. The effectiveness of a detection model and the quality of its explanations are treated as properties that can be measured objectively through controlled experiments, rather than as matters of interpretation [41]. This follows from the nature of the research problem, which asks a measurable question, namely which combination of model and XAI method performs best on stated criteria, rather than an exploratory or interpretive one.</w:t>
      </w:r>
    </w:p>
    <w:p w14:paraId="0000014F">
      <w:pPr>
        <w:jc w:val="both"/>
      </w:pPr>
      <w:r>
        <w:rPr>
          <w:rtl w:val="0"/>
        </w:rPr>
        <w:t>The approach is deductive. Existing theory about SHAP, LIME, tree ensembles and recurrent networks allows expectations to be formed before any experiment is run [41]. For example, the theory of TreeExplainer predicts that SHAP explanations of tree models should be deterministic [32], while the sampling step in LIME predicts some instability [13], [35]. The experiments then test whether these expectations hold on CICIDS2017, and whether the relationship between detection performance and explanation quality differs between models.</w:t>
      </w:r>
    </w:p>
    <w:p w14:paraId="00000150">
      <w:pPr>
        <w:jc w:val="both"/>
      </w:pPr>
      <w:r>
        <w:rPr>
          <w:rtl w:val="0"/>
        </w:rPr>
        <w:t>A purely positivist stance has limits in XAI research, because the ultimate value of an explanation depends on the person reading it [29]. The original design therefore included a small practitioner survey to capture that human dimension. As explained in Section 6.7, the survey could not be completed, so the conclusions rest on the quantitative measures alone and should be read with that in mind.</w:t>
      </w:r>
    </w:p>
    <w:p w14:paraId="00000151">
      <w:pPr>
        <w:pStyle w:val="3"/>
        <w:rPr>
          <w:color w:val="000000"/>
        </w:rPr>
      </w:pPr>
      <w:bookmarkStart w:id="28" w:name="_5c1503dc0mrm" w:colFirst="0" w:colLast="0"/>
      <w:bookmarkEnd w:id="28"/>
      <w:r>
        <w:rPr>
          <w:color w:val="000000"/>
          <w:rtl w:val="0"/>
        </w:rPr>
        <w:t>3.3 Research Strategy</w:t>
      </w:r>
    </w:p>
    <w:p w14:paraId="00000152">
      <w:pPr>
        <w:jc w:val="both"/>
      </w:pPr>
      <w:r>
        <w:rPr>
          <w:rtl w:val="0"/>
        </w:rPr>
        <w:t>The research design is experimental and quantitative. Saunders et al. describe an experiment as a strategy in which an independent variable is manipulated to observe its effect on a dependent variable while other conditions are held constant [41]. Here there are two independent variables: the classifier (Random Forest, XGBoost or LSTM) and the XAI method (SHAP or LIME), giving six experimental conditions. The dependent variables are detection performance and explanation quality. The dataset, the cleaning steps, the train–test split, the random seed and the set of explained test instances are all held fixed, so that differences between conditions can be attributed to the model and method rather than to the setup. Figure 3.1 shows this structure.</w:t>
      </w:r>
    </w:p>
    <w:p w14:paraId="00000153">
      <w:pPr>
        <w:keepNext/>
        <w:spacing w:before="160" w:after="60" w:line="240" w:lineRule="auto"/>
        <w:jc w:val="center"/>
      </w:pPr>
      <w:r>
        <w:drawing>
          <wp:inline distT="0" distB="0" distL="0" distR="0">
            <wp:extent cx="5353050" cy="2209800"/>
            <wp:effectExtent l="0" t="0" r="0" b="0"/>
            <wp:docPr id="5" name="image8.png" descr="Figure 3.1&#10;Experimental design showing independent, dependent and controlled variables"/>
            <wp:cNvGraphicFramePr/>
            <a:graphic xmlns:a="http://schemas.openxmlformats.org/drawingml/2006/main">
              <a:graphicData uri="http://schemas.openxmlformats.org/drawingml/2006/picture">
                <pic:pic xmlns:pic="http://schemas.openxmlformats.org/drawingml/2006/picture">
                  <pic:nvPicPr>
                    <pic:cNvPr id="5" name="image8.png" descr="Figure 3.1&#10;Experimental design showing independent, dependent and controlled variables"/>
                    <pic:cNvPicPr preferRelativeResize="0"/>
                  </pic:nvPicPr>
                  <pic:blipFill>
                    <a:blip r:embed="rId13"/>
                    <a:srcRect/>
                    <a:stretch>
                      <a:fillRect/>
                    </a:stretch>
                  </pic:blipFill>
                  <pic:spPr>
                    <a:xfrm>
                      <a:off x="0" y="0"/>
                      <a:ext cx="5353050" cy="2209800"/>
                    </a:xfrm>
                    <a:prstGeom prst="rect">
                      <a:avLst/>
                    </a:prstGeom>
                  </pic:spPr>
                </pic:pic>
              </a:graphicData>
            </a:graphic>
          </wp:inline>
        </w:drawing>
      </w:r>
    </w:p>
    <w:p w14:paraId="00000154">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60" w:after="24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29" w:name="_fqn9ueqea2a4" w:colFirst="0" w:colLast="0"/>
      <w:bookmarkEnd w:id="29"/>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Figure 3.1: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Experimental design showing independent, dependent and controlled variables</w:t>
      </w:r>
    </w:p>
    <w:p w14:paraId="00000155">
      <w:pPr>
        <w:jc w:val="both"/>
      </w:pPr>
      <w:r>
        <w:rPr>
          <w:rtl w:val="0"/>
        </w:rPr>
        <w:t>One further element was added as the project progressed. Because the full dataset was too large for the available hardware, the complete experiment was run twice, first on a 50,000-row subsample and then on a 300,000-row subsample. Although this began as a practical necessity, it turned the scale of the training data into a third, informal independent variable, and it made RQ3 possible to answer.</w:t>
      </w:r>
    </w:p>
    <w:p w14:paraId="00000156">
      <w:pPr>
        <w:pStyle w:val="3"/>
        <w:rPr>
          <w:color w:val="000000"/>
        </w:rPr>
      </w:pPr>
      <w:bookmarkStart w:id="30" w:name="_t4spbaapx2sb" w:colFirst="0" w:colLast="0"/>
      <w:bookmarkEnd w:id="30"/>
      <w:r>
        <w:rPr>
          <w:color w:val="000000"/>
          <w:rtl w:val="0"/>
        </w:rPr>
        <w:t>3.4 Dataset</w:t>
      </w:r>
    </w:p>
    <w:p w14:paraId="00000157">
      <w:pPr>
        <w:jc w:val="both"/>
      </w:pPr>
      <w:r>
        <w:rPr>
          <w:rtl w:val="0"/>
        </w:rPr>
        <w:t>The dataset used is CICIDS2017, created by the Canadian Institute for Cybersecurity. It contains five days of labelled network traffic, from Monday 3 July to Friday 7 July 2017, with realistic benign traffic and a range of modern attacks [4]. The traffic is supplied both as raw packet captures and as flow records produced by CICFlowMeter; this project uses the eight flow-level MachineLearningCSV files, which together contain 2,830,743 rows and 79 columns (78 features and a label). Table 3.1 summarises how attacks are distributed across the capture days.</w:t>
      </w:r>
    </w:p>
    <w:p w14:paraId="00000158">
      <w:pPr>
        <w:keepNext/>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00" w:after="8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31" w:name="_js8o8rlvzyij" w:colFirst="0" w:colLast="0"/>
      <w:bookmarkEnd w:id="31"/>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Table 3.1: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The eight CICIDS2017 MachineLearningCSV files and the traffic they contain</w:t>
      </w:r>
    </w:p>
    <w:tbl>
      <w:tblPr>
        <w:tblStyle w:val="15"/>
        <w:tblW w:w="8503" w:type="dxa"/>
        <w:tblInd w:w="-90" w:type="dxa"/>
        <w:tblLayout w:type="fixed"/>
        <w:tblCellMar>
          <w:top w:w="50" w:type="dxa"/>
          <w:left w:w="90" w:type="dxa"/>
          <w:bottom w:w="50" w:type="dxa"/>
          <w:right w:w="90" w:type="dxa"/>
        </w:tblCellMar>
      </w:tblPr>
      <w:tblGrid>
        <w:gridCol w:w="3348"/>
        <w:gridCol w:w="5155"/>
      </w:tblGrid>
      <w:tr w14:paraId="01751775">
        <w:tblPrEx>
          <w:tblCellMar>
            <w:top w:w="50" w:type="dxa"/>
            <w:left w:w="90" w:type="dxa"/>
            <w:bottom w:w="50" w:type="dxa"/>
            <w:right w:w="90" w:type="dxa"/>
          </w:tblCellMar>
        </w:tblPrEx>
        <w:trPr>
          <w:cantSplit/>
          <w:tblHeader/>
        </w:trPr>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159">
            <w:pPr>
              <w:keepNext/>
              <w:spacing w:before="0" w:after="0" w:line="240" w:lineRule="auto"/>
              <w:jc w:val="left"/>
            </w:pPr>
            <w:r>
              <w:rPr>
                <w:b/>
                <w:bCs/>
                <w:sz w:val="20"/>
                <w:szCs w:val="20"/>
                <w:rtl w:val="0"/>
              </w:rPr>
              <w:t>Day / file</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15A">
            <w:pPr>
              <w:keepNext/>
              <w:spacing w:before="0" w:after="0" w:line="240" w:lineRule="auto"/>
              <w:jc w:val="left"/>
            </w:pPr>
            <w:r>
              <w:rPr>
                <w:b/>
                <w:bCs/>
                <w:sz w:val="20"/>
                <w:szCs w:val="20"/>
                <w:rtl w:val="0"/>
              </w:rPr>
              <w:t>Traffic contained</w:t>
            </w:r>
          </w:p>
        </w:tc>
      </w:tr>
      <w:tr w14:paraId="0AD4E82F">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15B">
            <w:pPr>
              <w:keepNext/>
              <w:spacing w:before="0" w:after="0" w:line="240" w:lineRule="auto"/>
              <w:jc w:val="left"/>
            </w:pPr>
            <w:r>
              <w:rPr>
                <w:sz w:val="20"/>
                <w:szCs w:val="20"/>
                <w:rtl w:val="0"/>
              </w:rPr>
              <w:t>Monday</w:t>
            </w:r>
          </w:p>
        </w:tc>
        <w:tc>
          <w:tcPr>
            <w:tcBorders>
              <w:top w:val="single" w:color="9AA5B1" w:sz="4" w:space="0"/>
              <w:left w:val="single" w:color="9AA5B1" w:sz="4" w:space="0"/>
              <w:bottom w:val="single" w:color="9AA5B1" w:sz="4" w:space="0"/>
              <w:right w:val="single" w:color="9AA5B1" w:sz="4" w:space="0"/>
            </w:tcBorders>
            <w:vAlign w:val="center"/>
          </w:tcPr>
          <w:p w14:paraId="0000015C">
            <w:pPr>
              <w:keepNext/>
              <w:spacing w:before="0" w:after="0" w:line="240" w:lineRule="auto"/>
              <w:jc w:val="left"/>
            </w:pPr>
            <w:r>
              <w:rPr>
                <w:sz w:val="20"/>
                <w:szCs w:val="20"/>
                <w:rtl w:val="0"/>
              </w:rPr>
              <w:t>Benign traffic only</w:t>
            </w:r>
          </w:p>
        </w:tc>
      </w:tr>
      <w:tr w14:paraId="0AB08EBC">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5D">
            <w:pPr>
              <w:keepNext/>
              <w:spacing w:before="0" w:after="0" w:line="240" w:lineRule="auto"/>
              <w:jc w:val="left"/>
            </w:pPr>
            <w:r>
              <w:rPr>
                <w:sz w:val="20"/>
                <w:szCs w:val="20"/>
                <w:rtl w:val="0"/>
              </w:rPr>
              <w:t>Tuesday</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5E">
            <w:pPr>
              <w:keepNext/>
              <w:spacing w:before="0" w:after="0" w:line="240" w:lineRule="auto"/>
              <w:jc w:val="left"/>
            </w:pPr>
            <w:r>
              <w:rPr>
                <w:sz w:val="20"/>
                <w:szCs w:val="20"/>
                <w:rtl w:val="0"/>
              </w:rPr>
              <w:t>Benign; FTP-Patator and SSH-Patator brute force</w:t>
            </w:r>
          </w:p>
        </w:tc>
      </w:tr>
      <w:tr w14:paraId="35682502">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15F">
            <w:pPr>
              <w:keepNext/>
              <w:spacing w:before="0" w:after="0" w:line="240" w:lineRule="auto"/>
              <w:jc w:val="left"/>
            </w:pPr>
            <w:r>
              <w:rPr>
                <w:sz w:val="20"/>
                <w:szCs w:val="20"/>
                <w:rtl w:val="0"/>
              </w:rPr>
              <w:t>Wednesday</w:t>
            </w:r>
          </w:p>
        </w:tc>
        <w:tc>
          <w:tcPr>
            <w:tcBorders>
              <w:top w:val="single" w:color="9AA5B1" w:sz="4" w:space="0"/>
              <w:left w:val="single" w:color="9AA5B1" w:sz="4" w:space="0"/>
              <w:bottom w:val="single" w:color="9AA5B1" w:sz="4" w:space="0"/>
              <w:right w:val="single" w:color="9AA5B1" w:sz="4" w:space="0"/>
            </w:tcBorders>
            <w:vAlign w:val="center"/>
          </w:tcPr>
          <w:p w14:paraId="00000160">
            <w:pPr>
              <w:keepNext/>
              <w:spacing w:before="0" w:after="0" w:line="240" w:lineRule="auto"/>
              <w:jc w:val="left"/>
            </w:pPr>
            <w:r>
              <w:rPr>
                <w:sz w:val="20"/>
                <w:szCs w:val="20"/>
                <w:rtl w:val="0"/>
              </w:rPr>
              <w:t>Benign; DoS Hulk, GoldenEye, Slowloris, Slowhttptest; Heartbleed</w:t>
            </w:r>
          </w:p>
        </w:tc>
      </w:tr>
      <w:tr w14:paraId="30D73842">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61">
            <w:pPr>
              <w:keepNext/>
              <w:spacing w:before="0" w:after="0" w:line="240" w:lineRule="auto"/>
              <w:jc w:val="left"/>
            </w:pPr>
            <w:r>
              <w:rPr>
                <w:sz w:val="20"/>
                <w:szCs w:val="20"/>
                <w:rtl w:val="0"/>
              </w:rPr>
              <w:t>Thursday morning</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62">
            <w:pPr>
              <w:keepNext/>
              <w:spacing w:before="0" w:after="0" w:line="240" w:lineRule="auto"/>
              <w:jc w:val="left"/>
            </w:pPr>
            <w:r>
              <w:rPr>
                <w:sz w:val="20"/>
                <w:szCs w:val="20"/>
                <w:rtl w:val="0"/>
              </w:rPr>
              <w:t>Benign; web attacks (brute force, XSS, SQL injection)</w:t>
            </w:r>
          </w:p>
        </w:tc>
      </w:tr>
      <w:tr w14:paraId="1458D259">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163">
            <w:pPr>
              <w:keepNext/>
              <w:spacing w:before="0" w:after="0" w:line="240" w:lineRule="auto"/>
              <w:jc w:val="left"/>
            </w:pPr>
            <w:r>
              <w:rPr>
                <w:sz w:val="20"/>
                <w:szCs w:val="20"/>
                <w:rtl w:val="0"/>
              </w:rPr>
              <w:t>Thursday afternoon</w:t>
            </w:r>
          </w:p>
        </w:tc>
        <w:tc>
          <w:tcPr>
            <w:tcBorders>
              <w:top w:val="single" w:color="9AA5B1" w:sz="4" w:space="0"/>
              <w:left w:val="single" w:color="9AA5B1" w:sz="4" w:space="0"/>
              <w:bottom w:val="single" w:color="9AA5B1" w:sz="4" w:space="0"/>
              <w:right w:val="single" w:color="9AA5B1" w:sz="4" w:space="0"/>
            </w:tcBorders>
            <w:vAlign w:val="center"/>
          </w:tcPr>
          <w:p w14:paraId="00000164">
            <w:pPr>
              <w:keepNext/>
              <w:spacing w:before="0" w:after="0" w:line="240" w:lineRule="auto"/>
              <w:jc w:val="left"/>
            </w:pPr>
            <w:r>
              <w:rPr>
                <w:sz w:val="20"/>
                <w:szCs w:val="20"/>
                <w:rtl w:val="0"/>
              </w:rPr>
              <w:t>Benign; infiltration</w:t>
            </w:r>
          </w:p>
        </w:tc>
      </w:tr>
      <w:tr w14:paraId="55CB74C9">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65">
            <w:pPr>
              <w:keepNext/>
              <w:spacing w:before="0" w:after="0" w:line="240" w:lineRule="auto"/>
              <w:jc w:val="left"/>
            </w:pPr>
            <w:r>
              <w:rPr>
                <w:sz w:val="20"/>
                <w:szCs w:val="20"/>
                <w:rtl w:val="0"/>
              </w:rPr>
              <w:t>Friday morning</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66">
            <w:pPr>
              <w:keepNext/>
              <w:spacing w:before="0" w:after="0" w:line="240" w:lineRule="auto"/>
              <w:jc w:val="left"/>
            </w:pPr>
            <w:r>
              <w:rPr>
                <w:sz w:val="20"/>
                <w:szCs w:val="20"/>
                <w:rtl w:val="0"/>
              </w:rPr>
              <w:t>Benign; botnet (Ares)</w:t>
            </w:r>
          </w:p>
        </w:tc>
      </w:tr>
      <w:tr w14:paraId="0E9C40AF">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167">
            <w:pPr>
              <w:keepNext/>
              <w:spacing w:before="0" w:after="0" w:line="240" w:lineRule="auto"/>
              <w:jc w:val="left"/>
            </w:pPr>
            <w:r>
              <w:rPr>
                <w:sz w:val="20"/>
                <w:szCs w:val="20"/>
                <w:rtl w:val="0"/>
              </w:rPr>
              <w:t>Friday afternoon (PortScan)</w:t>
            </w:r>
          </w:p>
        </w:tc>
        <w:tc>
          <w:tcPr>
            <w:tcBorders>
              <w:top w:val="single" w:color="9AA5B1" w:sz="4" w:space="0"/>
              <w:left w:val="single" w:color="9AA5B1" w:sz="4" w:space="0"/>
              <w:bottom w:val="single" w:color="9AA5B1" w:sz="4" w:space="0"/>
              <w:right w:val="single" w:color="9AA5B1" w:sz="4" w:space="0"/>
            </w:tcBorders>
            <w:vAlign w:val="center"/>
          </w:tcPr>
          <w:p w14:paraId="00000168">
            <w:pPr>
              <w:keepNext/>
              <w:spacing w:before="0" w:after="0" w:line="240" w:lineRule="auto"/>
              <w:jc w:val="left"/>
            </w:pPr>
            <w:r>
              <w:rPr>
                <w:sz w:val="20"/>
                <w:szCs w:val="20"/>
                <w:rtl w:val="0"/>
              </w:rPr>
              <w:t>Benign; port scanning</w:t>
            </w:r>
          </w:p>
        </w:tc>
      </w:tr>
      <w:tr w14:paraId="7F144418">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69">
            <w:pPr>
              <w:keepNext w:val="0"/>
              <w:spacing w:before="0" w:after="0" w:line="240" w:lineRule="auto"/>
              <w:jc w:val="left"/>
            </w:pPr>
            <w:r>
              <w:rPr>
                <w:sz w:val="20"/>
                <w:szCs w:val="20"/>
                <w:rtl w:val="0"/>
              </w:rPr>
              <w:t>Friday afternoon (DDoS)</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6A">
            <w:pPr>
              <w:keepNext w:val="0"/>
              <w:spacing w:before="0" w:after="0" w:line="240" w:lineRule="auto"/>
              <w:jc w:val="left"/>
            </w:pPr>
            <w:r>
              <w:rPr>
                <w:sz w:val="20"/>
                <w:szCs w:val="20"/>
                <w:rtl w:val="0"/>
              </w:rPr>
              <w:t>Benign; DDoS (LOIC)</w:t>
            </w:r>
          </w:p>
        </w:tc>
      </w:tr>
    </w:tbl>
    <w:p w14:paraId="0000016B">
      <w:pPr>
        <w:spacing w:before="0" w:after="120"/>
      </w:pPr>
    </w:p>
    <w:p w14:paraId="0000016C">
      <w:pPr>
        <w:jc w:val="both"/>
      </w:pPr>
      <w:r>
        <w:rPr>
          <w:rtl w:val="0"/>
        </w:rPr>
        <w:t>CICIDS2017 was preferred to an older dataset such as NSL-KDD for three reasons. Its traffic and attack types are more representative of modern networks, which makes the SHAP and LIME results more meaningful. Its size and feature richness give the explanation methods a realistic number of candidate features to choose between. And it remains one of the most widely used benchmarks in the comparative literature reviewed in Chapter 2 [21], [18], which makes the results easier to place in context. Its known labelling and flow-construction artefacts [22], [23] are acknowledged as a limitation in Chapter 7.</w:t>
      </w:r>
    </w:p>
    <w:p w14:paraId="0000016D">
      <w:pPr>
        <w:jc w:val="both"/>
      </w:pPr>
      <w:r>
        <w:rPr>
          <w:rtl w:val="0"/>
        </w:rPr>
        <w:t>CICIDS2017 is fully public and was generated in a controlled testbed, so it contains no personal data about real individuals. Its use does not require consent. This contrasts with the planned practitioner component of the project, which is covered under the participant consent procedure set out in the project's Ethics Form (Section 3.10).</w:t>
      </w:r>
    </w:p>
    <w:p w14:paraId="0000016E">
      <w:pPr>
        <w:pStyle w:val="3"/>
        <w:rPr>
          <w:color w:val="000000"/>
        </w:rPr>
      </w:pPr>
      <w:bookmarkStart w:id="32" w:name="_55onmprh5wy4" w:colFirst="0" w:colLast="0"/>
      <w:bookmarkEnd w:id="32"/>
      <w:r>
        <w:rPr>
          <w:color w:val="000000"/>
          <w:rtl w:val="0"/>
        </w:rPr>
        <w:t>3.5 Data Preprocessing</w:t>
      </w:r>
    </w:p>
    <w:p w14:paraId="0000016F">
      <w:pPr>
        <w:jc w:val="both"/>
      </w:pPr>
      <w:r>
        <w:rPr>
          <w:rtl w:val="0"/>
        </w:rPr>
        <w:t>The raw CSV files are concatenated into a single table. Rows containing missing values or infinite values, and duplicate flows, are removed; these are well-known by-products of the CICFlowMeter export [22]. Column names are stripped of stray whitespace, and the multi-class label column is mapped to a binary target, with benign traffic as class 0 and every attack type as class 1. Continuous features are standardised, because the LSTM and the SMOTE algorithm are both sensitive to feature scale; the tree ensembles are not, but scaling does them no harm and keeps a single shared input for all three models.</w:t>
      </w:r>
    </w:p>
    <w:p w14:paraId="00000170">
      <w:pPr>
        <w:jc w:val="both"/>
      </w:pPr>
      <w:r>
        <w:rPr>
          <w:rtl w:val="0"/>
        </w:rPr>
        <w:t>Because attacks make up only a minority of the flows, class imbalance is handled explicitly. The data are split into training and test sets using a stratified split so that both sets keep the original class ratio. SMOTE is then applied to the training set only [25], [42]. This follows the recommendation that resampling should never touch the test set, which must contain only genuine traffic if the reported performance is to mean anything [18], [24]. Crucially, the same preprocessed data and the same split are used for every model, so that any difference in results comes from the model and the explanation technique rather than from a different view of the data.</w:t>
      </w:r>
    </w:p>
    <w:p w14:paraId="00000171">
      <w:pPr>
        <w:pStyle w:val="3"/>
        <w:rPr>
          <w:color w:val="000000"/>
        </w:rPr>
      </w:pPr>
      <w:bookmarkStart w:id="33" w:name="_li3nda4jl4c0" w:colFirst="0" w:colLast="0"/>
      <w:bookmarkEnd w:id="33"/>
      <w:r>
        <w:rPr>
          <w:color w:val="000000"/>
          <w:rtl w:val="0"/>
        </w:rPr>
        <w:t>3.6 Model Selection</w:t>
      </w:r>
    </w:p>
    <w:p w14:paraId="00000172">
      <w:pPr>
        <w:jc w:val="both"/>
      </w:pPr>
      <w:r>
        <w:rPr>
          <w:rtl w:val="0"/>
        </w:rPr>
        <w:t>Three classifiers were chosen to cover two model families. Random Forest [43] and XGBoost [44] represent tree-based ensembles, which are among the strongest performers on tabular flow data and appear regularly in leading CICIDS2017 studies [21], [3]. A Long Short-Term Memory network [45] represents deep learning. The selection is deliberately small rather than exhaustive: the aim is to compare explanation methods across genuinely different model types, not to find the best possible detector.</w:t>
      </w:r>
    </w:p>
    <w:p w14:paraId="00000173">
      <w:pPr>
        <w:jc w:val="both"/>
      </w:pPr>
      <w:r>
        <w:rPr>
          <w:rtl w:val="0"/>
        </w:rPr>
        <w:t>The choice also ensures that both kinds of SHAP estimator are exercised: the exact, model-specific TreeExplainer for the ensembles, and the approximate, gradient-based GradientExplainer for the LSTM. This matters because it tests whether any advantage SHAP shows is a property of SHAP itself or of the particular estimator used.</w:t>
      </w:r>
    </w:p>
    <w:p w14:paraId="00000174">
      <w:pPr>
        <w:jc w:val="both"/>
      </w:pPr>
      <w:r>
        <w:rPr>
          <w:rtl w:val="0"/>
        </w:rPr>
        <w:t>Hyperparameters for the two ensembles are chosen by randomised search with cross-validation on the training data only [46], so that the test set used in the final comparison is never seen during tuning. The LSTM is trained with a fixed architecture and a held-out validation fraction of the training data, as described in Chapter 4.</w:t>
      </w:r>
    </w:p>
    <w:p w14:paraId="00000175">
      <w:pPr>
        <w:pStyle w:val="3"/>
        <w:rPr>
          <w:color w:val="000000"/>
        </w:rPr>
      </w:pPr>
      <w:bookmarkStart w:id="34" w:name="_kdx80awghpk4" w:colFirst="0" w:colLast="0"/>
      <w:bookmarkEnd w:id="34"/>
      <w:r>
        <w:rPr>
          <w:color w:val="000000"/>
          <w:rtl w:val="0"/>
        </w:rPr>
        <w:t>3.7 Explainability Integration</w:t>
      </w:r>
    </w:p>
    <w:p w14:paraId="00000176">
      <w:pPr>
        <w:jc w:val="both"/>
      </w:pPr>
      <w:r>
        <w:rPr>
          <w:rtl w:val="0"/>
        </w:rPr>
        <w:t>SHAP and LIME are applied post hoc to each of the three trained models, without any change to the models themselves. For SHAP, TreeExplainer is used for Random Forest and XGBoost because it computes exact Shapley values efficiently for tree ensembles [32], and GradientExplainer is used for the LSTM [12], [34]. For LIME, the standard tabular explainer is used for all three models, since LIME treats every model as a black box [13].</w:t>
      </w:r>
    </w:p>
    <w:p w14:paraId="00000177">
      <w:pPr>
        <w:jc w:val="both"/>
      </w:pPr>
      <w:r>
        <w:rPr>
          <w:rtl w:val="0"/>
        </w:rPr>
        <w:t>Explanations are generated at two levels. At the local level, individual flows from the test set are explained one at a time, just as an analyst would examine a single alert. At the aggregate level, local attributions are summarised to show which features matter most across the explained sample [7], [14]. Because SHAP and LIME are costly to run on tens of thousands of instances, particularly for the LSTM, a fixed sample of 50 test instances is explained, and the same 50 instances are used for all six model–method pairs.</w:t>
      </w:r>
    </w:p>
    <w:p w14:paraId="00000178">
      <w:pPr>
        <w:pStyle w:val="3"/>
        <w:rPr>
          <w:color w:val="000000"/>
        </w:rPr>
      </w:pPr>
      <w:bookmarkStart w:id="35" w:name="_gphcy7nr2ks6" w:colFirst="0" w:colLast="0"/>
      <w:bookmarkEnd w:id="35"/>
      <w:r>
        <w:rPr>
          <w:color w:val="000000"/>
          <w:rtl w:val="0"/>
        </w:rPr>
        <w:t>3.8 Evaluation Metrics</w:t>
      </w:r>
    </w:p>
    <w:p w14:paraId="00000179">
      <w:pPr>
        <w:pStyle w:val="4"/>
        <w:rPr>
          <w:color w:val="000000"/>
        </w:rPr>
      </w:pPr>
      <w:r>
        <w:rPr>
          <w:color w:val="000000"/>
          <w:rtl w:val="0"/>
        </w:rPr>
        <w:t>3.8.1 Detection Metrics</w:t>
      </w:r>
    </w:p>
    <w:p w14:paraId="0000017A">
      <w:pPr>
        <w:jc w:val="both"/>
      </w:pPr>
      <w:r>
        <w:rPr>
          <w:rtl w:val="0"/>
        </w:rPr>
        <w:t>Detection performance is reported using accuracy, precision, recall, F1-score and ROC-AUC rather than accuracy alone. On an imbalanced test set, a model that labels everything as benign can still achieve high accuracy, so accuracy on its own is misleading [18]. Table 3.2 defines each metric and explains why it matters in a SOC setting.</w:t>
      </w:r>
    </w:p>
    <w:p w14:paraId="0000017B">
      <w:pPr>
        <w:keepNext/>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00" w:after="8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36" w:name="_63u0nxt9iktm" w:colFirst="0" w:colLast="0"/>
      <w:bookmarkEnd w:id="36"/>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Table 3.2: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Detection metrics used in this study</w:t>
      </w:r>
    </w:p>
    <w:tbl>
      <w:tblPr>
        <w:tblStyle w:val="16"/>
        <w:tblW w:w="8504" w:type="dxa"/>
        <w:tblInd w:w="-90" w:type="dxa"/>
        <w:tblLayout w:type="fixed"/>
        <w:tblCellMar>
          <w:top w:w="50" w:type="dxa"/>
          <w:left w:w="90" w:type="dxa"/>
          <w:bottom w:w="50" w:type="dxa"/>
          <w:right w:w="90" w:type="dxa"/>
        </w:tblCellMar>
      </w:tblPr>
      <w:tblGrid>
        <w:gridCol w:w="1402"/>
        <w:gridCol w:w="2843"/>
        <w:gridCol w:w="4259"/>
      </w:tblGrid>
      <w:tr w14:paraId="3BF5FD39">
        <w:tblPrEx>
          <w:tblCellMar>
            <w:top w:w="50" w:type="dxa"/>
            <w:left w:w="90" w:type="dxa"/>
            <w:bottom w:w="50" w:type="dxa"/>
            <w:right w:w="90" w:type="dxa"/>
          </w:tblCellMar>
        </w:tblPrEx>
        <w:trPr>
          <w:cantSplit/>
          <w:tblHeader/>
        </w:trPr>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17C">
            <w:pPr>
              <w:keepNext/>
              <w:spacing w:before="0" w:after="0" w:line="240" w:lineRule="auto"/>
              <w:jc w:val="left"/>
            </w:pPr>
            <w:r>
              <w:rPr>
                <w:b/>
                <w:bCs/>
                <w:sz w:val="20"/>
                <w:szCs w:val="20"/>
                <w:rtl w:val="0"/>
              </w:rPr>
              <w:t>Metric</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17D">
            <w:pPr>
              <w:keepNext/>
              <w:spacing w:before="0" w:after="0" w:line="240" w:lineRule="auto"/>
              <w:jc w:val="left"/>
            </w:pPr>
            <w:r>
              <w:rPr>
                <w:b/>
                <w:bCs/>
                <w:sz w:val="20"/>
                <w:szCs w:val="20"/>
                <w:rtl w:val="0"/>
              </w:rPr>
              <w:t>Definition</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17E">
            <w:pPr>
              <w:keepNext/>
              <w:spacing w:before="0" w:after="0" w:line="240" w:lineRule="auto"/>
              <w:jc w:val="left"/>
            </w:pPr>
            <w:r>
              <w:rPr>
                <w:b/>
                <w:bCs/>
                <w:sz w:val="20"/>
                <w:szCs w:val="20"/>
                <w:rtl w:val="0"/>
              </w:rPr>
              <w:t>Operational meaning</w:t>
            </w:r>
          </w:p>
        </w:tc>
      </w:tr>
      <w:tr w14:paraId="2469123B">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17F">
            <w:pPr>
              <w:keepNext/>
              <w:spacing w:before="0" w:after="0" w:line="240" w:lineRule="auto"/>
              <w:jc w:val="left"/>
            </w:pPr>
            <w:r>
              <w:rPr>
                <w:sz w:val="20"/>
                <w:szCs w:val="20"/>
                <w:rtl w:val="0"/>
              </w:rPr>
              <w:t>Accuracy</w:t>
            </w:r>
          </w:p>
        </w:tc>
        <w:tc>
          <w:tcPr>
            <w:tcBorders>
              <w:top w:val="single" w:color="9AA5B1" w:sz="4" w:space="0"/>
              <w:left w:val="single" w:color="9AA5B1" w:sz="4" w:space="0"/>
              <w:bottom w:val="single" w:color="9AA5B1" w:sz="4" w:space="0"/>
              <w:right w:val="single" w:color="9AA5B1" w:sz="4" w:space="0"/>
            </w:tcBorders>
            <w:vAlign w:val="center"/>
          </w:tcPr>
          <w:p w14:paraId="00000180">
            <w:pPr>
              <w:keepNext/>
              <w:spacing w:before="0" w:after="0" w:line="240" w:lineRule="auto"/>
              <w:jc w:val="left"/>
            </w:pPr>
            <w:r>
              <w:rPr>
                <w:sz w:val="20"/>
                <w:szCs w:val="20"/>
                <w:rtl w:val="0"/>
              </w:rPr>
              <w:t>(TP + TN) / all flows</w:t>
            </w:r>
          </w:p>
        </w:tc>
        <w:tc>
          <w:tcPr>
            <w:tcBorders>
              <w:top w:val="single" w:color="9AA5B1" w:sz="4" w:space="0"/>
              <w:left w:val="single" w:color="9AA5B1" w:sz="4" w:space="0"/>
              <w:bottom w:val="single" w:color="9AA5B1" w:sz="4" w:space="0"/>
              <w:right w:val="single" w:color="9AA5B1" w:sz="4" w:space="0"/>
            </w:tcBorders>
            <w:vAlign w:val="center"/>
          </w:tcPr>
          <w:p w14:paraId="00000181">
            <w:pPr>
              <w:keepNext/>
              <w:spacing w:before="0" w:after="0" w:line="240" w:lineRule="auto"/>
              <w:jc w:val="left"/>
            </w:pPr>
            <w:r>
              <w:rPr>
                <w:sz w:val="20"/>
                <w:szCs w:val="20"/>
                <w:rtl w:val="0"/>
              </w:rPr>
              <w:t>Overall share of correct verdicts; inflated by the benign majority</w:t>
            </w:r>
          </w:p>
        </w:tc>
      </w:tr>
      <w:tr w14:paraId="7E945A0B">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82">
            <w:pPr>
              <w:keepNext/>
              <w:spacing w:before="0" w:after="0" w:line="240" w:lineRule="auto"/>
              <w:jc w:val="left"/>
            </w:pPr>
            <w:r>
              <w:rPr>
                <w:sz w:val="20"/>
                <w:szCs w:val="20"/>
                <w:rtl w:val="0"/>
              </w:rPr>
              <w:t>Precision</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83">
            <w:pPr>
              <w:keepNext/>
              <w:spacing w:before="0" w:after="0" w:line="240" w:lineRule="auto"/>
              <w:jc w:val="left"/>
            </w:pPr>
            <w:r>
              <w:rPr>
                <w:sz w:val="20"/>
                <w:szCs w:val="20"/>
                <w:rtl w:val="0"/>
              </w:rPr>
              <w:t>TP / (TP + FP)</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84">
            <w:pPr>
              <w:keepNext/>
              <w:spacing w:before="0" w:after="0" w:line="240" w:lineRule="auto"/>
              <w:jc w:val="left"/>
            </w:pPr>
            <w:r>
              <w:rPr>
                <w:sz w:val="20"/>
                <w:szCs w:val="20"/>
                <w:rtl w:val="0"/>
              </w:rPr>
              <w:t>Of the alerts raised, how many were real attacks; low precision means alert fatigue</w:t>
            </w:r>
          </w:p>
        </w:tc>
      </w:tr>
      <w:tr w14:paraId="3B1850DB">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185">
            <w:pPr>
              <w:keepNext/>
              <w:spacing w:before="0" w:after="0" w:line="240" w:lineRule="auto"/>
              <w:jc w:val="left"/>
            </w:pPr>
            <w:r>
              <w:rPr>
                <w:sz w:val="20"/>
                <w:szCs w:val="20"/>
                <w:rtl w:val="0"/>
              </w:rPr>
              <w:t>Recall</w:t>
            </w:r>
          </w:p>
        </w:tc>
        <w:tc>
          <w:tcPr>
            <w:tcBorders>
              <w:top w:val="single" w:color="9AA5B1" w:sz="4" w:space="0"/>
              <w:left w:val="single" w:color="9AA5B1" w:sz="4" w:space="0"/>
              <w:bottom w:val="single" w:color="9AA5B1" w:sz="4" w:space="0"/>
              <w:right w:val="single" w:color="9AA5B1" w:sz="4" w:space="0"/>
            </w:tcBorders>
            <w:vAlign w:val="center"/>
          </w:tcPr>
          <w:p w14:paraId="00000186">
            <w:pPr>
              <w:keepNext/>
              <w:spacing w:before="0" w:after="0" w:line="240" w:lineRule="auto"/>
              <w:jc w:val="left"/>
            </w:pPr>
            <w:r>
              <w:rPr>
                <w:sz w:val="20"/>
                <w:szCs w:val="20"/>
                <w:rtl w:val="0"/>
              </w:rPr>
              <w:t>TP / (TP + FN)</w:t>
            </w:r>
          </w:p>
        </w:tc>
        <w:tc>
          <w:tcPr>
            <w:tcBorders>
              <w:top w:val="single" w:color="9AA5B1" w:sz="4" w:space="0"/>
              <w:left w:val="single" w:color="9AA5B1" w:sz="4" w:space="0"/>
              <w:bottom w:val="single" w:color="9AA5B1" w:sz="4" w:space="0"/>
              <w:right w:val="single" w:color="9AA5B1" w:sz="4" w:space="0"/>
            </w:tcBorders>
            <w:vAlign w:val="center"/>
          </w:tcPr>
          <w:p w14:paraId="00000187">
            <w:pPr>
              <w:keepNext/>
              <w:spacing w:before="0" w:after="0" w:line="240" w:lineRule="auto"/>
              <w:jc w:val="left"/>
            </w:pPr>
            <w:r>
              <w:rPr>
                <w:sz w:val="20"/>
                <w:szCs w:val="20"/>
                <w:rtl w:val="0"/>
              </w:rPr>
              <w:t>Of the real attacks, how many were caught; low recall means missed intrusions</w:t>
            </w:r>
          </w:p>
        </w:tc>
      </w:tr>
      <w:tr w14:paraId="36C46AA0">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88">
            <w:pPr>
              <w:keepNext/>
              <w:spacing w:before="0" w:after="0" w:line="240" w:lineRule="auto"/>
              <w:jc w:val="left"/>
            </w:pPr>
            <w:r>
              <w:rPr>
                <w:sz w:val="20"/>
                <w:szCs w:val="20"/>
                <w:rtl w:val="0"/>
              </w:rPr>
              <w:t>F1-score</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89">
            <w:pPr>
              <w:keepNext/>
              <w:spacing w:before="0" w:after="0" w:line="240" w:lineRule="auto"/>
              <w:jc w:val="left"/>
            </w:pPr>
            <w:r>
              <w:rPr>
                <w:sz w:val="20"/>
                <w:szCs w:val="20"/>
                <w:rtl w:val="0"/>
              </w:rPr>
              <w:t>Harmonic mean of precision and recall</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8A">
            <w:pPr>
              <w:keepNext/>
              <w:spacing w:before="0" w:after="0" w:line="240" w:lineRule="auto"/>
              <w:jc w:val="left"/>
            </w:pPr>
            <w:r>
              <w:rPr>
                <w:sz w:val="20"/>
                <w:szCs w:val="20"/>
                <w:rtl w:val="0"/>
              </w:rPr>
              <w:t>Single balanced summary of the two error types</w:t>
            </w:r>
          </w:p>
        </w:tc>
      </w:tr>
      <w:tr w14:paraId="2978EF99">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18B">
            <w:pPr>
              <w:keepNext w:val="0"/>
              <w:spacing w:before="0" w:after="0" w:line="240" w:lineRule="auto"/>
              <w:jc w:val="left"/>
            </w:pPr>
            <w:r>
              <w:rPr>
                <w:sz w:val="20"/>
                <w:szCs w:val="20"/>
                <w:rtl w:val="0"/>
              </w:rPr>
              <w:t>ROC-AUC</w:t>
            </w:r>
          </w:p>
        </w:tc>
        <w:tc>
          <w:tcPr>
            <w:tcBorders>
              <w:top w:val="single" w:color="9AA5B1" w:sz="4" w:space="0"/>
              <w:left w:val="single" w:color="9AA5B1" w:sz="4" w:space="0"/>
              <w:bottom w:val="single" w:color="9AA5B1" w:sz="4" w:space="0"/>
              <w:right w:val="single" w:color="9AA5B1" w:sz="4" w:space="0"/>
            </w:tcBorders>
            <w:vAlign w:val="center"/>
          </w:tcPr>
          <w:p w14:paraId="0000018C">
            <w:pPr>
              <w:keepNext w:val="0"/>
              <w:spacing w:before="0" w:after="0" w:line="240" w:lineRule="auto"/>
              <w:jc w:val="left"/>
            </w:pPr>
            <w:r>
              <w:rPr>
                <w:sz w:val="20"/>
                <w:szCs w:val="20"/>
                <w:rtl w:val="0"/>
              </w:rPr>
              <w:t>Area under the ROC curve</w:t>
            </w:r>
          </w:p>
        </w:tc>
        <w:tc>
          <w:tcPr>
            <w:tcBorders>
              <w:top w:val="single" w:color="9AA5B1" w:sz="4" w:space="0"/>
              <w:left w:val="single" w:color="9AA5B1" w:sz="4" w:space="0"/>
              <w:bottom w:val="single" w:color="9AA5B1" w:sz="4" w:space="0"/>
              <w:right w:val="single" w:color="9AA5B1" w:sz="4" w:space="0"/>
            </w:tcBorders>
            <w:vAlign w:val="center"/>
          </w:tcPr>
          <w:p w14:paraId="0000018D">
            <w:pPr>
              <w:keepNext w:val="0"/>
              <w:spacing w:before="0" w:after="0" w:line="240" w:lineRule="auto"/>
              <w:jc w:val="left"/>
            </w:pPr>
            <w:r>
              <w:rPr>
                <w:sz w:val="20"/>
                <w:szCs w:val="20"/>
                <w:rtl w:val="0"/>
              </w:rPr>
              <w:t>Ability to rank attacks above benign flows across all thresholds</w:t>
            </w:r>
          </w:p>
        </w:tc>
      </w:tr>
    </w:tbl>
    <w:p w14:paraId="0000018E">
      <w:pPr>
        <w:spacing w:before="0" w:after="120"/>
      </w:pPr>
    </w:p>
    <w:p w14:paraId="0000018F">
      <w:pPr>
        <w:pStyle w:val="4"/>
        <w:rPr>
          <w:color w:val="000000"/>
        </w:rPr>
      </w:pPr>
      <w:r>
        <w:rPr>
          <w:color w:val="000000"/>
          <w:rtl w:val="0"/>
        </w:rPr>
        <w:t>3.8.2 Explanation Metrics</w:t>
      </w:r>
    </w:p>
    <w:p w14:paraId="00000190">
      <w:pPr>
        <w:jc w:val="both"/>
      </w:pPr>
      <w:r>
        <w:rPr>
          <w:rtl w:val="0"/>
        </w:rPr>
        <w:t>Explanation quality is assessed on three criteria drawn from the literature reviewed in Chapter 2.</w:t>
      </w:r>
    </w:p>
    <w:p w14:paraId="00000191">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00"/>
        <w:jc w:val="both"/>
        <w:rPr>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Fidelity measures how well an explanation's claimed feature importances match what the model actually relies on. Following the general approach of Arreche, Guntur and Abdallah [15] and the deletion tradition of Samek et al. [37], it is measured here as a deletion-based fidelity gap: the drop in the model's predicted probability when the top-ranked features are masked, minus the drop when the same number of randomly chosen features are masked. A positive gap means the explanation has found features that matter more than chance.</w:t>
      </w:r>
    </w:p>
    <w:p w14:paraId="00000192">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00"/>
        <w:jc w:val="both"/>
        <w:rPr>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Stability measures how similar repeated explanations of the same instance are. Motivated by the instability reported by Kalakoti et al. [34] and Alvarez-Melis and Jaakkola [35], each instance is explained five times and the mean pairwise Jaccard similarity [47] of the top-ranked feature sets is recorded. A score of 1.0 means the method named exactly the same features every time.</w:t>
      </w:r>
    </w:p>
    <w:p w14:paraId="00000193">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00"/>
        <w:jc w:val="both"/>
        <w:rPr>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Cost is the mean wall-clock time needed to explain one instance, which determines whether a method is practical at alert volume.</w:t>
      </w:r>
    </w:p>
    <w:p w14:paraId="00000194">
      <w:pPr>
        <w:jc w:val="both"/>
      </w:pPr>
      <w:r>
        <w:rPr>
          <w:rtl w:val="0"/>
        </w:rPr>
        <w:t>It should be stressed that the fidelity gap is one reasonable way of operationalising fidelity rather than a field-wide standard. Other definitions exist, and Hooker et al. show that masking-based measures have their own biases [38]. The report therefore treats the fidelity figures as comparative evidence between methods on the same model, not as absolute truth.</w:t>
      </w:r>
    </w:p>
    <w:p w14:paraId="00000195">
      <w:pPr>
        <w:pStyle w:val="4"/>
        <w:rPr>
          <w:color w:val="000000"/>
        </w:rPr>
      </w:pPr>
      <w:r>
        <w:rPr>
          <w:color w:val="000000"/>
          <w:rtl w:val="0"/>
        </w:rPr>
        <w:t>3.8.3 Practitioner Evaluation</w:t>
      </w:r>
    </w:p>
    <w:p w14:paraId="00000196">
      <w:pPr>
        <w:jc w:val="both"/>
      </w:pPr>
      <w:r>
        <w:rPr>
          <w:rtl w:val="0"/>
        </w:rPr>
        <w:t>If the practitioner component remained in scope, a short questionnaire would ask cybersecurity practitioners to rate sample SHAP and LIME explanations for clarity and practical usefulness, providing the practitioner-oriented criterion missing from much of the literature [8]. Its outcome is reported in Section 6.7.</w:t>
      </w:r>
    </w:p>
    <w:p w14:paraId="00000197">
      <w:pPr>
        <w:pStyle w:val="3"/>
        <w:rPr>
          <w:color w:val="000000"/>
        </w:rPr>
      </w:pPr>
      <w:bookmarkStart w:id="37" w:name="_qqg8hxdrroik" w:colFirst="0" w:colLast="0"/>
      <w:bookmarkEnd w:id="37"/>
      <w:r>
        <w:rPr>
          <w:color w:val="000000"/>
          <w:rtl w:val="0"/>
        </w:rPr>
        <w:t>3.9 Validity and Reliability</w:t>
      </w:r>
    </w:p>
    <w:p w14:paraId="00000198">
      <w:pPr>
        <w:jc w:val="both"/>
      </w:pPr>
      <w:r>
        <w:rPr>
          <w:rtl w:val="0"/>
        </w:rPr>
        <w:t>Several steps were taken to make the results as trustworthy as the resources allowed. Internal validity, the confidence that differences in results are caused by the model and method rather than by something else, is protected by holding the data, split, seed and explained instances constant across all six conditions. Keeping the test set free of synthetic samples and unseen during tuning protects against the most common forms of leakage in security ML [24].</w:t>
      </w:r>
    </w:p>
    <w:p w14:paraId="00000199">
      <w:pPr>
        <w:jc w:val="both"/>
      </w:pPr>
      <w:r>
        <w:rPr>
          <w:rtl w:val="0"/>
        </w:rPr>
        <w:t>Reliability, the likelihood of getting the same result if the experiment is repeated, is supported in three ways. Random seeds are fixed throughout, so the same configuration always produces the same subsample, split and SMOTE output. The stability metric explicitly measures how repeatable each explanation method is. And the pipeline was re-installed and run on a second machine with a different operating system, as reported in Section 5.7, to confirm that preprocessing produces identical data.</w:t>
      </w:r>
    </w:p>
    <w:p w14:paraId="0000019A">
      <w:pPr>
        <w:jc w:val="both"/>
      </w:pPr>
      <w:r>
        <w:rPr>
          <w:rtl w:val="0"/>
        </w:rPr>
        <w:t>External validity, the extent to which the findings generalise, is the weakest of the three. The results come from one dataset, framed as a binary problem, on subsamples of the data, and CICIDS2017 is known to differ from live traffic in important ways [22], [23]. The conclusions are therefore stated as findings about this benchmark and these models, with the limits discussed in Chapter 7.</w:t>
      </w:r>
    </w:p>
    <w:p w14:paraId="0000019B">
      <w:pPr>
        <w:pStyle w:val="3"/>
        <w:rPr>
          <w:color w:val="000000"/>
        </w:rPr>
      </w:pPr>
      <w:bookmarkStart w:id="38" w:name="_63us5z12bugx" w:colFirst="0" w:colLast="0"/>
      <w:bookmarkEnd w:id="38"/>
      <w:r>
        <w:rPr>
          <w:color w:val="000000"/>
          <w:rtl w:val="0"/>
        </w:rPr>
        <w:t>3.10 Ethical Considerations</w:t>
      </w:r>
    </w:p>
    <w:p w14:paraId="0000019C">
      <w:pPr>
        <w:jc w:val="both"/>
      </w:pPr>
      <w:r>
        <w:rPr>
          <w:rtl w:val="0"/>
        </w:rPr>
        <w:t>CICIDS2017 is open-access and contains no personal data, so its use raises no data protection or consent issues. The only part of the project involving personal data is the optional practitioner survey. That would require informed consent, secure storage of participants' contact details and anonymisation of responses before analysis, in line with the University's Code of Practice for Research Ethics and Integrity and the project's Ethics Form. As the survey was not carried out, no personal data was collected at any stage.</w:t>
      </w:r>
    </w:p>
    <w:p w14:paraId="0000019D">
      <w:pPr>
        <w:jc w:val="both"/>
      </w:pPr>
      <w:r>
        <w:rPr>
          <w:rtl w:val="0"/>
        </w:rPr>
        <w:t>A wider ethical point deserves mention. Detailed explanations of how an intrusion detector reaches its decisions are dual-use: they help defenders, but they could also help attackers learn which features to manipulate [11], [36]. The explanations produced in this project are intended for internal analyst use, and no attack tooling was developed. All experiments were run on a public dataset on the researcher's own machines, with no live network traffic involved.</w:t>
      </w:r>
    </w:p>
    <w:p w14:paraId="0000019E">
      <w:pPr>
        <w:pStyle w:val="3"/>
        <w:rPr>
          <w:color w:val="000000"/>
        </w:rPr>
      </w:pPr>
      <w:bookmarkStart w:id="39" w:name="_a2f2nbl9vrr4" w:colFirst="0" w:colLast="0"/>
      <w:bookmarkEnd w:id="39"/>
      <w:r>
        <w:rPr>
          <w:color w:val="000000"/>
          <w:rtl w:val="0"/>
        </w:rPr>
        <w:t>3.11 Chapter Summary</w:t>
      </w:r>
    </w:p>
    <w:p w14:paraId="0000019F">
      <w:pPr>
        <w:jc w:val="both"/>
      </w:pPr>
      <w:r>
        <w:rPr>
          <w:rtl w:val="0"/>
        </w:rPr>
        <w:t>This chapter has set out a positivist, deductive and experimental methodology for comparing SHAP and LIME across three classifiers on CICIDS2017. The dataset, preprocessing and test instances are held constant, while the model and explanation method vary. Detection is judged with five complementary metrics, and explanations are judged on fidelity, stability and cost. Chapter 4 turns this methodology into a concrete system design.</w:t>
      </w:r>
      <w:r>
        <w:br w:type="page"/>
      </w:r>
    </w:p>
    <w:p w14:paraId="000001A0">
      <w:pPr>
        <w:pStyle w:val="2"/>
        <w:rPr>
          <w:color w:val="000000"/>
        </w:rPr>
      </w:pPr>
      <w:bookmarkStart w:id="40" w:name="_h17kfntontz6" w:colFirst="0" w:colLast="0"/>
      <w:bookmarkEnd w:id="40"/>
      <w:r>
        <w:rPr>
          <w:color w:val="000000"/>
          <w:rtl w:val="0"/>
        </w:rPr>
        <w:t>CHAPTER 4: DESIGN</w:t>
      </w:r>
    </w:p>
    <w:p w14:paraId="000001A1">
      <w:pPr>
        <w:pStyle w:val="3"/>
        <w:rPr>
          <w:color w:val="000000"/>
        </w:rPr>
      </w:pPr>
      <w:bookmarkStart w:id="41" w:name="_12n8vx4mv9dy" w:colFirst="0" w:colLast="0"/>
      <w:bookmarkEnd w:id="41"/>
      <w:r>
        <w:rPr>
          <w:color w:val="000000"/>
          <w:rtl w:val="0"/>
        </w:rPr>
        <w:t>4.1 Introduction</w:t>
      </w:r>
    </w:p>
    <w:p w14:paraId="000001A2">
      <w:pPr>
        <w:jc w:val="both"/>
      </w:pPr>
      <w:r>
        <w:rPr>
          <w:rtl w:val="0"/>
        </w:rPr>
        <w:t>This chapter moves from the methodology of Chapter 3 to the design of the system that implements it. It describes the overall architecture of the detection and explanation pipeline, the design of the preprocessing stage, the three classifiers, the explainability module and the evaluation stage, and the tools chosen to build them. Where a design decision involved a trade-off, the reasoning is given so that it can be revisited in the light of the results.</w:t>
      </w:r>
    </w:p>
    <w:p w14:paraId="000001A3">
      <w:pPr>
        <w:pStyle w:val="3"/>
        <w:rPr>
          <w:color w:val="000000"/>
        </w:rPr>
      </w:pPr>
      <w:bookmarkStart w:id="42" w:name="_xnp5z3pdy6z4" w:colFirst="0" w:colLast="0"/>
      <w:bookmarkEnd w:id="42"/>
      <w:r>
        <w:rPr>
          <w:color w:val="000000"/>
          <w:rtl w:val="0"/>
        </w:rPr>
        <w:t>4.2 Design Requirements</w:t>
      </w:r>
    </w:p>
    <w:p w14:paraId="000001A4">
      <w:pPr>
        <w:jc w:val="both"/>
      </w:pPr>
      <w:r>
        <w:rPr>
          <w:rtl w:val="0"/>
        </w:rPr>
        <w:t>Before the architecture was drawn up, the methodology was translated into a short list of requirements that the design had to satisfy. They are shown in Table 4.1 and are referred to throughout the rest of the chapter.</w:t>
      </w:r>
    </w:p>
    <w:p w14:paraId="000001A5">
      <w:pPr>
        <w:keepNext/>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00" w:after="8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43" w:name="_mjxf23fwtuik" w:colFirst="0" w:colLast="0"/>
      <w:bookmarkEnd w:id="43"/>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Table 4.1: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Design requirements derived from the methodology</w:t>
      </w:r>
    </w:p>
    <w:tbl>
      <w:tblPr>
        <w:tblStyle w:val="17"/>
        <w:tblW w:w="8504" w:type="dxa"/>
        <w:tblInd w:w="-90" w:type="dxa"/>
        <w:tblLayout w:type="fixed"/>
        <w:tblCellMar>
          <w:top w:w="50" w:type="dxa"/>
          <w:left w:w="90" w:type="dxa"/>
          <w:bottom w:w="50" w:type="dxa"/>
          <w:right w:w="90" w:type="dxa"/>
        </w:tblCellMar>
      </w:tblPr>
      <w:tblGrid>
        <w:gridCol w:w="1058"/>
        <w:gridCol w:w="4233"/>
        <w:gridCol w:w="3213"/>
      </w:tblGrid>
      <w:tr w14:paraId="29E74C5E">
        <w:tblPrEx>
          <w:tblCellMar>
            <w:top w:w="50" w:type="dxa"/>
            <w:left w:w="90" w:type="dxa"/>
            <w:bottom w:w="50" w:type="dxa"/>
            <w:right w:w="90" w:type="dxa"/>
          </w:tblCellMar>
        </w:tblPrEx>
        <w:trPr>
          <w:cantSplit/>
          <w:tblHeader/>
        </w:trPr>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1A6">
            <w:pPr>
              <w:keepNext/>
              <w:spacing w:before="0" w:after="0" w:line="240" w:lineRule="auto"/>
              <w:jc w:val="left"/>
            </w:pPr>
            <w:r>
              <w:rPr>
                <w:b/>
                <w:bCs/>
                <w:sz w:val="20"/>
                <w:szCs w:val="20"/>
                <w:rtl w:val="0"/>
              </w:rPr>
              <w:t>ID</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1A7">
            <w:pPr>
              <w:keepNext/>
              <w:spacing w:before="0" w:after="0" w:line="240" w:lineRule="auto"/>
              <w:jc w:val="left"/>
            </w:pPr>
            <w:r>
              <w:rPr>
                <w:b/>
                <w:bCs/>
                <w:sz w:val="20"/>
                <w:szCs w:val="20"/>
                <w:rtl w:val="0"/>
              </w:rPr>
              <w:t>Requirement</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1A8">
            <w:pPr>
              <w:keepNext/>
              <w:spacing w:before="0" w:after="0" w:line="240" w:lineRule="auto"/>
              <w:jc w:val="left"/>
            </w:pPr>
            <w:r>
              <w:rPr>
                <w:b/>
                <w:bCs/>
                <w:sz w:val="20"/>
                <w:szCs w:val="20"/>
                <w:rtl w:val="0"/>
              </w:rPr>
              <w:t>Reason</w:t>
            </w:r>
          </w:p>
        </w:tc>
      </w:tr>
      <w:tr w14:paraId="493246B8">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1A9">
            <w:pPr>
              <w:keepNext/>
              <w:spacing w:before="0" w:after="0" w:line="240" w:lineRule="auto"/>
              <w:jc w:val="left"/>
            </w:pPr>
            <w:r>
              <w:rPr>
                <w:sz w:val="20"/>
                <w:szCs w:val="20"/>
                <w:rtl w:val="0"/>
              </w:rPr>
              <w:t>R1</w:t>
            </w:r>
          </w:p>
        </w:tc>
        <w:tc>
          <w:tcPr>
            <w:tcBorders>
              <w:top w:val="single" w:color="9AA5B1" w:sz="4" w:space="0"/>
              <w:left w:val="single" w:color="9AA5B1" w:sz="4" w:space="0"/>
              <w:bottom w:val="single" w:color="9AA5B1" w:sz="4" w:space="0"/>
              <w:right w:val="single" w:color="9AA5B1" w:sz="4" w:space="0"/>
            </w:tcBorders>
            <w:vAlign w:val="center"/>
          </w:tcPr>
          <w:p w14:paraId="000001AA">
            <w:pPr>
              <w:keepNext/>
              <w:spacing w:before="0" w:after="0" w:line="240" w:lineRule="auto"/>
              <w:jc w:val="left"/>
            </w:pPr>
            <w:r>
              <w:rPr>
                <w:sz w:val="20"/>
                <w:szCs w:val="20"/>
                <w:rtl w:val="0"/>
              </w:rPr>
              <w:t>Every model must be trained and tested on identical preprocessed data and an identical split</w:t>
            </w:r>
          </w:p>
        </w:tc>
        <w:tc>
          <w:tcPr>
            <w:tcBorders>
              <w:top w:val="single" w:color="9AA5B1" w:sz="4" w:space="0"/>
              <w:left w:val="single" w:color="9AA5B1" w:sz="4" w:space="0"/>
              <w:bottom w:val="single" w:color="9AA5B1" w:sz="4" w:space="0"/>
              <w:right w:val="single" w:color="9AA5B1" w:sz="4" w:space="0"/>
            </w:tcBorders>
            <w:vAlign w:val="center"/>
          </w:tcPr>
          <w:p w14:paraId="000001AB">
            <w:pPr>
              <w:keepNext/>
              <w:spacing w:before="0" w:after="0" w:line="240" w:lineRule="auto"/>
              <w:jc w:val="left"/>
            </w:pPr>
            <w:r>
              <w:rPr>
                <w:sz w:val="20"/>
                <w:szCs w:val="20"/>
                <w:rtl w:val="0"/>
              </w:rPr>
              <w:t>Isolates the effect of model and method (Section 3.3)</w:t>
            </w:r>
          </w:p>
        </w:tc>
      </w:tr>
      <w:tr w14:paraId="08610D97">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AC">
            <w:pPr>
              <w:keepNext/>
              <w:spacing w:before="0" w:after="0" w:line="240" w:lineRule="auto"/>
              <w:jc w:val="left"/>
            </w:pPr>
            <w:r>
              <w:rPr>
                <w:sz w:val="20"/>
                <w:szCs w:val="20"/>
                <w:rtl w:val="0"/>
              </w:rPr>
              <w:t>R2</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AD">
            <w:pPr>
              <w:keepNext/>
              <w:spacing w:before="0" w:after="0" w:line="240" w:lineRule="auto"/>
              <w:jc w:val="left"/>
            </w:pPr>
            <w:r>
              <w:rPr>
                <w:sz w:val="20"/>
                <w:szCs w:val="20"/>
                <w:rtl w:val="0"/>
              </w:rPr>
              <w:t>No synthetic or test-set information may leak into training or evaluation</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AE">
            <w:pPr>
              <w:keepNext/>
              <w:spacing w:before="0" w:after="0" w:line="240" w:lineRule="auto"/>
              <w:jc w:val="left"/>
            </w:pPr>
            <w:r>
              <w:rPr>
                <w:sz w:val="20"/>
                <w:szCs w:val="20"/>
                <w:rtl w:val="0"/>
              </w:rPr>
              <w:t>Keeps reported performance honest [24]</w:t>
            </w:r>
          </w:p>
        </w:tc>
      </w:tr>
      <w:tr w14:paraId="23C47E83">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1AF">
            <w:pPr>
              <w:keepNext/>
              <w:spacing w:before="0" w:after="0" w:line="240" w:lineRule="auto"/>
              <w:jc w:val="left"/>
            </w:pPr>
            <w:r>
              <w:rPr>
                <w:sz w:val="20"/>
                <w:szCs w:val="20"/>
                <w:rtl w:val="0"/>
              </w:rPr>
              <w:t>R3</w:t>
            </w:r>
          </w:p>
        </w:tc>
        <w:tc>
          <w:tcPr>
            <w:tcBorders>
              <w:top w:val="single" w:color="9AA5B1" w:sz="4" w:space="0"/>
              <w:left w:val="single" w:color="9AA5B1" w:sz="4" w:space="0"/>
              <w:bottom w:val="single" w:color="9AA5B1" w:sz="4" w:space="0"/>
              <w:right w:val="single" w:color="9AA5B1" w:sz="4" w:space="0"/>
            </w:tcBorders>
            <w:vAlign w:val="center"/>
          </w:tcPr>
          <w:p w14:paraId="000001B0">
            <w:pPr>
              <w:keepNext/>
              <w:spacing w:before="0" w:after="0" w:line="240" w:lineRule="auto"/>
              <w:jc w:val="left"/>
            </w:pPr>
            <w:r>
              <w:rPr>
                <w:sz w:val="20"/>
                <w:szCs w:val="20"/>
                <w:rtl w:val="0"/>
              </w:rPr>
              <w:t>Each model must be explainable by both SHAP and LIME through the same interface</w:t>
            </w:r>
          </w:p>
        </w:tc>
        <w:tc>
          <w:tcPr>
            <w:tcBorders>
              <w:top w:val="single" w:color="9AA5B1" w:sz="4" w:space="0"/>
              <w:left w:val="single" w:color="9AA5B1" w:sz="4" w:space="0"/>
              <w:bottom w:val="single" w:color="9AA5B1" w:sz="4" w:space="0"/>
              <w:right w:val="single" w:color="9AA5B1" w:sz="4" w:space="0"/>
            </w:tcBorders>
            <w:vAlign w:val="center"/>
          </w:tcPr>
          <w:p w14:paraId="000001B1">
            <w:pPr>
              <w:keepNext/>
              <w:spacing w:before="0" w:after="0" w:line="240" w:lineRule="auto"/>
              <w:jc w:val="left"/>
            </w:pPr>
            <w:r>
              <w:rPr>
                <w:sz w:val="20"/>
                <w:szCs w:val="20"/>
                <w:rtl w:val="0"/>
              </w:rPr>
              <w:t>Allows instance-by-instance comparison</w:t>
            </w:r>
          </w:p>
        </w:tc>
      </w:tr>
      <w:tr w14:paraId="7B033B08">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B2">
            <w:pPr>
              <w:keepNext/>
              <w:spacing w:before="0" w:after="0" w:line="240" w:lineRule="auto"/>
              <w:jc w:val="left"/>
            </w:pPr>
            <w:r>
              <w:rPr>
                <w:sz w:val="20"/>
                <w:szCs w:val="20"/>
                <w:rtl w:val="0"/>
              </w:rPr>
              <w:t>R4</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B3">
            <w:pPr>
              <w:keepNext/>
              <w:spacing w:before="0" w:after="0" w:line="240" w:lineRule="auto"/>
              <w:jc w:val="left"/>
            </w:pPr>
            <w:r>
              <w:rPr>
                <w:sz w:val="20"/>
                <w:szCs w:val="20"/>
                <w:rtl w:val="0"/>
              </w:rPr>
              <w:t>The same test instances must be explained for all six model–method pairs</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B4">
            <w:pPr>
              <w:keepNext/>
              <w:spacing w:before="0" w:after="0" w:line="240" w:lineRule="auto"/>
              <w:jc w:val="left"/>
            </w:pPr>
            <w:r>
              <w:rPr>
                <w:sz w:val="20"/>
                <w:szCs w:val="20"/>
                <w:rtl w:val="0"/>
              </w:rPr>
              <w:t>Makes fidelity and stability directly comparable</w:t>
            </w:r>
          </w:p>
        </w:tc>
      </w:tr>
      <w:tr w14:paraId="2D84BCCE">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1B5">
            <w:pPr>
              <w:keepNext/>
              <w:spacing w:before="0" w:after="0" w:line="240" w:lineRule="auto"/>
              <w:jc w:val="left"/>
            </w:pPr>
            <w:r>
              <w:rPr>
                <w:sz w:val="20"/>
                <w:szCs w:val="20"/>
                <w:rtl w:val="0"/>
              </w:rPr>
              <w:t>R5</w:t>
            </w:r>
          </w:p>
        </w:tc>
        <w:tc>
          <w:tcPr>
            <w:tcBorders>
              <w:top w:val="single" w:color="9AA5B1" w:sz="4" w:space="0"/>
              <w:left w:val="single" w:color="9AA5B1" w:sz="4" w:space="0"/>
              <w:bottom w:val="single" w:color="9AA5B1" w:sz="4" w:space="0"/>
              <w:right w:val="single" w:color="9AA5B1" w:sz="4" w:space="0"/>
            </w:tcBorders>
            <w:vAlign w:val="center"/>
          </w:tcPr>
          <w:p w14:paraId="000001B6">
            <w:pPr>
              <w:keepNext/>
              <w:spacing w:before="0" w:after="0" w:line="240" w:lineRule="auto"/>
              <w:jc w:val="left"/>
            </w:pPr>
            <w:r>
              <w:rPr>
                <w:sz w:val="20"/>
                <w:szCs w:val="20"/>
                <w:rtl w:val="0"/>
              </w:rPr>
              <w:t>Detection and explanation metrics must be written to machine-readable files</w:t>
            </w:r>
          </w:p>
        </w:tc>
        <w:tc>
          <w:tcPr>
            <w:tcBorders>
              <w:top w:val="single" w:color="9AA5B1" w:sz="4" w:space="0"/>
              <w:left w:val="single" w:color="9AA5B1" w:sz="4" w:space="0"/>
              <w:bottom w:val="single" w:color="9AA5B1" w:sz="4" w:space="0"/>
              <w:right w:val="single" w:color="9AA5B1" w:sz="4" w:space="0"/>
            </w:tcBorders>
            <w:vAlign w:val="center"/>
          </w:tcPr>
          <w:p w14:paraId="000001B7">
            <w:pPr>
              <w:keepNext/>
              <w:spacing w:before="0" w:after="0" w:line="240" w:lineRule="auto"/>
              <w:jc w:val="left"/>
            </w:pPr>
            <w:r>
              <w:rPr>
                <w:sz w:val="20"/>
                <w:szCs w:val="20"/>
                <w:rtl w:val="0"/>
              </w:rPr>
              <w:t>Supports analysis and reproducibility</w:t>
            </w:r>
          </w:p>
        </w:tc>
      </w:tr>
      <w:tr w14:paraId="453798A0">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B8">
            <w:pPr>
              <w:keepNext/>
              <w:spacing w:before="0" w:after="0" w:line="240" w:lineRule="auto"/>
              <w:jc w:val="left"/>
            </w:pPr>
            <w:r>
              <w:rPr>
                <w:sz w:val="20"/>
                <w:szCs w:val="20"/>
                <w:rtl w:val="0"/>
              </w:rPr>
              <w:t>R6</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B9">
            <w:pPr>
              <w:keepNext/>
              <w:spacing w:before="0" w:after="0" w:line="240" w:lineRule="auto"/>
              <w:jc w:val="left"/>
            </w:pPr>
            <w:r>
              <w:rPr>
                <w:sz w:val="20"/>
                <w:szCs w:val="20"/>
                <w:rtl w:val="0"/>
              </w:rPr>
              <w:t>The pipeline must run on a CPU-only laptop and support subsampling</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BA">
            <w:pPr>
              <w:keepNext/>
              <w:spacing w:before="0" w:after="0" w:line="240" w:lineRule="auto"/>
              <w:jc w:val="left"/>
            </w:pPr>
            <w:r>
              <w:rPr>
                <w:sz w:val="20"/>
                <w:szCs w:val="20"/>
                <w:rtl w:val="0"/>
              </w:rPr>
              <w:t>Matches the available hardware</w:t>
            </w:r>
          </w:p>
        </w:tc>
      </w:tr>
      <w:tr w14:paraId="6F608AA4">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1BB">
            <w:pPr>
              <w:keepNext w:val="0"/>
              <w:spacing w:before="0" w:after="0" w:line="240" w:lineRule="auto"/>
              <w:jc w:val="left"/>
            </w:pPr>
            <w:r>
              <w:rPr>
                <w:sz w:val="20"/>
                <w:szCs w:val="20"/>
                <w:rtl w:val="0"/>
              </w:rPr>
              <w:t>R7</w:t>
            </w:r>
          </w:p>
        </w:tc>
        <w:tc>
          <w:tcPr>
            <w:tcBorders>
              <w:top w:val="single" w:color="9AA5B1" w:sz="4" w:space="0"/>
              <w:left w:val="single" w:color="9AA5B1" w:sz="4" w:space="0"/>
              <w:bottom w:val="single" w:color="9AA5B1" w:sz="4" w:space="0"/>
              <w:right w:val="single" w:color="9AA5B1" w:sz="4" w:space="0"/>
            </w:tcBorders>
            <w:vAlign w:val="center"/>
          </w:tcPr>
          <w:p w14:paraId="000001BC">
            <w:pPr>
              <w:keepNext w:val="0"/>
              <w:spacing w:before="0" w:after="0" w:line="240" w:lineRule="auto"/>
              <w:jc w:val="left"/>
            </w:pPr>
            <w:r>
              <w:rPr>
                <w:sz w:val="20"/>
                <w:szCs w:val="20"/>
                <w:rtl w:val="0"/>
              </w:rPr>
              <w:t>Stages must be runnable separately (e.g. skipping explainability)</w:t>
            </w:r>
          </w:p>
        </w:tc>
        <w:tc>
          <w:tcPr>
            <w:tcBorders>
              <w:top w:val="single" w:color="9AA5B1" w:sz="4" w:space="0"/>
              <w:left w:val="single" w:color="9AA5B1" w:sz="4" w:space="0"/>
              <w:bottom w:val="single" w:color="9AA5B1" w:sz="4" w:space="0"/>
              <w:right w:val="single" w:color="9AA5B1" w:sz="4" w:space="0"/>
            </w:tcBorders>
            <w:vAlign w:val="center"/>
          </w:tcPr>
          <w:p w14:paraId="000001BD">
            <w:pPr>
              <w:keepNext w:val="0"/>
              <w:spacing w:before="0" w:after="0" w:line="240" w:lineRule="auto"/>
              <w:jc w:val="left"/>
            </w:pPr>
            <w:r>
              <w:rPr>
                <w:sz w:val="20"/>
                <w:szCs w:val="20"/>
                <w:rtl w:val="0"/>
              </w:rPr>
              <w:t>Enables fast smoke tests and staged runs</w:t>
            </w:r>
          </w:p>
        </w:tc>
      </w:tr>
    </w:tbl>
    <w:p w14:paraId="000001BE">
      <w:pPr>
        <w:spacing w:before="0" w:after="120"/>
      </w:pPr>
    </w:p>
    <w:p w14:paraId="000001BF">
      <w:pPr>
        <w:pStyle w:val="3"/>
        <w:rPr>
          <w:color w:val="000000"/>
        </w:rPr>
      </w:pPr>
      <w:bookmarkStart w:id="44" w:name="_7pjjyst8fluw" w:colFirst="0" w:colLast="0"/>
      <w:bookmarkEnd w:id="44"/>
      <w:r>
        <w:rPr>
          <w:color w:val="000000"/>
          <w:rtl w:val="0"/>
        </w:rPr>
        <w:t>4.3 System Architecture Overview</w:t>
      </w:r>
    </w:p>
    <w:p w14:paraId="000001C0">
      <w:pPr>
        <w:jc w:val="both"/>
      </w:pPr>
      <w:r>
        <w:rPr>
          <w:rtl w:val="0"/>
        </w:rPr>
        <w:t>The pipeline is organised as five stages, shown in Figure 4.1:</w:t>
      </w:r>
    </w:p>
    <w:p w14:paraId="000001C1">
      <w:pPr>
        <w:keepNext w:val="0"/>
        <w:keepLines w:val="0"/>
        <w:pageBreakBefore w:val="0"/>
        <w:widowControl/>
        <w:numPr>
          <w:ilvl w:val="0"/>
          <w:numId w:val="3"/>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60"/>
        <w:jc w:val="both"/>
        <w:rPr>
          <w:rFonts w:ascii="Times New Roman" w:hAnsi="Times New Roman" w:eastAsia="Times New Roman" w:cs="Times New Roman"/>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Ingestion, in which the raw CICIDS2017 CSV files are loaded and concatenated.</w:t>
      </w:r>
    </w:p>
    <w:p w14:paraId="000001C2">
      <w:pPr>
        <w:keepNext w:val="0"/>
        <w:keepLines w:val="0"/>
        <w:pageBreakBefore w:val="0"/>
        <w:widowControl/>
        <w:numPr>
          <w:ilvl w:val="0"/>
          <w:numId w:val="3"/>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60"/>
        <w:jc w:val="both"/>
        <w:rPr>
          <w:rFonts w:ascii="Times New Roman" w:hAnsi="Times New Roman" w:eastAsia="Times New Roman" w:cs="Times New Roman"/>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Preprocessing, in which the data are cleaned, encoded, scaled, split and rebalanced.</w:t>
      </w:r>
    </w:p>
    <w:p w14:paraId="000001C3">
      <w:pPr>
        <w:keepNext w:val="0"/>
        <w:keepLines w:val="0"/>
        <w:pageBreakBefore w:val="0"/>
        <w:widowControl/>
        <w:numPr>
          <w:ilvl w:val="0"/>
          <w:numId w:val="3"/>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60"/>
        <w:jc w:val="both"/>
        <w:rPr>
          <w:rFonts w:ascii="Times New Roman" w:hAnsi="Times New Roman" w:eastAsia="Times New Roman" w:cs="Times New Roman"/>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Model training, in which the three classifiers are trained and tuned on the same training split.</w:t>
      </w:r>
    </w:p>
    <w:p w14:paraId="000001C4">
      <w:pPr>
        <w:keepNext w:val="0"/>
        <w:keepLines w:val="0"/>
        <w:pageBreakBefore w:val="0"/>
        <w:widowControl/>
        <w:numPr>
          <w:ilvl w:val="0"/>
          <w:numId w:val="3"/>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60"/>
        <w:jc w:val="both"/>
        <w:rPr>
          <w:rFonts w:ascii="Times New Roman" w:hAnsi="Times New Roman" w:eastAsia="Times New Roman" w:cs="Times New Roman"/>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Explanation, in which SHAP and LIME are run for each trained model on the same test instances.</w:t>
      </w:r>
    </w:p>
    <w:p w14:paraId="000001C5">
      <w:pPr>
        <w:keepNext w:val="0"/>
        <w:keepLines w:val="0"/>
        <w:pageBreakBefore w:val="0"/>
        <w:widowControl/>
        <w:numPr>
          <w:ilvl w:val="0"/>
          <w:numId w:val="3"/>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60"/>
        <w:jc w:val="both"/>
        <w:rPr>
          <w:rFonts w:ascii="Times New Roman" w:hAnsi="Times New Roman" w:eastAsia="Times New Roman" w:cs="Times New Roman"/>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Evaluation, in which detection and explanation metrics are calculated for all six model–method combinations.</w:t>
      </w:r>
    </w:p>
    <w:p w14:paraId="000001C6">
      <w:pPr>
        <w:keepNext/>
        <w:spacing w:before="160" w:after="60" w:line="240" w:lineRule="auto"/>
        <w:jc w:val="center"/>
      </w:pPr>
      <w:r>
        <w:drawing>
          <wp:inline distT="0" distB="0" distL="0" distR="0">
            <wp:extent cx="5353050" cy="3038475"/>
            <wp:effectExtent l="0" t="0" r="0" b="0"/>
            <wp:docPr id="4" name="image6.png" descr="Figure 4.1&#10;Five-stage architecture of the explainable NIDS pipeline, showing the fan-out to six model–method pairs and fan-in to a common evaluation"/>
            <wp:cNvGraphicFramePr/>
            <a:graphic xmlns:a="http://schemas.openxmlformats.org/drawingml/2006/main">
              <a:graphicData uri="http://schemas.openxmlformats.org/drawingml/2006/picture">
                <pic:pic xmlns:pic="http://schemas.openxmlformats.org/drawingml/2006/picture">
                  <pic:nvPicPr>
                    <pic:cNvPr id="4" name="image6.png" descr="Figure 4.1&#10;Five-stage architecture of the explainable NIDS pipeline, showing the fan-out to six model–method pairs and fan-in to a common evaluation"/>
                    <pic:cNvPicPr preferRelativeResize="0"/>
                  </pic:nvPicPr>
                  <pic:blipFill>
                    <a:blip r:embed="rId14"/>
                    <a:srcRect/>
                    <a:stretch>
                      <a:fillRect/>
                    </a:stretch>
                  </pic:blipFill>
                  <pic:spPr>
                    <a:xfrm>
                      <a:off x="0" y="0"/>
                      <a:ext cx="5353050" cy="3038475"/>
                    </a:xfrm>
                    <a:prstGeom prst="rect">
                      <a:avLst/>
                    </a:prstGeom>
                  </pic:spPr>
                </pic:pic>
              </a:graphicData>
            </a:graphic>
          </wp:inline>
        </w:drawing>
      </w:r>
    </w:p>
    <w:p w14:paraId="000001C7">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60" w:after="24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45" w:name="_2mg71nby0kp5" w:colFirst="0" w:colLast="0"/>
      <w:bookmarkEnd w:id="45"/>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Figure 4.1: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Five-stage architecture of the explainable NIDS pipeline, showing the fan-out to six model–method pairs and fan-in to a common evaluation</w:t>
      </w:r>
    </w:p>
    <w:p w14:paraId="000001C8">
      <w:pPr>
        <w:jc w:val="both"/>
      </w:pPr>
      <w:r>
        <w:rPr>
          <w:rtl w:val="0"/>
        </w:rPr>
        <w:t>Conceptually, stages 1 and 2 form a single trunk shared by all three models, so Random Forest, XGBoost and the LSTM are trained on precisely the same processed data and split (R1). Stage 3 branches into three separate training processes. Stage 4 branches again, because each model has both a SHAP and a LIME explainer applied to it, giving six outputs. These six model–method pairs then converge at stage 5 for a single, common comparison.</w:t>
      </w:r>
    </w:p>
    <w:p w14:paraId="000001C9">
      <w:pPr>
        <w:jc w:val="both"/>
      </w:pPr>
      <w:r>
        <w:rPr>
          <w:rtl w:val="0"/>
        </w:rPr>
        <w:t>This fan-out and fan-in structure is what distinguishes the design from the single-model, single-method case studies reviewed in Chapter 2 [14], [39]. Because every branch shares the same upstream processing and the same downstream evaluation, any difference in the final results at stage 5 can be attributed to the choice of model and explanation method, not to inconsistencies earlier in the pipeline. The code mirrors the architecture: each stage lives in its own module (Appendix B), and a single entry point orchestrates them.</w:t>
      </w:r>
    </w:p>
    <w:p w14:paraId="000001CA">
      <w:pPr>
        <w:pStyle w:val="3"/>
        <w:rPr>
          <w:color w:val="000000"/>
        </w:rPr>
      </w:pPr>
      <w:bookmarkStart w:id="46" w:name="_pynxnbkmud1q" w:colFirst="0" w:colLast="0"/>
      <w:bookmarkEnd w:id="46"/>
      <w:r>
        <w:rPr>
          <w:color w:val="000000"/>
          <w:rtl w:val="0"/>
        </w:rPr>
        <w:t>4.4 Data Preprocessing Design</w:t>
      </w:r>
    </w:p>
    <w:p w14:paraId="000001CB">
      <w:pPr>
        <w:jc w:val="both"/>
      </w:pPr>
      <w:r>
        <w:rPr>
          <w:rtl w:val="0"/>
        </w:rPr>
        <w:t>The preprocessing stage was designed as a fixed sequence of transformations, shown in Figure 4.2. Scaling statistics are learned from the training data and then reused on the test set, never the other way round. SMOTE was intended to be applied inside the cross-validation loop, so that synthetic samples would be created only from the training folds of each split and never appear in the fold used for validation. In the event, the implementation applied SMOTE to the whole training partition before the hyperparameter search; the consequences of this deviation are discussed in Section 5.4. Under both approaches the held-out test set, which is used to judge all models and explanations, contains only genuine traffic (R2).</w:t>
      </w:r>
    </w:p>
    <w:p w14:paraId="000001CC">
      <w:pPr>
        <w:keepNext/>
        <w:spacing w:before="160" w:after="60" w:line="240" w:lineRule="auto"/>
        <w:jc w:val="center"/>
      </w:pPr>
      <w:r>
        <w:drawing>
          <wp:inline distT="0" distB="0" distL="0" distR="0">
            <wp:extent cx="5353050" cy="1847850"/>
            <wp:effectExtent l="0" t="0" r="0" b="0"/>
            <wp:docPr id="7" name="image17.png" descr="Figure 4.2&#10;Preprocessing design, showing where the scaler and SMOTE are fitted to prevent leakage into the test set"/>
            <wp:cNvGraphicFramePr/>
            <a:graphic xmlns:a="http://schemas.openxmlformats.org/drawingml/2006/main">
              <a:graphicData uri="http://schemas.openxmlformats.org/drawingml/2006/picture">
                <pic:pic xmlns:pic="http://schemas.openxmlformats.org/drawingml/2006/picture">
                  <pic:nvPicPr>
                    <pic:cNvPr id="7" name="image17.png" descr="Figure 4.2&#10;Preprocessing design, showing where the scaler and SMOTE are fitted to prevent leakage into the test set"/>
                    <pic:cNvPicPr preferRelativeResize="0"/>
                  </pic:nvPicPr>
                  <pic:blipFill>
                    <a:blip r:embed="rId15"/>
                    <a:srcRect/>
                    <a:stretch>
                      <a:fillRect/>
                    </a:stretch>
                  </pic:blipFill>
                  <pic:spPr>
                    <a:xfrm>
                      <a:off x="0" y="0"/>
                      <a:ext cx="5353050" cy="1847850"/>
                    </a:xfrm>
                    <a:prstGeom prst="rect">
                      <a:avLst/>
                    </a:prstGeom>
                  </pic:spPr>
                </pic:pic>
              </a:graphicData>
            </a:graphic>
          </wp:inline>
        </w:drawing>
      </w:r>
    </w:p>
    <w:p w14:paraId="000001CD">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60" w:after="24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47" w:name="_j5js07ldk3ge" w:colFirst="0" w:colLast="0"/>
      <w:bookmarkEnd w:id="47"/>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Figure 4.2: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Preprocessing design, showing where the scaler and SMOTE are fitted to prevent leakage into the test set</w:t>
      </w:r>
    </w:p>
    <w:p w14:paraId="000001CE">
      <w:pPr>
        <w:jc w:val="both"/>
      </w:pPr>
      <w:r>
        <w:rPr>
          <w:rtl w:val="0"/>
        </w:rPr>
        <w:t>Subsampling was designed in from the start as an optional step (R6). The subsample is drawn with stratification on the label so that it keeps the class balance of the cleaned data. A fixed random seed is used for the subsample, the split and SMOTE, so that the same configuration always produces the same data.</w:t>
      </w:r>
    </w:p>
    <w:p w14:paraId="000001CF">
      <w:pPr>
        <w:pStyle w:val="3"/>
        <w:rPr>
          <w:color w:val="000000"/>
        </w:rPr>
      </w:pPr>
      <w:bookmarkStart w:id="48" w:name="_gl6men8os4k3" w:colFirst="0" w:colLast="0"/>
      <w:bookmarkEnd w:id="48"/>
      <w:r>
        <w:rPr>
          <w:color w:val="000000"/>
          <w:rtl w:val="0"/>
        </w:rPr>
        <w:t>4.5 Model Design</w:t>
      </w:r>
    </w:p>
    <w:p w14:paraId="000001D0">
      <w:pPr>
        <w:pStyle w:val="4"/>
        <w:rPr>
          <w:color w:val="000000"/>
        </w:rPr>
      </w:pPr>
      <w:r>
        <w:rPr>
          <w:color w:val="000000"/>
          <w:rtl w:val="0"/>
        </w:rPr>
        <w:t>4.5.1 Tree Ensembles</w:t>
      </w:r>
    </w:p>
    <w:p w14:paraId="000001D1">
      <w:pPr>
        <w:jc w:val="both"/>
      </w:pPr>
      <w:r>
        <w:rPr>
          <w:rtl w:val="0"/>
        </w:rPr>
        <w:t>Random Forest and XGBoost share a common tuning design: a randomised search over tree depth, number of estimators and, for XGBoost, learning rate and sampling ratios, using stratified five-fold cross-validation on the training partition and F1 as the selection criterion. Random Forest builds many decorrelated trees on bootstrap samples and averages their votes [43]; XGBoost builds trees sequentially, each one correcting the errors of the ensemble so far, with regularisation to control overfitting [44]. Both output a class label and a probability.</w:t>
      </w:r>
    </w:p>
    <w:p w14:paraId="000001D2">
      <w:pPr>
        <w:pStyle w:val="4"/>
        <w:rPr>
          <w:color w:val="000000"/>
        </w:rPr>
      </w:pPr>
      <w:r>
        <w:rPr>
          <w:color w:val="000000"/>
          <w:rtl w:val="0"/>
        </w:rPr>
        <w:t>4.5.2 LSTM</w:t>
      </w:r>
    </w:p>
    <w:p w14:paraId="000001D3">
      <w:pPr>
        <w:jc w:val="both"/>
      </w:pPr>
      <w:r>
        <w:rPr>
          <w:rtl w:val="0"/>
        </w:rPr>
        <w:t>The LSTM design is shown in Figure 4.3. Its input layer takes the flow-feature vector reshaped so that each of the 78 scaled features is presented as one timestep with a single value. One or more LSTM layers read this sequence, followed by dropout for regularisation [48] and a dense output layer with a sigmoid activation, since the task is framed as binary classification. The model is trained with the Adam optimiser [49] on binary cross-entropy loss.</w:t>
      </w:r>
    </w:p>
    <w:p w14:paraId="000001D4">
      <w:pPr>
        <w:keepNext/>
        <w:spacing w:before="160" w:after="60" w:line="240" w:lineRule="auto"/>
        <w:jc w:val="center"/>
      </w:pPr>
      <w:r>
        <w:drawing>
          <wp:inline distT="0" distB="0" distL="0" distR="0">
            <wp:extent cx="5353050" cy="1781175"/>
            <wp:effectExtent l="0" t="0" r="0" b="0"/>
            <wp:docPr id="6" name="image15.png" descr="Figure 4.3&#10;LSTM design, in which each scaled flow feature is treated as one timestep"/>
            <wp:cNvGraphicFramePr/>
            <a:graphic xmlns:a="http://schemas.openxmlformats.org/drawingml/2006/main">
              <a:graphicData uri="http://schemas.openxmlformats.org/drawingml/2006/picture">
                <pic:pic xmlns:pic="http://schemas.openxmlformats.org/drawingml/2006/picture">
                  <pic:nvPicPr>
                    <pic:cNvPr id="6" name="image15.png" descr="Figure 4.3&#10;LSTM design, in which each scaled flow feature is treated as one timestep"/>
                    <pic:cNvPicPr preferRelativeResize="0"/>
                  </pic:nvPicPr>
                  <pic:blipFill>
                    <a:blip r:embed="rId16"/>
                    <a:srcRect/>
                    <a:stretch>
                      <a:fillRect/>
                    </a:stretch>
                  </pic:blipFill>
                  <pic:spPr>
                    <a:xfrm>
                      <a:off x="0" y="0"/>
                      <a:ext cx="5353050" cy="1781175"/>
                    </a:xfrm>
                    <a:prstGeom prst="rect">
                      <a:avLst/>
                    </a:prstGeom>
                  </pic:spPr>
                </pic:pic>
              </a:graphicData>
            </a:graphic>
          </wp:inline>
        </w:drawing>
      </w:r>
    </w:p>
    <w:p w14:paraId="000001D5">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60" w:after="24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49" w:name="_gnohi7eoh0qh" w:colFirst="0" w:colLast="0"/>
      <w:bookmarkEnd w:id="49"/>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Figure 4.3: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LSTM design, in which each scaled flow feature is treated as one timestep</w:t>
      </w:r>
    </w:p>
    <w:p w14:paraId="000001D6">
      <w:pPr>
        <w:jc w:val="both"/>
      </w:pPr>
      <w:r>
        <w:rPr>
          <w:rtl w:val="0"/>
        </w:rPr>
        <w:t>This framing is a deliberate modelling choice and needs to be stated plainly. Flow features are summary statistics of a whole connection, and they do not have a natural temporal order in the way that the packets inside a flow do. Presenting them as a sequence lets a recurrent network process them, and it maximises the architectural contrast with the tree ensembles, which is what the comparison needs. It is not a claim that the LSTM is the ideal architecture for tabular flow data. A convolutional network, which also appears frequently in the CICIDS2017 literature [3], was considered as an alternative. The LSTM was preferred because it offers the sharpest contrast with trees and because it matches the model studied by Kalakoti et al. [34], which makes their findings a useful point of comparison. The choice is revisited in Chapter 7.</w:t>
      </w:r>
    </w:p>
    <w:p w14:paraId="000001D7">
      <w:pPr>
        <w:pStyle w:val="3"/>
        <w:rPr>
          <w:color w:val="000000"/>
        </w:rPr>
      </w:pPr>
      <w:bookmarkStart w:id="50" w:name="_8utquafxu5w0" w:colFirst="0" w:colLast="0"/>
      <w:bookmarkEnd w:id="50"/>
      <w:r>
        <w:rPr>
          <w:color w:val="000000"/>
          <w:rtl w:val="0"/>
        </w:rPr>
        <w:t>4.6 Explainability Module Design</w:t>
      </w:r>
    </w:p>
    <w:p w14:paraId="000001D8">
      <w:pPr>
        <w:jc w:val="both"/>
      </w:pPr>
      <w:r>
        <w:rPr>
          <w:rtl w:val="0"/>
        </w:rPr>
        <w:t>The explainability module wraps each trained model in a common interface (R3). Given an instance, or a batch of instances, it returns both a vector of SHAP values and a list of LIME feature weights, so the two methods can be compared instance by instance during evaluation. TreeExplainer is used for the two ensembles and GradientExplainer for the LSTM, while the LIME tabular explainer is used in the same way for all three models, because LIME treats each model as a black box [13], [27], [34].</w:t>
      </w:r>
    </w:p>
    <w:p w14:paraId="000001D9">
      <w:pPr>
        <w:jc w:val="both"/>
      </w:pPr>
      <w:r>
        <w:rPr>
          <w:rtl w:val="0"/>
        </w:rPr>
        <w:t>Two further design decisions keep the module efficient. The background (reference) data that SHAP needs is built once per model and cached, because building it is the main fixed cost of SHAP in this setting. And the LIME explainer is initialised once on the training data statistics and reused. The instances to explain are chosen once, with a fixed seed, and passed to every explainer (R4). The number of instances, N_EXPLAIN_INSTANCES, is a configuration value set to 50 by default.</w:t>
      </w:r>
    </w:p>
    <w:p w14:paraId="000001DA">
      <w:pPr>
        <w:pStyle w:val="3"/>
        <w:rPr>
          <w:color w:val="000000"/>
        </w:rPr>
      </w:pPr>
      <w:bookmarkStart w:id="51" w:name="_7agpwu6bnvtz" w:colFirst="0" w:colLast="0"/>
      <w:bookmarkEnd w:id="51"/>
      <w:r>
        <w:rPr>
          <w:color w:val="000000"/>
          <w:rtl w:val="0"/>
        </w:rPr>
        <w:t>4.7 Evaluation Design</w:t>
      </w:r>
    </w:p>
    <w:p w14:paraId="000001DB">
      <w:pPr>
        <w:jc w:val="both"/>
      </w:pPr>
      <w:r>
        <w:rPr>
          <w:rtl w:val="0"/>
        </w:rPr>
        <w:t>The evaluation stage computes, for every model, the detection metrics defined in Section 3.8.1 on the common test set. For every model–method pair it then computes the fidelity gap, the stability score and the mean explanation time on the same 50 instances. Figure 4.4 shows how the two explanation metrics are calculated.</w:t>
      </w:r>
    </w:p>
    <w:p w14:paraId="000001DC">
      <w:pPr>
        <w:keepNext/>
        <w:spacing w:before="160" w:after="60" w:line="240" w:lineRule="auto"/>
        <w:jc w:val="center"/>
      </w:pPr>
      <w:r>
        <w:drawing>
          <wp:inline distT="0" distB="0" distL="0" distR="0">
            <wp:extent cx="5353050" cy="2152650"/>
            <wp:effectExtent l="0" t="0" r="0" b="0"/>
            <wp:docPr id="9" name="image10.png" descr="Figure 4.4&#10;Procedure for the deletion-based fidelity gap and the Jaccard stability score"/>
            <wp:cNvGraphicFramePr/>
            <a:graphic xmlns:a="http://schemas.openxmlformats.org/drawingml/2006/main">
              <a:graphicData uri="http://schemas.openxmlformats.org/drawingml/2006/picture">
                <pic:pic xmlns:pic="http://schemas.openxmlformats.org/drawingml/2006/picture">
                  <pic:nvPicPr>
                    <pic:cNvPr id="9" name="image10.png" descr="Figure 4.4&#10;Procedure for the deletion-based fidelity gap and the Jaccard stability score"/>
                    <pic:cNvPicPr preferRelativeResize="0"/>
                  </pic:nvPicPr>
                  <pic:blipFill>
                    <a:blip r:embed="rId17"/>
                    <a:srcRect/>
                    <a:stretch>
                      <a:fillRect/>
                    </a:stretch>
                  </pic:blipFill>
                  <pic:spPr>
                    <a:xfrm>
                      <a:off x="0" y="0"/>
                      <a:ext cx="5353050" cy="2152650"/>
                    </a:xfrm>
                    <a:prstGeom prst="rect">
                      <a:avLst/>
                    </a:prstGeom>
                  </pic:spPr>
                </pic:pic>
              </a:graphicData>
            </a:graphic>
          </wp:inline>
        </w:drawing>
      </w:r>
    </w:p>
    <w:p w14:paraId="000001DD">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60" w:after="24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52" w:name="_elt968z0dxwz" w:colFirst="0" w:colLast="0"/>
      <w:bookmarkEnd w:id="52"/>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Figure 4.4: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Procedure for the deletion-based fidelity gap and the Jaccard stability score</w:t>
      </w:r>
    </w:p>
    <w:p w14:paraId="000001DE">
      <w:pPr>
        <w:jc w:val="both"/>
      </w:pPr>
      <w:r>
        <w:rPr>
          <w:rtl w:val="0"/>
        </w:rPr>
        <w:t>For fidelity, the features of an instance are ranked by the absolute value of their attribution, the top k are masked by replacing them with a neutral baseline value, and the drop in the model's probability for its original prediction is recorded. The same is done for k randomly chosen features, and the fidelity gap is the difference between the two drops, averaged over instances. For stability, each instance is explained five times and the mean pairwise Jaccard similarity between the five top-k feature sets is recorded. Pseudocode for both procedures is given in Appendix F. The results are written to two CSV files, one for detection metrics and one for explanation metrics (R5), which form the basis of Chapter 6.</w:t>
      </w:r>
    </w:p>
    <w:p w14:paraId="000001DF">
      <w:pPr>
        <w:jc w:val="both"/>
      </w:pPr>
      <w:r>
        <w:rPr>
          <w:rtl w:val="0"/>
        </w:rPr>
        <w:t>If the practitioner evaluation remained in scope, the design also included a short questionnaire in which anonymised SHAP and LIME outputs for the same alerts would be shown side by side to cybersecurity practitioners.</w:t>
      </w:r>
    </w:p>
    <w:p w14:paraId="000001E0">
      <w:pPr>
        <w:pStyle w:val="3"/>
        <w:rPr>
          <w:color w:val="000000"/>
        </w:rPr>
      </w:pPr>
      <w:bookmarkStart w:id="53" w:name="_hpixaqpvmklq" w:colFirst="0" w:colLast="0"/>
      <w:bookmarkEnd w:id="53"/>
      <w:r>
        <w:rPr>
          <w:color w:val="000000"/>
          <w:rtl w:val="0"/>
        </w:rPr>
        <w:t>4.8 Design Alternatives Considered</w:t>
      </w:r>
    </w:p>
    <w:p w14:paraId="000001E1">
      <w:pPr>
        <w:jc w:val="both"/>
      </w:pPr>
      <w:r>
        <w:rPr>
          <w:rtl w:val="0"/>
        </w:rPr>
        <w:t>Several alternatives were considered and set aside during design, and it is worth recording why, because each one represents a trade-off that a different project might resolve differently.</w:t>
      </w:r>
    </w:p>
    <w:p w14:paraId="000001E2">
      <w:pPr>
        <w:jc w:val="both"/>
      </w:pPr>
      <w:r>
        <w:rPr>
          <w:rtl w:val="0"/>
        </w:rPr>
        <w:t>The first concerned the classification task. CICIDS2017 labels each attack by type, so the models could have been trained to distinguish between fifteen classes rather than two. A multi-class design would produce richer explanations, since an analyst could see which features separate a port scan from a DDoS flood. It would also make every stage harder: several attack classes contain only a few dozen flows, which makes both SMOTE and the explanation metrics unreliable for them. A binary design was chosen so that the comparison of explanation methods would rest on a well-populated minority class, with multi-class detection left as future work.</w:t>
      </w:r>
    </w:p>
    <w:p w14:paraId="000001E3">
      <w:pPr>
        <w:jc w:val="both"/>
      </w:pPr>
      <w:r>
        <w:rPr>
          <w:rtl w:val="0"/>
        </w:rPr>
        <w:t>The second concerned the SHAP estimator for the LSTM. KernelExplainer would have allowed exactly the same SHAP algorithm to be applied to all three models, which is attractive for a fair comparison. Its cost, however, grows quickly with the number of features, and with 78 features and a recurrent model it would have made even 50 explanations impractically slow on a CPU. DeepExplainer was also considered but is less robust across TensorFlow versions for recurrent layers. GradientExplainer was chosen as the most practical option, accepting that it introduces sampling variation.</w:t>
      </w:r>
    </w:p>
    <w:p w14:paraId="000001E4">
      <w:pPr>
        <w:jc w:val="both"/>
      </w:pPr>
      <w:r>
        <w:rPr>
          <w:rtl w:val="0"/>
        </w:rPr>
        <w:t>The third concerned how many instances to explain. Explaining the entire test set would have given the most precise estimates of fidelity and stability, but the LSTM explanations alone would have taken several days of CPU time. Fifty instances, each explained five times, was judged to be the largest sample that could be processed for all six pairs within the project timeframe, and this value was exposed as a configuration setting so that it can be increased on better hardware.</w:t>
      </w:r>
    </w:p>
    <w:p w14:paraId="000001E5">
      <w:pPr>
        <w:pStyle w:val="3"/>
        <w:rPr>
          <w:color w:val="000000"/>
        </w:rPr>
      </w:pPr>
      <w:bookmarkStart w:id="54" w:name="_h3qvwa81kqlg" w:colFirst="0" w:colLast="0"/>
      <w:bookmarkEnd w:id="54"/>
      <w:r>
        <w:rPr>
          <w:color w:val="000000"/>
          <w:rtl w:val="0"/>
        </w:rPr>
        <w:t>4.9 Tools and Technologies</w:t>
      </w:r>
    </w:p>
    <w:p w14:paraId="000001E6">
      <w:pPr>
        <w:jc w:val="both"/>
      </w:pPr>
      <w:r>
        <w:rPr>
          <w:rtl w:val="0"/>
        </w:rPr>
        <w:t>The pipeline is implemented in Python, chosen for its mature machine learning ecosystem. Table 4.2 lists the main libraries and their roles.</w:t>
      </w:r>
    </w:p>
    <w:p w14:paraId="000001E7">
      <w:pPr>
        <w:keepNext/>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00" w:after="8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55" w:name="_e3iop6fqr2vw" w:colFirst="0" w:colLast="0"/>
      <w:bookmarkEnd w:id="55"/>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Table 4.2: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Tools and libraries used in the implementation</w:t>
      </w:r>
    </w:p>
    <w:tbl>
      <w:tblPr>
        <w:tblStyle w:val="18"/>
        <w:tblW w:w="8503" w:type="dxa"/>
        <w:tblInd w:w="-90" w:type="dxa"/>
        <w:tblLayout w:type="fixed"/>
        <w:tblCellMar>
          <w:top w:w="50" w:type="dxa"/>
          <w:left w:w="90" w:type="dxa"/>
          <w:bottom w:w="50" w:type="dxa"/>
          <w:right w:w="90" w:type="dxa"/>
        </w:tblCellMar>
      </w:tblPr>
      <w:tblGrid>
        <w:gridCol w:w="3469"/>
        <w:gridCol w:w="5034"/>
      </w:tblGrid>
      <w:tr w14:paraId="105AE0C2">
        <w:tblPrEx>
          <w:tblCellMar>
            <w:top w:w="50" w:type="dxa"/>
            <w:left w:w="90" w:type="dxa"/>
            <w:bottom w:w="50" w:type="dxa"/>
            <w:right w:w="90" w:type="dxa"/>
          </w:tblCellMar>
        </w:tblPrEx>
        <w:trPr>
          <w:cantSplit/>
          <w:tblHeader/>
        </w:trPr>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1E8">
            <w:pPr>
              <w:keepNext/>
              <w:spacing w:before="0" w:after="0" w:line="240" w:lineRule="auto"/>
              <w:jc w:val="left"/>
            </w:pPr>
            <w:r>
              <w:rPr>
                <w:b/>
                <w:bCs/>
                <w:sz w:val="20"/>
                <w:szCs w:val="20"/>
                <w:rtl w:val="0"/>
              </w:rPr>
              <w:t>Tool / library</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1E9">
            <w:pPr>
              <w:keepNext/>
              <w:spacing w:before="0" w:after="0" w:line="240" w:lineRule="auto"/>
              <w:jc w:val="left"/>
            </w:pPr>
            <w:r>
              <w:rPr>
                <w:b/>
                <w:bCs/>
                <w:sz w:val="20"/>
                <w:szCs w:val="20"/>
                <w:rtl w:val="0"/>
              </w:rPr>
              <w:t>Role in the pipeline</w:t>
            </w:r>
          </w:p>
        </w:tc>
      </w:tr>
      <w:tr w14:paraId="6547E8A1">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1EA">
            <w:pPr>
              <w:keepNext/>
              <w:spacing w:before="0" w:after="0" w:line="240" w:lineRule="auto"/>
              <w:jc w:val="left"/>
            </w:pPr>
            <w:r>
              <w:rPr>
                <w:sz w:val="20"/>
                <w:szCs w:val="20"/>
                <w:rtl w:val="0"/>
              </w:rPr>
              <w:t>Python 3.12</w:t>
            </w:r>
          </w:p>
        </w:tc>
        <w:tc>
          <w:tcPr>
            <w:tcBorders>
              <w:top w:val="single" w:color="9AA5B1" w:sz="4" w:space="0"/>
              <w:left w:val="single" w:color="9AA5B1" w:sz="4" w:space="0"/>
              <w:bottom w:val="single" w:color="9AA5B1" w:sz="4" w:space="0"/>
              <w:right w:val="single" w:color="9AA5B1" w:sz="4" w:space="0"/>
            </w:tcBorders>
            <w:vAlign w:val="center"/>
          </w:tcPr>
          <w:p w14:paraId="000001EB">
            <w:pPr>
              <w:keepNext/>
              <w:spacing w:before="0" w:after="0" w:line="240" w:lineRule="auto"/>
              <w:jc w:val="left"/>
            </w:pPr>
            <w:r>
              <w:rPr>
                <w:sz w:val="20"/>
                <w:szCs w:val="20"/>
                <w:rtl w:val="0"/>
              </w:rPr>
              <w:t>Implementation language</w:t>
            </w:r>
          </w:p>
        </w:tc>
      </w:tr>
      <w:tr w14:paraId="192AC2C9">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EC">
            <w:pPr>
              <w:keepNext/>
              <w:spacing w:before="0" w:after="0" w:line="240" w:lineRule="auto"/>
              <w:jc w:val="left"/>
            </w:pPr>
            <w:r>
              <w:rPr>
                <w:sz w:val="20"/>
                <w:szCs w:val="20"/>
                <w:rtl w:val="0"/>
              </w:rPr>
              <w:t>pandas, NumPy</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ED">
            <w:pPr>
              <w:keepNext/>
              <w:spacing w:before="0" w:after="0" w:line="240" w:lineRule="auto"/>
              <w:jc w:val="left"/>
            </w:pPr>
            <w:r>
              <w:rPr>
                <w:sz w:val="20"/>
                <w:szCs w:val="20"/>
                <w:rtl w:val="0"/>
              </w:rPr>
              <w:t>Loading, cleaning and manipulating the flow data</w:t>
            </w:r>
          </w:p>
        </w:tc>
      </w:tr>
      <w:tr w14:paraId="12572197">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1EE">
            <w:pPr>
              <w:keepNext/>
              <w:spacing w:before="0" w:after="0" w:line="240" w:lineRule="auto"/>
              <w:jc w:val="left"/>
            </w:pPr>
            <w:r>
              <w:rPr>
                <w:sz w:val="20"/>
                <w:szCs w:val="20"/>
                <w:rtl w:val="0"/>
              </w:rPr>
              <w:t>scikit-learn [50]</w:t>
            </w:r>
          </w:p>
        </w:tc>
        <w:tc>
          <w:tcPr>
            <w:tcBorders>
              <w:top w:val="single" w:color="9AA5B1" w:sz="4" w:space="0"/>
              <w:left w:val="single" w:color="9AA5B1" w:sz="4" w:space="0"/>
              <w:bottom w:val="single" w:color="9AA5B1" w:sz="4" w:space="0"/>
              <w:right w:val="single" w:color="9AA5B1" w:sz="4" w:space="0"/>
            </w:tcBorders>
            <w:vAlign w:val="center"/>
          </w:tcPr>
          <w:p w14:paraId="000001EF">
            <w:pPr>
              <w:keepNext/>
              <w:spacing w:before="0" w:after="0" w:line="240" w:lineRule="auto"/>
              <w:jc w:val="left"/>
            </w:pPr>
            <w:r>
              <w:rPr>
                <w:sz w:val="20"/>
                <w:szCs w:val="20"/>
                <w:rtl w:val="0"/>
              </w:rPr>
              <w:t>Scaling, splitting, Random Forest, randomised search, metrics</w:t>
            </w:r>
          </w:p>
        </w:tc>
      </w:tr>
      <w:tr w14:paraId="08C5FCB9">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F0">
            <w:pPr>
              <w:keepNext/>
              <w:spacing w:before="0" w:after="0" w:line="240" w:lineRule="auto"/>
              <w:jc w:val="left"/>
            </w:pPr>
            <w:r>
              <w:rPr>
                <w:sz w:val="20"/>
                <w:szCs w:val="20"/>
                <w:rtl w:val="0"/>
              </w:rPr>
              <w:t>imbalanced-learn [42]</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F1">
            <w:pPr>
              <w:keepNext/>
              <w:spacing w:before="0" w:after="0" w:line="240" w:lineRule="auto"/>
              <w:jc w:val="left"/>
            </w:pPr>
            <w:r>
              <w:rPr>
                <w:sz w:val="20"/>
                <w:szCs w:val="20"/>
                <w:rtl w:val="0"/>
              </w:rPr>
              <w:t>SMOTE oversampling</w:t>
            </w:r>
          </w:p>
        </w:tc>
      </w:tr>
      <w:tr w14:paraId="53ACE364">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1F2">
            <w:pPr>
              <w:keepNext/>
              <w:spacing w:before="0" w:after="0" w:line="240" w:lineRule="auto"/>
              <w:jc w:val="left"/>
            </w:pPr>
            <w:r>
              <w:rPr>
                <w:sz w:val="20"/>
                <w:szCs w:val="20"/>
                <w:rtl w:val="0"/>
              </w:rPr>
              <w:t>XGBoost [44]</w:t>
            </w:r>
          </w:p>
        </w:tc>
        <w:tc>
          <w:tcPr>
            <w:tcBorders>
              <w:top w:val="single" w:color="9AA5B1" w:sz="4" w:space="0"/>
              <w:left w:val="single" w:color="9AA5B1" w:sz="4" w:space="0"/>
              <w:bottom w:val="single" w:color="9AA5B1" w:sz="4" w:space="0"/>
              <w:right w:val="single" w:color="9AA5B1" w:sz="4" w:space="0"/>
            </w:tcBorders>
            <w:vAlign w:val="center"/>
          </w:tcPr>
          <w:p w14:paraId="000001F3">
            <w:pPr>
              <w:keepNext/>
              <w:spacing w:before="0" w:after="0" w:line="240" w:lineRule="auto"/>
              <w:jc w:val="left"/>
            </w:pPr>
            <w:r>
              <w:rPr>
                <w:sz w:val="20"/>
                <w:szCs w:val="20"/>
                <w:rtl w:val="0"/>
              </w:rPr>
              <w:t>Gradient-boosted tree classifier</w:t>
            </w:r>
          </w:p>
        </w:tc>
      </w:tr>
      <w:tr w14:paraId="1E3DCAFF">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F4">
            <w:pPr>
              <w:keepNext/>
              <w:spacing w:before="0" w:after="0" w:line="240" w:lineRule="auto"/>
              <w:jc w:val="left"/>
            </w:pPr>
            <w:r>
              <w:rPr>
                <w:sz w:val="20"/>
                <w:szCs w:val="20"/>
                <w:rtl w:val="0"/>
              </w:rPr>
              <w:t>TensorFlow / Keras [51]</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F5">
            <w:pPr>
              <w:keepNext/>
              <w:spacing w:before="0" w:after="0" w:line="240" w:lineRule="auto"/>
              <w:jc w:val="left"/>
            </w:pPr>
            <w:r>
              <w:rPr>
                <w:sz w:val="20"/>
                <w:szCs w:val="20"/>
                <w:rtl w:val="0"/>
              </w:rPr>
              <w:t>LSTM definition and training</w:t>
            </w:r>
          </w:p>
        </w:tc>
      </w:tr>
      <w:tr w14:paraId="46179B79">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1F6">
            <w:pPr>
              <w:keepNext/>
              <w:spacing w:before="0" w:after="0" w:line="240" w:lineRule="auto"/>
              <w:jc w:val="left"/>
            </w:pPr>
            <w:r>
              <w:rPr>
                <w:sz w:val="20"/>
                <w:szCs w:val="20"/>
                <w:rtl w:val="0"/>
              </w:rPr>
              <w:t>SHAP [12]</w:t>
            </w:r>
          </w:p>
        </w:tc>
        <w:tc>
          <w:tcPr>
            <w:tcBorders>
              <w:top w:val="single" w:color="9AA5B1" w:sz="4" w:space="0"/>
              <w:left w:val="single" w:color="9AA5B1" w:sz="4" w:space="0"/>
              <w:bottom w:val="single" w:color="9AA5B1" w:sz="4" w:space="0"/>
              <w:right w:val="single" w:color="9AA5B1" w:sz="4" w:space="0"/>
            </w:tcBorders>
            <w:vAlign w:val="center"/>
          </w:tcPr>
          <w:p w14:paraId="000001F7">
            <w:pPr>
              <w:keepNext/>
              <w:spacing w:before="0" w:after="0" w:line="240" w:lineRule="auto"/>
              <w:jc w:val="left"/>
            </w:pPr>
            <w:r>
              <w:rPr>
                <w:sz w:val="20"/>
                <w:szCs w:val="20"/>
                <w:rtl w:val="0"/>
              </w:rPr>
              <w:t>TreeExplainer and GradientExplainer</w:t>
            </w:r>
          </w:p>
        </w:tc>
      </w:tr>
      <w:tr w14:paraId="206966C5">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F8">
            <w:pPr>
              <w:keepNext/>
              <w:spacing w:before="0" w:after="0" w:line="240" w:lineRule="auto"/>
              <w:jc w:val="left"/>
            </w:pPr>
            <w:r>
              <w:rPr>
                <w:sz w:val="20"/>
                <w:szCs w:val="20"/>
                <w:rtl w:val="0"/>
              </w:rPr>
              <w:t>LIME [13]</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1F9">
            <w:pPr>
              <w:keepNext/>
              <w:spacing w:before="0" w:after="0" w:line="240" w:lineRule="auto"/>
              <w:jc w:val="left"/>
            </w:pPr>
            <w:r>
              <w:rPr>
                <w:sz w:val="20"/>
                <w:szCs w:val="20"/>
                <w:rtl w:val="0"/>
              </w:rPr>
              <w:t>Tabular local surrogate explanations</w:t>
            </w:r>
          </w:p>
        </w:tc>
      </w:tr>
      <w:tr w14:paraId="157A701B">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1FA">
            <w:pPr>
              <w:keepNext w:val="0"/>
              <w:spacing w:before="0" w:after="0" w:line="240" w:lineRule="auto"/>
              <w:jc w:val="left"/>
            </w:pPr>
            <w:r>
              <w:rPr>
                <w:sz w:val="20"/>
                <w:szCs w:val="20"/>
                <w:rtl w:val="0"/>
              </w:rPr>
              <w:t>Python venv, requirements.txt</w:t>
            </w:r>
          </w:p>
        </w:tc>
        <w:tc>
          <w:tcPr>
            <w:tcBorders>
              <w:top w:val="single" w:color="9AA5B1" w:sz="4" w:space="0"/>
              <w:left w:val="single" w:color="9AA5B1" w:sz="4" w:space="0"/>
              <w:bottom w:val="single" w:color="9AA5B1" w:sz="4" w:space="0"/>
              <w:right w:val="single" w:color="9AA5B1" w:sz="4" w:space="0"/>
            </w:tcBorders>
            <w:vAlign w:val="center"/>
          </w:tcPr>
          <w:p w14:paraId="000001FB">
            <w:pPr>
              <w:keepNext w:val="0"/>
              <w:spacing w:before="0" w:after="0" w:line="240" w:lineRule="auto"/>
              <w:jc w:val="left"/>
            </w:pPr>
            <w:r>
              <w:rPr>
                <w:sz w:val="20"/>
                <w:szCs w:val="20"/>
                <w:rtl w:val="0"/>
              </w:rPr>
              <w:t>Reproducible, isolated environment</w:t>
            </w:r>
          </w:p>
        </w:tc>
      </w:tr>
    </w:tbl>
    <w:p w14:paraId="000001FC">
      <w:pPr>
        <w:spacing w:before="0" w:after="120"/>
      </w:pPr>
    </w:p>
    <w:p w14:paraId="000001FD">
      <w:pPr>
        <w:pStyle w:val="3"/>
        <w:rPr>
          <w:color w:val="000000"/>
        </w:rPr>
      </w:pPr>
      <w:bookmarkStart w:id="56" w:name="_br46gcga9tmj" w:colFirst="0" w:colLast="0"/>
      <w:bookmarkEnd w:id="56"/>
      <w:r>
        <w:rPr>
          <w:color w:val="000000"/>
          <w:rtl w:val="0"/>
        </w:rPr>
        <w:t>4.10 Chapter Summary</w:t>
      </w:r>
    </w:p>
    <w:p w14:paraId="000001FE">
      <w:pPr>
        <w:jc w:val="both"/>
      </w:pPr>
      <w:r>
        <w:rPr>
          <w:rtl w:val="0"/>
        </w:rPr>
        <w:t>This chapter has presented a five-stage architecture that runs from data ingestion to a common evaluation, built on a single shared preprocessing trunk, three classifiers from two model families, and a common explainability layer offering both SHAP and LIME. Each design decision was tied back to an explicit requirement. Chapter 5 describes how this design was implemented and what happened when it met real data and real hardware.</w:t>
      </w:r>
      <w:r>
        <w:br w:type="page"/>
      </w:r>
    </w:p>
    <w:p w14:paraId="000001FF">
      <w:pPr>
        <w:pStyle w:val="2"/>
        <w:rPr>
          <w:color w:val="000000"/>
        </w:rPr>
      </w:pPr>
      <w:bookmarkStart w:id="57" w:name="_x77l1oqnvbdc" w:colFirst="0" w:colLast="0"/>
      <w:bookmarkEnd w:id="57"/>
      <w:r>
        <w:rPr>
          <w:color w:val="000000"/>
          <w:rtl w:val="0"/>
        </w:rPr>
        <w:t>CHAPTER 5: IMPLEMENTATION</w:t>
      </w:r>
    </w:p>
    <w:p w14:paraId="00000200">
      <w:pPr>
        <w:pStyle w:val="3"/>
        <w:rPr>
          <w:color w:val="000000"/>
        </w:rPr>
      </w:pPr>
      <w:bookmarkStart w:id="58" w:name="_2w6hqnu1qe2c" w:colFirst="0" w:colLast="0"/>
      <w:bookmarkEnd w:id="58"/>
      <w:r>
        <w:rPr>
          <w:color w:val="000000"/>
          <w:rtl w:val="0"/>
        </w:rPr>
        <w:t>5.1 Introduction</w:t>
      </w:r>
    </w:p>
    <w:p w14:paraId="00000201">
      <w:pPr>
        <w:jc w:val="both"/>
      </w:pPr>
      <w:r>
        <w:rPr>
          <w:rtl w:val="0"/>
        </w:rPr>
        <w:t>This chapter describes how the design of Chapter 4 was implemented and run. Every figure reported here comes from actual executions of the pipeline on CICIDS2017 data. One deviation from the original plan needs to be stated immediately: because of the limited computing power available, models were trained and explained on stratified subsamples of the cleaned dataset rather than on all 2.52 million cleaned rows. Subsampling had been built into the design as an option (Section 4.4), but the expectation at the outset was that it would not be needed.</w:t>
      </w:r>
    </w:p>
    <w:p w14:paraId="00000202">
      <w:pPr>
        <w:jc w:val="both"/>
      </w:pPr>
      <w:r>
        <w:rPr>
          <w:rtl w:val="0"/>
        </w:rPr>
        <w:t>The chapter covers the environment and data loading, preprocessing, model training and explanation, then the practical challenges met during implementation. It ends with a reproducibility check in which the pipeline was installed and run again on a second machine running Kali Linux; the terminal screenshots from that run are presented and explained in Section 5.7.</w:t>
      </w:r>
    </w:p>
    <w:p w14:paraId="00000203">
      <w:pPr>
        <w:pStyle w:val="3"/>
        <w:rPr>
          <w:color w:val="000000"/>
        </w:rPr>
      </w:pPr>
      <w:bookmarkStart w:id="59" w:name="_b76bf4vo07e8" w:colFirst="0" w:colLast="0"/>
      <w:bookmarkEnd w:id="59"/>
      <w:r>
        <w:rPr>
          <w:color w:val="000000"/>
          <w:rtl w:val="0"/>
        </w:rPr>
        <w:t>5.2 Environment and Data Loading</w:t>
      </w:r>
    </w:p>
    <w:p w14:paraId="00000204">
      <w:pPr>
        <w:jc w:val="both"/>
      </w:pPr>
      <w:r>
        <w:rPr>
          <w:rtl w:val="0"/>
        </w:rPr>
        <w:t>The primary experiments were developed and run in Python 3.12.10 using scikit-learn, imbalanced-learn, XGBoost, TensorFlow/Keras 2.21.0, SHAP and LIME, inside a dedicated virtual environment built from a pinned requirements file. They were executed on a consumer laptop with an AMD Ryzen 5 7520U processor (4 cores, 8 threads) and 8 GB of RAM, with no discrete GPU. At start-up TensorFlow reported that GPU computation was not available for that TensorFlow build on native Windows, so all training, including the LSTM, ran on the CPU.</w:t>
      </w:r>
    </w:p>
    <w:p w14:paraId="00000205">
      <w:pPr>
        <w:jc w:val="both"/>
      </w:pPr>
      <w:r>
        <w:rPr>
          <w:rtl w:val="0"/>
        </w:rPr>
        <w:t xml:space="preserve">The code is organised into modules that follow the five stages of the design (Appendix B). A single entry point, </w:t>
      </w:r>
      <w:r>
        <w:rPr>
          <w:rFonts w:ascii="Consolas" w:hAnsi="Consolas" w:eastAsia="Consolas" w:cs="Consolas"/>
          <w:sz w:val="22"/>
          <w:szCs w:val="22"/>
          <w:rtl w:val="0"/>
        </w:rPr>
        <w:t>src/main.py</w:t>
      </w:r>
      <w:r>
        <w:rPr>
          <w:rtl w:val="0"/>
        </w:rPr>
        <w:t xml:space="preserve">, runs the stages in order and logs each step with a timestamp. A command-line flag, </w:t>
      </w:r>
      <w:r>
        <w:rPr>
          <w:rFonts w:ascii="Consolas" w:hAnsi="Consolas" w:eastAsia="Consolas" w:cs="Consolas"/>
          <w:sz w:val="22"/>
          <w:szCs w:val="22"/>
          <w:rtl w:val="0"/>
        </w:rPr>
        <w:t>--skip-explainability</w:t>
      </w:r>
      <w:r>
        <w:rPr>
          <w:rtl w:val="0"/>
        </w:rPr>
        <w:t xml:space="preserve">, stops the run after stage 3 so that the data and training stages can be checked quickly without waiting for SHAP and LIME (R7). A helper module, </w:t>
      </w:r>
      <w:r>
        <w:rPr>
          <w:rFonts w:ascii="Consolas" w:hAnsi="Consolas" w:eastAsia="Consolas" w:cs="Consolas"/>
          <w:sz w:val="22"/>
          <w:szCs w:val="22"/>
          <w:rtl w:val="0"/>
        </w:rPr>
        <w:t>src/make_synthetic_data.py</w:t>
      </w:r>
      <w:r>
        <w:rPr>
          <w:rtl w:val="0"/>
        </w:rPr>
        <w:t>, generates a small synthetic file with the same column layout as CICIDS2017, which allowed the whole pipeline to be smoke-tested end-to-end before the real data were used.</w:t>
      </w:r>
    </w:p>
    <w:p w14:paraId="00000206">
      <w:pPr>
        <w:jc w:val="both"/>
      </w:pPr>
      <w:r>
        <w:rPr>
          <w:rtl w:val="0"/>
        </w:rPr>
        <w:t xml:space="preserve">The eight CICIDS2017 MachineLearningCSV files were loaded from the </w:t>
      </w:r>
      <w:r>
        <w:rPr>
          <w:rFonts w:ascii="Consolas" w:hAnsi="Consolas" w:eastAsia="Consolas" w:cs="Consolas"/>
          <w:sz w:val="22"/>
          <w:szCs w:val="22"/>
          <w:rtl w:val="0"/>
        </w:rPr>
        <w:t>data/raw</w:t>
      </w:r>
      <w:r>
        <w:rPr>
          <w:rtl w:val="0"/>
        </w:rPr>
        <w:t xml:space="preserve"> folder and concatenated, giving a raw dataset of 2,830,743 rows and 79 columns.</w:t>
      </w:r>
    </w:p>
    <w:p w14:paraId="00000207">
      <w:pPr>
        <w:pStyle w:val="3"/>
        <w:rPr>
          <w:color w:val="000000"/>
        </w:rPr>
      </w:pPr>
      <w:bookmarkStart w:id="60" w:name="_i0jxbduye7tn" w:colFirst="0" w:colLast="0"/>
      <w:bookmarkEnd w:id="60"/>
      <w:r>
        <w:rPr>
          <w:color w:val="000000"/>
          <w:rtl w:val="0"/>
        </w:rPr>
        <w:t>5.3 Preprocessing Implementation</w:t>
      </w:r>
    </w:p>
    <w:p w14:paraId="00000208">
      <w:pPr>
        <w:jc w:val="both"/>
      </w:pPr>
      <w:r>
        <w:rPr>
          <w:rtl w:val="0"/>
        </w:rPr>
        <w:t>Removing rows with missing or infinite values and duplicate flows eliminated 309,945 rows (10.95% of the raw data), leaving 2,520,798 rows. This is consistent with the CICFlowMeter artefacts discussed in Section 3.5 and in the literature [22]. The progression of row counts through the pipeline is shown in Figure 5.1 and listed in Table 5.1.</w:t>
      </w:r>
    </w:p>
    <w:p w14:paraId="00000209">
      <w:pPr>
        <w:keepNext/>
        <w:spacing w:before="160" w:after="60" w:line="240" w:lineRule="auto"/>
        <w:jc w:val="center"/>
      </w:pPr>
      <w:r>
        <w:drawing>
          <wp:inline distT="0" distB="0" distL="0" distR="0">
            <wp:extent cx="5353050" cy="2419350"/>
            <wp:effectExtent l="0" t="0" r="0" b="0"/>
            <wp:docPr id="8" name="image5.png" descr="Figure 5.1&#10;Row counts at each preprocessing step of the 300,000-row run (logarithmic scale)"/>
            <wp:cNvGraphicFramePr/>
            <a:graphic xmlns:a="http://schemas.openxmlformats.org/drawingml/2006/main">
              <a:graphicData uri="http://schemas.openxmlformats.org/drawingml/2006/picture">
                <pic:pic xmlns:pic="http://schemas.openxmlformats.org/drawingml/2006/picture">
                  <pic:nvPicPr>
                    <pic:cNvPr id="8" name="image5.png" descr="Figure 5.1&#10;Row counts at each preprocessing step of the 300,000-row run (logarithmic scale)"/>
                    <pic:cNvPicPr preferRelativeResize="0"/>
                  </pic:nvPicPr>
                  <pic:blipFill>
                    <a:blip r:embed="rId18"/>
                    <a:srcRect/>
                    <a:stretch>
                      <a:fillRect/>
                    </a:stretch>
                  </pic:blipFill>
                  <pic:spPr>
                    <a:xfrm>
                      <a:off x="0" y="0"/>
                      <a:ext cx="5353050" cy="2419350"/>
                    </a:xfrm>
                    <a:prstGeom prst="rect">
                      <a:avLst/>
                    </a:prstGeom>
                  </pic:spPr>
                </pic:pic>
              </a:graphicData>
            </a:graphic>
          </wp:inline>
        </w:drawing>
      </w:r>
    </w:p>
    <w:p w14:paraId="0000020A">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60" w:after="24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61" w:name="_amvkkdzea9vk" w:colFirst="0" w:colLast="0"/>
      <w:bookmarkEnd w:id="61"/>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Figure 5.1: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Row counts at each preprocessing step of the 300,000-row run (logarithmic scale)</w:t>
      </w:r>
    </w:p>
    <w:p w14:paraId="0000020B">
      <w:pPr>
        <w:jc w:val="both"/>
      </w:pPr>
      <w:r>
        <w:rPr>
          <w:rtl w:val="0"/>
        </w:rPr>
        <w:t>Given the memory and time constraints of the hardware, the cleaned data were subsampled before training. The work was done in two iterations. The first used 50,000 rows and served to validate the whole pipeline on real data. The second used 300,000 rows and provides the main results reported in this chapter and in Chapter 6. An attempt to run on all 2.52 million cleaned rows was made but was not feasible on the available hardware within the project's timeframe.</w:t>
      </w:r>
    </w:p>
    <w:p w14:paraId="0000020C">
      <w:pPr>
        <w:jc w:val="both"/>
      </w:pPr>
      <w:r>
        <w:rPr>
          <w:rtl w:val="0"/>
        </w:rPr>
        <w:t>The 300,000-row sample was split 80/20 into 240,000 training rows and 60,000 test rows, stratified on the label. Before SMOTE, the training set contained 199,276 benign rows and 40,724 attack rows, a ratio of roughly 83:17. SMOTE generated 158,552 synthetic attack rows, producing a balanced training set of 398,552 rows with 78 features, as shown in Figure 5.2. Because the split was stratified, the test set keeps the same ratio: approximately 49,800 benign and 10,200 attack flows, none of them synthetic.</w:t>
      </w:r>
    </w:p>
    <w:p w14:paraId="0000020D">
      <w:pPr>
        <w:keepNext/>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00" w:after="8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62" w:name="_hc1529sjy1cn" w:colFirst="0" w:colLast="0"/>
      <w:bookmarkEnd w:id="62"/>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Table 5.1: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Data volumes through the preprocessing stage (300,000-row run)</w:t>
      </w:r>
    </w:p>
    <w:tbl>
      <w:tblPr>
        <w:tblStyle w:val="19"/>
        <w:tblW w:w="8504" w:type="dxa"/>
        <w:tblInd w:w="-90" w:type="dxa"/>
        <w:tblLayout w:type="fixed"/>
        <w:tblCellMar>
          <w:top w:w="50" w:type="dxa"/>
          <w:left w:w="90" w:type="dxa"/>
          <w:bottom w:w="50" w:type="dxa"/>
          <w:right w:w="90" w:type="dxa"/>
        </w:tblCellMar>
      </w:tblPr>
      <w:tblGrid>
        <w:gridCol w:w="2961"/>
        <w:gridCol w:w="1814"/>
        <w:gridCol w:w="3729"/>
      </w:tblGrid>
      <w:tr w14:paraId="463EC0BB">
        <w:tblPrEx>
          <w:tblCellMar>
            <w:top w:w="50" w:type="dxa"/>
            <w:left w:w="90" w:type="dxa"/>
            <w:bottom w:w="50" w:type="dxa"/>
            <w:right w:w="90" w:type="dxa"/>
          </w:tblCellMar>
        </w:tblPrEx>
        <w:trPr>
          <w:cantSplit/>
          <w:tblHeader/>
        </w:trPr>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0E">
            <w:pPr>
              <w:keepNext/>
              <w:spacing w:before="0" w:after="0" w:line="240" w:lineRule="auto"/>
              <w:jc w:val="left"/>
            </w:pPr>
            <w:r>
              <w:rPr>
                <w:b/>
                <w:bCs/>
                <w:sz w:val="20"/>
                <w:szCs w:val="20"/>
                <w:rtl w:val="0"/>
              </w:rPr>
              <w:t>Step</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0F">
            <w:pPr>
              <w:keepNext/>
              <w:spacing w:before="0" w:after="0" w:line="240" w:lineRule="auto"/>
              <w:jc w:val="left"/>
            </w:pPr>
            <w:r>
              <w:rPr>
                <w:b/>
                <w:bCs/>
                <w:sz w:val="20"/>
                <w:szCs w:val="20"/>
                <w:rtl w:val="0"/>
              </w:rPr>
              <w:t>Rows</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10">
            <w:pPr>
              <w:keepNext/>
              <w:spacing w:before="0" w:after="0" w:line="240" w:lineRule="auto"/>
              <w:jc w:val="left"/>
            </w:pPr>
            <w:r>
              <w:rPr>
                <w:b/>
                <w:bCs/>
                <w:sz w:val="20"/>
                <w:szCs w:val="20"/>
                <w:rtl w:val="0"/>
              </w:rPr>
              <w:t>Notes</w:t>
            </w:r>
          </w:p>
        </w:tc>
      </w:tr>
      <w:tr w14:paraId="1FECA726">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211">
            <w:pPr>
              <w:keepNext/>
              <w:spacing w:before="0" w:after="0" w:line="240" w:lineRule="auto"/>
              <w:jc w:val="left"/>
            </w:pPr>
            <w:r>
              <w:rPr>
                <w:sz w:val="20"/>
                <w:szCs w:val="20"/>
                <w:rtl w:val="0"/>
              </w:rPr>
              <w:t>Raw data (8 CSV files)</w:t>
            </w:r>
          </w:p>
        </w:tc>
        <w:tc>
          <w:tcPr>
            <w:tcBorders>
              <w:top w:val="single" w:color="9AA5B1" w:sz="4" w:space="0"/>
              <w:left w:val="single" w:color="9AA5B1" w:sz="4" w:space="0"/>
              <w:bottom w:val="single" w:color="9AA5B1" w:sz="4" w:space="0"/>
              <w:right w:val="single" w:color="9AA5B1" w:sz="4" w:space="0"/>
            </w:tcBorders>
            <w:vAlign w:val="center"/>
          </w:tcPr>
          <w:p w14:paraId="00000212">
            <w:pPr>
              <w:keepNext/>
              <w:spacing w:before="0" w:after="0" w:line="240" w:lineRule="auto"/>
              <w:jc w:val="left"/>
            </w:pPr>
            <w:r>
              <w:rPr>
                <w:sz w:val="20"/>
                <w:szCs w:val="20"/>
                <w:rtl w:val="0"/>
              </w:rPr>
              <w:t>2,830,743</w:t>
            </w:r>
          </w:p>
        </w:tc>
        <w:tc>
          <w:tcPr>
            <w:tcBorders>
              <w:top w:val="single" w:color="9AA5B1" w:sz="4" w:space="0"/>
              <w:left w:val="single" w:color="9AA5B1" w:sz="4" w:space="0"/>
              <w:bottom w:val="single" w:color="9AA5B1" w:sz="4" w:space="0"/>
              <w:right w:val="single" w:color="9AA5B1" w:sz="4" w:space="0"/>
            </w:tcBorders>
            <w:vAlign w:val="center"/>
          </w:tcPr>
          <w:p w14:paraId="00000213">
            <w:pPr>
              <w:keepNext/>
              <w:spacing w:before="0" w:after="0" w:line="240" w:lineRule="auto"/>
              <w:jc w:val="left"/>
            </w:pPr>
            <w:r>
              <w:rPr>
                <w:sz w:val="20"/>
                <w:szCs w:val="20"/>
                <w:rtl w:val="0"/>
              </w:rPr>
              <w:t>79 columns: 78 features and a label</w:t>
            </w:r>
          </w:p>
        </w:tc>
      </w:tr>
      <w:tr w14:paraId="57284A03">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14">
            <w:pPr>
              <w:keepNext/>
              <w:spacing w:before="0" w:after="0" w:line="240" w:lineRule="auto"/>
              <w:jc w:val="left"/>
            </w:pPr>
            <w:r>
              <w:rPr>
                <w:sz w:val="20"/>
                <w:szCs w:val="20"/>
                <w:rtl w:val="0"/>
              </w:rPr>
              <w:t>Removed in cleaning</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15">
            <w:pPr>
              <w:keepNext/>
              <w:spacing w:before="0" w:after="0" w:line="240" w:lineRule="auto"/>
              <w:jc w:val="left"/>
            </w:pPr>
            <w:r>
              <w:rPr>
                <w:sz w:val="20"/>
                <w:szCs w:val="20"/>
                <w:rtl w:val="0"/>
              </w:rPr>
              <w:t>309,945</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16">
            <w:pPr>
              <w:keepNext/>
              <w:spacing w:before="0" w:after="0" w:line="240" w:lineRule="auto"/>
              <w:jc w:val="left"/>
            </w:pPr>
            <w:r>
              <w:rPr>
                <w:sz w:val="20"/>
                <w:szCs w:val="20"/>
                <w:rtl w:val="0"/>
              </w:rPr>
              <w:t>10.95%: missing, infinite or duplicate</w:t>
            </w:r>
          </w:p>
        </w:tc>
      </w:tr>
      <w:tr w14:paraId="69F0CF99">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217">
            <w:pPr>
              <w:keepNext/>
              <w:spacing w:before="0" w:after="0" w:line="240" w:lineRule="auto"/>
              <w:jc w:val="left"/>
            </w:pPr>
            <w:r>
              <w:rPr>
                <w:sz w:val="20"/>
                <w:szCs w:val="20"/>
                <w:rtl w:val="0"/>
              </w:rPr>
              <w:t>Cleaned data</w:t>
            </w:r>
          </w:p>
        </w:tc>
        <w:tc>
          <w:tcPr>
            <w:tcBorders>
              <w:top w:val="single" w:color="9AA5B1" w:sz="4" w:space="0"/>
              <w:left w:val="single" w:color="9AA5B1" w:sz="4" w:space="0"/>
              <w:bottom w:val="single" w:color="9AA5B1" w:sz="4" w:space="0"/>
              <w:right w:val="single" w:color="9AA5B1" w:sz="4" w:space="0"/>
            </w:tcBorders>
            <w:vAlign w:val="center"/>
          </w:tcPr>
          <w:p w14:paraId="00000218">
            <w:pPr>
              <w:keepNext/>
              <w:spacing w:before="0" w:after="0" w:line="240" w:lineRule="auto"/>
              <w:jc w:val="left"/>
            </w:pPr>
            <w:r>
              <w:rPr>
                <w:sz w:val="20"/>
                <w:szCs w:val="20"/>
                <w:rtl w:val="0"/>
              </w:rPr>
              <w:t>2,520,798</w:t>
            </w:r>
          </w:p>
        </w:tc>
        <w:tc>
          <w:tcPr>
            <w:tcBorders>
              <w:top w:val="single" w:color="9AA5B1" w:sz="4" w:space="0"/>
              <w:left w:val="single" w:color="9AA5B1" w:sz="4" w:space="0"/>
              <w:bottom w:val="single" w:color="9AA5B1" w:sz="4" w:space="0"/>
              <w:right w:val="single" w:color="9AA5B1" w:sz="4" w:space="0"/>
            </w:tcBorders>
            <w:vAlign w:val="center"/>
          </w:tcPr>
          <w:p w14:paraId="00000219">
            <w:pPr>
              <w:keepNext/>
              <w:spacing w:before="0" w:after="0" w:line="240" w:lineRule="auto"/>
              <w:jc w:val="left"/>
            </w:pPr>
            <w:r>
              <w:rPr>
                <w:sz w:val="20"/>
                <w:szCs w:val="20"/>
                <w:rtl w:val="0"/>
              </w:rPr>
              <w:t>Basis for subsampling</w:t>
            </w:r>
          </w:p>
        </w:tc>
      </w:tr>
      <w:tr w14:paraId="7E69422C">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1A">
            <w:pPr>
              <w:keepNext/>
              <w:spacing w:before="0" w:after="0" w:line="240" w:lineRule="auto"/>
              <w:jc w:val="left"/>
            </w:pPr>
            <w:r>
              <w:rPr>
                <w:sz w:val="20"/>
                <w:szCs w:val="20"/>
                <w:rtl w:val="0"/>
              </w:rPr>
              <w:t>Stratified subsample</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1B">
            <w:pPr>
              <w:keepNext/>
              <w:spacing w:before="0" w:after="0" w:line="240" w:lineRule="auto"/>
              <w:jc w:val="left"/>
            </w:pPr>
            <w:r>
              <w:rPr>
                <w:sz w:val="20"/>
                <w:szCs w:val="20"/>
                <w:rtl w:val="0"/>
              </w:rPr>
              <w:t>300,000</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1C">
            <w:pPr>
              <w:keepNext/>
              <w:spacing w:before="0" w:after="0" w:line="240" w:lineRule="auto"/>
              <w:jc w:val="left"/>
            </w:pPr>
            <w:r>
              <w:rPr>
                <w:sz w:val="20"/>
                <w:szCs w:val="20"/>
                <w:rtl w:val="0"/>
              </w:rPr>
              <w:t>SUBSAMPLE_N in config.py</w:t>
            </w:r>
          </w:p>
        </w:tc>
      </w:tr>
      <w:tr w14:paraId="2A1C1C82">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21D">
            <w:pPr>
              <w:keepNext/>
              <w:spacing w:before="0" w:after="0" w:line="240" w:lineRule="auto"/>
              <w:jc w:val="left"/>
            </w:pPr>
            <w:r>
              <w:rPr>
                <w:sz w:val="20"/>
                <w:szCs w:val="20"/>
                <w:rtl w:val="0"/>
              </w:rPr>
              <w:t>Training split (80%)</w:t>
            </w:r>
          </w:p>
        </w:tc>
        <w:tc>
          <w:tcPr>
            <w:tcBorders>
              <w:top w:val="single" w:color="9AA5B1" w:sz="4" w:space="0"/>
              <w:left w:val="single" w:color="9AA5B1" w:sz="4" w:space="0"/>
              <w:bottom w:val="single" w:color="9AA5B1" w:sz="4" w:space="0"/>
              <w:right w:val="single" w:color="9AA5B1" w:sz="4" w:space="0"/>
            </w:tcBorders>
            <w:vAlign w:val="center"/>
          </w:tcPr>
          <w:p w14:paraId="0000021E">
            <w:pPr>
              <w:keepNext/>
              <w:spacing w:before="0" w:after="0" w:line="240" w:lineRule="auto"/>
              <w:jc w:val="left"/>
            </w:pPr>
            <w:r>
              <w:rPr>
                <w:sz w:val="20"/>
                <w:szCs w:val="20"/>
                <w:rtl w:val="0"/>
              </w:rPr>
              <w:t>240,000</w:t>
            </w:r>
          </w:p>
        </w:tc>
        <w:tc>
          <w:tcPr>
            <w:tcBorders>
              <w:top w:val="single" w:color="9AA5B1" w:sz="4" w:space="0"/>
              <w:left w:val="single" w:color="9AA5B1" w:sz="4" w:space="0"/>
              <w:bottom w:val="single" w:color="9AA5B1" w:sz="4" w:space="0"/>
              <w:right w:val="single" w:color="9AA5B1" w:sz="4" w:space="0"/>
            </w:tcBorders>
            <w:vAlign w:val="center"/>
          </w:tcPr>
          <w:p w14:paraId="0000021F">
            <w:pPr>
              <w:keepNext/>
              <w:spacing w:before="0" w:after="0" w:line="240" w:lineRule="auto"/>
              <w:jc w:val="left"/>
            </w:pPr>
            <w:r>
              <w:rPr>
                <w:sz w:val="20"/>
                <w:szCs w:val="20"/>
                <w:rtl w:val="0"/>
              </w:rPr>
              <w:t>199,276 benign / 40,724 attack</w:t>
            </w:r>
          </w:p>
        </w:tc>
      </w:tr>
      <w:tr w14:paraId="4FA53610">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20">
            <w:pPr>
              <w:keepNext/>
              <w:spacing w:before="0" w:after="0" w:line="240" w:lineRule="auto"/>
              <w:jc w:val="left"/>
            </w:pPr>
            <w:r>
              <w:rPr>
                <w:sz w:val="20"/>
                <w:szCs w:val="20"/>
                <w:rtl w:val="0"/>
              </w:rPr>
              <w:t>Test split (20%)</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21">
            <w:pPr>
              <w:keepNext/>
              <w:spacing w:before="0" w:after="0" w:line="240" w:lineRule="auto"/>
              <w:jc w:val="left"/>
            </w:pPr>
            <w:r>
              <w:rPr>
                <w:sz w:val="20"/>
                <w:szCs w:val="20"/>
                <w:rtl w:val="0"/>
              </w:rPr>
              <w:t>60,000</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22">
            <w:pPr>
              <w:keepNext/>
              <w:spacing w:before="0" w:after="0" w:line="240" w:lineRule="auto"/>
              <w:jc w:val="left"/>
            </w:pPr>
            <w:r>
              <w:rPr>
                <w:sz w:val="20"/>
                <w:szCs w:val="20"/>
                <w:rtl w:val="0"/>
              </w:rPr>
              <w:t>Genuine traffic only; about 83% benign</w:t>
            </w:r>
          </w:p>
        </w:tc>
      </w:tr>
      <w:tr w14:paraId="642CF6AE">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223">
            <w:pPr>
              <w:keepNext w:val="0"/>
              <w:spacing w:before="0" w:after="0" w:line="240" w:lineRule="auto"/>
              <w:jc w:val="left"/>
            </w:pPr>
            <w:r>
              <w:rPr>
                <w:sz w:val="20"/>
                <w:szCs w:val="20"/>
                <w:rtl w:val="0"/>
              </w:rPr>
              <w:t>Training set after SMOTE</w:t>
            </w:r>
          </w:p>
        </w:tc>
        <w:tc>
          <w:tcPr>
            <w:tcBorders>
              <w:top w:val="single" w:color="9AA5B1" w:sz="4" w:space="0"/>
              <w:left w:val="single" w:color="9AA5B1" w:sz="4" w:space="0"/>
              <w:bottom w:val="single" w:color="9AA5B1" w:sz="4" w:space="0"/>
              <w:right w:val="single" w:color="9AA5B1" w:sz="4" w:space="0"/>
            </w:tcBorders>
            <w:vAlign w:val="center"/>
          </w:tcPr>
          <w:p w14:paraId="00000224">
            <w:pPr>
              <w:keepNext w:val="0"/>
              <w:spacing w:before="0" w:after="0" w:line="240" w:lineRule="auto"/>
              <w:jc w:val="left"/>
            </w:pPr>
            <w:r>
              <w:rPr>
                <w:sz w:val="20"/>
                <w:szCs w:val="20"/>
                <w:rtl w:val="0"/>
              </w:rPr>
              <w:t>398,552</w:t>
            </w:r>
          </w:p>
        </w:tc>
        <w:tc>
          <w:tcPr>
            <w:tcBorders>
              <w:top w:val="single" w:color="9AA5B1" w:sz="4" w:space="0"/>
              <w:left w:val="single" w:color="9AA5B1" w:sz="4" w:space="0"/>
              <w:bottom w:val="single" w:color="9AA5B1" w:sz="4" w:space="0"/>
              <w:right w:val="single" w:color="9AA5B1" w:sz="4" w:space="0"/>
            </w:tcBorders>
            <w:vAlign w:val="center"/>
          </w:tcPr>
          <w:p w14:paraId="00000225">
            <w:pPr>
              <w:keepNext w:val="0"/>
              <w:spacing w:before="0" w:after="0" w:line="240" w:lineRule="auto"/>
              <w:jc w:val="left"/>
            </w:pPr>
            <w:r>
              <w:rPr>
                <w:sz w:val="20"/>
                <w:szCs w:val="20"/>
                <w:rtl w:val="0"/>
              </w:rPr>
              <w:t>199,276 per class</w:t>
            </w:r>
          </w:p>
        </w:tc>
      </w:tr>
    </w:tbl>
    <w:p w14:paraId="00000226">
      <w:pPr>
        <w:spacing w:before="0" w:after="120"/>
      </w:pPr>
    </w:p>
    <w:p w14:paraId="00000227">
      <w:pPr>
        <w:keepNext/>
        <w:spacing w:before="160" w:after="60" w:line="240" w:lineRule="auto"/>
        <w:jc w:val="center"/>
      </w:pPr>
      <w:r>
        <w:drawing>
          <wp:inline distT="0" distB="0" distL="0" distR="0">
            <wp:extent cx="5353050" cy="2486025"/>
            <wp:effectExtent l="0" t="0" r="0" b="0"/>
            <wp:docPr id="12" name="image1.png" descr="Figure 5.2&#10;Class balance of the training set before and after SMOTE"/>
            <wp:cNvGraphicFramePr/>
            <a:graphic xmlns:a="http://schemas.openxmlformats.org/drawingml/2006/main">
              <a:graphicData uri="http://schemas.openxmlformats.org/drawingml/2006/picture">
                <pic:pic xmlns:pic="http://schemas.openxmlformats.org/drawingml/2006/picture">
                  <pic:nvPicPr>
                    <pic:cNvPr id="12" name="image1.png" descr="Figure 5.2&#10;Class balance of the training set before and after SMOTE"/>
                    <pic:cNvPicPr preferRelativeResize="0"/>
                  </pic:nvPicPr>
                  <pic:blipFill>
                    <a:blip r:embed="rId19"/>
                    <a:srcRect/>
                    <a:stretch>
                      <a:fillRect/>
                    </a:stretch>
                  </pic:blipFill>
                  <pic:spPr>
                    <a:xfrm>
                      <a:off x="0" y="0"/>
                      <a:ext cx="5353050" cy="2486025"/>
                    </a:xfrm>
                    <a:prstGeom prst="rect">
                      <a:avLst/>
                    </a:prstGeom>
                  </pic:spPr>
                </pic:pic>
              </a:graphicData>
            </a:graphic>
          </wp:inline>
        </w:drawing>
      </w:r>
    </w:p>
    <w:p w14:paraId="00000228">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60" w:after="24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63" w:name="_sg1r0kg6qali" w:colFirst="0" w:colLast="0"/>
      <w:bookmarkEnd w:id="63"/>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Figure 5.2: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Class balance of the training set before and after SMOTE</w:t>
      </w:r>
    </w:p>
    <w:p w14:paraId="00000229">
      <w:pPr>
        <w:pStyle w:val="3"/>
        <w:rPr>
          <w:color w:val="000000"/>
        </w:rPr>
      </w:pPr>
      <w:bookmarkStart w:id="64" w:name="_p9uk10v28884" w:colFirst="0" w:colLast="0"/>
      <w:bookmarkEnd w:id="64"/>
      <w:r>
        <w:rPr>
          <w:color w:val="000000"/>
          <w:rtl w:val="0"/>
        </w:rPr>
        <w:t>5.4 Model Training Implementation</w:t>
      </w:r>
    </w:p>
    <w:p w14:paraId="0000022A">
      <w:pPr>
        <w:jc w:val="both"/>
      </w:pPr>
      <w:r>
        <w:rPr>
          <w:rtl w:val="0"/>
        </w:rPr>
        <w:t>For Random Forest, the randomised search (10 candidate configurations, 5-fold cross-validation, 50 fits in total) selected 200 estimators, a maximum depth of 30, a minimum of 10 samples to split a node and a minimum of 1 sample per leaf. This configuration achieved a cross-validated F1-score of 0.9988, and the search took around 85 minutes. For XGBoost, the same search budget selected 300 estimators, a maximum depth of 9, a learning rate of 0.2, a subsample ratio of 1.0 and a column sample ratio of 0.85, with a cross-validated F1-score of 0.9993. The XGBoost search completed in about 11 minutes, almost eight times faster than Random Forest for the same number of fits. Table 5.2 summarises the selected configurations.</w:t>
      </w:r>
    </w:p>
    <w:p w14:paraId="0000022B">
      <w:pPr>
        <w:keepNext/>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00" w:after="8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65" w:name="_he6dzc5y6s7n" w:colFirst="0" w:colLast="0"/>
      <w:bookmarkEnd w:id="65"/>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Table 5.2: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Selected hyperparameters and training cost (300,000-row run)</w:t>
      </w:r>
    </w:p>
    <w:tbl>
      <w:tblPr>
        <w:tblStyle w:val="20"/>
        <w:tblW w:w="8503" w:type="dxa"/>
        <w:tblInd w:w="-90" w:type="dxa"/>
        <w:tblLayout w:type="fixed"/>
        <w:tblCellMar>
          <w:top w:w="50" w:type="dxa"/>
          <w:left w:w="90" w:type="dxa"/>
          <w:bottom w:w="50" w:type="dxa"/>
          <w:right w:w="90" w:type="dxa"/>
        </w:tblCellMar>
      </w:tblPr>
      <w:tblGrid>
        <w:gridCol w:w="1402"/>
        <w:gridCol w:w="3810"/>
        <w:gridCol w:w="1507"/>
        <w:gridCol w:w="1784"/>
      </w:tblGrid>
      <w:tr w14:paraId="3FF6EDFA">
        <w:tblPrEx>
          <w:tblCellMar>
            <w:top w:w="50" w:type="dxa"/>
            <w:left w:w="90" w:type="dxa"/>
            <w:bottom w:w="50" w:type="dxa"/>
            <w:right w:w="90" w:type="dxa"/>
          </w:tblCellMar>
        </w:tblPrEx>
        <w:trPr>
          <w:cantSplit/>
          <w:tblHeader/>
        </w:trPr>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2C">
            <w:pPr>
              <w:keepNext/>
              <w:spacing w:before="0" w:after="0" w:line="240" w:lineRule="auto"/>
              <w:jc w:val="left"/>
            </w:pPr>
            <w:r>
              <w:rPr>
                <w:b/>
                <w:bCs/>
                <w:sz w:val="20"/>
                <w:szCs w:val="20"/>
                <w:rtl w:val="0"/>
              </w:rPr>
              <w:t>Model</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2D">
            <w:pPr>
              <w:keepNext/>
              <w:spacing w:before="0" w:after="0" w:line="240" w:lineRule="auto"/>
              <w:jc w:val="left"/>
            </w:pPr>
            <w:r>
              <w:rPr>
                <w:b/>
                <w:bCs/>
                <w:sz w:val="20"/>
                <w:szCs w:val="20"/>
                <w:rtl w:val="0"/>
              </w:rPr>
              <w:t>Selected configuration</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2E">
            <w:pPr>
              <w:keepNext/>
              <w:spacing w:before="0" w:after="0" w:line="240" w:lineRule="auto"/>
              <w:jc w:val="left"/>
            </w:pPr>
            <w:r>
              <w:rPr>
                <w:b/>
                <w:bCs/>
                <w:sz w:val="20"/>
                <w:szCs w:val="20"/>
                <w:rtl w:val="0"/>
              </w:rPr>
              <w:t>CV F1</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2F">
            <w:pPr>
              <w:keepNext/>
              <w:spacing w:before="0" w:after="0" w:line="240" w:lineRule="auto"/>
              <w:jc w:val="left"/>
            </w:pPr>
            <w:r>
              <w:rPr>
                <w:b/>
                <w:bCs/>
                <w:sz w:val="20"/>
                <w:szCs w:val="20"/>
                <w:rtl w:val="0"/>
              </w:rPr>
              <w:t>Training time</w:t>
            </w:r>
          </w:p>
        </w:tc>
      </w:tr>
      <w:tr w14:paraId="3E18E5BD">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230">
            <w:pPr>
              <w:keepNext/>
              <w:spacing w:before="0" w:after="0" w:line="240" w:lineRule="auto"/>
              <w:jc w:val="left"/>
            </w:pPr>
            <w:r>
              <w:rPr>
                <w:sz w:val="20"/>
                <w:szCs w:val="20"/>
                <w:rtl w:val="0"/>
              </w:rPr>
              <w:t>Random Forest</w:t>
            </w:r>
          </w:p>
        </w:tc>
        <w:tc>
          <w:tcPr>
            <w:tcBorders>
              <w:top w:val="single" w:color="9AA5B1" w:sz="4" w:space="0"/>
              <w:left w:val="single" w:color="9AA5B1" w:sz="4" w:space="0"/>
              <w:bottom w:val="single" w:color="9AA5B1" w:sz="4" w:space="0"/>
              <w:right w:val="single" w:color="9AA5B1" w:sz="4" w:space="0"/>
            </w:tcBorders>
            <w:vAlign w:val="center"/>
          </w:tcPr>
          <w:p w14:paraId="00000231">
            <w:pPr>
              <w:keepNext/>
              <w:spacing w:before="0" w:after="0" w:line="240" w:lineRule="auto"/>
              <w:jc w:val="left"/>
            </w:pPr>
            <w:r>
              <w:rPr>
                <w:sz w:val="20"/>
                <w:szCs w:val="20"/>
                <w:rtl w:val="0"/>
              </w:rPr>
              <w:t>n_estimators = 200, max_depth = 30, min_samples_split = 10, min_samples_leaf = 1</w:t>
            </w:r>
          </w:p>
        </w:tc>
        <w:tc>
          <w:tcPr>
            <w:tcBorders>
              <w:top w:val="single" w:color="9AA5B1" w:sz="4" w:space="0"/>
              <w:left w:val="single" w:color="9AA5B1" w:sz="4" w:space="0"/>
              <w:bottom w:val="single" w:color="9AA5B1" w:sz="4" w:space="0"/>
              <w:right w:val="single" w:color="9AA5B1" w:sz="4" w:space="0"/>
            </w:tcBorders>
            <w:vAlign w:val="center"/>
          </w:tcPr>
          <w:p w14:paraId="00000232">
            <w:pPr>
              <w:keepNext/>
              <w:spacing w:before="0" w:after="0" w:line="240" w:lineRule="auto"/>
              <w:jc w:val="left"/>
            </w:pPr>
            <w:r>
              <w:rPr>
                <w:sz w:val="20"/>
                <w:szCs w:val="20"/>
                <w:rtl w:val="0"/>
              </w:rPr>
              <w:t>0.9988</w:t>
            </w:r>
          </w:p>
        </w:tc>
        <w:tc>
          <w:tcPr>
            <w:tcBorders>
              <w:top w:val="single" w:color="9AA5B1" w:sz="4" w:space="0"/>
              <w:left w:val="single" w:color="9AA5B1" w:sz="4" w:space="0"/>
              <w:bottom w:val="single" w:color="9AA5B1" w:sz="4" w:space="0"/>
              <w:right w:val="single" w:color="9AA5B1" w:sz="4" w:space="0"/>
            </w:tcBorders>
            <w:vAlign w:val="center"/>
          </w:tcPr>
          <w:p w14:paraId="00000233">
            <w:pPr>
              <w:keepNext/>
              <w:spacing w:before="0" w:after="0" w:line="240" w:lineRule="auto"/>
              <w:jc w:val="left"/>
            </w:pPr>
            <w:r>
              <w:rPr>
                <w:sz w:val="20"/>
                <w:szCs w:val="20"/>
                <w:rtl w:val="0"/>
              </w:rPr>
              <w:t>about 85 min (search)</w:t>
            </w:r>
          </w:p>
        </w:tc>
      </w:tr>
      <w:tr w14:paraId="0CE95B20">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34">
            <w:pPr>
              <w:keepNext/>
              <w:spacing w:before="0" w:after="0" w:line="240" w:lineRule="auto"/>
              <w:jc w:val="left"/>
            </w:pPr>
            <w:r>
              <w:rPr>
                <w:sz w:val="20"/>
                <w:szCs w:val="20"/>
                <w:rtl w:val="0"/>
              </w:rPr>
              <w:t>XGBoost</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35">
            <w:pPr>
              <w:keepNext/>
              <w:spacing w:before="0" w:after="0" w:line="240" w:lineRule="auto"/>
              <w:jc w:val="left"/>
            </w:pPr>
            <w:r>
              <w:rPr>
                <w:sz w:val="20"/>
                <w:szCs w:val="20"/>
                <w:rtl w:val="0"/>
              </w:rPr>
              <w:t>n_estimators = 300, max_depth = 9, learning_rate = 0.2, subsample = 1.0, colsample_bytree = 0.85</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36">
            <w:pPr>
              <w:keepNext/>
              <w:spacing w:before="0" w:after="0" w:line="240" w:lineRule="auto"/>
              <w:jc w:val="left"/>
            </w:pPr>
            <w:r>
              <w:rPr>
                <w:sz w:val="20"/>
                <w:szCs w:val="20"/>
                <w:rtl w:val="0"/>
              </w:rPr>
              <w:t>0.9993</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37">
            <w:pPr>
              <w:keepNext/>
              <w:spacing w:before="0" w:after="0" w:line="240" w:lineRule="auto"/>
              <w:jc w:val="left"/>
            </w:pPr>
            <w:r>
              <w:rPr>
                <w:sz w:val="20"/>
                <w:szCs w:val="20"/>
                <w:rtl w:val="0"/>
              </w:rPr>
              <w:t>about 11 min (search)</w:t>
            </w:r>
          </w:p>
        </w:tc>
      </w:tr>
      <w:tr w14:paraId="238DC942">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238">
            <w:pPr>
              <w:keepNext w:val="0"/>
              <w:spacing w:before="0" w:after="0" w:line="240" w:lineRule="auto"/>
              <w:jc w:val="left"/>
            </w:pPr>
            <w:r>
              <w:rPr>
                <w:sz w:val="20"/>
                <w:szCs w:val="20"/>
                <w:rtl w:val="0"/>
              </w:rPr>
              <w:t>LSTM</w:t>
            </w:r>
          </w:p>
        </w:tc>
        <w:tc>
          <w:tcPr>
            <w:tcBorders>
              <w:top w:val="single" w:color="9AA5B1" w:sz="4" w:space="0"/>
              <w:left w:val="single" w:color="9AA5B1" w:sz="4" w:space="0"/>
              <w:bottom w:val="single" w:color="9AA5B1" w:sz="4" w:space="0"/>
              <w:right w:val="single" w:color="9AA5B1" w:sz="4" w:space="0"/>
            </w:tcBorders>
            <w:vAlign w:val="center"/>
          </w:tcPr>
          <w:p w14:paraId="00000239">
            <w:pPr>
              <w:keepNext w:val="0"/>
              <w:spacing w:before="0" w:after="0" w:line="240" w:lineRule="auto"/>
              <w:jc w:val="left"/>
            </w:pPr>
            <w:r>
              <w:rPr>
                <w:sz w:val="20"/>
                <w:szCs w:val="20"/>
                <w:rtl w:val="0"/>
              </w:rPr>
              <w:t>10 epochs, batch size 512, 10% validation split</w:t>
            </w:r>
          </w:p>
        </w:tc>
        <w:tc>
          <w:tcPr>
            <w:tcBorders>
              <w:top w:val="single" w:color="9AA5B1" w:sz="4" w:space="0"/>
              <w:left w:val="single" w:color="9AA5B1" w:sz="4" w:space="0"/>
              <w:bottom w:val="single" w:color="9AA5B1" w:sz="4" w:space="0"/>
              <w:right w:val="single" w:color="9AA5B1" w:sz="4" w:space="0"/>
            </w:tcBorders>
            <w:vAlign w:val="center"/>
          </w:tcPr>
          <w:p w14:paraId="0000023A">
            <w:pPr>
              <w:keepNext w:val="0"/>
              <w:spacing w:before="0" w:after="0" w:line="240" w:lineRule="auto"/>
              <w:jc w:val="left"/>
            </w:pPr>
            <w:r>
              <w:rPr>
                <w:sz w:val="20"/>
                <w:szCs w:val="20"/>
                <w:rtl w:val="0"/>
              </w:rPr>
              <w:t>Val. acc. 0.985</w:t>
            </w:r>
          </w:p>
        </w:tc>
        <w:tc>
          <w:tcPr>
            <w:tcBorders>
              <w:top w:val="single" w:color="9AA5B1" w:sz="4" w:space="0"/>
              <w:left w:val="single" w:color="9AA5B1" w:sz="4" w:space="0"/>
              <w:bottom w:val="single" w:color="9AA5B1" w:sz="4" w:space="0"/>
              <w:right w:val="single" w:color="9AA5B1" w:sz="4" w:space="0"/>
            </w:tcBorders>
            <w:vAlign w:val="center"/>
          </w:tcPr>
          <w:p w14:paraId="0000023B">
            <w:pPr>
              <w:keepNext w:val="0"/>
              <w:spacing w:before="0" w:after="0" w:line="240" w:lineRule="auto"/>
              <w:jc w:val="left"/>
            </w:pPr>
            <w:r>
              <w:rPr>
                <w:sz w:val="20"/>
                <w:szCs w:val="20"/>
                <w:rtl w:val="0"/>
              </w:rPr>
              <w:t>CPU only</w:t>
            </w:r>
          </w:p>
        </w:tc>
      </w:tr>
    </w:tbl>
    <w:p w14:paraId="0000023C">
      <w:pPr>
        <w:spacing w:before="0" w:after="120"/>
      </w:pPr>
    </w:p>
    <w:p w14:paraId="0000023D">
      <w:pPr>
        <w:jc w:val="both"/>
      </w:pPr>
      <w:r>
        <w:rPr>
          <w:rtl w:val="0"/>
        </w:rPr>
        <w:t>The LSTM was trained for 10 epochs with a batch size of 512 and 10% of the training data held out for validation. It reached a best validation accuracy of 98.5% at epoch 9. Unlike the smaller 50,000-row run, where training had been erratic, training in this run was stable: validation accuracy rose from 93.5% after the first epoch to 98.5% at epoch 9, and validation loss fell almost steadily from 0.257 to 0.088 over the same period. This suggests that the instability seen in the validation run was caused by too little training data rather than by a flaw in the architecture.</w:t>
      </w:r>
    </w:p>
    <w:p w14:paraId="0000023E">
      <w:pPr>
        <w:jc w:val="both"/>
      </w:pPr>
      <w:r>
        <w:rPr>
          <w:rtl w:val="0"/>
        </w:rPr>
        <w:t>One detail of the training stage needs to be reported honestly. The run log (Section 5.7) shows that SMOTE was applied to the full training partition and that the randomised search was then fitted on the resulting 398,552 rows. This means that the validation folds inside cross-validation contained synthetic attack rows, which departs from the design in Section 4.4. Synthetic points created by interpolation are, on average, easier to classify than genuine ones, so this probably explains why the cross-validated F1-scores (0.9988 and 0.9993) are slightly higher than the F1-scores later measured on the untouched test set (0.9956 and 0.9971). It does not affect the headline results, because the test set never contained synthetic data, but it does mean the cross-validation scores should be read as optimistic. Wrapping SMOTE and the classifier together in an imbalanced-learn pipeline, so that resampling happens inside each fold, is the correct fix and is recommended for future runs [42].</w:t>
      </w:r>
    </w:p>
    <w:p w14:paraId="0000023F">
      <w:pPr>
        <w:pStyle w:val="3"/>
        <w:rPr>
          <w:color w:val="000000"/>
        </w:rPr>
      </w:pPr>
      <w:bookmarkStart w:id="66" w:name="_49zhd5uicv5j" w:colFirst="0" w:colLast="0"/>
      <w:bookmarkEnd w:id="66"/>
      <w:r>
        <w:rPr>
          <w:color w:val="000000"/>
          <w:rtl w:val="0"/>
        </w:rPr>
        <w:t>5.5 Explainability Implementation</w:t>
      </w:r>
    </w:p>
    <w:p w14:paraId="00000240">
      <w:pPr>
        <w:jc w:val="both"/>
      </w:pPr>
      <w:r>
        <w:rPr>
          <w:rtl w:val="0"/>
        </w:rPr>
        <w:t>SHAP's TreeExplainer was applied to Random Forest and XGBoost, and GradientExplainer to the LSTM, as planned in Section 4.6. LIME's tabular explainer was applied in the same way to all three models. Fifty test instances were explained, and each explanation was repeated five times for the stability measure.</w:t>
      </w:r>
    </w:p>
    <w:p w14:paraId="00000241">
      <w:pPr>
        <w:jc w:val="both"/>
      </w:pPr>
      <w:r>
        <w:rPr>
          <w:rtl w:val="0"/>
        </w:rPr>
        <w:t>Mean explanation times per instance differed widely between pairs, as shown in Figure 5.3 and Table 5.3. SHAP on XGBoost was by far the fastest at 0.006 seconds per instance, while SHAP on Random Forest took 0.207 seconds; both were slower than in the 50,000-row run, because the trees grown on the larger training set were deeper and more numerous. SHAP on the LSTM was slower again at 0.258 seconds per instance. LIME was slower than SHAP on XGBoost (0.093 seconds compared with 0.006) and on the LSTM (0.486 seconds compared with 0.258), but slightly faster on Random Forest (0.159 seconds compared with 0.207).</w:t>
      </w:r>
    </w:p>
    <w:p w14:paraId="00000242">
      <w:pPr>
        <w:keepNext/>
        <w:spacing w:before="160" w:after="60" w:line="240" w:lineRule="auto"/>
        <w:jc w:val="center"/>
      </w:pPr>
      <w:r>
        <w:drawing>
          <wp:inline distT="0" distB="0" distL="0" distR="0">
            <wp:extent cx="5353050" cy="2505075"/>
            <wp:effectExtent l="0" t="0" r="0" b="0"/>
            <wp:docPr id="10" name="image2.png" descr="Figure 5.3&#10;Mean time to explain one instance for each model–method pair (300,000-row run)"/>
            <wp:cNvGraphicFramePr/>
            <a:graphic xmlns:a="http://schemas.openxmlformats.org/drawingml/2006/main">
              <a:graphicData uri="http://schemas.openxmlformats.org/drawingml/2006/picture">
                <pic:pic xmlns:pic="http://schemas.openxmlformats.org/drawingml/2006/picture">
                  <pic:nvPicPr>
                    <pic:cNvPr id="10" name="image2.png" descr="Figure 5.3&#10;Mean time to explain one instance for each model–method pair (300,000-row run)"/>
                    <pic:cNvPicPr preferRelativeResize="0"/>
                  </pic:nvPicPr>
                  <pic:blipFill>
                    <a:blip r:embed="rId20"/>
                    <a:srcRect/>
                    <a:stretch>
                      <a:fillRect/>
                    </a:stretch>
                  </pic:blipFill>
                  <pic:spPr>
                    <a:xfrm>
                      <a:off x="0" y="0"/>
                      <a:ext cx="5353050" cy="2505075"/>
                    </a:xfrm>
                    <a:prstGeom prst="rect">
                      <a:avLst/>
                    </a:prstGeom>
                  </pic:spPr>
                </pic:pic>
              </a:graphicData>
            </a:graphic>
          </wp:inline>
        </w:drawing>
      </w:r>
    </w:p>
    <w:p w14:paraId="00000243">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60" w:after="24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67" w:name="_qsm2ooutpms5" w:colFirst="0" w:colLast="0"/>
      <w:bookmarkEnd w:id="67"/>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Figure 5.3: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Mean time to explain one instance for each model–method pair (300,000-row run)</w:t>
      </w:r>
    </w:p>
    <w:p w14:paraId="00000244">
      <w:pPr>
        <w:keepNext/>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00" w:after="8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68" w:name="_86bx8h8jhyt5" w:colFirst="0" w:colLast="0"/>
      <w:bookmarkEnd w:id="68"/>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Table 5.3: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Explanation cost per instance and implied throughput on a single CPU</w:t>
      </w:r>
    </w:p>
    <w:tbl>
      <w:tblPr>
        <w:tblStyle w:val="21"/>
        <w:tblW w:w="8504" w:type="dxa"/>
        <w:tblInd w:w="-90" w:type="dxa"/>
        <w:tblLayout w:type="fixed"/>
        <w:tblCellMar>
          <w:top w:w="50" w:type="dxa"/>
          <w:left w:w="90" w:type="dxa"/>
          <w:bottom w:w="50" w:type="dxa"/>
          <w:right w:w="90" w:type="dxa"/>
        </w:tblCellMar>
      </w:tblPr>
      <w:tblGrid>
        <w:gridCol w:w="1440"/>
        <w:gridCol w:w="1743"/>
        <w:gridCol w:w="1787"/>
        <w:gridCol w:w="1743"/>
        <w:gridCol w:w="1791"/>
      </w:tblGrid>
      <w:tr w14:paraId="5295740E">
        <w:tblPrEx>
          <w:tblCellMar>
            <w:top w:w="50" w:type="dxa"/>
            <w:left w:w="90" w:type="dxa"/>
            <w:bottom w:w="50" w:type="dxa"/>
            <w:right w:w="90" w:type="dxa"/>
          </w:tblCellMar>
        </w:tblPrEx>
        <w:trPr>
          <w:cantSplit/>
          <w:tblHeader/>
        </w:trPr>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45">
            <w:pPr>
              <w:keepNext/>
              <w:spacing w:before="0" w:after="0" w:line="240" w:lineRule="auto"/>
              <w:jc w:val="left"/>
            </w:pPr>
            <w:r>
              <w:rPr>
                <w:b/>
                <w:bCs/>
                <w:sz w:val="18"/>
                <w:szCs w:val="18"/>
                <w:rtl w:val="0"/>
              </w:rPr>
              <w:t>Model</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46">
            <w:pPr>
              <w:keepNext/>
              <w:spacing w:before="0" w:after="0" w:line="240" w:lineRule="auto"/>
              <w:jc w:val="left"/>
            </w:pPr>
            <w:r>
              <w:rPr>
                <w:b/>
                <w:bCs/>
                <w:sz w:val="18"/>
                <w:szCs w:val="18"/>
                <w:rtl w:val="0"/>
              </w:rPr>
              <w:t>SHAP (s / instance)</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47">
            <w:pPr>
              <w:keepNext/>
              <w:spacing w:before="0" w:after="0" w:line="240" w:lineRule="auto"/>
              <w:jc w:val="left"/>
            </w:pPr>
            <w:r>
              <w:rPr>
                <w:b/>
                <w:bCs/>
                <w:sz w:val="18"/>
                <w:szCs w:val="18"/>
                <w:rtl w:val="0"/>
              </w:rPr>
              <w:t>SHAP (instances / s)</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48">
            <w:pPr>
              <w:keepNext/>
              <w:spacing w:before="0" w:after="0" w:line="240" w:lineRule="auto"/>
              <w:jc w:val="left"/>
            </w:pPr>
            <w:r>
              <w:rPr>
                <w:b/>
                <w:bCs/>
                <w:sz w:val="18"/>
                <w:szCs w:val="18"/>
                <w:rtl w:val="0"/>
              </w:rPr>
              <w:t>LIME (s / instance)</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49">
            <w:pPr>
              <w:keepNext/>
              <w:spacing w:before="0" w:after="0" w:line="240" w:lineRule="auto"/>
              <w:jc w:val="left"/>
            </w:pPr>
            <w:r>
              <w:rPr>
                <w:b/>
                <w:bCs/>
                <w:sz w:val="18"/>
                <w:szCs w:val="18"/>
                <w:rtl w:val="0"/>
              </w:rPr>
              <w:t>LIME (instances / s)</w:t>
            </w:r>
          </w:p>
        </w:tc>
      </w:tr>
      <w:tr w14:paraId="16B63B2F">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24A">
            <w:pPr>
              <w:keepNext/>
              <w:spacing w:before="0" w:after="0" w:line="240" w:lineRule="auto"/>
              <w:jc w:val="left"/>
            </w:pPr>
            <w:r>
              <w:rPr>
                <w:sz w:val="18"/>
                <w:szCs w:val="18"/>
                <w:rtl w:val="0"/>
              </w:rPr>
              <w:t>Random Forest</w:t>
            </w:r>
          </w:p>
        </w:tc>
        <w:tc>
          <w:tcPr>
            <w:tcBorders>
              <w:top w:val="single" w:color="9AA5B1" w:sz="4" w:space="0"/>
              <w:left w:val="single" w:color="9AA5B1" w:sz="4" w:space="0"/>
              <w:bottom w:val="single" w:color="9AA5B1" w:sz="4" w:space="0"/>
              <w:right w:val="single" w:color="9AA5B1" w:sz="4" w:space="0"/>
            </w:tcBorders>
            <w:vAlign w:val="center"/>
          </w:tcPr>
          <w:p w14:paraId="0000024B">
            <w:pPr>
              <w:keepNext/>
              <w:spacing w:before="0" w:after="0" w:line="240" w:lineRule="auto"/>
              <w:jc w:val="left"/>
            </w:pPr>
            <w:r>
              <w:rPr>
                <w:sz w:val="18"/>
                <w:szCs w:val="18"/>
                <w:rtl w:val="0"/>
              </w:rPr>
              <w:t>0.207</w:t>
            </w:r>
          </w:p>
        </w:tc>
        <w:tc>
          <w:tcPr>
            <w:tcBorders>
              <w:top w:val="single" w:color="9AA5B1" w:sz="4" w:space="0"/>
              <w:left w:val="single" w:color="9AA5B1" w:sz="4" w:space="0"/>
              <w:bottom w:val="single" w:color="9AA5B1" w:sz="4" w:space="0"/>
              <w:right w:val="single" w:color="9AA5B1" w:sz="4" w:space="0"/>
            </w:tcBorders>
            <w:vAlign w:val="center"/>
          </w:tcPr>
          <w:p w14:paraId="0000024C">
            <w:pPr>
              <w:keepNext/>
              <w:spacing w:before="0" w:after="0" w:line="240" w:lineRule="auto"/>
              <w:jc w:val="left"/>
            </w:pPr>
            <w:r>
              <w:rPr>
                <w:sz w:val="18"/>
                <w:szCs w:val="18"/>
                <w:rtl w:val="0"/>
              </w:rPr>
              <w:t>about 5</w:t>
            </w:r>
          </w:p>
        </w:tc>
        <w:tc>
          <w:tcPr>
            <w:tcBorders>
              <w:top w:val="single" w:color="9AA5B1" w:sz="4" w:space="0"/>
              <w:left w:val="single" w:color="9AA5B1" w:sz="4" w:space="0"/>
              <w:bottom w:val="single" w:color="9AA5B1" w:sz="4" w:space="0"/>
              <w:right w:val="single" w:color="9AA5B1" w:sz="4" w:space="0"/>
            </w:tcBorders>
            <w:vAlign w:val="center"/>
          </w:tcPr>
          <w:p w14:paraId="0000024D">
            <w:pPr>
              <w:keepNext/>
              <w:spacing w:before="0" w:after="0" w:line="240" w:lineRule="auto"/>
              <w:jc w:val="left"/>
            </w:pPr>
            <w:r>
              <w:rPr>
                <w:sz w:val="18"/>
                <w:szCs w:val="18"/>
                <w:rtl w:val="0"/>
              </w:rPr>
              <w:t>0.159</w:t>
            </w:r>
          </w:p>
        </w:tc>
        <w:tc>
          <w:tcPr>
            <w:tcBorders>
              <w:top w:val="single" w:color="9AA5B1" w:sz="4" w:space="0"/>
              <w:left w:val="single" w:color="9AA5B1" w:sz="4" w:space="0"/>
              <w:bottom w:val="single" w:color="9AA5B1" w:sz="4" w:space="0"/>
              <w:right w:val="single" w:color="9AA5B1" w:sz="4" w:space="0"/>
            </w:tcBorders>
            <w:vAlign w:val="center"/>
          </w:tcPr>
          <w:p w14:paraId="0000024E">
            <w:pPr>
              <w:keepNext/>
              <w:spacing w:before="0" w:after="0" w:line="240" w:lineRule="auto"/>
              <w:jc w:val="left"/>
            </w:pPr>
            <w:r>
              <w:rPr>
                <w:sz w:val="18"/>
                <w:szCs w:val="18"/>
                <w:rtl w:val="0"/>
              </w:rPr>
              <w:t>about 6</w:t>
            </w:r>
          </w:p>
        </w:tc>
      </w:tr>
      <w:tr w14:paraId="63493CCD">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4F">
            <w:pPr>
              <w:keepNext/>
              <w:spacing w:before="0" w:after="0" w:line="240" w:lineRule="auto"/>
              <w:jc w:val="left"/>
            </w:pPr>
            <w:r>
              <w:rPr>
                <w:sz w:val="18"/>
                <w:szCs w:val="18"/>
                <w:rtl w:val="0"/>
              </w:rPr>
              <w:t>XGBoost</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50">
            <w:pPr>
              <w:keepNext/>
              <w:spacing w:before="0" w:after="0" w:line="240" w:lineRule="auto"/>
              <w:jc w:val="left"/>
            </w:pPr>
            <w:r>
              <w:rPr>
                <w:sz w:val="18"/>
                <w:szCs w:val="18"/>
                <w:rtl w:val="0"/>
              </w:rPr>
              <w:t>0.006</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51">
            <w:pPr>
              <w:keepNext/>
              <w:spacing w:before="0" w:after="0" w:line="240" w:lineRule="auto"/>
              <w:jc w:val="left"/>
            </w:pPr>
            <w:r>
              <w:rPr>
                <w:sz w:val="18"/>
                <w:szCs w:val="18"/>
                <w:rtl w:val="0"/>
              </w:rPr>
              <w:t>about 160</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52">
            <w:pPr>
              <w:keepNext/>
              <w:spacing w:before="0" w:after="0" w:line="240" w:lineRule="auto"/>
              <w:jc w:val="left"/>
            </w:pPr>
            <w:r>
              <w:rPr>
                <w:sz w:val="18"/>
                <w:szCs w:val="18"/>
                <w:rtl w:val="0"/>
              </w:rPr>
              <w:t>0.093</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53">
            <w:pPr>
              <w:keepNext/>
              <w:spacing w:before="0" w:after="0" w:line="240" w:lineRule="auto"/>
              <w:jc w:val="left"/>
            </w:pPr>
            <w:r>
              <w:rPr>
                <w:sz w:val="18"/>
                <w:szCs w:val="18"/>
                <w:rtl w:val="0"/>
              </w:rPr>
              <w:t>about 11</w:t>
            </w:r>
          </w:p>
        </w:tc>
      </w:tr>
      <w:tr w14:paraId="4D9E1307">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254">
            <w:pPr>
              <w:keepNext w:val="0"/>
              <w:spacing w:before="0" w:after="0" w:line="240" w:lineRule="auto"/>
              <w:jc w:val="left"/>
            </w:pPr>
            <w:r>
              <w:rPr>
                <w:sz w:val="18"/>
                <w:szCs w:val="18"/>
                <w:rtl w:val="0"/>
              </w:rPr>
              <w:t>LSTM</w:t>
            </w:r>
          </w:p>
        </w:tc>
        <w:tc>
          <w:tcPr>
            <w:tcBorders>
              <w:top w:val="single" w:color="9AA5B1" w:sz="4" w:space="0"/>
              <w:left w:val="single" w:color="9AA5B1" w:sz="4" w:space="0"/>
              <w:bottom w:val="single" w:color="9AA5B1" w:sz="4" w:space="0"/>
              <w:right w:val="single" w:color="9AA5B1" w:sz="4" w:space="0"/>
            </w:tcBorders>
            <w:vAlign w:val="center"/>
          </w:tcPr>
          <w:p w14:paraId="00000255">
            <w:pPr>
              <w:keepNext w:val="0"/>
              <w:spacing w:before="0" w:after="0" w:line="240" w:lineRule="auto"/>
              <w:jc w:val="left"/>
            </w:pPr>
            <w:r>
              <w:rPr>
                <w:sz w:val="18"/>
                <w:szCs w:val="18"/>
                <w:rtl w:val="0"/>
              </w:rPr>
              <w:t>0.258</w:t>
            </w:r>
          </w:p>
        </w:tc>
        <w:tc>
          <w:tcPr>
            <w:tcBorders>
              <w:top w:val="single" w:color="9AA5B1" w:sz="4" w:space="0"/>
              <w:left w:val="single" w:color="9AA5B1" w:sz="4" w:space="0"/>
              <w:bottom w:val="single" w:color="9AA5B1" w:sz="4" w:space="0"/>
              <w:right w:val="single" w:color="9AA5B1" w:sz="4" w:space="0"/>
            </w:tcBorders>
            <w:vAlign w:val="center"/>
          </w:tcPr>
          <w:p w14:paraId="00000256">
            <w:pPr>
              <w:keepNext w:val="0"/>
              <w:spacing w:before="0" w:after="0" w:line="240" w:lineRule="auto"/>
              <w:jc w:val="left"/>
            </w:pPr>
            <w:r>
              <w:rPr>
                <w:sz w:val="18"/>
                <w:szCs w:val="18"/>
                <w:rtl w:val="0"/>
              </w:rPr>
              <w:t>about 4</w:t>
            </w:r>
          </w:p>
        </w:tc>
        <w:tc>
          <w:tcPr>
            <w:tcBorders>
              <w:top w:val="single" w:color="9AA5B1" w:sz="4" w:space="0"/>
              <w:left w:val="single" w:color="9AA5B1" w:sz="4" w:space="0"/>
              <w:bottom w:val="single" w:color="9AA5B1" w:sz="4" w:space="0"/>
              <w:right w:val="single" w:color="9AA5B1" w:sz="4" w:space="0"/>
            </w:tcBorders>
            <w:vAlign w:val="center"/>
          </w:tcPr>
          <w:p w14:paraId="00000257">
            <w:pPr>
              <w:keepNext w:val="0"/>
              <w:spacing w:before="0" w:after="0" w:line="240" w:lineRule="auto"/>
              <w:jc w:val="left"/>
            </w:pPr>
            <w:r>
              <w:rPr>
                <w:sz w:val="18"/>
                <w:szCs w:val="18"/>
                <w:rtl w:val="0"/>
              </w:rPr>
              <w:t>0.486</w:t>
            </w:r>
          </w:p>
        </w:tc>
        <w:tc>
          <w:tcPr>
            <w:tcBorders>
              <w:top w:val="single" w:color="9AA5B1" w:sz="4" w:space="0"/>
              <w:left w:val="single" w:color="9AA5B1" w:sz="4" w:space="0"/>
              <w:bottom w:val="single" w:color="9AA5B1" w:sz="4" w:space="0"/>
              <w:right w:val="single" w:color="9AA5B1" w:sz="4" w:space="0"/>
            </w:tcBorders>
            <w:vAlign w:val="center"/>
          </w:tcPr>
          <w:p w14:paraId="00000258">
            <w:pPr>
              <w:keepNext w:val="0"/>
              <w:spacing w:before="0" w:after="0" w:line="240" w:lineRule="auto"/>
              <w:jc w:val="left"/>
            </w:pPr>
            <w:r>
              <w:rPr>
                <w:sz w:val="18"/>
                <w:szCs w:val="18"/>
                <w:rtl w:val="0"/>
              </w:rPr>
              <w:t>about 2</w:t>
            </w:r>
          </w:p>
        </w:tc>
      </w:tr>
    </w:tbl>
    <w:p w14:paraId="00000259">
      <w:pPr>
        <w:spacing w:before="0" w:after="120"/>
      </w:pPr>
    </w:p>
    <w:p w14:paraId="0000025A">
      <w:pPr>
        <w:jc w:val="both"/>
      </w:pPr>
      <w:r>
        <w:rPr>
          <w:rtl w:val="0"/>
        </w:rPr>
        <w:t>The throughput column makes the practical implications clearer. At roughly 160 explanations per second on a single laptop CPU, SHAP on XGBoost could explain every alert in a busy SOC in real time. The other five pairs, at between two and eleven explanations per second, would be better suited to explaining alerts on demand when an analyst opens them, or to explaining a prioritised subset.</w:t>
      </w:r>
    </w:p>
    <w:p w14:paraId="0000025B">
      <w:pPr>
        <w:pStyle w:val="3"/>
        <w:rPr>
          <w:color w:val="000000"/>
        </w:rPr>
      </w:pPr>
      <w:bookmarkStart w:id="69" w:name="_dn7i3rwvs8st" w:colFirst="0" w:colLast="0"/>
      <w:bookmarkEnd w:id="69"/>
      <w:r>
        <w:rPr>
          <w:color w:val="000000"/>
          <w:rtl w:val="0"/>
        </w:rPr>
        <w:t>5.6 Implementation Challenges</w:t>
      </w:r>
    </w:p>
    <w:p w14:paraId="0000025C">
      <w:pPr>
        <w:jc w:val="both"/>
      </w:pPr>
      <w:r>
        <w:rPr>
          <w:rtl w:val="0"/>
        </w:rPr>
        <w:t>Three implementation challenges shaped the scale and character of the final results.</w:t>
      </w:r>
    </w:p>
    <w:p w14:paraId="0000025D">
      <w:pPr>
        <w:jc w:val="both"/>
      </w:pPr>
      <w:r>
        <w:rPr>
          <w:rtl w:val="0"/>
        </w:rPr>
        <w:t>The first was scale. As described above, processing the full cleaned dataset of 2.52 million rows within the available time and computing resources was not feasible, which led to the two-stage approach: a 50,000-row run to confirm that the pipeline worked correctly on real data, followed by the 300,000-row run reported as the main result.</w:t>
      </w:r>
    </w:p>
    <w:p w14:paraId="0000025E">
      <w:pPr>
        <w:jc w:val="both"/>
      </w:pPr>
      <w:r>
        <w:rPr>
          <w:rtl w:val="0"/>
        </w:rPr>
        <w:t xml:space="preserve">The second concerned parallelism. While the Random Forest stage of the 300,000-row run was in progress, Task Manager showed twelve </w:t>
      </w:r>
      <w:r>
        <w:rPr>
          <w:rFonts w:ascii="Consolas" w:hAnsi="Consolas" w:eastAsia="Consolas" w:cs="Consolas"/>
          <w:sz w:val="22"/>
          <w:szCs w:val="22"/>
          <w:rtl w:val="0"/>
        </w:rPr>
        <w:t>python.exe</w:t>
      </w:r>
      <w:r>
        <w:rPr>
          <w:rtl w:val="0"/>
        </w:rPr>
        <w:t xml:space="preserve"> processes running at once on a machine with eight logical processors, more worker processes than there were cores to run them. This was caused by nested parallelism: both RandomizedSearchCV and the Random Forest and XGBoost estimators inside it had been configured to use every core (</w:t>
      </w:r>
      <w:r>
        <w:rPr>
          <w:rFonts w:ascii="Consolas" w:hAnsi="Consolas" w:eastAsia="Consolas" w:cs="Consolas"/>
          <w:sz w:val="22"/>
          <w:szCs w:val="22"/>
          <w:rtl w:val="0"/>
        </w:rPr>
        <w:t>n_jobs=-1</w:t>
      </w:r>
      <w:r>
        <w:rPr>
          <w:rtl w:val="0"/>
        </w:rPr>
        <w:t xml:space="preserve">), so each parallel search worker tried to start its own pool of workers. Oversubscription of this kind leads to constant context switching and memory pressure and is a plausible contributor to the Random Forest search taking about 85 minutes, far longer than a simple linear extrapolation from the 50,000-row run would suggest. It is unlikely to be the whole explanation, since the deeper trees grown on six times more data are also much more expensive to fit. A fix, setting </w:t>
      </w:r>
      <w:r>
        <w:rPr>
          <w:rFonts w:ascii="Consolas" w:hAnsi="Consolas" w:eastAsia="Consolas" w:cs="Consolas"/>
          <w:sz w:val="22"/>
          <w:szCs w:val="22"/>
          <w:rtl w:val="0"/>
        </w:rPr>
        <w:t>n_jobs=1</w:t>
      </w:r>
      <w:r>
        <w:rPr>
          <w:rtl w:val="0"/>
        </w:rPr>
        <w:t xml:space="preserve"> on the inner estimators and leaving parallelism to the search, was added to the code after the search had finished. The search was not re-run, because doing so would have cost several more hours for an uncertain saving, but the fix remains in the code for future runs.</w:t>
      </w:r>
    </w:p>
    <w:p w14:paraId="0000025F">
      <w:pPr>
        <w:jc w:val="both"/>
      </w:pPr>
      <w:r>
        <w:rPr>
          <w:rtl w:val="0"/>
        </w:rPr>
        <w:t>The third was the cross-validation leakage described in Section 5.4, which was noticed only when the run logs were examined closely after the experiment. It is recorded here because it is exactly the kind of subtle pitfall that Arp et al. warn about [24], and because finding it depended on the pipeline's habit of logging data shapes at every step.</w:t>
      </w:r>
    </w:p>
    <w:p w14:paraId="00000260">
      <w:pPr>
        <w:pStyle w:val="3"/>
        <w:rPr>
          <w:color w:val="000000"/>
        </w:rPr>
      </w:pPr>
      <w:bookmarkStart w:id="70" w:name="_n1xn2ii5s2n2" w:colFirst="0" w:colLast="0"/>
      <w:bookmarkEnd w:id="70"/>
      <w:r>
        <w:rPr>
          <w:color w:val="000000"/>
          <w:rtl w:val="0"/>
        </w:rPr>
        <w:t>5.7 Reproducibility Check on a Second Machine</w:t>
      </w:r>
    </w:p>
    <w:p w14:paraId="00000261">
      <w:pPr>
        <w:jc w:val="both"/>
      </w:pPr>
      <w:r>
        <w:rPr>
          <w:rtl w:val="0"/>
        </w:rPr>
        <w:t>To check that the pipeline could be set up and run by someone other than the original developer, and on a different operating system, it was installed and run again on a second machine running Kali Linux. The screenshots below were captured during this check. They document the environment verification, the project README, the synthetic smoke test and the start of a full preprocessing and training run on the real CICIDS2017 files.</w:t>
      </w:r>
    </w:p>
    <w:p w14:paraId="00000262">
      <w:pPr>
        <w:keepNext/>
        <w:spacing w:before="160" w:after="60" w:line="240" w:lineRule="auto"/>
        <w:jc w:val="center"/>
      </w:pPr>
      <w:r>
        <w:drawing>
          <wp:inline distT="0" distB="0" distL="0" distR="0">
            <wp:extent cx="5353050" cy="2838450"/>
            <wp:effectExtent l="0" t="0" r="0" b="0"/>
            <wp:docPr id="11" name="image13.png" descr="Figure 5.4&#10;Environment verification output followed by the project README on the Kali Linux machine"/>
            <wp:cNvGraphicFramePr/>
            <a:graphic xmlns:a="http://schemas.openxmlformats.org/drawingml/2006/main">
              <a:graphicData uri="http://schemas.openxmlformats.org/drawingml/2006/picture">
                <pic:pic xmlns:pic="http://schemas.openxmlformats.org/drawingml/2006/picture">
                  <pic:nvPicPr>
                    <pic:cNvPr id="11" name="image13.png" descr="Figure 5.4&#10;Environment verification output followed by the project README on the Kali Linux machine"/>
                    <pic:cNvPicPr preferRelativeResize="0"/>
                  </pic:nvPicPr>
                  <pic:blipFill>
                    <a:blip r:embed="rId21"/>
                    <a:srcRect/>
                    <a:stretch>
                      <a:fillRect/>
                    </a:stretch>
                  </pic:blipFill>
                  <pic:spPr>
                    <a:xfrm>
                      <a:off x="0" y="0"/>
                      <a:ext cx="5353050" cy="2838450"/>
                    </a:xfrm>
                    <a:prstGeom prst="rect">
                      <a:avLst/>
                    </a:prstGeom>
                  </pic:spPr>
                </pic:pic>
              </a:graphicData>
            </a:graphic>
          </wp:inline>
        </w:drawing>
      </w:r>
    </w:p>
    <w:p w14:paraId="00000263">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60" w:after="24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71" w:name="_q5qs87kafkdu" w:colFirst="0" w:colLast="0"/>
      <w:bookmarkEnd w:id="71"/>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Figure 5.4: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Environment verification output followed by the project README on the Kali Linux machine</w:t>
      </w:r>
    </w:p>
    <w:p w14:paraId="00000264">
      <w:pPr>
        <w:jc w:val="both"/>
      </w:pPr>
      <w:r>
        <w:rPr>
          <w:rtl w:val="0"/>
        </w:rPr>
        <w:t xml:space="preserve">Figure 5.4 shows the end of the dependency check and the start of the project README. The upper lines are TensorFlow start-up messages. They report that no CUDA drivers were found, so the GPU will not be used and all computation will run on the CPU, exactly as on the primary machine. They also note that the CPU supports AVX2, AVX-512 and FMA instructions, and that oneDNN custom operations are enabled, which can produce very small floating-point differences between machines. The line "ALL PACKAGES OK" confirms that every library listed in the requirements file imported correctly inside the virtual environment, shown in the prompt as </w:t>
      </w:r>
      <w:r>
        <w:rPr>
          <w:rFonts w:ascii="Consolas" w:hAnsi="Consolas" w:eastAsia="Consolas" w:cs="Consolas"/>
          <w:sz w:val="22"/>
          <w:szCs w:val="22"/>
          <w:rtl w:val="0"/>
        </w:rPr>
        <w:t>venv_linux</w:t>
      </w:r>
      <w:r>
        <w:rPr>
          <w:rtl w:val="0"/>
        </w:rPr>
        <w:t xml:space="preserve">. The command </w:t>
      </w:r>
      <w:r>
        <w:rPr>
          <w:rFonts w:ascii="Consolas" w:hAnsi="Consolas" w:eastAsia="Consolas" w:cs="Consolas"/>
          <w:sz w:val="22"/>
          <w:szCs w:val="22"/>
          <w:rtl w:val="0"/>
        </w:rPr>
        <w:t>cat README.md</w:t>
      </w:r>
      <w:r>
        <w:rPr>
          <w:rtl w:val="0"/>
        </w:rPr>
        <w:t xml:space="preserve"> then prints the README, which summarises the five-stage pipeline and states candidly that, at the time it was written, the code had only been smoke-tested on synthetic data. The setup instructions show the standard sequence of creating a virtual environment, activating it and installing the pinned requirements, and note that the code was tested with Python 3.12.</w:t>
      </w:r>
    </w:p>
    <w:p w14:paraId="00000265">
      <w:pPr>
        <w:keepNext/>
        <w:spacing w:before="160" w:after="60" w:line="240" w:lineRule="auto"/>
        <w:jc w:val="center"/>
      </w:pPr>
      <w:r>
        <w:drawing>
          <wp:inline distT="0" distB="0" distL="0" distR="0">
            <wp:extent cx="5353050" cy="2686050"/>
            <wp:effectExtent l="0" t="0" r="0" b="0"/>
            <wp:docPr id="13" name="image14.png" descr="Figure 5.5&#10;README sections mapping code modules to report chapters and listing known limitations"/>
            <wp:cNvGraphicFramePr/>
            <a:graphic xmlns:a="http://schemas.openxmlformats.org/drawingml/2006/main">
              <a:graphicData uri="http://schemas.openxmlformats.org/drawingml/2006/picture">
                <pic:pic xmlns:pic="http://schemas.openxmlformats.org/drawingml/2006/picture">
                  <pic:nvPicPr>
                    <pic:cNvPr id="13" name="image14.png" descr="Figure 5.5&#10;README sections mapping code modules to report chapters and listing known limitations"/>
                    <pic:cNvPicPr preferRelativeResize="0"/>
                  </pic:nvPicPr>
                  <pic:blipFill>
                    <a:blip r:embed="rId22"/>
                    <a:srcRect/>
                    <a:stretch>
                      <a:fillRect/>
                    </a:stretch>
                  </pic:blipFill>
                  <pic:spPr>
                    <a:xfrm>
                      <a:off x="0" y="0"/>
                      <a:ext cx="5353050" cy="2686050"/>
                    </a:xfrm>
                    <a:prstGeom prst="rect">
                      <a:avLst/>
                    </a:prstGeom>
                  </pic:spPr>
                </pic:pic>
              </a:graphicData>
            </a:graphic>
          </wp:inline>
        </w:drawing>
      </w:r>
    </w:p>
    <w:p w14:paraId="00000266">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60" w:after="24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72" w:name="_gedjpdwsrm88" w:colFirst="0" w:colLast="0"/>
      <w:bookmarkEnd w:id="72"/>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Figure 5.5: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README sections mapping code modules to report chapters and listing known limitations</w:t>
      </w:r>
    </w:p>
    <w:p w14:paraId="00000267">
      <w:pPr>
        <w:jc w:val="both"/>
      </w:pPr>
      <w:r>
        <w:rPr>
          <w:rtl w:val="0"/>
        </w:rPr>
        <w:t xml:space="preserve">Figure 5.5 shows two later sections of the README. Section 6 maps each source module to the part of this report it supports: </w:t>
      </w:r>
      <w:r>
        <w:rPr>
          <w:rFonts w:ascii="Consolas" w:hAnsi="Consolas" w:eastAsia="Consolas" w:cs="Consolas"/>
          <w:sz w:val="22"/>
          <w:szCs w:val="22"/>
          <w:rtl w:val="0"/>
        </w:rPr>
        <w:t>data_preprocessing.py</w:t>
      </w:r>
      <w:r>
        <w:rPr>
          <w:rtl w:val="0"/>
        </w:rPr>
        <w:t xml:space="preserve"> to Sections 3.5, 4.4 and 5.3; </w:t>
      </w:r>
      <w:r>
        <w:rPr>
          <w:rFonts w:ascii="Consolas" w:hAnsi="Consolas" w:eastAsia="Consolas" w:cs="Consolas"/>
          <w:sz w:val="22"/>
          <w:szCs w:val="22"/>
          <w:rtl w:val="0"/>
        </w:rPr>
        <w:t>models.py</w:t>
      </w:r>
      <w:r>
        <w:rPr>
          <w:rtl w:val="0"/>
        </w:rPr>
        <w:t xml:space="preserve"> to Sections 3.6, 4.5 and 5.4; </w:t>
      </w:r>
      <w:r>
        <w:rPr>
          <w:rFonts w:ascii="Consolas" w:hAnsi="Consolas" w:eastAsia="Consolas" w:cs="Consolas"/>
          <w:sz w:val="22"/>
          <w:szCs w:val="22"/>
          <w:rtl w:val="0"/>
        </w:rPr>
        <w:t>explainability.py</w:t>
      </w:r>
      <w:r>
        <w:rPr>
          <w:rtl w:val="0"/>
        </w:rPr>
        <w:t xml:space="preserve"> to Sections 3.7, 4.6 and 5.5; </w:t>
      </w:r>
      <w:r>
        <w:rPr>
          <w:rFonts w:ascii="Consolas" w:hAnsi="Consolas" w:eastAsia="Consolas" w:cs="Consolas"/>
          <w:sz w:val="22"/>
          <w:szCs w:val="22"/>
          <w:rtl w:val="0"/>
        </w:rPr>
        <w:t>evaluate.py</w:t>
      </w:r>
      <w:r>
        <w:rPr>
          <w:rtl w:val="0"/>
        </w:rPr>
        <w:t xml:space="preserve"> to Sections 3.8, 4.7 and Chapter 6; and </w:t>
      </w:r>
      <w:r>
        <w:rPr>
          <w:rFonts w:ascii="Consolas" w:hAnsi="Consolas" w:eastAsia="Consolas" w:cs="Consolas"/>
          <w:sz w:val="22"/>
          <w:szCs w:val="22"/>
          <w:rtl w:val="0"/>
        </w:rPr>
        <w:t>main.py</w:t>
      </w:r>
      <w:r>
        <w:rPr>
          <w:rtl w:val="0"/>
        </w:rPr>
        <w:t xml:space="preserve"> to the five-stage pipeline of Section 4.3. (The README itself quotes section numbers from an earlier draft of this report; the numbers given here are the current ones.) It also names the two output files, </w:t>
      </w:r>
      <w:r>
        <w:rPr>
          <w:rFonts w:ascii="Consolas" w:hAnsi="Consolas" w:eastAsia="Consolas" w:cs="Consolas"/>
          <w:sz w:val="22"/>
          <w:szCs w:val="22"/>
          <w:rtl w:val="0"/>
        </w:rPr>
        <w:t>results/detection_metrics.csv</w:t>
      </w:r>
      <w:r>
        <w:rPr>
          <w:rtl w:val="0"/>
        </w:rPr>
        <w:t xml:space="preserve"> and </w:t>
      </w:r>
      <w:r>
        <w:rPr>
          <w:rFonts w:ascii="Consolas" w:hAnsi="Consolas" w:eastAsia="Consolas" w:cs="Consolas"/>
          <w:sz w:val="22"/>
          <w:szCs w:val="22"/>
          <w:rtl w:val="0"/>
        </w:rPr>
        <w:t>results/explanation_metrics.csv</w:t>
      </w:r>
      <w:r>
        <w:rPr>
          <w:rtl w:val="0"/>
        </w:rPr>
        <w:t>, from which the tables in Chapter 6 are built. Section 7 lists three known limitations that are carried into Chapter 7 of this report: the LSTM's sequential framing of tabular features is a modelling choice rather than a claim about temporal order; the deletion-based fidelity metric is one reasonable operationalisation of fidelity rather than a field standard; and N_EXPLAIN_INSTANCES = 50 is a sample of the test set, chosen because SHAP and LIME on the full test set would be very expensive, especially for the LSTM.</w:t>
      </w:r>
    </w:p>
    <w:p w14:paraId="00000268">
      <w:pPr>
        <w:keepNext/>
        <w:spacing w:before="160" w:after="60" w:line="240" w:lineRule="auto"/>
        <w:jc w:val="center"/>
      </w:pPr>
      <w:r>
        <w:drawing>
          <wp:inline distT="0" distB="0" distL="0" distR="0">
            <wp:extent cx="5353050" cy="2838450"/>
            <wp:effectExtent l="0" t="0" r="0" b="0"/>
            <wp:docPr id="14" name="image20.png" descr="Figure 5.6&#10;Synthetic smoke-test data generation and the start of a real-data run with explainability skipped"/>
            <wp:cNvGraphicFramePr/>
            <a:graphic xmlns:a="http://schemas.openxmlformats.org/drawingml/2006/main">
              <a:graphicData uri="http://schemas.openxmlformats.org/drawingml/2006/picture">
                <pic:pic xmlns:pic="http://schemas.openxmlformats.org/drawingml/2006/picture">
                  <pic:nvPicPr>
                    <pic:cNvPr id="14" name="image20.png" descr="Figure 5.6&#10;Synthetic smoke-test data generation and the start of a real-data run with explainability skipped"/>
                    <pic:cNvPicPr preferRelativeResize="0"/>
                  </pic:nvPicPr>
                  <pic:blipFill>
                    <a:blip r:embed="rId23"/>
                    <a:srcRect/>
                    <a:stretch>
                      <a:fillRect/>
                    </a:stretch>
                  </pic:blipFill>
                  <pic:spPr>
                    <a:xfrm>
                      <a:off x="0" y="0"/>
                      <a:ext cx="5353050" cy="2838450"/>
                    </a:xfrm>
                    <a:prstGeom prst="rect">
                      <a:avLst/>
                    </a:prstGeom>
                  </pic:spPr>
                </pic:pic>
              </a:graphicData>
            </a:graphic>
          </wp:inline>
        </w:drawing>
      </w:r>
    </w:p>
    <w:p w14:paraId="00000269">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60" w:after="24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73" w:name="_d32i8qdehh84" w:colFirst="0" w:colLast="0"/>
      <w:bookmarkEnd w:id="73"/>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Figure 5.6: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Synthetic smoke-test data generation and the start of a real-data run with explainability skipped</w:t>
      </w:r>
    </w:p>
    <w:p w14:paraId="0000026A">
      <w:pPr>
        <w:jc w:val="both"/>
      </w:pPr>
      <w:r>
        <w:rPr>
          <w:rtl w:val="0"/>
        </w:rPr>
        <w:t xml:space="preserve">Figure 5.6 shows the smoke-test workflow. The command </w:t>
      </w:r>
      <w:r>
        <w:rPr>
          <w:rFonts w:ascii="Consolas" w:hAnsi="Consolas" w:eastAsia="Consolas" w:cs="Consolas"/>
          <w:sz w:val="22"/>
          <w:szCs w:val="22"/>
          <w:rtl w:val="0"/>
        </w:rPr>
        <w:t>python -m src.make_synthetic_data</w:t>
      </w:r>
      <w:r>
        <w:rPr>
          <w:rtl w:val="0"/>
        </w:rPr>
        <w:t xml:space="preserve"> wrote 5,050 synthetic rows to </w:t>
      </w:r>
      <w:r>
        <w:rPr>
          <w:rFonts w:ascii="Consolas" w:hAnsi="Consolas" w:eastAsia="Consolas" w:cs="Consolas"/>
          <w:sz w:val="22"/>
          <w:szCs w:val="22"/>
          <w:rtl w:val="0"/>
        </w:rPr>
        <w:t>data/raw/synthetic_sample.csv</w:t>
      </w:r>
      <w:r>
        <w:rPr>
          <w:rtl w:val="0"/>
        </w:rPr>
        <w:t xml:space="preserve"> and suggested running </w:t>
      </w:r>
      <w:r>
        <w:rPr>
          <w:rFonts w:ascii="Consolas" w:hAnsi="Consolas" w:eastAsia="Consolas" w:cs="Consolas"/>
          <w:sz w:val="22"/>
          <w:szCs w:val="22"/>
          <w:rtl w:val="0"/>
        </w:rPr>
        <w:t>python -m src.main</w:t>
      </w:r>
      <w:r>
        <w:rPr>
          <w:rtl w:val="0"/>
        </w:rPr>
        <w:t xml:space="preserve"> next. The following line shows an attempt to inspect the file by typing its path directly at the prompt, which returned "permission denied". This is not a pipeline error: the shell tried to execute the CSV file as a program. A viewer such as </w:t>
      </w:r>
      <w:r>
        <w:rPr>
          <w:rFonts w:ascii="Consolas" w:hAnsi="Consolas" w:eastAsia="Consolas" w:cs="Consolas"/>
          <w:sz w:val="22"/>
          <w:szCs w:val="22"/>
          <w:rtl w:val="0"/>
        </w:rPr>
        <w:t>head</w:t>
      </w:r>
      <w:r>
        <w:rPr>
          <w:rtl w:val="0"/>
        </w:rPr>
        <w:t xml:space="preserve"> or </w:t>
      </w:r>
      <w:r>
        <w:rPr>
          <w:rFonts w:ascii="Consolas" w:hAnsi="Consolas" w:eastAsia="Consolas" w:cs="Consolas"/>
          <w:sz w:val="22"/>
          <w:szCs w:val="22"/>
          <w:rtl w:val="0"/>
        </w:rPr>
        <w:t>less</w:t>
      </w:r>
      <w:r>
        <w:rPr>
          <w:rtl w:val="0"/>
        </w:rPr>
        <w:t xml:space="preserve"> is the right tool for inspecting it. The synthetic data were then regenerated, and the main pipeline was launched with </w:t>
      </w:r>
      <w:r>
        <w:rPr>
          <w:rFonts w:ascii="Consolas" w:hAnsi="Consolas" w:eastAsia="Consolas" w:cs="Consolas"/>
          <w:sz w:val="22"/>
          <w:szCs w:val="22"/>
          <w:rtl w:val="0"/>
        </w:rPr>
        <w:t>--skip-explainability</w:t>
      </w:r>
      <w:r>
        <w:rPr>
          <w:rtl w:val="0"/>
        </w:rPr>
        <w:t xml:space="preserve"> for a faster check of the data and training stages. The first log lines confirm that stages 1 and 2 had started and that nine CSV files were found in </w:t>
      </w:r>
      <w:r>
        <w:rPr>
          <w:rFonts w:ascii="Consolas" w:hAnsi="Consolas" w:eastAsia="Consolas" w:cs="Consolas"/>
          <w:sz w:val="22"/>
          <w:szCs w:val="22"/>
          <w:rtl w:val="0"/>
        </w:rPr>
        <w:t>data/raw</w:t>
      </w:r>
      <w:r>
        <w:rPr>
          <w:rtl w:val="0"/>
        </w:rPr>
        <w:t>.</w:t>
      </w:r>
    </w:p>
    <w:p w14:paraId="0000026B">
      <w:pPr>
        <w:keepNext/>
        <w:spacing w:before="160" w:after="60" w:line="240" w:lineRule="auto"/>
        <w:jc w:val="center"/>
      </w:pPr>
      <w:r>
        <w:drawing>
          <wp:inline distT="0" distB="0" distL="0" distR="0">
            <wp:extent cx="5353050" cy="2838450"/>
            <wp:effectExtent l="0" t="0" r="0" b="0"/>
            <wp:docPr id="15" name="image19.png" descr="Figure 5.7&#10;Full preprocessing log and start of Random Forest training on the Kali Linux machine"/>
            <wp:cNvGraphicFramePr/>
            <a:graphic xmlns:a="http://schemas.openxmlformats.org/drawingml/2006/main">
              <a:graphicData uri="http://schemas.openxmlformats.org/drawingml/2006/picture">
                <pic:pic xmlns:pic="http://schemas.openxmlformats.org/drawingml/2006/picture">
                  <pic:nvPicPr>
                    <pic:cNvPr id="15" name="image19.png" descr="Figure 5.7&#10;Full preprocessing log and start of Random Forest training on the Kali Linux machine"/>
                    <pic:cNvPicPr preferRelativeResize="0"/>
                  </pic:nvPicPr>
                  <pic:blipFill>
                    <a:blip r:embed="rId24"/>
                    <a:srcRect/>
                    <a:stretch>
                      <a:fillRect/>
                    </a:stretch>
                  </pic:blipFill>
                  <pic:spPr>
                    <a:xfrm>
                      <a:off x="0" y="0"/>
                      <a:ext cx="5353050" cy="2838450"/>
                    </a:xfrm>
                    <a:prstGeom prst="rect">
                      <a:avLst/>
                    </a:prstGeom>
                  </pic:spPr>
                </pic:pic>
              </a:graphicData>
            </a:graphic>
          </wp:inline>
        </w:drawing>
      </w:r>
    </w:p>
    <w:p w14:paraId="0000026C">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60" w:after="24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74" w:name="_mewkoxh28vml" w:colFirst="0" w:colLast="0"/>
      <w:bookmarkEnd w:id="74"/>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Figure 5.7: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Full preprocessing log and start of Random Forest training on the Kali Linux machine</w:t>
      </w:r>
    </w:p>
    <w:p w14:paraId="0000026D">
      <w:pPr>
        <w:jc w:val="both"/>
      </w:pPr>
      <w:r>
        <w:rPr>
          <w:rtl w:val="0"/>
        </w:rPr>
        <w:t>Figure 5.7 shows the complete preprocessing log for this run, which took just over a minute from start to the beginning of model training. The combined raw data had a shape of 2,835,793 rows by 79 columns. Cleaning reduced this to 2,520,798 rows, removing 314,995 (11.11%). The cleaned data were subsampled to SUBSAMPLE_N = 300,000 rows. The class distribution before SMOTE was 199,276 benign and 40,724 attack rows, and after SMOTE both classes had 199,276 rows. The training set had a shape of 398,552 by 78 and the test set 60,000 by 78. Stage 3 then began, and the Random Forest search reported "Fitting 5 folds for each of 10 candidates, totalling 50 fits".</w:t>
      </w:r>
    </w:p>
    <w:p w14:paraId="0000026E">
      <w:pPr>
        <w:jc w:val="both"/>
      </w:pPr>
      <w:r>
        <w:rPr>
          <w:rtl w:val="0"/>
        </w:rPr>
        <w:t xml:space="preserve">Comparing these numbers with the primary run reveals something worth recording. The loader had picked up nine files rather than eight, because the synthetic smoke-test file had been left in </w:t>
      </w:r>
      <w:r>
        <w:rPr>
          <w:rFonts w:ascii="Consolas" w:hAnsi="Consolas" w:eastAsia="Consolas" w:cs="Consolas"/>
          <w:sz w:val="22"/>
          <w:szCs w:val="22"/>
          <w:rtl w:val="0"/>
        </w:rPr>
        <w:t>data/raw</w:t>
      </w:r>
      <w:r>
        <w:rPr>
          <w:rFonts w:ascii="Gungsuh" w:hAnsi="Gungsuh" w:eastAsia="Gungsuh" w:cs="Gungsuh"/>
          <w:rtl w:val="0"/>
        </w:rPr>
        <w:t xml:space="preserve"> alongside the eight real CICIDS2017 files. This accounts precisely for the difference in raw size: 2,835,793 − 2,830,743 = 5,050, the number of synthetic rows. The number of rows removed in cleaning was also higher by exactly 5,050 (314,995 against 309,945), and the cleaned dataset had exactly the same size as in the primary run. The arithmetic indicates that every synthetic row was discarded during cleaning, which is consistent with the synthetic file's values not surviving the missing-value, infinity and duplicate checks. The higher removal percentage (11.11% against 10.95%) is simply a consequence of the larger denominator.</w:t>
      </w:r>
    </w:p>
    <w:p w14:paraId="0000026F">
      <w:pPr>
        <w:jc w:val="both"/>
      </w:pPr>
      <w:r>
        <w:rPr>
          <w:rtl w:val="0"/>
        </w:rPr>
        <w:t xml:space="preserve">Two conclusions follow. The encouraging one is that the preprocessing is deterministic and portable: on a different machine and operating system, the cleaned row count, the class counts before and after SMOTE and the training and test shapes all matched the primary run exactly. The cautionary one is that the loader reads every CSV file in </w:t>
      </w:r>
      <w:r>
        <w:rPr>
          <w:rFonts w:ascii="Consolas" w:hAnsi="Consolas" w:eastAsia="Consolas" w:cs="Consolas"/>
          <w:sz w:val="22"/>
          <w:szCs w:val="22"/>
          <w:rtl w:val="0"/>
        </w:rPr>
        <w:t>data/raw</w:t>
      </w:r>
      <w:r>
        <w:rPr>
          <w:rtl w:val="0"/>
        </w:rPr>
        <w:t>, so a stray file can silently enter the dataset. In this case the cleaning step happened to remove it, but that should not be relied upon. The loader should instead read only the eight named CICIDS2017 files, or the synthetic generator should write to a separate folder. Both changes are recommended in Chapter 7.</w:t>
      </w:r>
    </w:p>
    <w:p w14:paraId="00000270">
      <w:pPr>
        <w:pStyle w:val="3"/>
        <w:rPr>
          <w:color w:val="000000"/>
        </w:rPr>
      </w:pPr>
      <w:bookmarkStart w:id="75" w:name="_w036p3d4qclc" w:colFirst="0" w:colLast="0"/>
      <w:bookmarkEnd w:id="75"/>
      <w:r>
        <w:rPr>
          <w:color w:val="000000"/>
          <w:rtl w:val="0"/>
        </w:rPr>
        <w:t>5.8 Chapter Summary</w:t>
      </w:r>
    </w:p>
    <w:p w14:paraId="00000271">
      <w:pPr>
        <w:jc w:val="both"/>
      </w:pPr>
      <w:r>
        <w:rPr>
          <w:rtl w:val="0"/>
        </w:rPr>
        <w:t>This chapter has described the implementation of the Chapter 4 design, with the actual preprocessing volumes, the hyperparameters selected by cross-validation, the measured cost of each explanation method and an honest account of the constraints imposed by the hardware. It has also reported a reproducibility check on a second machine, which confirmed that preprocessing gives identical results across platforms and exposed a small but instructive weakness in how input files are loaded. The detection and explanation results of the 300,000-row run are presented and discussed in Chapter 6.</w:t>
      </w:r>
      <w:r>
        <w:br w:type="page"/>
      </w:r>
    </w:p>
    <w:p w14:paraId="00000272">
      <w:pPr>
        <w:pStyle w:val="2"/>
        <w:rPr>
          <w:color w:val="000000"/>
        </w:rPr>
      </w:pPr>
      <w:bookmarkStart w:id="76" w:name="_j49wtwtiqt7o" w:colFirst="0" w:colLast="0"/>
      <w:bookmarkEnd w:id="76"/>
      <w:r>
        <w:rPr>
          <w:color w:val="000000"/>
          <w:rtl w:val="0"/>
        </w:rPr>
        <w:t>CHAPTER 6: EVALUATION OF RESULTS</w:t>
      </w:r>
    </w:p>
    <w:p w14:paraId="00000273">
      <w:pPr>
        <w:pStyle w:val="3"/>
        <w:rPr>
          <w:color w:val="000000"/>
        </w:rPr>
      </w:pPr>
      <w:bookmarkStart w:id="77" w:name="_3708xw1u5lwy" w:colFirst="0" w:colLast="0"/>
      <w:bookmarkEnd w:id="77"/>
      <w:r>
        <w:rPr>
          <w:color w:val="000000"/>
          <w:rtl w:val="0"/>
        </w:rPr>
        <w:t>6.1 Introduction</w:t>
      </w:r>
    </w:p>
    <w:p w14:paraId="00000274">
      <w:pPr>
        <w:jc w:val="both"/>
      </w:pPr>
      <w:r>
        <w:rPr>
          <w:rtl w:val="0"/>
        </w:rPr>
        <w:t>This chapter presents and interprets the results of the runs described in Chapter 5, using the evaluation criteria set out in Section 3.8: detection performance (accuracy, precision, recall, F1-score and ROC-AUC) and explanation quality (fidelity, stability and cost) for each model–method pair, all calculated on the common held-out test set described in Section 5.3. The main results are those of the 300,000-row run. Section 6.6 compares them with the 50,000-row run to see whether the same patterns hold at a different scale. The chapter then reports on the practitioner evaluation, discusses what the results mean together, and closes with a summary.</w:t>
      </w:r>
    </w:p>
    <w:p w14:paraId="00000275">
      <w:pPr>
        <w:pStyle w:val="3"/>
        <w:rPr>
          <w:color w:val="000000"/>
        </w:rPr>
      </w:pPr>
      <w:bookmarkStart w:id="78" w:name="_44uzbmg93sm" w:colFirst="0" w:colLast="0"/>
      <w:bookmarkEnd w:id="78"/>
      <w:r>
        <w:rPr>
          <w:color w:val="000000"/>
          <w:rtl w:val="0"/>
        </w:rPr>
        <w:t>6.2 Detection Performance</w:t>
      </w:r>
    </w:p>
    <w:p w14:paraId="00000276">
      <w:pPr>
        <w:jc w:val="both"/>
      </w:pPr>
      <w:r>
        <w:rPr>
          <w:rtl w:val="0"/>
        </w:rPr>
        <w:t>Table 6.1 and Figure 6.1 show the detection results of the three models on the 60,000-flow test set.</w:t>
      </w:r>
    </w:p>
    <w:p w14:paraId="00000277">
      <w:pPr>
        <w:keepNext/>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00" w:after="8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79" w:name="_blghdybega1z" w:colFirst="0" w:colLast="0"/>
      <w:bookmarkEnd w:id="79"/>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Table 6.1: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Detection results on the held-out test set (n = 60,000; 300,000-row run)</w:t>
      </w:r>
    </w:p>
    <w:tbl>
      <w:tblPr>
        <w:tblStyle w:val="22"/>
        <w:tblW w:w="8503" w:type="dxa"/>
        <w:tblInd w:w="-90" w:type="dxa"/>
        <w:tblLayout w:type="fixed"/>
        <w:tblCellMar>
          <w:top w:w="50" w:type="dxa"/>
          <w:left w:w="90" w:type="dxa"/>
          <w:bottom w:w="50" w:type="dxa"/>
          <w:right w:w="90" w:type="dxa"/>
        </w:tblCellMar>
      </w:tblPr>
      <w:tblGrid>
        <w:gridCol w:w="1805"/>
        <w:gridCol w:w="1416"/>
        <w:gridCol w:w="1502"/>
        <w:gridCol w:w="1226"/>
        <w:gridCol w:w="1225"/>
        <w:gridCol w:w="1329"/>
      </w:tblGrid>
      <w:tr w14:paraId="461B4692">
        <w:tblPrEx>
          <w:tblCellMar>
            <w:top w:w="50" w:type="dxa"/>
            <w:left w:w="90" w:type="dxa"/>
            <w:bottom w:w="50" w:type="dxa"/>
            <w:right w:w="90" w:type="dxa"/>
          </w:tblCellMar>
        </w:tblPrEx>
        <w:trPr>
          <w:cantSplit/>
          <w:tblHeader/>
        </w:trPr>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78">
            <w:pPr>
              <w:keepNext/>
              <w:spacing w:before="0" w:after="0" w:line="240" w:lineRule="auto"/>
              <w:jc w:val="left"/>
            </w:pPr>
            <w:r>
              <w:rPr>
                <w:b/>
                <w:bCs/>
                <w:sz w:val="18"/>
                <w:szCs w:val="18"/>
                <w:rtl w:val="0"/>
              </w:rPr>
              <w:t>Model</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79">
            <w:pPr>
              <w:keepNext/>
              <w:spacing w:before="0" w:after="0" w:line="240" w:lineRule="auto"/>
              <w:jc w:val="left"/>
            </w:pPr>
            <w:r>
              <w:rPr>
                <w:b/>
                <w:bCs/>
                <w:sz w:val="18"/>
                <w:szCs w:val="18"/>
                <w:rtl w:val="0"/>
              </w:rPr>
              <w:t>Accuracy</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7A">
            <w:pPr>
              <w:keepNext/>
              <w:spacing w:before="0" w:after="0" w:line="240" w:lineRule="auto"/>
              <w:jc w:val="left"/>
            </w:pPr>
            <w:r>
              <w:rPr>
                <w:b/>
                <w:bCs/>
                <w:sz w:val="18"/>
                <w:szCs w:val="18"/>
                <w:rtl w:val="0"/>
              </w:rPr>
              <w:t>Precision</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7B">
            <w:pPr>
              <w:keepNext/>
              <w:spacing w:before="0" w:after="0" w:line="240" w:lineRule="auto"/>
              <w:jc w:val="left"/>
            </w:pPr>
            <w:r>
              <w:rPr>
                <w:b/>
                <w:bCs/>
                <w:sz w:val="18"/>
                <w:szCs w:val="18"/>
                <w:rtl w:val="0"/>
              </w:rPr>
              <w:t>Recall</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7C">
            <w:pPr>
              <w:keepNext/>
              <w:spacing w:before="0" w:after="0" w:line="240" w:lineRule="auto"/>
              <w:jc w:val="left"/>
            </w:pPr>
            <w:r>
              <w:rPr>
                <w:b/>
                <w:bCs/>
                <w:sz w:val="18"/>
                <w:szCs w:val="18"/>
                <w:rtl w:val="0"/>
              </w:rPr>
              <w:t>F1</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7D">
            <w:pPr>
              <w:keepNext/>
              <w:spacing w:before="0" w:after="0" w:line="240" w:lineRule="auto"/>
              <w:jc w:val="left"/>
            </w:pPr>
            <w:r>
              <w:rPr>
                <w:b/>
                <w:bCs/>
                <w:sz w:val="18"/>
                <w:szCs w:val="18"/>
                <w:rtl w:val="0"/>
              </w:rPr>
              <w:t>ROC-AUC</w:t>
            </w:r>
          </w:p>
        </w:tc>
      </w:tr>
      <w:tr w14:paraId="12DDD629">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27E">
            <w:pPr>
              <w:keepNext/>
              <w:spacing w:before="0" w:after="0" w:line="240" w:lineRule="auto"/>
              <w:jc w:val="left"/>
            </w:pPr>
            <w:r>
              <w:rPr>
                <w:sz w:val="18"/>
                <w:szCs w:val="18"/>
                <w:rtl w:val="0"/>
              </w:rPr>
              <w:t>Random Forest</w:t>
            </w:r>
          </w:p>
        </w:tc>
        <w:tc>
          <w:tcPr>
            <w:tcBorders>
              <w:top w:val="single" w:color="9AA5B1" w:sz="4" w:space="0"/>
              <w:left w:val="single" w:color="9AA5B1" w:sz="4" w:space="0"/>
              <w:bottom w:val="single" w:color="9AA5B1" w:sz="4" w:space="0"/>
              <w:right w:val="single" w:color="9AA5B1" w:sz="4" w:space="0"/>
            </w:tcBorders>
            <w:vAlign w:val="center"/>
          </w:tcPr>
          <w:p w14:paraId="0000027F">
            <w:pPr>
              <w:keepNext/>
              <w:spacing w:before="0" w:after="0" w:line="240" w:lineRule="auto"/>
              <w:jc w:val="left"/>
            </w:pPr>
            <w:r>
              <w:rPr>
                <w:sz w:val="18"/>
                <w:szCs w:val="18"/>
                <w:rtl w:val="0"/>
              </w:rPr>
              <w:t>0.9985</w:t>
            </w:r>
          </w:p>
        </w:tc>
        <w:tc>
          <w:tcPr>
            <w:tcBorders>
              <w:top w:val="single" w:color="9AA5B1" w:sz="4" w:space="0"/>
              <w:left w:val="single" w:color="9AA5B1" w:sz="4" w:space="0"/>
              <w:bottom w:val="single" w:color="9AA5B1" w:sz="4" w:space="0"/>
              <w:right w:val="single" w:color="9AA5B1" w:sz="4" w:space="0"/>
            </w:tcBorders>
            <w:vAlign w:val="center"/>
          </w:tcPr>
          <w:p w14:paraId="00000280">
            <w:pPr>
              <w:keepNext/>
              <w:spacing w:before="0" w:after="0" w:line="240" w:lineRule="auto"/>
              <w:jc w:val="left"/>
            </w:pPr>
            <w:r>
              <w:rPr>
                <w:sz w:val="18"/>
                <w:szCs w:val="18"/>
                <w:rtl w:val="0"/>
              </w:rPr>
              <w:t>0.9943</w:t>
            </w:r>
          </w:p>
        </w:tc>
        <w:tc>
          <w:tcPr>
            <w:tcBorders>
              <w:top w:val="single" w:color="9AA5B1" w:sz="4" w:space="0"/>
              <w:left w:val="single" w:color="9AA5B1" w:sz="4" w:space="0"/>
              <w:bottom w:val="single" w:color="9AA5B1" w:sz="4" w:space="0"/>
              <w:right w:val="single" w:color="9AA5B1" w:sz="4" w:space="0"/>
            </w:tcBorders>
            <w:vAlign w:val="center"/>
          </w:tcPr>
          <w:p w14:paraId="00000281">
            <w:pPr>
              <w:keepNext/>
              <w:spacing w:before="0" w:after="0" w:line="240" w:lineRule="auto"/>
              <w:jc w:val="left"/>
            </w:pPr>
            <w:r>
              <w:rPr>
                <w:sz w:val="18"/>
                <w:szCs w:val="18"/>
                <w:rtl w:val="0"/>
              </w:rPr>
              <w:t>0.9969</w:t>
            </w:r>
          </w:p>
        </w:tc>
        <w:tc>
          <w:tcPr>
            <w:tcBorders>
              <w:top w:val="single" w:color="9AA5B1" w:sz="4" w:space="0"/>
              <w:left w:val="single" w:color="9AA5B1" w:sz="4" w:space="0"/>
              <w:bottom w:val="single" w:color="9AA5B1" w:sz="4" w:space="0"/>
              <w:right w:val="single" w:color="9AA5B1" w:sz="4" w:space="0"/>
            </w:tcBorders>
            <w:vAlign w:val="center"/>
          </w:tcPr>
          <w:p w14:paraId="00000282">
            <w:pPr>
              <w:keepNext/>
              <w:spacing w:before="0" w:after="0" w:line="240" w:lineRule="auto"/>
              <w:jc w:val="left"/>
            </w:pPr>
            <w:r>
              <w:rPr>
                <w:sz w:val="18"/>
                <w:szCs w:val="18"/>
                <w:rtl w:val="0"/>
              </w:rPr>
              <w:t>0.9956</w:t>
            </w:r>
          </w:p>
        </w:tc>
        <w:tc>
          <w:tcPr>
            <w:tcBorders>
              <w:top w:val="single" w:color="9AA5B1" w:sz="4" w:space="0"/>
              <w:left w:val="single" w:color="9AA5B1" w:sz="4" w:space="0"/>
              <w:bottom w:val="single" w:color="9AA5B1" w:sz="4" w:space="0"/>
              <w:right w:val="single" w:color="9AA5B1" w:sz="4" w:space="0"/>
            </w:tcBorders>
            <w:vAlign w:val="center"/>
          </w:tcPr>
          <w:p w14:paraId="00000283">
            <w:pPr>
              <w:keepNext/>
              <w:spacing w:before="0" w:after="0" w:line="240" w:lineRule="auto"/>
              <w:jc w:val="left"/>
            </w:pPr>
            <w:r>
              <w:rPr>
                <w:sz w:val="18"/>
                <w:szCs w:val="18"/>
                <w:rtl w:val="0"/>
              </w:rPr>
              <w:t>0.9999</w:t>
            </w:r>
          </w:p>
        </w:tc>
      </w:tr>
      <w:tr w14:paraId="42481AED">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84">
            <w:pPr>
              <w:keepNext/>
              <w:spacing w:before="0" w:after="0" w:line="240" w:lineRule="auto"/>
              <w:jc w:val="left"/>
            </w:pPr>
            <w:r>
              <w:rPr>
                <w:sz w:val="18"/>
                <w:szCs w:val="18"/>
                <w:rtl w:val="0"/>
              </w:rPr>
              <w:t>XGBoost</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85">
            <w:pPr>
              <w:keepNext/>
              <w:spacing w:before="0" w:after="0" w:line="240" w:lineRule="auto"/>
              <w:jc w:val="left"/>
            </w:pPr>
            <w:r>
              <w:rPr>
                <w:sz w:val="18"/>
                <w:szCs w:val="18"/>
                <w:rtl w:val="0"/>
              </w:rPr>
              <w:t>0.9990</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86">
            <w:pPr>
              <w:keepNext/>
              <w:spacing w:before="0" w:after="0" w:line="240" w:lineRule="auto"/>
              <w:jc w:val="left"/>
            </w:pPr>
            <w:r>
              <w:rPr>
                <w:sz w:val="18"/>
                <w:szCs w:val="18"/>
                <w:rtl w:val="0"/>
              </w:rPr>
              <w:t>0.9947</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87">
            <w:pPr>
              <w:keepNext/>
              <w:spacing w:before="0" w:after="0" w:line="240" w:lineRule="auto"/>
              <w:jc w:val="left"/>
            </w:pPr>
            <w:r>
              <w:rPr>
                <w:sz w:val="18"/>
                <w:szCs w:val="18"/>
                <w:rtl w:val="0"/>
              </w:rPr>
              <w:t>0.9995</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88">
            <w:pPr>
              <w:keepNext/>
              <w:spacing w:before="0" w:after="0" w:line="240" w:lineRule="auto"/>
              <w:jc w:val="left"/>
            </w:pPr>
            <w:r>
              <w:rPr>
                <w:sz w:val="18"/>
                <w:szCs w:val="18"/>
                <w:rtl w:val="0"/>
              </w:rPr>
              <w:t>0.9971</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89">
            <w:pPr>
              <w:keepNext/>
              <w:spacing w:before="0" w:after="0" w:line="240" w:lineRule="auto"/>
              <w:jc w:val="left"/>
            </w:pPr>
            <w:r>
              <w:rPr>
                <w:sz w:val="18"/>
                <w:szCs w:val="18"/>
                <w:rtl w:val="0"/>
              </w:rPr>
              <w:t>0.9999</w:t>
            </w:r>
          </w:p>
        </w:tc>
      </w:tr>
      <w:tr w14:paraId="25139CE5">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28A">
            <w:pPr>
              <w:keepNext w:val="0"/>
              <w:spacing w:before="0" w:after="0" w:line="240" w:lineRule="auto"/>
              <w:jc w:val="left"/>
            </w:pPr>
            <w:r>
              <w:rPr>
                <w:sz w:val="18"/>
                <w:szCs w:val="18"/>
                <w:rtl w:val="0"/>
              </w:rPr>
              <w:t>LSTM</w:t>
            </w:r>
          </w:p>
        </w:tc>
        <w:tc>
          <w:tcPr>
            <w:tcBorders>
              <w:top w:val="single" w:color="9AA5B1" w:sz="4" w:space="0"/>
              <w:left w:val="single" w:color="9AA5B1" w:sz="4" w:space="0"/>
              <w:bottom w:val="single" w:color="9AA5B1" w:sz="4" w:space="0"/>
              <w:right w:val="single" w:color="9AA5B1" w:sz="4" w:space="0"/>
            </w:tcBorders>
            <w:vAlign w:val="center"/>
          </w:tcPr>
          <w:p w14:paraId="0000028B">
            <w:pPr>
              <w:keepNext w:val="0"/>
              <w:spacing w:before="0" w:after="0" w:line="240" w:lineRule="auto"/>
              <w:jc w:val="left"/>
            </w:pPr>
            <w:r>
              <w:rPr>
                <w:sz w:val="18"/>
                <w:szCs w:val="18"/>
                <w:rtl w:val="0"/>
              </w:rPr>
              <w:t>0.9491</w:t>
            </w:r>
          </w:p>
        </w:tc>
        <w:tc>
          <w:tcPr>
            <w:tcBorders>
              <w:top w:val="single" w:color="9AA5B1" w:sz="4" w:space="0"/>
              <w:left w:val="single" w:color="9AA5B1" w:sz="4" w:space="0"/>
              <w:bottom w:val="single" w:color="9AA5B1" w:sz="4" w:space="0"/>
              <w:right w:val="single" w:color="9AA5B1" w:sz="4" w:space="0"/>
            </w:tcBorders>
            <w:vAlign w:val="center"/>
          </w:tcPr>
          <w:p w14:paraId="0000028C">
            <w:pPr>
              <w:keepNext w:val="0"/>
              <w:spacing w:before="0" w:after="0" w:line="240" w:lineRule="auto"/>
              <w:jc w:val="left"/>
            </w:pPr>
            <w:r>
              <w:rPr>
                <w:sz w:val="18"/>
                <w:szCs w:val="18"/>
                <w:rtl w:val="0"/>
              </w:rPr>
              <w:t>0.7801</w:t>
            </w:r>
          </w:p>
        </w:tc>
        <w:tc>
          <w:tcPr>
            <w:tcBorders>
              <w:top w:val="single" w:color="9AA5B1" w:sz="4" w:space="0"/>
              <w:left w:val="single" w:color="9AA5B1" w:sz="4" w:space="0"/>
              <w:bottom w:val="single" w:color="9AA5B1" w:sz="4" w:space="0"/>
              <w:right w:val="single" w:color="9AA5B1" w:sz="4" w:space="0"/>
            </w:tcBorders>
            <w:vAlign w:val="center"/>
          </w:tcPr>
          <w:p w14:paraId="0000028D">
            <w:pPr>
              <w:keepNext w:val="0"/>
              <w:spacing w:before="0" w:after="0" w:line="240" w:lineRule="auto"/>
              <w:jc w:val="left"/>
            </w:pPr>
            <w:r>
              <w:rPr>
                <w:sz w:val="18"/>
                <w:szCs w:val="18"/>
                <w:rtl w:val="0"/>
              </w:rPr>
              <w:t>0.9750</w:t>
            </w:r>
          </w:p>
        </w:tc>
        <w:tc>
          <w:tcPr>
            <w:tcBorders>
              <w:top w:val="single" w:color="9AA5B1" w:sz="4" w:space="0"/>
              <w:left w:val="single" w:color="9AA5B1" w:sz="4" w:space="0"/>
              <w:bottom w:val="single" w:color="9AA5B1" w:sz="4" w:space="0"/>
              <w:right w:val="single" w:color="9AA5B1" w:sz="4" w:space="0"/>
            </w:tcBorders>
            <w:vAlign w:val="center"/>
          </w:tcPr>
          <w:p w14:paraId="0000028E">
            <w:pPr>
              <w:keepNext w:val="0"/>
              <w:spacing w:before="0" w:after="0" w:line="240" w:lineRule="auto"/>
              <w:jc w:val="left"/>
            </w:pPr>
            <w:r>
              <w:rPr>
                <w:sz w:val="18"/>
                <w:szCs w:val="18"/>
                <w:rtl w:val="0"/>
              </w:rPr>
              <w:t>0.8667</w:t>
            </w:r>
          </w:p>
        </w:tc>
        <w:tc>
          <w:tcPr>
            <w:tcBorders>
              <w:top w:val="single" w:color="9AA5B1" w:sz="4" w:space="0"/>
              <w:left w:val="single" w:color="9AA5B1" w:sz="4" w:space="0"/>
              <w:bottom w:val="single" w:color="9AA5B1" w:sz="4" w:space="0"/>
              <w:right w:val="single" w:color="9AA5B1" w:sz="4" w:space="0"/>
            </w:tcBorders>
            <w:vAlign w:val="center"/>
          </w:tcPr>
          <w:p w14:paraId="0000028F">
            <w:pPr>
              <w:keepNext w:val="0"/>
              <w:spacing w:before="0" w:after="0" w:line="240" w:lineRule="auto"/>
              <w:jc w:val="left"/>
            </w:pPr>
            <w:r>
              <w:rPr>
                <w:sz w:val="18"/>
                <w:szCs w:val="18"/>
                <w:rtl w:val="0"/>
              </w:rPr>
              <w:t>0.9923</w:t>
            </w:r>
          </w:p>
        </w:tc>
      </w:tr>
    </w:tbl>
    <w:p w14:paraId="00000290">
      <w:pPr>
        <w:spacing w:before="0" w:after="120"/>
      </w:pPr>
    </w:p>
    <w:p w14:paraId="00000291">
      <w:pPr>
        <w:keepNext/>
        <w:spacing w:before="160" w:after="60" w:line="240" w:lineRule="auto"/>
        <w:jc w:val="center"/>
      </w:pPr>
      <w:r>
        <w:drawing>
          <wp:inline distT="0" distB="0" distL="0" distR="0">
            <wp:extent cx="5353050" cy="2524125"/>
            <wp:effectExtent l="0" t="0" r="0" b="0"/>
            <wp:docPr id="16" name="image3.png" descr="Figure 6.1&#10;Detection metrics for the three classifiers on the held-out test set"/>
            <wp:cNvGraphicFramePr/>
            <a:graphic xmlns:a="http://schemas.openxmlformats.org/drawingml/2006/main">
              <a:graphicData uri="http://schemas.openxmlformats.org/drawingml/2006/picture">
                <pic:pic xmlns:pic="http://schemas.openxmlformats.org/drawingml/2006/picture">
                  <pic:nvPicPr>
                    <pic:cNvPr id="16" name="image3.png" descr="Figure 6.1&#10;Detection metrics for the three classifiers on the held-out test set"/>
                    <pic:cNvPicPr preferRelativeResize="0"/>
                  </pic:nvPicPr>
                  <pic:blipFill>
                    <a:blip r:embed="rId25"/>
                    <a:srcRect/>
                    <a:stretch>
                      <a:fillRect/>
                    </a:stretch>
                  </pic:blipFill>
                  <pic:spPr>
                    <a:xfrm>
                      <a:off x="0" y="0"/>
                      <a:ext cx="5353050" cy="2524125"/>
                    </a:xfrm>
                    <a:prstGeom prst="rect">
                      <a:avLst/>
                    </a:prstGeom>
                  </pic:spPr>
                </pic:pic>
              </a:graphicData>
            </a:graphic>
          </wp:inline>
        </w:drawing>
      </w:r>
    </w:p>
    <w:p w14:paraId="00000292">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60" w:after="24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80" w:name="_ks4zy4lut33n" w:colFirst="0" w:colLast="0"/>
      <w:bookmarkEnd w:id="80"/>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Figure 6.1: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Detection metrics for the three classifiers on the held-out test set</w:t>
      </w:r>
    </w:p>
    <w:p w14:paraId="00000293">
      <w:pPr>
        <w:jc w:val="both"/>
      </w:pPr>
      <w:r>
        <w:rPr>
          <w:rtl w:val="0"/>
        </w:rPr>
        <w:t>XGBoost was the best performer, with an F1-score of 0.9971 and a recall of 0.9995, meaning that it missed only a handful of the attack flows in the test set. Random Forest came a close second with an F1-score of 0.9956. The two ensembles are almost indistinguishable at this level: both are near the ceiling on every metric, and both have a ROC-AUC of 0.9999. This matches the pattern in the literature, where well-tuned tree ensembles routinely approach perfect scores on CICIDS2017 [21].</w:t>
      </w:r>
    </w:p>
    <w:p w14:paraId="00000294">
      <w:pPr>
        <w:jc w:val="both"/>
      </w:pPr>
      <w:r>
        <w:rPr>
          <w:rtl w:val="0"/>
        </w:rPr>
        <w:t>The LSTM performed clearly worse, but it improved substantially compared with the 50,000-row run. Its F1-score rose from 0.736 to 0.867, and its recall from 0.705 to 0.975. In practical terms, with six times more training data the LSTM went from missing roughly three attacks in ten to missing about one in forty. Its weakness now lies in precision, at 0.780: roughly one in five of its alerts is a false alarm. The LSTM's ROC-AUC of 0.9923 is high, which suggests that it ranks attacks above benign traffic well but that its default decision threshold of 0.5 is poorly placed. Tuning the threshold on validation data would probably narrow the gap to the ensembles, although that was outside the scope of this project.</w:t>
      </w:r>
    </w:p>
    <w:p w14:paraId="00000295">
      <w:pPr>
        <w:pStyle w:val="4"/>
        <w:rPr>
          <w:color w:val="000000"/>
        </w:rPr>
      </w:pPr>
      <w:r>
        <w:rPr>
          <w:color w:val="000000"/>
          <w:rtl w:val="0"/>
        </w:rPr>
        <w:t>6.2.1 What the Errors Mean for a SOC</w:t>
      </w:r>
    </w:p>
    <w:p w14:paraId="00000296">
      <w:pPr>
        <w:jc w:val="both"/>
      </w:pPr>
      <w:r>
        <w:rPr>
          <w:rtl w:val="0"/>
        </w:rPr>
        <w:t>Headline scores close to 1.0 can hide large differences in the day-to-day workload a detector creates. To make this concrete, Table 6.2 and Figure 6.2 show approximate confusion matrices for each model. These were not produced directly by the pipeline. They were reconstructed from the reported precision and recall and the class composition of the stratified test set (about 10,181 attack and 49,819 benign flows), using the method set out in Appendix I. As a check, the accuracy implied by each reconstructed matrix matches the measured accuracy in Table 6.1 to four decimal places.</w:t>
      </w:r>
    </w:p>
    <w:p w14:paraId="00000297">
      <w:pPr>
        <w:keepNext/>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00" w:after="8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81" w:name="_cnrgtxobfb6i" w:colFirst="0" w:colLast="0"/>
      <w:bookmarkEnd w:id="81"/>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Table 6.2: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Approximate confusion matrices reconstructed from reported precision and recall (test set, n = 60,000)</w:t>
      </w:r>
    </w:p>
    <w:tbl>
      <w:tblPr>
        <w:tblStyle w:val="23"/>
        <w:tblW w:w="8503" w:type="dxa"/>
        <w:tblInd w:w="-90" w:type="dxa"/>
        <w:tblLayout w:type="fixed"/>
        <w:tblCellMar>
          <w:top w:w="50" w:type="dxa"/>
          <w:left w:w="90" w:type="dxa"/>
          <w:bottom w:w="50" w:type="dxa"/>
          <w:right w:w="90" w:type="dxa"/>
        </w:tblCellMar>
      </w:tblPr>
      <w:tblGrid>
        <w:gridCol w:w="1341"/>
        <w:gridCol w:w="1393"/>
        <w:gridCol w:w="1443"/>
        <w:gridCol w:w="1441"/>
        <w:gridCol w:w="1394"/>
        <w:gridCol w:w="1491"/>
      </w:tblGrid>
      <w:tr w14:paraId="68A436D8">
        <w:tblPrEx>
          <w:tblCellMar>
            <w:top w:w="50" w:type="dxa"/>
            <w:left w:w="90" w:type="dxa"/>
            <w:bottom w:w="50" w:type="dxa"/>
            <w:right w:w="90" w:type="dxa"/>
          </w:tblCellMar>
        </w:tblPrEx>
        <w:trPr>
          <w:cantSplit/>
          <w:tblHeader/>
        </w:trPr>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98">
            <w:pPr>
              <w:keepNext/>
              <w:spacing w:before="0" w:after="0" w:line="240" w:lineRule="auto"/>
              <w:jc w:val="left"/>
            </w:pPr>
            <w:r>
              <w:rPr>
                <w:b/>
                <w:bCs/>
                <w:sz w:val="18"/>
                <w:szCs w:val="18"/>
                <w:rtl w:val="0"/>
              </w:rPr>
              <w:t>Model</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99">
            <w:pPr>
              <w:keepNext/>
              <w:spacing w:before="0" w:after="0" w:line="240" w:lineRule="auto"/>
              <w:jc w:val="left"/>
            </w:pPr>
            <w:r>
              <w:rPr>
                <w:b/>
                <w:bCs/>
                <w:sz w:val="18"/>
                <w:szCs w:val="18"/>
                <w:rtl w:val="0"/>
              </w:rPr>
              <w:t>True negatives</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9A">
            <w:pPr>
              <w:keepNext/>
              <w:spacing w:before="0" w:after="0" w:line="240" w:lineRule="auto"/>
              <w:jc w:val="left"/>
            </w:pPr>
            <w:r>
              <w:rPr>
                <w:b/>
                <w:bCs/>
                <w:sz w:val="18"/>
                <w:szCs w:val="18"/>
                <w:rtl w:val="0"/>
              </w:rPr>
              <w:t>False positives</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9B">
            <w:pPr>
              <w:keepNext/>
              <w:spacing w:before="0" w:after="0" w:line="240" w:lineRule="auto"/>
              <w:jc w:val="left"/>
            </w:pPr>
            <w:r>
              <w:rPr>
                <w:b/>
                <w:bCs/>
                <w:sz w:val="18"/>
                <w:szCs w:val="18"/>
                <w:rtl w:val="0"/>
              </w:rPr>
              <w:t>False negatives</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9C">
            <w:pPr>
              <w:keepNext/>
              <w:spacing w:before="0" w:after="0" w:line="240" w:lineRule="auto"/>
              <w:jc w:val="left"/>
            </w:pPr>
            <w:r>
              <w:rPr>
                <w:b/>
                <w:bCs/>
                <w:sz w:val="18"/>
                <w:szCs w:val="18"/>
                <w:rtl w:val="0"/>
              </w:rPr>
              <w:t>True positives</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9D">
            <w:pPr>
              <w:keepNext/>
              <w:spacing w:before="0" w:after="0" w:line="240" w:lineRule="auto"/>
              <w:jc w:val="left"/>
            </w:pPr>
            <w:r>
              <w:rPr>
                <w:b/>
                <w:bCs/>
                <w:sz w:val="18"/>
                <w:szCs w:val="18"/>
                <w:rtl w:val="0"/>
              </w:rPr>
              <w:t>False alarm rate</w:t>
            </w:r>
          </w:p>
        </w:tc>
      </w:tr>
      <w:tr w14:paraId="01583F3B">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29E">
            <w:pPr>
              <w:keepNext/>
              <w:spacing w:before="0" w:after="0" w:line="240" w:lineRule="auto"/>
              <w:jc w:val="left"/>
            </w:pPr>
            <w:r>
              <w:rPr>
                <w:sz w:val="18"/>
                <w:szCs w:val="18"/>
                <w:rtl w:val="0"/>
              </w:rPr>
              <w:t>Random Forest</w:t>
            </w:r>
          </w:p>
        </w:tc>
        <w:tc>
          <w:tcPr>
            <w:tcBorders>
              <w:top w:val="single" w:color="9AA5B1" w:sz="4" w:space="0"/>
              <w:left w:val="single" w:color="9AA5B1" w:sz="4" w:space="0"/>
              <w:bottom w:val="single" w:color="9AA5B1" w:sz="4" w:space="0"/>
              <w:right w:val="single" w:color="9AA5B1" w:sz="4" w:space="0"/>
            </w:tcBorders>
            <w:vAlign w:val="center"/>
          </w:tcPr>
          <w:p w14:paraId="0000029F">
            <w:pPr>
              <w:keepNext/>
              <w:spacing w:before="0" w:after="0" w:line="240" w:lineRule="auto"/>
              <w:jc w:val="left"/>
            </w:pPr>
            <w:r>
              <w:rPr>
                <w:sz w:val="18"/>
                <w:szCs w:val="18"/>
                <w:rtl w:val="0"/>
              </w:rPr>
              <w:t>49,761</w:t>
            </w:r>
          </w:p>
        </w:tc>
        <w:tc>
          <w:tcPr>
            <w:tcBorders>
              <w:top w:val="single" w:color="9AA5B1" w:sz="4" w:space="0"/>
              <w:left w:val="single" w:color="9AA5B1" w:sz="4" w:space="0"/>
              <w:bottom w:val="single" w:color="9AA5B1" w:sz="4" w:space="0"/>
              <w:right w:val="single" w:color="9AA5B1" w:sz="4" w:space="0"/>
            </w:tcBorders>
            <w:vAlign w:val="center"/>
          </w:tcPr>
          <w:p w14:paraId="000002A0">
            <w:pPr>
              <w:keepNext/>
              <w:spacing w:before="0" w:after="0" w:line="240" w:lineRule="auto"/>
              <w:jc w:val="left"/>
            </w:pPr>
            <w:r>
              <w:rPr>
                <w:sz w:val="18"/>
                <w:szCs w:val="18"/>
                <w:rtl w:val="0"/>
              </w:rPr>
              <w:t>58</w:t>
            </w:r>
          </w:p>
        </w:tc>
        <w:tc>
          <w:tcPr>
            <w:tcBorders>
              <w:top w:val="single" w:color="9AA5B1" w:sz="4" w:space="0"/>
              <w:left w:val="single" w:color="9AA5B1" w:sz="4" w:space="0"/>
              <w:bottom w:val="single" w:color="9AA5B1" w:sz="4" w:space="0"/>
              <w:right w:val="single" w:color="9AA5B1" w:sz="4" w:space="0"/>
            </w:tcBorders>
            <w:vAlign w:val="center"/>
          </w:tcPr>
          <w:p w14:paraId="000002A1">
            <w:pPr>
              <w:keepNext/>
              <w:spacing w:before="0" w:after="0" w:line="240" w:lineRule="auto"/>
              <w:jc w:val="left"/>
            </w:pPr>
            <w:r>
              <w:rPr>
                <w:sz w:val="18"/>
                <w:szCs w:val="18"/>
                <w:rtl w:val="0"/>
              </w:rPr>
              <w:t>32</w:t>
            </w:r>
          </w:p>
        </w:tc>
        <w:tc>
          <w:tcPr>
            <w:tcBorders>
              <w:top w:val="single" w:color="9AA5B1" w:sz="4" w:space="0"/>
              <w:left w:val="single" w:color="9AA5B1" w:sz="4" w:space="0"/>
              <w:bottom w:val="single" w:color="9AA5B1" w:sz="4" w:space="0"/>
              <w:right w:val="single" w:color="9AA5B1" w:sz="4" w:space="0"/>
            </w:tcBorders>
            <w:vAlign w:val="center"/>
          </w:tcPr>
          <w:p w14:paraId="000002A2">
            <w:pPr>
              <w:keepNext/>
              <w:spacing w:before="0" w:after="0" w:line="240" w:lineRule="auto"/>
              <w:jc w:val="left"/>
            </w:pPr>
            <w:r>
              <w:rPr>
                <w:sz w:val="18"/>
                <w:szCs w:val="18"/>
                <w:rtl w:val="0"/>
              </w:rPr>
              <w:t>10,149</w:t>
            </w:r>
          </w:p>
        </w:tc>
        <w:tc>
          <w:tcPr>
            <w:tcBorders>
              <w:top w:val="single" w:color="9AA5B1" w:sz="4" w:space="0"/>
              <w:left w:val="single" w:color="9AA5B1" w:sz="4" w:space="0"/>
              <w:bottom w:val="single" w:color="9AA5B1" w:sz="4" w:space="0"/>
              <w:right w:val="single" w:color="9AA5B1" w:sz="4" w:space="0"/>
            </w:tcBorders>
            <w:vAlign w:val="center"/>
          </w:tcPr>
          <w:p w14:paraId="000002A3">
            <w:pPr>
              <w:keepNext/>
              <w:spacing w:before="0" w:after="0" w:line="240" w:lineRule="auto"/>
              <w:jc w:val="left"/>
            </w:pPr>
            <w:r>
              <w:rPr>
                <w:sz w:val="18"/>
                <w:szCs w:val="18"/>
                <w:rtl w:val="0"/>
              </w:rPr>
              <w:t>0.12%</w:t>
            </w:r>
          </w:p>
        </w:tc>
      </w:tr>
      <w:tr w14:paraId="3A764056">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A4">
            <w:pPr>
              <w:keepNext/>
              <w:spacing w:before="0" w:after="0" w:line="240" w:lineRule="auto"/>
              <w:jc w:val="left"/>
            </w:pPr>
            <w:r>
              <w:rPr>
                <w:sz w:val="18"/>
                <w:szCs w:val="18"/>
                <w:rtl w:val="0"/>
              </w:rPr>
              <w:t>XGBoost</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A5">
            <w:pPr>
              <w:keepNext/>
              <w:spacing w:before="0" w:after="0" w:line="240" w:lineRule="auto"/>
              <w:jc w:val="left"/>
            </w:pPr>
            <w:r>
              <w:rPr>
                <w:sz w:val="18"/>
                <w:szCs w:val="18"/>
                <w:rtl w:val="0"/>
              </w:rPr>
              <w:t>49,765</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A6">
            <w:pPr>
              <w:keepNext/>
              <w:spacing w:before="0" w:after="0" w:line="240" w:lineRule="auto"/>
              <w:jc w:val="left"/>
            </w:pPr>
            <w:r>
              <w:rPr>
                <w:sz w:val="18"/>
                <w:szCs w:val="18"/>
                <w:rtl w:val="0"/>
              </w:rPr>
              <w:t>54</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A7">
            <w:pPr>
              <w:keepNext/>
              <w:spacing w:before="0" w:after="0" w:line="240" w:lineRule="auto"/>
              <w:jc w:val="left"/>
            </w:pPr>
            <w:r>
              <w:rPr>
                <w:sz w:val="18"/>
                <w:szCs w:val="18"/>
                <w:rtl w:val="0"/>
              </w:rPr>
              <w:t>5</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A8">
            <w:pPr>
              <w:keepNext/>
              <w:spacing w:before="0" w:after="0" w:line="240" w:lineRule="auto"/>
              <w:jc w:val="left"/>
            </w:pPr>
            <w:r>
              <w:rPr>
                <w:sz w:val="18"/>
                <w:szCs w:val="18"/>
                <w:rtl w:val="0"/>
              </w:rPr>
              <w:t>10,176</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A9">
            <w:pPr>
              <w:keepNext/>
              <w:spacing w:before="0" w:after="0" w:line="240" w:lineRule="auto"/>
              <w:jc w:val="left"/>
            </w:pPr>
            <w:r>
              <w:rPr>
                <w:sz w:val="18"/>
                <w:szCs w:val="18"/>
                <w:rtl w:val="0"/>
              </w:rPr>
              <w:t>0.11%</w:t>
            </w:r>
          </w:p>
        </w:tc>
      </w:tr>
      <w:tr w14:paraId="23ED1F69">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2AA">
            <w:pPr>
              <w:keepNext w:val="0"/>
              <w:spacing w:before="0" w:after="0" w:line="240" w:lineRule="auto"/>
              <w:jc w:val="left"/>
            </w:pPr>
            <w:r>
              <w:rPr>
                <w:sz w:val="18"/>
                <w:szCs w:val="18"/>
                <w:rtl w:val="0"/>
              </w:rPr>
              <w:t>LSTM</w:t>
            </w:r>
          </w:p>
        </w:tc>
        <w:tc>
          <w:tcPr>
            <w:tcBorders>
              <w:top w:val="single" w:color="9AA5B1" w:sz="4" w:space="0"/>
              <w:left w:val="single" w:color="9AA5B1" w:sz="4" w:space="0"/>
              <w:bottom w:val="single" w:color="9AA5B1" w:sz="4" w:space="0"/>
              <w:right w:val="single" w:color="9AA5B1" w:sz="4" w:space="0"/>
            </w:tcBorders>
            <w:vAlign w:val="center"/>
          </w:tcPr>
          <w:p w14:paraId="000002AB">
            <w:pPr>
              <w:keepNext w:val="0"/>
              <w:spacing w:before="0" w:after="0" w:line="240" w:lineRule="auto"/>
              <w:jc w:val="left"/>
            </w:pPr>
            <w:r>
              <w:rPr>
                <w:sz w:val="18"/>
                <w:szCs w:val="18"/>
                <w:rtl w:val="0"/>
              </w:rPr>
              <w:t>47,021</w:t>
            </w:r>
          </w:p>
        </w:tc>
        <w:tc>
          <w:tcPr>
            <w:tcBorders>
              <w:top w:val="single" w:color="9AA5B1" w:sz="4" w:space="0"/>
              <w:left w:val="single" w:color="9AA5B1" w:sz="4" w:space="0"/>
              <w:bottom w:val="single" w:color="9AA5B1" w:sz="4" w:space="0"/>
              <w:right w:val="single" w:color="9AA5B1" w:sz="4" w:space="0"/>
            </w:tcBorders>
            <w:vAlign w:val="center"/>
          </w:tcPr>
          <w:p w14:paraId="000002AC">
            <w:pPr>
              <w:keepNext w:val="0"/>
              <w:spacing w:before="0" w:after="0" w:line="240" w:lineRule="auto"/>
              <w:jc w:val="left"/>
            </w:pPr>
            <w:r>
              <w:rPr>
                <w:sz w:val="18"/>
                <w:szCs w:val="18"/>
                <w:rtl w:val="0"/>
              </w:rPr>
              <w:t>2,798</w:t>
            </w:r>
          </w:p>
        </w:tc>
        <w:tc>
          <w:tcPr>
            <w:tcBorders>
              <w:top w:val="single" w:color="9AA5B1" w:sz="4" w:space="0"/>
              <w:left w:val="single" w:color="9AA5B1" w:sz="4" w:space="0"/>
              <w:bottom w:val="single" w:color="9AA5B1" w:sz="4" w:space="0"/>
              <w:right w:val="single" w:color="9AA5B1" w:sz="4" w:space="0"/>
            </w:tcBorders>
            <w:vAlign w:val="center"/>
          </w:tcPr>
          <w:p w14:paraId="000002AD">
            <w:pPr>
              <w:keepNext w:val="0"/>
              <w:spacing w:before="0" w:after="0" w:line="240" w:lineRule="auto"/>
              <w:jc w:val="left"/>
            </w:pPr>
            <w:r>
              <w:rPr>
                <w:sz w:val="18"/>
                <w:szCs w:val="18"/>
                <w:rtl w:val="0"/>
              </w:rPr>
              <w:t>255</w:t>
            </w:r>
          </w:p>
        </w:tc>
        <w:tc>
          <w:tcPr>
            <w:tcBorders>
              <w:top w:val="single" w:color="9AA5B1" w:sz="4" w:space="0"/>
              <w:left w:val="single" w:color="9AA5B1" w:sz="4" w:space="0"/>
              <w:bottom w:val="single" w:color="9AA5B1" w:sz="4" w:space="0"/>
              <w:right w:val="single" w:color="9AA5B1" w:sz="4" w:space="0"/>
            </w:tcBorders>
            <w:vAlign w:val="center"/>
          </w:tcPr>
          <w:p w14:paraId="000002AE">
            <w:pPr>
              <w:keepNext w:val="0"/>
              <w:spacing w:before="0" w:after="0" w:line="240" w:lineRule="auto"/>
              <w:jc w:val="left"/>
            </w:pPr>
            <w:r>
              <w:rPr>
                <w:sz w:val="18"/>
                <w:szCs w:val="18"/>
                <w:rtl w:val="0"/>
              </w:rPr>
              <w:t>9,926</w:t>
            </w:r>
          </w:p>
        </w:tc>
        <w:tc>
          <w:tcPr>
            <w:tcBorders>
              <w:top w:val="single" w:color="9AA5B1" w:sz="4" w:space="0"/>
              <w:left w:val="single" w:color="9AA5B1" w:sz="4" w:space="0"/>
              <w:bottom w:val="single" w:color="9AA5B1" w:sz="4" w:space="0"/>
              <w:right w:val="single" w:color="9AA5B1" w:sz="4" w:space="0"/>
            </w:tcBorders>
            <w:vAlign w:val="center"/>
          </w:tcPr>
          <w:p w14:paraId="000002AF">
            <w:pPr>
              <w:keepNext w:val="0"/>
              <w:spacing w:before="0" w:after="0" w:line="240" w:lineRule="auto"/>
              <w:jc w:val="left"/>
            </w:pPr>
            <w:r>
              <w:rPr>
                <w:sz w:val="18"/>
                <w:szCs w:val="18"/>
                <w:rtl w:val="0"/>
              </w:rPr>
              <w:t>5.6%</w:t>
            </w:r>
          </w:p>
        </w:tc>
      </w:tr>
    </w:tbl>
    <w:p w14:paraId="000002B0">
      <w:pPr>
        <w:spacing w:before="0" w:after="120"/>
      </w:pPr>
    </w:p>
    <w:p w14:paraId="000002B1">
      <w:pPr>
        <w:keepNext/>
        <w:spacing w:before="160" w:after="60" w:line="240" w:lineRule="auto"/>
        <w:jc w:val="center"/>
      </w:pPr>
      <w:r>
        <w:drawing>
          <wp:inline distT="0" distB="0" distL="0" distR="0">
            <wp:extent cx="5353050" cy="1819275"/>
            <wp:effectExtent l="0" t="0" r="0" b="0"/>
            <wp:docPr id="17" name="image16.png" descr="Figure 6.2&#10;Approximate confusion matrices for the three models (rows: true class; columns: predicted class)"/>
            <wp:cNvGraphicFramePr/>
            <a:graphic xmlns:a="http://schemas.openxmlformats.org/drawingml/2006/main">
              <a:graphicData uri="http://schemas.openxmlformats.org/drawingml/2006/picture">
                <pic:pic xmlns:pic="http://schemas.openxmlformats.org/drawingml/2006/picture">
                  <pic:nvPicPr>
                    <pic:cNvPr id="17" name="image16.png" descr="Figure 6.2&#10;Approximate confusion matrices for the three models (rows: true class; columns: predicted class)"/>
                    <pic:cNvPicPr preferRelativeResize="0"/>
                  </pic:nvPicPr>
                  <pic:blipFill>
                    <a:blip r:embed="rId26"/>
                    <a:srcRect/>
                    <a:stretch>
                      <a:fillRect/>
                    </a:stretch>
                  </pic:blipFill>
                  <pic:spPr>
                    <a:xfrm>
                      <a:off x="0" y="0"/>
                      <a:ext cx="5353050" cy="1819275"/>
                    </a:xfrm>
                    <a:prstGeom prst="rect">
                      <a:avLst/>
                    </a:prstGeom>
                  </pic:spPr>
                </pic:pic>
              </a:graphicData>
            </a:graphic>
          </wp:inline>
        </w:drawing>
      </w:r>
    </w:p>
    <w:p w14:paraId="000002B2">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60" w:after="24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82" w:name="_dnbemdfzexa5" w:colFirst="0" w:colLast="0"/>
      <w:bookmarkEnd w:id="82"/>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Figure 6.2: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Approximate confusion matrices for the three models (rows: true class; columns: predicted class)</w:t>
      </w:r>
    </w:p>
    <w:p w14:paraId="000002B3">
      <w:pPr>
        <w:jc w:val="both"/>
      </w:pPr>
      <w:r>
        <w:rPr>
          <w:rtl w:val="0"/>
        </w:rPr>
        <w:t>Seen this way, the difference between the models is stark. On the same 60,000 flows, XGBoost would raise about 54 false alarms and miss about 5 attacks, while the LSTM would raise about 2,800 false alarms and miss about 255 attacks. The LSTM's false alarm rate of roughly 5.6% of benign traffic is exactly the kind of noise that drives alert fatigue [8]. For the LSTM, therefore, explanations are not just helpful but close to essential: an analyst facing thousands of false alerts needs a fast way to see why each one fired in order to dismiss the bad ones with confidence.</w:t>
      </w:r>
    </w:p>
    <w:p w14:paraId="000002B4">
      <w:pPr>
        <w:jc w:val="both"/>
      </w:pPr>
      <w:r>
        <w:rPr>
          <w:rtl w:val="0"/>
        </w:rPr>
        <w:t>A note of caution applies to all of these figures. CICIDS2017 is known to contain labelling and flow-construction artefacts that can make detection easier than it would be on real traffic [22], [23], and the random train–test split means that flows from the same attack session can appear in both sets. The near-perfect ensemble scores should therefore be read as evidence that the models learned the benchmark well, not as a prediction of performance on a live network [24].</w:t>
      </w:r>
    </w:p>
    <w:p w14:paraId="000002B5">
      <w:pPr>
        <w:pStyle w:val="3"/>
        <w:rPr>
          <w:color w:val="000000"/>
        </w:rPr>
      </w:pPr>
      <w:bookmarkStart w:id="83" w:name="_67008gtpcgm2" w:colFirst="0" w:colLast="0"/>
      <w:bookmarkEnd w:id="83"/>
      <w:r>
        <w:rPr>
          <w:color w:val="000000"/>
          <w:rtl w:val="0"/>
        </w:rPr>
        <w:t>6.3 SHAP Explanation Analysis</w:t>
      </w:r>
    </w:p>
    <w:p w14:paraId="000002B6">
      <w:pPr>
        <w:jc w:val="both"/>
      </w:pPr>
      <w:r>
        <w:rPr>
          <w:rtl w:val="0"/>
        </w:rPr>
        <w:t>Across the 50 explained instances, SHAP produced a positive deletion-based fidelity gap for every model: 0.083 for Random Forest, 0.135 for XGBoost and 0.294 for the LSTM (Table 6.3). A positive gap means that masking the features SHAP ranked highest reduced the model's confidence in its prediction more than masking the same number of randomly chosen features. In other words, SHAP consistently identified features that genuinely mattered to each model's decision, more so than chance would. The same was true in the 50,000-row run.</w:t>
      </w:r>
    </w:p>
    <w:p w14:paraId="000002B7">
      <w:pPr>
        <w:jc w:val="both"/>
      </w:pPr>
      <w:r>
        <w:rPr>
          <w:rtl w:val="0"/>
        </w:rPr>
        <w:t>SHAP's stability was a perfect 1.0 for both Random Forest and XGBoost. This is what theory predicts: TreeExplainer computes exact Shapley values for tree ensembles, and given the same model and the same input it produces exactly the same attribution every time, regardless of the size of the dataset [32]. For an analyst this is a valuable property. An explanation attached to an alert today will be the same if the alert is re-examined next week or cited in an incident report.</w:t>
      </w:r>
    </w:p>
    <w:p w14:paraId="000002B8">
      <w:pPr>
        <w:jc w:val="both"/>
      </w:pPr>
      <w:r>
        <w:rPr>
          <w:rtl w:val="0"/>
        </w:rPr>
        <w:t>The LSTM tells a different story. SHAP's stability on the LSTM was 0.341, much lower than the 0.640 recorded in the 50,000-row run. GradientExplainer approximates SHAP values by sampling from background data along integration paths, so some variation between runs is expected. Why that variation should increase as the model is trained on more data is discussed in Section 6.6.</w:t>
      </w:r>
    </w:p>
    <w:p w14:paraId="000002B9">
      <w:pPr>
        <w:jc w:val="both"/>
      </w:pPr>
      <w:r>
        <w:rPr>
          <w:rtl w:val="0"/>
        </w:rPr>
        <w:t>It is worth noting that the absolute fidelity gaps are not directly comparable across models. A larger gap for the LSTM does not mean that SHAP "works better" on the LSTM than on XGBoost. One likely reason is that the tree ensembles make very confident predictions that draw on many correlated features, so masking a few of them often leaves the prediction largely intact. The meaningful comparison is between SHAP and LIME on the same model, which is the subject of the next two sections.</w:t>
      </w:r>
    </w:p>
    <w:p w14:paraId="000002BA">
      <w:pPr>
        <w:pStyle w:val="3"/>
        <w:rPr>
          <w:color w:val="000000"/>
        </w:rPr>
      </w:pPr>
      <w:bookmarkStart w:id="84" w:name="_ahe7d6i6ips3" w:colFirst="0" w:colLast="0"/>
      <w:bookmarkEnd w:id="84"/>
      <w:r>
        <w:rPr>
          <w:color w:val="000000"/>
          <w:rtl w:val="0"/>
        </w:rPr>
        <w:t>6.4 LIME Explanation Analysis</w:t>
      </w:r>
    </w:p>
    <w:p w14:paraId="000002BB">
      <w:pPr>
        <w:jc w:val="both"/>
      </w:pPr>
      <w:r>
        <w:rPr>
          <w:rtl w:val="0"/>
        </w:rPr>
        <w:t>Table 6.3 brings together the explanation metrics for all six model–method pairs, and Figure 6.3 shows fidelity and stability side by side.</w:t>
      </w:r>
    </w:p>
    <w:p w14:paraId="000002BC">
      <w:pPr>
        <w:keepNext/>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00" w:after="8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85" w:name="_b9xyagjvzpaj" w:colFirst="0" w:colLast="0"/>
      <w:bookmarkEnd w:id="85"/>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Table 6.3: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Explanation quality for each model–method pair (mean over 50 test instances, 5 repeats per instance; 300,000-row run)</w:t>
      </w:r>
    </w:p>
    <w:tbl>
      <w:tblPr>
        <w:tblStyle w:val="24"/>
        <w:tblW w:w="8504" w:type="dxa"/>
        <w:tblInd w:w="-90" w:type="dxa"/>
        <w:tblLayout w:type="fixed"/>
        <w:tblCellMar>
          <w:top w:w="50" w:type="dxa"/>
          <w:left w:w="90" w:type="dxa"/>
          <w:bottom w:w="50" w:type="dxa"/>
          <w:right w:w="90" w:type="dxa"/>
        </w:tblCellMar>
      </w:tblPr>
      <w:tblGrid>
        <w:gridCol w:w="1631"/>
        <w:gridCol w:w="1109"/>
        <w:gridCol w:w="1568"/>
        <w:gridCol w:w="1974"/>
        <w:gridCol w:w="2222"/>
      </w:tblGrid>
      <w:tr w14:paraId="350C3459">
        <w:tblPrEx>
          <w:tblCellMar>
            <w:top w:w="50" w:type="dxa"/>
            <w:left w:w="90" w:type="dxa"/>
            <w:bottom w:w="50" w:type="dxa"/>
            <w:right w:w="90" w:type="dxa"/>
          </w:tblCellMar>
        </w:tblPrEx>
        <w:trPr>
          <w:cantSplit/>
          <w:tblHeader/>
        </w:trPr>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BD">
            <w:pPr>
              <w:keepNext/>
              <w:spacing w:before="0" w:after="0" w:line="240" w:lineRule="auto"/>
              <w:jc w:val="left"/>
            </w:pPr>
            <w:r>
              <w:rPr>
                <w:b/>
                <w:bCs/>
                <w:sz w:val="18"/>
                <w:szCs w:val="18"/>
                <w:rtl w:val="0"/>
              </w:rPr>
              <w:t>Model</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BE">
            <w:pPr>
              <w:keepNext/>
              <w:spacing w:before="0" w:after="0" w:line="240" w:lineRule="auto"/>
              <w:jc w:val="left"/>
            </w:pPr>
            <w:r>
              <w:rPr>
                <w:b/>
                <w:bCs/>
                <w:sz w:val="18"/>
                <w:szCs w:val="18"/>
                <w:rtl w:val="0"/>
              </w:rPr>
              <w:t>Method</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BF">
            <w:pPr>
              <w:keepNext/>
              <w:spacing w:before="0" w:after="0" w:line="240" w:lineRule="auto"/>
              <w:jc w:val="left"/>
            </w:pPr>
            <w:r>
              <w:rPr>
                <w:b/>
                <w:bCs/>
                <w:sz w:val="18"/>
                <w:szCs w:val="18"/>
                <w:rtl w:val="0"/>
              </w:rPr>
              <w:t>Fidelity gap</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C0">
            <w:pPr>
              <w:keepNext/>
              <w:spacing w:before="0" w:after="0" w:line="240" w:lineRule="auto"/>
              <w:jc w:val="left"/>
            </w:pPr>
            <w:r>
              <w:rPr>
                <w:b/>
                <w:bCs/>
                <w:sz w:val="18"/>
                <w:szCs w:val="18"/>
                <w:rtl w:val="0"/>
              </w:rPr>
              <w:t>Stability (Jaccard)</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C1">
            <w:pPr>
              <w:keepNext/>
              <w:spacing w:before="0" w:after="0" w:line="240" w:lineRule="auto"/>
              <w:jc w:val="left"/>
            </w:pPr>
            <w:r>
              <w:rPr>
                <w:b/>
                <w:bCs/>
                <w:sz w:val="18"/>
                <w:szCs w:val="18"/>
                <w:rtl w:val="0"/>
              </w:rPr>
              <w:t>Mean time (s / instance)</w:t>
            </w:r>
          </w:p>
        </w:tc>
      </w:tr>
      <w:tr w14:paraId="641097BA">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2C2">
            <w:pPr>
              <w:keepNext/>
              <w:spacing w:before="0" w:after="0" w:line="240" w:lineRule="auto"/>
              <w:jc w:val="left"/>
            </w:pPr>
            <w:r>
              <w:rPr>
                <w:sz w:val="18"/>
                <w:szCs w:val="18"/>
                <w:rtl w:val="0"/>
              </w:rPr>
              <w:t>Random Forest</w:t>
            </w:r>
          </w:p>
        </w:tc>
        <w:tc>
          <w:tcPr>
            <w:tcBorders>
              <w:top w:val="single" w:color="9AA5B1" w:sz="4" w:space="0"/>
              <w:left w:val="single" w:color="9AA5B1" w:sz="4" w:space="0"/>
              <w:bottom w:val="single" w:color="9AA5B1" w:sz="4" w:space="0"/>
              <w:right w:val="single" w:color="9AA5B1" w:sz="4" w:space="0"/>
            </w:tcBorders>
            <w:vAlign w:val="center"/>
          </w:tcPr>
          <w:p w14:paraId="000002C3">
            <w:pPr>
              <w:keepNext/>
              <w:spacing w:before="0" w:after="0" w:line="240" w:lineRule="auto"/>
              <w:jc w:val="left"/>
            </w:pPr>
            <w:r>
              <w:rPr>
                <w:sz w:val="18"/>
                <w:szCs w:val="18"/>
                <w:rtl w:val="0"/>
              </w:rPr>
              <w:t>SHAP</w:t>
            </w:r>
          </w:p>
        </w:tc>
        <w:tc>
          <w:tcPr>
            <w:tcBorders>
              <w:top w:val="single" w:color="9AA5B1" w:sz="4" w:space="0"/>
              <w:left w:val="single" w:color="9AA5B1" w:sz="4" w:space="0"/>
              <w:bottom w:val="single" w:color="9AA5B1" w:sz="4" w:space="0"/>
              <w:right w:val="single" w:color="9AA5B1" w:sz="4" w:space="0"/>
            </w:tcBorders>
            <w:vAlign w:val="center"/>
          </w:tcPr>
          <w:p w14:paraId="000002C4">
            <w:pPr>
              <w:keepNext/>
              <w:spacing w:before="0" w:after="0" w:line="240" w:lineRule="auto"/>
              <w:jc w:val="left"/>
            </w:pPr>
            <w:r>
              <w:rPr>
                <w:sz w:val="18"/>
                <w:szCs w:val="18"/>
                <w:rtl w:val="0"/>
              </w:rPr>
              <w:t>0.0828</w:t>
            </w:r>
          </w:p>
        </w:tc>
        <w:tc>
          <w:tcPr>
            <w:tcBorders>
              <w:top w:val="single" w:color="9AA5B1" w:sz="4" w:space="0"/>
              <w:left w:val="single" w:color="9AA5B1" w:sz="4" w:space="0"/>
              <w:bottom w:val="single" w:color="9AA5B1" w:sz="4" w:space="0"/>
              <w:right w:val="single" w:color="9AA5B1" w:sz="4" w:space="0"/>
            </w:tcBorders>
            <w:vAlign w:val="center"/>
          </w:tcPr>
          <w:p w14:paraId="000002C5">
            <w:pPr>
              <w:keepNext/>
              <w:spacing w:before="0" w:after="0" w:line="240" w:lineRule="auto"/>
              <w:jc w:val="left"/>
            </w:pPr>
            <w:r>
              <w:rPr>
                <w:sz w:val="18"/>
                <w:szCs w:val="18"/>
                <w:rtl w:val="0"/>
              </w:rPr>
              <w:t>1.000</w:t>
            </w:r>
          </w:p>
        </w:tc>
        <w:tc>
          <w:tcPr>
            <w:tcBorders>
              <w:top w:val="single" w:color="9AA5B1" w:sz="4" w:space="0"/>
              <w:left w:val="single" w:color="9AA5B1" w:sz="4" w:space="0"/>
              <w:bottom w:val="single" w:color="9AA5B1" w:sz="4" w:space="0"/>
              <w:right w:val="single" w:color="9AA5B1" w:sz="4" w:space="0"/>
            </w:tcBorders>
            <w:vAlign w:val="center"/>
          </w:tcPr>
          <w:p w14:paraId="000002C6">
            <w:pPr>
              <w:keepNext/>
              <w:spacing w:before="0" w:after="0" w:line="240" w:lineRule="auto"/>
              <w:jc w:val="left"/>
            </w:pPr>
            <w:r>
              <w:rPr>
                <w:sz w:val="18"/>
                <w:szCs w:val="18"/>
                <w:rtl w:val="0"/>
              </w:rPr>
              <w:t>0.2072</w:t>
            </w:r>
          </w:p>
        </w:tc>
      </w:tr>
      <w:tr w14:paraId="6C159E3F">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C7">
            <w:pPr>
              <w:keepNext/>
              <w:spacing w:before="0" w:after="0" w:line="240" w:lineRule="auto"/>
              <w:jc w:val="left"/>
            </w:pPr>
            <w:r>
              <w:rPr>
                <w:sz w:val="18"/>
                <w:szCs w:val="18"/>
                <w:rtl w:val="0"/>
              </w:rPr>
              <w:t>Random Forest</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C8">
            <w:pPr>
              <w:keepNext/>
              <w:spacing w:before="0" w:after="0" w:line="240" w:lineRule="auto"/>
              <w:jc w:val="left"/>
            </w:pPr>
            <w:r>
              <w:rPr>
                <w:sz w:val="18"/>
                <w:szCs w:val="18"/>
                <w:rtl w:val="0"/>
              </w:rPr>
              <w:t>LIME</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C9">
            <w:pPr>
              <w:keepNext/>
              <w:spacing w:before="0" w:after="0" w:line="240" w:lineRule="auto"/>
              <w:jc w:val="left"/>
            </w:pPr>
            <w:r>
              <w:rPr>
                <w:sz w:val="18"/>
                <w:szCs w:val="18"/>
                <w:rtl w:val="0"/>
              </w:rPr>
              <w:t>0.0477</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CA">
            <w:pPr>
              <w:keepNext/>
              <w:spacing w:before="0" w:after="0" w:line="240" w:lineRule="auto"/>
              <w:jc w:val="left"/>
            </w:pPr>
            <w:r>
              <w:rPr>
                <w:sz w:val="18"/>
                <w:szCs w:val="18"/>
                <w:rtl w:val="0"/>
              </w:rPr>
              <w:t>0.380</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CB">
            <w:pPr>
              <w:keepNext/>
              <w:spacing w:before="0" w:after="0" w:line="240" w:lineRule="auto"/>
              <w:jc w:val="left"/>
            </w:pPr>
            <w:r>
              <w:rPr>
                <w:sz w:val="18"/>
                <w:szCs w:val="18"/>
                <w:rtl w:val="0"/>
              </w:rPr>
              <w:t>0.1589</w:t>
            </w:r>
          </w:p>
        </w:tc>
      </w:tr>
      <w:tr w14:paraId="68BFD86C">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2CC">
            <w:pPr>
              <w:keepNext/>
              <w:spacing w:before="0" w:after="0" w:line="240" w:lineRule="auto"/>
              <w:jc w:val="left"/>
            </w:pPr>
            <w:r>
              <w:rPr>
                <w:sz w:val="18"/>
                <w:szCs w:val="18"/>
                <w:rtl w:val="0"/>
              </w:rPr>
              <w:t>XGBoost</w:t>
            </w:r>
          </w:p>
        </w:tc>
        <w:tc>
          <w:tcPr>
            <w:tcBorders>
              <w:top w:val="single" w:color="9AA5B1" w:sz="4" w:space="0"/>
              <w:left w:val="single" w:color="9AA5B1" w:sz="4" w:space="0"/>
              <w:bottom w:val="single" w:color="9AA5B1" w:sz="4" w:space="0"/>
              <w:right w:val="single" w:color="9AA5B1" w:sz="4" w:space="0"/>
            </w:tcBorders>
            <w:vAlign w:val="center"/>
          </w:tcPr>
          <w:p w14:paraId="000002CD">
            <w:pPr>
              <w:keepNext/>
              <w:spacing w:before="0" w:after="0" w:line="240" w:lineRule="auto"/>
              <w:jc w:val="left"/>
            </w:pPr>
            <w:r>
              <w:rPr>
                <w:sz w:val="18"/>
                <w:szCs w:val="18"/>
                <w:rtl w:val="0"/>
              </w:rPr>
              <w:t>SHAP</w:t>
            </w:r>
          </w:p>
        </w:tc>
        <w:tc>
          <w:tcPr>
            <w:tcBorders>
              <w:top w:val="single" w:color="9AA5B1" w:sz="4" w:space="0"/>
              <w:left w:val="single" w:color="9AA5B1" w:sz="4" w:space="0"/>
              <w:bottom w:val="single" w:color="9AA5B1" w:sz="4" w:space="0"/>
              <w:right w:val="single" w:color="9AA5B1" w:sz="4" w:space="0"/>
            </w:tcBorders>
            <w:vAlign w:val="center"/>
          </w:tcPr>
          <w:p w14:paraId="000002CE">
            <w:pPr>
              <w:keepNext/>
              <w:spacing w:before="0" w:after="0" w:line="240" w:lineRule="auto"/>
              <w:jc w:val="left"/>
            </w:pPr>
            <w:r>
              <w:rPr>
                <w:sz w:val="18"/>
                <w:szCs w:val="18"/>
                <w:rtl w:val="0"/>
              </w:rPr>
              <w:t>0.1346</w:t>
            </w:r>
          </w:p>
        </w:tc>
        <w:tc>
          <w:tcPr>
            <w:tcBorders>
              <w:top w:val="single" w:color="9AA5B1" w:sz="4" w:space="0"/>
              <w:left w:val="single" w:color="9AA5B1" w:sz="4" w:space="0"/>
              <w:bottom w:val="single" w:color="9AA5B1" w:sz="4" w:space="0"/>
              <w:right w:val="single" w:color="9AA5B1" w:sz="4" w:space="0"/>
            </w:tcBorders>
            <w:vAlign w:val="center"/>
          </w:tcPr>
          <w:p w14:paraId="000002CF">
            <w:pPr>
              <w:keepNext/>
              <w:spacing w:before="0" w:after="0" w:line="240" w:lineRule="auto"/>
              <w:jc w:val="left"/>
            </w:pPr>
            <w:r>
              <w:rPr>
                <w:sz w:val="18"/>
                <w:szCs w:val="18"/>
                <w:rtl w:val="0"/>
              </w:rPr>
              <w:t>1.000</w:t>
            </w:r>
          </w:p>
        </w:tc>
        <w:tc>
          <w:tcPr>
            <w:tcBorders>
              <w:top w:val="single" w:color="9AA5B1" w:sz="4" w:space="0"/>
              <w:left w:val="single" w:color="9AA5B1" w:sz="4" w:space="0"/>
              <w:bottom w:val="single" w:color="9AA5B1" w:sz="4" w:space="0"/>
              <w:right w:val="single" w:color="9AA5B1" w:sz="4" w:space="0"/>
            </w:tcBorders>
            <w:vAlign w:val="center"/>
          </w:tcPr>
          <w:p w14:paraId="000002D0">
            <w:pPr>
              <w:keepNext/>
              <w:spacing w:before="0" w:after="0" w:line="240" w:lineRule="auto"/>
              <w:jc w:val="left"/>
            </w:pPr>
            <w:r>
              <w:rPr>
                <w:sz w:val="18"/>
                <w:szCs w:val="18"/>
                <w:rtl w:val="0"/>
              </w:rPr>
              <w:t>0.0063</w:t>
            </w:r>
          </w:p>
        </w:tc>
      </w:tr>
      <w:tr w14:paraId="384C2B81">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D1">
            <w:pPr>
              <w:keepNext/>
              <w:spacing w:before="0" w:after="0" w:line="240" w:lineRule="auto"/>
              <w:jc w:val="left"/>
            </w:pPr>
            <w:r>
              <w:rPr>
                <w:sz w:val="18"/>
                <w:szCs w:val="18"/>
                <w:rtl w:val="0"/>
              </w:rPr>
              <w:t>XGBoost</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D2">
            <w:pPr>
              <w:keepNext/>
              <w:spacing w:before="0" w:after="0" w:line="240" w:lineRule="auto"/>
              <w:jc w:val="left"/>
            </w:pPr>
            <w:r>
              <w:rPr>
                <w:sz w:val="18"/>
                <w:szCs w:val="18"/>
                <w:rtl w:val="0"/>
              </w:rPr>
              <w:t>LIME</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D3">
            <w:pPr>
              <w:keepNext/>
              <w:spacing w:before="0" w:after="0" w:line="240" w:lineRule="auto"/>
              <w:jc w:val="left"/>
            </w:pPr>
            <w:r>
              <w:rPr>
                <w:sz w:val="18"/>
                <w:szCs w:val="18"/>
                <w:rtl w:val="0"/>
              </w:rPr>
              <w:t>0.1168</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D4">
            <w:pPr>
              <w:keepNext/>
              <w:spacing w:before="0" w:after="0" w:line="240" w:lineRule="auto"/>
              <w:jc w:val="left"/>
            </w:pPr>
            <w:r>
              <w:rPr>
                <w:sz w:val="18"/>
                <w:szCs w:val="18"/>
                <w:rtl w:val="0"/>
              </w:rPr>
              <w:t>0.417</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D5">
            <w:pPr>
              <w:keepNext/>
              <w:spacing w:before="0" w:after="0" w:line="240" w:lineRule="auto"/>
              <w:jc w:val="left"/>
            </w:pPr>
            <w:r>
              <w:rPr>
                <w:sz w:val="18"/>
                <w:szCs w:val="18"/>
                <w:rtl w:val="0"/>
              </w:rPr>
              <w:t>0.0930</w:t>
            </w:r>
          </w:p>
        </w:tc>
      </w:tr>
      <w:tr w14:paraId="410E066F">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2D6">
            <w:pPr>
              <w:keepNext/>
              <w:spacing w:before="0" w:after="0" w:line="240" w:lineRule="auto"/>
              <w:jc w:val="left"/>
            </w:pPr>
            <w:r>
              <w:rPr>
                <w:sz w:val="18"/>
                <w:szCs w:val="18"/>
                <w:rtl w:val="0"/>
              </w:rPr>
              <w:t>LSTM</w:t>
            </w:r>
          </w:p>
        </w:tc>
        <w:tc>
          <w:tcPr>
            <w:tcBorders>
              <w:top w:val="single" w:color="9AA5B1" w:sz="4" w:space="0"/>
              <w:left w:val="single" w:color="9AA5B1" w:sz="4" w:space="0"/>
              <w:bottom w:val="single" w:color="9AA5B1" w:sz="4" w:space="0"/>
              <w:right w:val="single" w:color="9AA5B1" w:sz="4" w:space="0"/>
            </w:tcBorders>
            <w:vAlign w:val="center"/>
          </w:tcPr>
          <w:p w14:paraId="000002D7">
            <w:pPr>
              <w:keepNext/>
              <w:spacing w:before="0" w:after="0" w:line="240" w:lineRule="auto"/>
              <w:jc w:val="left"/>
            </w:pPr>
            <w:r>
              <w:rPr>
                <w:sz w:val="18"/>
                <w:szCs w:val="18"/>
                <w:rtl w:val="0"/>
              </w:rPr>
              <w:t>SHAP</w:t>
            </w:r>
          </w:p>
        </w:tc>
        <w:tc>
          <w:tcPr>
            <w:tcBorders>
              <w:top w:val="single" w:color="9AA5B1" w:sz="4" w:space="0"/>
              <w:left w:val="single" w:color="9AA5B1" w:sz="4" w:space="0"/>
              <w:bottom w:val="single" w:color="9AA5B1" w:sz="4" w:space="0"/>
              <w:right w:val="single" w:color="9AA5B1" w:sz="4" w:space="0"/>
            </w:tcBorders>
            <w:vAlign w:val="center"/>
          </w:tcPr>
          <w:p w14:paraId="000002D8">
            <w:pPr>
              <w:keepNext/>
              <w:spacing w:before="0" w:after="0" w:line="240" w:lineRule="auto"/>
              <w:jc w:val="left"/>
            </w:pPr>
            <w:r>
              <w:rPr>
                <w:sz w:val="18"/>
                <w:szCs w:val="18"/>
                <w:rtl w:val="0"/>
              </w:rPr>
              <w:t>0.2943</w:t>
            </w:r>
          </w:p>
        </w:tc>
        <w:tc>
          <w:tcPr>
            <w:tcBorders>
              <w:top w:val="single" w:color="9AA5B1" w:sz="4" w:space="0"/>
              <w:left w:val="single" w:color="9AA5B1" w:sz="4" w:space="0"/>
              <w:bottom w:val="single" w:color="9AA5B1" w:sz="4" w:space="0"/>
              <w:right w:val="single" w:color="9AA5B1" w:sz="4" w:space="0"/>
            </w:tcBorders>
            <w:vAlign w:val="center"/>
          </w:tcPr>
          <w:p w14:paraId="000002D9">
            <w:pPr>
              <w:keepNext/>
              <w:spacing w:before="0" w:after="0" w:line="240" w:lineRule="auto"/>
              <w:jc w:val="left"/>
            </w:pPr>
            <w:r>
              <w:rPr>
                <w:sz w:val="18"/>
                <w:szCs w:val="18"/>
                <w:rtl w:val="0"/>
              </w:rPr>
              <w:t>0.341</w:t>
            </w:r>
          </w:p>
        </w:tc>
        <w:tc>
          <w:tcPr>
            <w:tcBorders>
              <w:top w:val="single" w:color="9AA5B1" w:sz="4" w:space="0"/>
              <w:left w:val="single" w:color="9AA5B1" w:sz="4" w:space="0"/>
              <w:bottom w:val="single" w:color="9AA5B1" w:sz="4" w:space="0"/>
              <w:right w:val="single" w:color="9AA5B1" w:sz="4" w:space="0"/>
            </w:tcBorders>
            <w:vAlign w:val="center"/>
          </w:tcPr>
          <w:p w14:paraId="000002DA">
            <w:pPr>
              <w:keepNext/>
              <w:spacing w:before="0" w:after="0" w:line="240" w:lineRule="auto"/>
              <w:jc w:val="left"/>
            </w:pPr>
            <w:r>
              <w:rPr>
                <w:sz w:val="18"/>
                <w:szCs w:val="18"/>
                <w:rtl w:val="0"/>
              </w:rPr>
              <w:t>0.2585</w:t>
            </w:r>
          </w:p>
        </w:tc>
      </w:tr>
      <w:tr w14:paraId="2B8969C8">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DB">
            <w:pPr>
              <w:keepNext w:val="0"/>
              <w:spacing w:before="0" w:after="0" w:line="240" w:lineRule="auto"/>
              <w:jc w:val="left"/>
            </w:pPr>
            <w:r>
              <w:rPr>
                <w:sz w:val="18"/>
                <w:szCs w:val="18"/>
                <w:rtl w:val="0"/>
              </w:rPr>
              <w:t>LSTM</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DC">
            <w:pPr>
              <w:keepNext w:val="0"/>
              <w:spacing w:before="0" w:after="0" w:line="240" w:lineRule="auto"/>
              <w:jc w:val="left"/>
            </w:pPr>
            <w:r>
              <w:rPr>
                <w:sz w:val="18"/>
                <w:szCs w:val="18"/>
                <w:rtl w:val="0"/>
              </w:rPr>
              <w:t>LIME</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DD">
            <w:pPr>
              <w:keepNext w:val="0"/>
              <w:spacing w:before="0" w:after="0" w:line="240" w:lineRule="auto"/>
              <w:jc w:val="left"/>
            </w:pPr>
            <w:r>
              <w:rPr>
                <w:sz w:val="18"/>
                <w:szCs w:val="18"/>
                <w:rtl w:val="0"/>
              </w:rPr>
              <w:t>0.0861</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DE">
            <w:pPr>
              <w:keepNext w:val="0"/>
              <w:spacing w:before="0" w:after="0" w:line="240" w:lineRule="auto"/>
              <w:jc w:val="left"/>
            </w:pPr>
            <w:r>
              <w:rPr>
                <w:sz w:val="18"/>
                <w:szCs w:val="18"/>
                <w:rtl w:val="0"/>
              </w:rPr>
              <w:t>0.290</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DF">
            <w:pPr>
              <w:keepNext w:val="0"/>
              <w:spacing w:before="0" w:after="0" w:line="240" w:lineRule="auto"/>
              <w:jc w:val="left"/>
            </w:pPr>
            <w:r>
              <w:rPr>
                <w:sz w:val="18"/>
                <w:szCs w:val="18"/>
                <w:rtl w:val="0"/>
              </w:rPr>
              <w:t>0.4857</w:t>
            </w:r>
          </w:p>
        </w:tc>
      </w:tr>
    </w:tbl>
    <w:p w14:paraId="000002E0">
      <w:pPr>
        <w:spacing w:before="0" w:after="120"/>
      </w:pPr>
    </w:p>
    <w:p w14:paraId="000002E1">
      <w:pPr>
        <w:keepNext/>
        <w:spacing w:before="160" w:after="60" w:line="240" w:lineRule="auto"/>
        <w:jc w:val="center"/>
      </w:pPr>
      <w:r>
        <w:drawing>
          <wp:inline distT="0" distB="0" distL="0" distR="0">
            <wp:extent cx="5353050" cy="2171700"/>
            <wp:effectExtent l="0" t="0" r="0" b="0"/>
            <wp:docPr id="18" name="image18.png" descr="Figure 6.3&#10;Fidelity gap and stability of SHAP and LIME for each model"/>
            <wp:cNvGraphicFramePr/>
            <a:graphic xmlns:a="http://schemas.openxmlformats.org/drawingml/2006/main">
              <a:graphicData uri="http://schemas.openxmlformats.org/drawingml/2006/picture">
                <pic:pic xmlns:pic="http://schemas.openxmlformats.org/drawingml/2006/picture">
                  <pic:nvPicPr>
                    <pic:cNvPr id="18" name="image18.png" descr="Figure 6.3&#10;Fidelity gap and stability of SHAP and LIME for each model"/>
                    <pic:cNvPicPr preferRelativeResize="0"/>
                  </pic:nvPicPr>
                  <pic:blipFill>
                    <a:blip r:embed="rId27"/>
                    <a:srcRect/>
                    <a:stretch>
                      <a:fillRect/>
                    </a:stretch>
                  </pic:blipFill>
                  <pic:spPr>
                    <a:xfrm>
                      <a:off x="0" y="0"/>
                      <a:ext cx="5353050" cy="2171700"/>
                    </a:xfrm>
                    <a:prstGeom prst="rect">
                      <a:avLst/>
                    </a:prstGeom>
                  </pic:spPr>
                </pic:pic>
              </a:graphicData>
            </a:graphic>
          </wp:inline>
        </w:drawing>
      </w:r>
    </w:p>
    <w:p w14:paraId="000002E2">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60" w:after="24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86" w:name="_pgae6m92khgl" w:colFirst="0" w:colLast="0"/>
      <w:bookmarkEnd w:id="86"/>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Figure 6.3: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Fidelity gap and stability of SHAP and LIME for each model</w:t>
      </w:r>
    </w:p>
    <w:p w14:paraId="000002E3">
      <w:pPr>
        <w:jc w:val="both"/>
      </w:pPr>
      <w:r>
        <w:rPr>
          <w:rtl w:val="0"/>
        </w:rPr>
        <w:t>LIME also achieved a positive fidelity gap for all three models, so its explanations too pointed to features that mattered more than random ones. In every case, however, its gap was smaller than SHAP's on the same model. The difference was clear on Random Forest (0.048 against 0.083) and very large on the LSTM (0.086 against 0.294). On XGBoost the two methods came much closer (0.117 against 0.135), a gap of just 0.018, compared with 0.118 in the 50,000-row run.</w:t>
      </w:r>
    </w:p>
    <w:p w14:paraId="000002E4">
      <w:pPr>
        <w:jc w:val="both"/>
      </w:pPr>
      <w:r>
        <w:rPr>
          <w:rtl w:val="0"/>
        </w:rPr>
        <w:t>LIME's stability was well below SHAP's on the tree ensembles, at 0.380 for Random Forest and 0.417 for XGBoost against SHAP's perfect 1.0. A Jaccard score of around 0.4 means that when the same flow is explained twice, only about 40% of the combined set of top-ranked features is shared between the two explanations. An analyst who asked LIME the same question twice would often get a noticeably different answer. On the LSTM, LIME's stability of 0.290 was now close to SHAP's 0.341. This instability is inherent to LIME's design, which depends on random perturbation sampling [13], [35], and it echoes the disagreement between methods reported by Kalakoti et al. [34].</w:t>
      </w:r>
    </w:p>
    <w:p w14:paraId="000002E5">
      <w:pPr>
        <w:pStyle w:val="3"/>
        <w:rPr>
          <w:color w:val="000000"/>
        </w:rPr>
      </w:pPr>
      <w:bookmarkStart w:id="87" w:name="_carrk482f9la" w:colFirst="0" w:colLast="0"/>
      <w:bookmarkEnd w:id="87"/>
      <w:r>
        <w:rPr>
          <w:color w:val="000000"/>
          <w:rtl w:val="0"/>
        </w:rPr>
        <w:t>6.5 SHAP versus LIME: Comparative Analysis</w:t>
      </w:r>
    </w:p>
    <w:p w14:paraId="000002E6">
      <w:pPr>
        <w:jc w:val="both"/>
      </w:pPr>
      <w:r>
        <w:rPr>
          <w:rtl w:val="0"/>
        </w:rPr>
        <w:t>Bringing Sections 6.3 and 6.4 together to answer RQ2: on all three models SHAP beat LIME on fidelity, and on all three models SHAP also beat LIME on stability. The size of the advantage, however, varied a great deal from one model to another. Figure 6.4 places all six pairs on a single fidelity–stability map, which makes the pattern easy to see.</w:t>
      </w:r>
    </w:p>
    <w:p w14:paraId="000002E7">
      <w:pPr>
        <w:keepNext/>
        <w:spacing w:before="160" w:after="60" w:line="240" w:lineRule="auto"/>
        <w:jc w:val="center"/>
      </w:pPr>
      <w:r>
        <w:drawing>
          <wp:inline distT="0" distB="0" distL="0" distR="0">
            <wp:extent cx="5353050" cy="3409950"/>
            <wp:effectExtent l="0" t="0" r="0" b="0"/>
            <wp:docPr id="19" name="image7.png" descr="Figure 6.4&#10;Fidelity–stability map of the six model–method pairs (300,000-row run)"/>
            <wp:cNvGraphicFramePr/>
            <a:graphic xmlns:a="http://schemas.openxmlformats.org/drawingml/2006/main">
              <a:graphicData uri="http://schemas.openxmlformats.org/drawingml/2006/picture">
                <pic:pic xmlns:pic="http://schemas.openxmlformats.org/drawingml/2006/picture">
                  <pic:nvPicPr>
                    <pic:cNvPr id="19" name="image7.png" descr="Figure 6.4&#10;Fidelity–stability map of the six model–method pairs (300,000-row run)"/>
                    <pic:cNvPicPr preferRelativeResize="0"/>
                  </pic:nvPicPr>
                  <pic:blipFill>
                    <a:blip r:embed="rId28"/>
                    <a:srcRect/>
                    <a:stretch>
                      <a:fillRect/>
                    </a:stretch>
                  </pic:blipFill>
                  <pic:spPr>
                    <a:xfrm>
                      <a:off x="0" y="0"/>
                      <a:ext cx="5353050" cy="3409950"/>
                    </a:xfrm>
                    <a:prstGeom prst="rect">
                      <a:avLst/>
                    </a:prstGeom>
                  </pic:spPr>
                </pic:pic>
              </a:graphicData>
            </a:graphic>
          </wp:inline>
        </w:drawing>
      </w:r>
    </w:p>
    <w:p w14:paraId="000002E8">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60" w:after="24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88" w:name="_rre5lqhjsakt" w:colFirst="0" w:colLast="0"/>
      <w:bookmarkEnd w:id="88"/>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Figure 6.4: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Fidelity–stability map of the six model–method pairs (300,000-row run)</w:t>
      </w:r>
    </w:p>
    <w:p w14:paraId="000002E9">
      <w:pPr>
        <w:jc w:val="both"/>
      </w:pPr>
      <w:r>
        <w:rPr>
          <w:rtl w:val="0"/>
        </w:rPr>
        <w:t>On the two tree ensembles, SHAP's stability advantage is absolute: 1.0 against roughly 0.4, with a consistent fidelity lead. Both SHAP points sit in the "deterministic" band at the top of the map. On the LSTM, SHAP keeps a large fidelity lead but its stability advantage almost disappears, and the two LSTM points sit together near the bottom of the map. Cost adds a third dimension. SHAP is the faster method on XGBoost by a factor of about fifteen and on the LSTM by a factor of almost two, while LIME is slightly faster on Random Forest.</w:t>
      </w:r>
    </w:p>
    <w:p w14:paraId="000002EA">
      <w:pPr>
        <w:jc w:val="both"/>
      </w:pPr>
      <w:r>
        <w:rPr>
          <w:rtl w:val="0"/>
        </w:rPr>
        <w:t>This is a more conditional conclusion than a single experiment would have produced. It shows that a claim such as "SHAP is better than LIME" cannot be made without saying which model is being explained. For tree ensembles, SHAP's superiority is clear on every measure except, marginally, the cost on Random Forest, and it holds at both data scales. For the deep learning model, SHAP still gives more faithful explanations, but they are not much more stable than LIME's, and neither method is stable enough to be taken at face value on a single run. Table 6.4 summarises the comparison as a decision aid for practitioners.</w:t>
      </w:r>
    </w:p>
    <w:p w14:paraId="000002EB">
      <w:pPr>
        <w:keepNext/>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00" w:after="8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89" w:name="_peywf2ju1ysc" w:colFirst="0" w:colLast="0"/>
      <w:bookmarkEnd w:id="89"/>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Table 6.4: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Summary of SHAP versus LIME by model (300,000-row run)</w:t>
      </w:r>
    </w:p>
    <w:tbl>
      <w:tblPr>
        <w:tblStyle w:val="25"/>
        <w:tblW w:w="8504" w:type="dxa"/>
        <w:tblInd w:w="-90" w:type="dxa"/>
        <w:tblLayout w:type="fixed"/>
        <w:tblCellMar>
          <w:top w:w="50" w:type="dxa"/>
          <w:left w:w="90" w:type="dxa"/>
          <w:bottom w:w="50" w:type="dxa"/>
          <w:right w:w="90" w:type="dxa"/>
        </w:tblCellMar>
      </w:tblPr>
      <w:tblGrid>
        <w:gridCol w:w="1250"/>
        <w:gridCol w:w="1591"/>
        <w:gridCol w:w="1932"/>
        <w:gridCol w:w="1735"/>
        <w:gridCol w:w="1996"/>
      </w:tblGrid>
      <w:tr w14:paraId="1ECC1C25">
        <w:tblPrEx>
          <w:tblCellMar>
            <w:top w:w="50" w:type="dxa"/>
            <w:left w:w="90" w:type="dxa"/>
            <w:bottom w:w="50" w:type="dxa"/>
            <w:right w:w="90" w:type="dxa"/>
          </w:tblCellMar>
        </w:tblPrEx>
        <w:trPr>
          <w:cantSplit/>
          <w:tblHeader/>
        </w:trPr>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EC">
            <w:pPr>
              <w:keepNext/>
              <w:spacing w:before="0" w:after="0" w:line="240" w:lineRule="auto"/>
              <w:jc w:val="left"/>
            </w:pPr>
            <w:r>
              <w:rPr>
                <w:b/>
                <w:bCs/>
                <w:sz w:val="18"/>
                <w:szCs w:val="18"/>
                <w:rtl w:val="0"/>
              </w:rPr>
              <w:t>Model</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ED">
            <w:pPr>
              <w:keepNext/>
              <w:spacing w:before="0" w:after="0" w:line="240" w:lineRule="auto"/>
              <w:jc w:val="left"/>
            </w:pPr>
            <w:r>
              <w:rPr>
                <w:b/>
                <w:bCs/>
                <w:sz w:val="18"/>
                <w:szCs w:val="18"/>
                <w:rtl w:val="0"/>
              </w:rPr>
              <w:t>Better fidelity</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EE">
            <w:pPr>
              <w:keepNext/>
              <w:spacing w:before="0" w:after="0" w:line="240" w:lineRule="auto"/>
              <w:jc w:val="left"/>
            </w:pPr>
            <w:r>
              <w:rPr>
                <w:b/>
                <w:bCs/>
                <w:sz w:val="18"/>
                <w:szCs w:val="18"/>
                <w:rtl w:val="0"/>
              </w:rPr>
              <w:t>Better stability</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EF">
            <w:pPr>
              <w:keepNext/>
              <w:spacing w:before="0" w:after="0" w:line="240" w:lineRule="auto"/>
              <w:jc w:val="left"/>
            </w:pPr>
            <w:r>
              <w:rPr>
                <w:b/>
                <w:bCs/>
                <w:sz w:val="18"/>
                <w:szCs w:val="18"/>
                <w:rtl w:val="0"/>
              </w:rPr>
              <w:t>Faster</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2F0">
            <w:pPr>
              <w:keepNext/>
              <w:spacing w:before="0" w:after="0" w:line="240" w:lineRule="auto"/>
              <w:jc w:val="left"/>
            </w:pPr>
            <w:r>
              <w:rPr>
                <w:b/>
                <w:bCs/>
                <w:sz w:val="18"/>
                <w:szCs w:val="18"/>
                <w:rtl w:val="0"/>
              </w:rPr>
              <w:t>Recommended method</w:t>
            </w:r>
          </w:p>
        </w:tc>
      </w:tr>
      <w:tr w14:paraId="09A3912E">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2F1">
            <w:pPr>
              <w:keepNext/>
              <w:spacing w:before="0" w:after="0" w:line="240" w:lineRule="auto"/>
              <w:jc w:val="left"/>
            </w:pPr>
            <w:r>
              <w:rPr>
                <w:sz w:val="18"/>
                <w:szCs w:val="18"/>
                <w:rtl w:val="0"/>
              </w:rPr>
              <w:t>Random Forest</w:t>
            </w:r>
          </w:p>
        </w:tc>
        <w:tc>
          <w:tcPr>
            <w:tcBorders>
              <w:top w:val="single" w:color="9AA5B1" w:sz="4" w:space="0"/>
              <w:left w:val="single" w:color="9AA5B1" w:sz="4" w:space="0"/>
              <w:bottom w:val="single" w:color="9AA5B1" w:sz="4" w:space="0"/>
              <w:right w:val="single" w:color="9AA5B1" w:sz="4" w:space="0"/>
            </w:tcBorders>
            <w:vAlign w:val="center"/>
          </w:tcPr>
          <w:p w14:paraId="000002F2">
            <w:pPr>
              <w:keepNext/>
              <w:spacing w:before="0" w:after="0" w:line="240" w:lineRule="auto"/>
              <w:jc w:val="left"/>
            </w:pPr>
            <w:r>
              <w:rPr>
                <w:sz w:val="18"/>
                <w:szCs w:val="18"/>
                <w:rtl w:val="0"/>
              </w:rPr>
              <w:t>SHAP (0.083 vs 0.048)</w:t>
            </w:r>
          </w:p>
        </w:tc>
        <w:tc>
          <w:tcPr>
            <w:tcBorders>
              <w:top w:val="single" w:color="9AA5B1" w:sz="4" w:space="0"/>
              <w:left w:val="single" w:color="9AA5B1" w:sz="4" w:space="0"/>
              <w:bottom w:val="single" w:color="9AA5B1" w:sz="4" w:space="0"/>
              <w:right w:val="single" w:color="9AA5B1" w:sz="4" w:space="0"/>
            </w:tcBorders>
            <w:vAlign w:val="center"/>
          </w:tcPr>
          <w:p w14:paraId="000002F3">
            <w:pPr>
              <w:keepNext/>
              <w:spacing w:before="0" w:after="0" w:line="240" w:lineRule="auto"/>
              <w:jc w:val="left"/>
            </w:pPr>
            <w:r>
              <w:rPr>
                <w:sz w:val="18"/>
                <w:szCs w:val="18"/>
                <w:rtl w:val="0"/>
              </w:rPr>
              <w:t>SHAP (1.000 vs 0.380)</w:t>
            </w:r>
          </w:p>
        </w:tc>
        <w:tc>
          <w:tcPr>
            <w:tcBorders>
              <w:top w:val="single" w:color="9AA5B1" w:sz="4" w:space="0"/>
              <w:left w:val="single" w:color="9AA5B1" w:sz="4" w:space="0"/>
              <w:bottom w:val="single" w:color="9AA5B1" w:sz="4" w:space="0"/>
              <w:right w:val="single" w:color="9AA5B1" w:sz="4" w:space="0"/>
            </w:tcBorders>
            <w:vAlign w:val="center"/>
          </w:tcPr>
          <w:p w14:paraId="000002F4">
            <w:pPr>
              <w:keepNext/>
              <w:spacing w:before="0" w:after="0" w:line="240" w:lineRule="auto"/>
              <w:jc w:val="left"/>
            </w:pPr>
            <w:r>
              <w:rPr>
                <w:sz w:val="18"/>
                <w:szCs w:val="18"/>
                <w:rtl w:val="0"/>
              </w:rPr>
              <w:t>LIME (0.159 s vs 0.207 s)</w:t>
            </w:r>
          </w:p>
        </w:tc>
        <w:tc>
          <w:tcPr>
            <w:tcBorders>
              <w:top w:val="single" w:color="9AA5B1" w:sz="4" w:space="0"/>
              <w:left w:val="single" w:color="9AA5B1" w:sz="4" w:space="0"/>
              <w:bottom w:val="single" w:color="9AA5B1" w:sz="4" w:space="0"/>
              <w:right w:val="single" w:color="9AA5B1" w:sz="4" w:space="0"/>
            </w:tcBorders>
            <w:vAlign w:val="center"/>
          </w:tcPr>
          <w:p w14:paraId="000002F5">
            <w:pPr>
              <w:keepNext/>
              <w:spacing w:before="0" w:after="0" w:line="240" w:lineRule="auto"/>
              <w:jc w:val="left"/>
            </w:pPr>
            <w:r>
              <w:rPr>
                <w:sz w:val="18"/>
                <w:szCs w:val="18"/>
                <w:rtl w:val="0"/>
              </w:rPr>
              <w:t>SHAP</w:t>
            </w:r>
          </w:p>
        </w:tc>
      </w:tr>
      <w:tr w14:paraId="354D63DF">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F6">
            <w:pPr>
              <w:keepNext/>
              <w:spacing w:before="0" w:after="0" w:line="240" w:lineRule="auto"/>
              <w:jc w:val="left"/>
            </w:pPr>
            <w:r>
              <w:rPr>
                <w:sz w:val="18"/>
                <w:szCs w:val="18"/>
                <w:rtl w:val="0"/>
              </w:rPr>
              <w:t>XGBoost</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F7">
            <w:pPr>
              <w:keepNext/>
              <w:spacing w:before="0" w:after="0" w:line="240" w:lineRule="auto"/>
              <w:jc w:val="left"/>
            </w:pPr>
            <w:r>
              <w:rPr>
                <w:sz w:val="18"/>
                <w:szCs w:val="18"/>
                <w:rtl w:val="0"/>
              </w:rPr>
              <w:t>SHAP (0.135 vs 0.117)</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F8">
            <w:pPr>
              <w:keepNext/>
              <w:spacing w:before="0" w:after="0" w:line="240" w:lineRule="auto"/>
              <w:jc w:val="left"/>
            </w:pPr>
            <w:r>
              <w:rPr>
                <w:sz w:val="18"/>
                <w:szCs w:val="18"/>
                <w:rtl w:val="0"/>
              </w:rPr>
              <w:t>SHAP (1.000 vs 0.417)</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F9">
            <w:pPr>
              <w:keepNext/>
              <w:spacing w:before="0" w:after="0" w:line="240" w:lineRule="auto"/>
              <w:jc w:val="left"/>
            </w:pPr>
            <w:r>
              <w:rPr>
                <w:sz w:val="18"/>
                <w:szCs w:val="18"/>
                <w:rtl w:val="0"/>
              </w:rPr>
              <w:t>SHAP (0.006 s vs 0.093 s)</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2FA">
            <w:pPr>
              <w:keepNext/>
              <w:spacing w:before="0" w:after="0" w:line="240" w:lineRule="auto"/>
              <w:jc w:val="left"/>
            </w:pPr>
            <w:r>
              <w:rPr>
                <w:sz w:val="18"/>
                <w:szCs w:val="18"/>
                <w:rtl w:val="0"/>
              </w:rPr>
              <w:t>SHAP, clearly</w:t>
            </w:r>
          </w:p>
        </w:tc>
      </w:tr>
      <w:tr w14:paraId="5F3AF798">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2FB">
            <w:pPr>
              <w:keepNext w:val="0"/>
              <w:spacing w:before="0" w:after="0" w:line="240" w:lineRule="auto"/>
              <w:jc w:val="left"/>
            </w:pPr>
            <w:r>
              <w:rPr>
                <w:sz w:val="18"/>
                <w:szCs w:val="18"/>
                <w:rtl w:val="0"/>
              </w:rPr>
              <w:t>LSTM</w:t>
            </w:r>
          </w:p>
        </w:tc>
        <w:tc>
          <w:tcPr>
            <w:tcBorders>
              <w:top w:val="single" w:color="9AA5B1" w:sz="4" w:space="0"/>
              <w:left w:val="single" w:color="9AA5B1" w:sz="4" w:space="0"/>
              <w:bottom w:val="single" w:color="9AA5B1" w:sz="4" w:space="0"/>
              <w:right w:val="single" w:color="9AA5B1" w:sz="4" w:space="0"/>
            </w:tcBorders>
            <w:vAlign w:val="center"/>
          </w:tcPr>
          <w:p w14:paraId="000002FC">
            <w:pPr>
              <w:keepNext w:val="0"/>
              <w:spacing w:before="0" w:after="0" w:line="240" w:lineRule="auto"/>
              <w:jc w:val="left"/>
            </w:pPr>
            <w:r>
              <w:rPr>
                <w:sz w:val="18"/>
                <w:szCs w:val="18"/>
                <w:rtl w:val="0"/>
              </w:rPr>
              <w:t>SHAP (0.294 vs 0.086)</w:t>
            </w:r>
          </w:p>
        </w:tc>
        <w:tc>
          <w:tcPr>
            <w:tcBorders>
              <w:top w:val="single" w:color="9AA5B1" w:sz="4" w:space="0"/>
              <w:left w:val="single" w:color="9AA5B1" w:sz="4" w:space="0"/>
              <w:bottom w:val="single" w:color="9AA5B1" w:sz="4" w:space="0"/>
              <w:right w:val="single" w:color="9AA5B1" w:sz="4" w:space="0"/>
            </w:tcBorders>
            <w:vAlign w:val="center"/>
          </w:tcPr>
          <w:p w14:paraId="000002FD">
            <w:pPr>
              <w:keepNext w:val="0"/>
              <w:spacing w:before="0" w:after="0" w:line="240" w:lineRule="auto"/>
              <w:jc w:val="left"/>
            </w:pPr>
            <w:r>
              <w:rPr>
                <w:sz w:val="18"/>
                <w:szCs w:val="18"/>
                <w:rtl w:val="0"/>
              </w:rPr>
              <w:t>SHAP, narrowly (0.341 vs 0.290)</w:t>
            </w:r>
          </w:p>
        </w:tc>
        <w:tc>
          <w:tcPr>
            <w:tcBorders>
              <w:top w:val="single" w:color="9AA5B1" w:sz="4" w:space="0"/>
              <w:left w:val="single" w:color="9AA5B1" w:sz="4" w:space="0"/>
              <w:bottom w:val="single" w:color="9AA5B1" w:sz="4" w:space="0"/>
              <w:right w:val="single" w:color="9AA5B1" w:sz="4" w:space="0"/>
            </w:tcBorders>
            <w:vAlign w:val="center"/>
          </w:tcPr>
          <w:p w14:paraId="000002FE">
            <w:pPr>
              <w:keepNext w:val="0"/>
              <w:spacing w:before="0" w:after="0" w:line="240" w:lineRule="auto"/>
              <w:jc w:val="left"/>
            </w:pPr>
            <w:r>
              <w:rPr>
                <w:sz w:val="18"/>
                <w:szCs w:val="18"/>
                <w:rtl w:val="0"/>
              </w:rPr>
              <w:t>SHAP (0.259 s vs 0.486 s)</w:t>
            </w:r>
          </w:p>
        </w:tc>
        <w:tc>
          <w:tcPr>
            <w:tcBorders>
              <w:top w:val="single" w:color="9AA5B1" w:sz="4" w:space="0"/>
              <w:left w:val="single" w:color="9AA5B1" w:sz="4" w:space="0"/>
              <w:bottom w:val="single" w:color="9AA5B1" w:sz="4" w:space="0"/>
              <w:right w:val="single" w:color="9AA5B1" w:sz="4" w:space="0"/>
            </w:tcBorders>
            <w:vAlign w:val="center"/>
          </w:tcPr>
          <w:p w14:paraId="000002FF">
            <w:pPr>
              <w:keepNext w:val="0"/>
              <w:spacing w:before="0" w:after="0" w:line="240" w:lineRule="auto"/>
              <w:jc w:val="left"/>
            </w:pPr>
            <w:r>
              <w:rPr>
                <w:sz w:val="18"/>
                <w:szCs w:val="18"/>
                <w:rtl w:val="0"/>
              </w:rPr>
              <w:t>SHAP, with repeated runs averaged</w:t>
            </w:r>
          </w:p>
        </w:tc>
      </w:tr>
    </w:tbl>
    <w:p w14:paraId="00000300">
      <w:pPr>
        <w:spacing w:before="0" w:after="120"/>
      </w:pPr>
    </w:p>
    <w:p w14:paraId="00000301">
      <w:pPr>
        <w:pStyle w:val="3"/>
        <w:rPr>
          <w:color w:val="000000"/>
        </w:rPr>
      </w:pPr>
      <w:bookmarkStart w:id="90" w:name="_fu0l5ilgvaln" w:colFirst="0" w:colLast="0"/>
      <w:bookmarkEnd w:id="90"/>
      <w:r>
        <w:rPr>
          <w:color w:val="000000"/>
          <w:rtl w:val="0"/>
        </w:rPr>
        <w:t>6.6 Comparing the 50,000-Row and 300,000-Row Runs</w:t>
      </w:r>
    </w:p>
    <w:p w14:paraId="00000302">
      <w:pPr>
        <w:jc w:val="both"/>
      </w:pPr>
      <w:r>
        <w:rPr>
          <w:rtl w:val="0"/>
        </w:rPr>
        <w:t>Table 6.5 and Figure 6.5 compare key detection and explanation measures across the two real-data runs carried out in this project, which addresses RQ3.</w:t>
      </w:r>
    </w:p>
    <w:p w14:paraId="00000303">
      <w:pPr>
        <w:keepNext/>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00" w:after="8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91" w:name="_kwl4r69lmqx" w:colFirst="0" w:colLast="0"/>
      <w:bookmarkEnd w:id="91"/>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Table 6.5: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Comparison of the 50,000-row and 300,000-row runs</w:t>
      </w:r>
    </w:p>
    <w:tbl>
      <w:tblPr>
        <w:tblStyle w:val="26"/>
        <w:tblW w:w="8503" w:type="dxa"/>
        <w:tblInd w:w="-90" w:type="dxa"/>
        <w:tblLayout w:type="fixed"/>
        <w:tblCellMar>
          <w:top w:w="50" w:type="dxa"/>
          <w:left w:w="90" w:type="dxa"/>
          <w:bottom w:w="50" w:type="dxa"/>
          <w:right w:w="90" w:type="dxa"/>
        </w:tblCellMar>
      </w:tblPr>
      <w:tblGrid>
        <w:gridCol w:w="2557"/>
        <w:gridCol w:w="1808"/>
        <w:gridCol w:w="1870"/>
        <w:gridCol w:w="2268"/>
      </w:tblGrid>
      <w:tr w14:paraId="491A170A">
        <w:tblPrEx>
          <w:tblCellMar>
            <w:top w:w="50" w:type="dxa"/>
            <w:left w:w="90" w:type="dxa"/>
            <w:bottom w:w="50" w:type="dxa"/>
            <w:right w:w="90" w:type="dxa"/>
          </w:tblCellMar>
        </w:tblPrEx>
        <w:trPr>
          <w:cantSplit/>
          <w:tblHeader/>
        </w:trPr>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304">
            <w:pPr>
              <w:keepNext/>
              <w:spacing w:before="0" w:after="0" w:line="240" w:lineRule="auto"/>
              <w:jc w:val="left"/>
            </w:pPr>
            <w:r>
              <w:rPr>
                <w:b/>
                <w:bCs/>
                <w:sz w:val="20"/>
                <w:szCs w:val="20"/>
                <w:rtl w:val="0"/>
              </w:rPr>
              <w:t>Metric</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305">
            <w:pPr>
              <w:keepNext/>
              <w:spacing w:before="0" w:after="0" w:line="240" w:lineRule="auto"/>
              <w:jc w:val="left"/>
            </w:pPr>
            <w:r>
              <w:rPr>
                <w:b/>
                <w:bCs/>
                <w:sz w:val="20"/>
                <w:szCs w:val="20"/>
                <w:rtl w:val="0"/>
              </w:rPr>
              <w:t>50,000-row run</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306">
            <w:pPr>
              <w:keepNext/>
              <w:spacing w:before="0" w:after="0" w:line="240" w:lineRule="auto"/>
              <w:jc w:val="left"/>
            </w:pPr>
            <w:r>
              <w:rPr>
                <w:b/>
                <w:bCs/>
                <w:sz w:val="20"/>
                <w:szCs w:val="20"/>
                <w:rtl w:val="0"/>
              </w:rPr>
              <w:t>300,000-row run</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307">
            <w:pPr>
              <w:keepNext/>
              <w:spacing w:before="0" w:after="0" w:line="240" w:lineRule="auto"/>
              <w:jc w:val="left"/>
            </w:pPr>
            <w:r>
              <w:rPr>
                <w:b/>
                <w:bCs/>
                <w:sz w:val="20"/>
                <w:szCs w:val="20"/>
                <w:rtl w:val="0"/>
              </w:rPr>
              <w:t>Change</w:t>
            </w:r>
          </w:p>
        </w:tc>
      </w:tr>
      <w:tr w14:paraId="05E5082C">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308">
            <w:pPr>
              <w:keepNext/>
              <w:spacing w:before="0" w:after="0" w:line="240" w:lineRule="auto"/>
              <w:jc w:val="left"/>
            </w:pPr>
            <w:r>
              <w:rPr>
                <w:sz w:val="20"/>
                <w:szCs w:val="20"/>
                <w:rtl w:val="0"/>
              </w:rPr>
              <w:t>Random Forest detection F1</w:t>
            </w:r>
          </w:p>
        </w:tc>
        <w:tc>
          <w:tcPr>
            <w:tcBorders>
              <w:top w:val="single" w:color="9AA5B1" w:sz="4" w:space="0"/>
              <w:left w:val="single" w:color="9AA5B1" w:sz="4" w:space="0"/>
              <w:bottom w:val="single" w:color="9AA5B1" w:sz="4" w:space="0"/>
              <w:right w:val="single" w:color="9AA5B1" w:sz="4" w:space="0"/>
            </w:tcBorders>
            <w:vAlign w:val="center"/>
          </w:tcPr>
          <w:p w14:paraId="00000309">
            <w:pPr>
              <w:keepNext/>
              <w:spacing w:before="0" w:after="0" w:line="240" w:lineRule="auto"/>
              <w:jc w:val="left"/>
            </w:pPr>
            <w:r>
              <w:rPr>
                <w:sz w:val="20"/>
                <w:szCs w:val="20"/>
                <w:rtl w:val="0"/>
              </w:rPr>
              <w:t>0.9958</w:t>
            </w:r>
          </w:p>
        </w:tc>
        <w:tc>
          <w:tcPr>
            <w:tcBorders>
              <w:top w:val="single" w:color="9AA5B1" w:sz="4" w:space="0"/>
              <w:left w:val="single" w:color="9AA5B1" w:sz="4" w:space="0"/>
              <w:bottom w:val="single" w:color="9AA5B1" w:sz="4" w:space="0"/>
              <w:right w:val="single" w:color="9AA5B1" w:sz="4" w:space="0"/>
            </w:tcBorders>
            <w:vAlign w:val="center"/>
          </w:tcPr>
          <w:p w14:paraId="0000030A">
            <w:pPr>
              <w:keepNext/>
              <w:spacing w:before="0" w:after="0" w:line="240" w:lineRule="auto"/>
              <w:jc w:val="left"/>
            </w:pPr>
            <w:r>
              <w:rPr>
                <w:sz w:val="20"/>
                <w:szCs w:val="20"/>
                <w:rtl w:val="0"/>
              </w:rPr>
              <w:t>0.9956</w:t>
            </w:r>
          </w:p>
        </w:tc>
        <w:tc>
          <w:tcPr>
            <w:tcBorders>
              <w:top w:val="single" w:color="9AA5B1" w:sz="4" w:space="0"/>
              <w:left w:val="single" w:color="9AA5B1" w:sz="4" w:space="0"/>
              <w:bottom w:val="single" w:color="9AA5B1" w:sz="4" w:space="0"/>
              <w:right w:val="single" w:color="9AA5B1" w:sz="4" w:space="0"/>
            </w:tcBorders>
            <w:vAlign w:val="center"/>
          </w:tcPr>
          <w:p w14:paraId="0000030B">
            <w:pPr>
              <w:keepNext/>
              <w:spacing w:before="0" w:after="0" w:line="240" w:lineRule="auto"/>
              <w:jc w:val="left"/>
            </w:pPr>
            <w:r>
              <w:rPr>
                <w:sz w:val="20"/>
                <w:szCs w:val="20"/>
                <w:rtl w:val="0"/>
              </w:rPr>
              <w:t>Essentially unchanged</w:t>
            </w:r>
          </w:p>
        </w:tc>
      </w:tr>
      <w:tr w14:paraId="49F9CEC8">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0C">
            <w:pPr>
              <w:keepNext/>
              <w:spacing w:before="0" w:after="0" w:line="240" w:lineRule="auto"/>
              <w:jc w:val="left"/>
            </w:pPr>
            <w:r>
              <w:rPr>
                <w:sz w:val="20"/>
                <w:szCs w:val="20"/>
                <w:rtl w:val="0"/>
              </w:rPr>
              <w:t>XGBoost detection F1</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0D">
            <w:pPr>
              <w:keepNext/>
              <w:spacing w:before="0" w:after="0" w:line="240" w:lineRule="auto"/>
              <w:jc w:val="left"/>
            </w:pPr>
            <w:r>
              <w:rPr>
                <w:sz w:val="20"/>
                <w:szCs w:val="20"/>
                <w:rtl w:val="0"/>
              </w:rPr>
              <w:t>0.9950</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0E">
            <w:pPr>
              <w:keepNext/>
              <w:spacing w:before="0" w:after="0" w:line="240" w:lineRule="auto"/>
              <w:jc w:val="left"/>
            </w:pPr>
            <w:r>
              <w:rPr>
                <w:sz w:val="20"/>
                <w:szCs w:val="20"/>
                <w:rtl w:val="0"/>
              </w:rPr>
              <w:t>0.9971</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0F">
            <w:pPr>
              <w:keepNext/>
              <w:spacing w:before="0" w:after="0" w:line="240" w:lineRule="auto"/>
              <w:jc w:val="left"/>
            </w:pPr>
            <w:r>
              <w:rPr>
                <w:sz w:val="20"/>
                <w:szCs w:val="20"/>
                <w:rtl w:val="0"/>
              </w:rPr>
              <w:t>Improved</w:t>
            </w:r>
          </w:p>
        </w:tc>
      </w:tr>
      <w:tr w14:paraId="11DC4D1C">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310">
            <w:pPr>
              <w:keepNext/>
              <w:spacing w:before="0" w:after="0" w:line="240" w:lineRule="auto"/>
              <w:jc w:val="left"/>
            </w:pPr>
            <w:r>
              <w:rPr>
                <w:sz w:val="20"/>
                <w:szCs w:val="20"/>
                <w:rtl w:val="0"/>
              </w:rPr>
              <w:t>LSTM detection F1</w:t>
            </w:r>
          </w:p>
        </w:tc>
        <w:tc>
          <w:tcPr>
            <w:tcBorders>
              <w:top w:val="single" w:color="9AA5B1" w:sz="4" w:space="0"/>
              <w:left w:val="single" w:color="9AA5B1" w:sz="4" w:space="0"/>
              <w:bottom w:val="single" w:color="9AA5B1" w:sz="4" w:space="0"/>
              <w:right w:val="single" w:color="9AA5B1" w:sz="4" w:space="0"/>
            </w:tcBorders>
            <w:vAlign w:val="center"/>
          </w:tcPr>
          <w:p w14:paraId="00000311">
            <w:pPr>
              <w:keepNext/>
              <w:spacing w:before="0" w:after="0" w:line="240" w:lineRule="auto"/>
              <w:jc w:val="left"/>
            </w:pPr>
            <w:r>
              <w:rPr>
                <w:sz w:val="20"/>
                <w:szCs w:val="20"/>
                <w:rtl w:val="0"/>
              </w:rPr>
              <w:t>0.7360</w:t>
            </w:r>
          </w:p>
        </w:tc>
        <w:tc>
          <w:tcPr>
            <w:tcBorders>
              <w:top w:val="single" w:color="9AA5B1" w:sz="4" w:space="0"/>
              <w:left w:val="single" w:color="9AA5B1" w:sz="4" w:space="0"/>
              <w:bottom w:val="single" w:color="9AA5B1" w:sz="4" w:space="0"/>
              <w:right w:val="single" w:color="9AA5B1" w:sz="4" w:space="0"/>
            </w:tcBorders>
            <w:vAlign w:val="center"/>
          </w:tcPr>
          <w:p w14:paraId="00000312">
            <w:pPr>
              <w:keepNext/>
              <w:spacing w:before="0" w:after="0" w:line="240" w:lineRule="auto"/>
              <w:jc w:val="left"/>
            </w:pPr>
            <w:r>
              <w:rPr>
                <w:sz w:val="20"/>
                <w:szCs w:val="20"/>
                <w:rtl w:val="0"/>
              </w:rPr>
              <w:t>0.8667</w:t>
            </w:r>
          </w:p>
        </w:tc>
        <w:tc>
          <w:tcPr>
            <w:tcBorders>
              <w:top w:val="single" w:color="9AA5B1" w:sz="4" w:space="0"/>
              <w:left w:val="single" w:color="9AA5B1" w:sz="4" w:space="0"/>
              <w:bottom w:val="single" w:color="9AA5B1" w:sz="4" w:space="0"/>
              <w:right w:val="single" w:color="9AA5B1" w:sz="4" w:space="0"/>
            </w:tcBorders>
            <w:vAlign w:val="center"/>
          </w:tcPr>
          <w:p w14:paraId="00000313">
            <w:pPr>
              <w:keepNext/>
              <w:spacing w:before="0" w:after="0" w:line="240" w:lineRule="auto"/>
              <w:jc w:val="left"/>
            </w:pPr>
            <w:r>
              <w:rPr>
                <w:sz w:val="20"/>
                <w:szCs w:val="20"/>
                <w:rtl w:val="0"/>
              </w:rPr>
              <w:t>Substantially improved</w:t>
            </w:r>
          </w:p>
        </w:tc>
      </w:tr>
      <w:tr w14:paraId="18CC0B54">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14">
            <w:pPr>
              <w:keepNext/>
              <w:spacing w:before="0" w:after="0" w:line="240" w:lineRule="auto"/>
              <w:jc w:val="left"/>
            </w:pPr>
            <w:r>
              <w:rPr>
                <w:sz w:val="20"/>
                <w:szCs w:val="20"/>
                <w:rtl w:val="0"/>
              </w:rPr>
              <w:t>LSTM recall</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15">
            <w:pPr>
              <w:keepNext/>
              <w:spacing w:before="0" w:after="0" w:line="240" w:lineRule="auto"/>
              <w:jc w:val="left"/>
            </w:pPr>
            <w:r>
              <w:rPr>
                <w:sz w:val="20"/>
                <w:szCs w:val="20"/>
                <w:rtl w:val="0"/>
              </w:rPr>
              <w:t>0.7045</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16">
            <w:pPr>
              <w:keepNext/>
              <w:spacing w:before="0" w:after="0" w:line="240" w:lineRule="auto"/>
              <w:jc w:val="left"/>
            </w:pPr>
            <w:r>
              <w:rPr>
                <w:sz w:val="20"/>
                <w:szCs w:val="20"/>
                <w:rtl w:val="0"/>
              </w:rPr>
              <w:t>0.9750</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17">
            <w:pPr>
              <w:keepNext/>
              <w:spacing w:before="0" w:after="0" w:line="240" w:lineRule="auto"/>
              <w:jc w:val="left"/>
            </w:pPr>
            <w:r>
              <w:rPr>
                <w:sz w:val="20"/>
                <w:szCs w:val="20"/>
                <w:rtl w:val="0"/>
              </w:rPr>
              <w:t>Substantially improved</w:t>
            </w:r>
          </w:p>
        </w:tc>
      </w:tr>
      <w:tr w14:paraId="79C1AE1F">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318">
            <w:pPr>
              <w:keepNext/>
              <w:spacing w:before="0" w:after="0" w:line="240" w:lineRule="auto"/>
              <w:jc w:val="left"/>
            </w:pPr>
            <w:r>
              <w:rPr>
                <w:sz w:val="20"/>
                <w:szCs w:val="20"/>
                <w:rtl w:val="0"/>
              </w:rPr>
              <w:t>Random Forest SHAP stability</w:t>
            </w:r>
          </w:p>
        </w:tc>
        <w:tc>
          <w:tcPr>
            <w:tcBorders>
              <w:top w:val="single" w:color="9AA5B1" w:sz="4" w:space="0"/>
              <w:left w:val="single" w:color="9AA5B1" w:sz="4" w:space="0"/>
              <w:bottom w:val="single" w:color="9AA5B1" w:sz="4" w:space="0"/>
              <w:right w:val="single" w:color="9AA5B1" w:sz="4" w:space="0"/>
            </w:tcBorders>
            <w:vAlign w:val="center"/>
          </w:tcPr>
          <w:p w14:paraId="00000319">
            <w:pPr>
              <w:keepNext/>
              <w:spacing w:before="0" w:after="0" w:line="240" w:lineRule="auto"/>
              <w:jc w:val="left"/>
            </w:pPr>
            <w:r>
              <w:rPr>
                <w:sz w:val="20"/>
                <w:szCs w:val="20"/>
                <w:rtl w:val="0"/>
              </w:rPr>
              <w:t>1.000</w:t>
            </w:r>
          </w:p>
        </w:tc>
        <w:tc>
          <w:tcPr>
            <w:tcBorders>
              <w:top w:val="single" w:color="9AA5B1" w:sz="4" w:space="0"/>
              <w:left w:val="single" w:color="9AA5B1" w:sz="4" w:space="0"/>
              <w:bottom w:val="single" w:color="9AA5B1" w:sz="4" w:space="0"/>
              <w:right w:val="single" w:color="9AA5B1" w:sz="4" w:space="0"/>
            </w:tcBorders>
            <w:vAlign w:val="center"/>
          </w:tcPr>
          <w:p w14:paraId="0000031A">
            <w:pPr>
              <w:keepNext/>
              <w:spacing w:before="0" w:after="0" w:line="240" w:lineRule="auto"/>
              <w:jc w:val="left"/>
            </w:pPr>
            <w:r>
              <w:rPr>
                <w:sz w:val="20"/>
                <w:szCs w:val="20"/>
                <w:rtl w:val="0"/>
              </w:rPr>
              <w:t>1.000</w:t>
            </w:r>
          </w:p>
        </w:tc>
        <w:tc>
          <w:tcPr>
            <w:tcBorders>
              <w:top w:val="single" w:color="9AA5B1" w:sz="4" w:space="0"/>
              <w:left w:val="single" w:color="9AA5B1" w:sz="4" w:space="0"/>
              <w:bottom w:val="single" w:color="9AA5B1" w:sz="4" w:space="0"/>
              <w:right w:val="single" w:color="9AA5B1" w:sz="4" w:space="0"/>
            </w:tcBorders>
            <w:vAlign w:val="center"/>
          </w:tcPr>
          <w:p w14:paraId="0000031B">
            <w:pPr>
              <w:keepNext/>
              <w:spacing w:before="0" w:after="0" w:line="240" w:lineRule="auto"/>
              <w:jc w:val="left"/>
            </w:pPr>
            <w:r>
              <w:rPr>
                <w:sz w:val="20"/>
                <w:szCs w:val="20"/>
                <w:rtl w:val="0"/>
              </w:rPr>
              <w:t>Unchanged</w:t>
            </w:r>
          </w:p>
        </w:tc>
      </w:tr>
      <w:tr w14:paraId="12CE21B1">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1C">
            <w:pPr>
              <w:keepNext/>
              <w:spacing w:before="0" w:after="0" w:line="240" w:lineRule="auto"/>
              <w:jc w:val="left"/>
            </w:pPr>
            <w:r>
              <w:rPr>
                <w:sz w:val="20"/>
                <w:szCs w:val="20"/>
                <w:rtl w:val="0"/>
              </w:rPr>
              <w:t>XGBoost SHAP stability</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1D">
            <w:pPr>
              <w:keepNext/>
              <w:spacing w:before="0" w:after="0" w:line="240" w:lineRule="auto"/>
              <w:jc w:val="left"/>
            </w:pPr>
            <w:r>
              <w:rPr>
                <w:sz w:val="20"/>
                <w:szCs w:val="20"/>
                <w:rtl w:val="0"/>
              </w:rPr>
              <w:t>1.000</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1E">
            <w:pPr>
              <w:keepNext/>
              <w:spacing w:before="0" w:after="0" w:line="240" w:lineRule="auto"/>
              <w:jc w:val="left"/>
            </w:pPr>
            <w:r>
              <w:rPr>
                <w:sz w:val="20"/>
                <w:szCs w:val="20"/>
                <w:rtl w:val="0"/>
              </w:rPr>
              <w:t>1.000</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1F">
            <w:pPr>
              <w:keepNext/>
              <w:spacing w:before="0" w:after="0" w:line="240" w:lineRule="auto"/>
              <w:jc w:val="left"/>
            </w:pPr>
            <w:r>
              <w:rPr>
                <w:sz w:val="20"/>
                <w:szCs w:val="20"/>
                <w:rtl w:val="0"/>
              </w:rPr>
              <w:t>Unchanged</w:t>
            </w:r>
          </w:p>
        </w:tc>
      </w:tr>
      <w:tr w14:paraId="50EAAC2D">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320">
            <w:pPr>
              <w:keepNext/>
              <w:spacing w:before="0" w:after="0" w:line="240" w:lineRule="auto"/>
              <w:jc w:val="left"/>
            </w:pPr>
            <w:r>
              <w:rPr>
                <w:sz w:val="20"/>
                <w:szCs w:val="20"/>
                <w:rtl w:val="0"/>
              </w:rPr>
              <w:t>LSTM SHAP stability</w:t>
            </w:r>
          </w:p>
        </w:tc>
        <w:tc>
          <w:tcPr>
            <w:tcBorders>
              <w:top w:val="single" w:color="9AA5B1" w:sz="4" w:space="0"/>
              <w:left w:val="single" w:color="9AA5B1" w:sz="4" w:space="0"/>
              <w:bottom w:val="single" w:color="9AA5B1" w:sz="4" w:space="0"/>
              <w:right w:val="single" w:color="9AA5B1" w:sz="4" w:space="0"/>
            </w:tcBorders>
            <w:vAlign w:val="center"/>
          </w:tcPr>
          <w:p w14:paraId="00000321">
            <w:pPr>
              <w:keepNext/>
              <w:spacing w:before="0" w:after="0" w:line="240" w:lineRule="auto"/>
              <w:jc w:val="left"/>
            </w:pPr>
            <w:r>
              <w:rPr>
                <w:sz w:val="20"/>
                <w:szCs w:val="20"/>
                <w:rtl w:val="0"/>
              </w:rPr>
              <w:t>0.640</w:t>
            </w:r>
          </w:p>
        </w:tc>
        <w:tc>
          <w:tcPr>
            <w:tcBorders>
              <w:top w:val="single" w:color="9AA5B1" w:sz="4" w:space="0"/>
              <w:left w:val="single" w:color="9AA5B1" w:sz="4" w:space="0"/>
              <w:bottom w:val="single" w:color="9AA5B1" w:sz="4" w:space="0"/>
              <w:right w:val="single" w:color="9AA5B1" w:sz="4" w:space="0"/>
            </w:tcBorders>
            <w:vAlign w:val="center"/>
          </w:tcPr>
          <w:p w14:paraId="00000322">
            <w:pPr>
              <w:keepNext/>
              <w:spacing w:before="0" w:after="0" w:line="240" w:lineRule="auto"/>
              <w:jc w:val="left"/>
            </w:pPr>
            <w:r>
              <w:rPr>
                <w:sz w:val="20"/>
                <w:szCs w:val="20"/>
                <w:rtl w:val="0"/>
              </w:rPr>
              <w:t>0.341</w:t>
            </w:r>
          </w:p>
        </w:tc>
        <w:tc>
          <w:tcPr>
            <w:tcBorders>
              <w:top w:val="single" w:color="9AA5B1" w:sz="4" w:space="0"/>
              <w:left w:val="single" w:color="9AA5B1" w:sz="4" w:space="0"/>
              <w:bottom w:val="single" w:color="9AA5B1" w:sz="4" w:space="0"/>
              <w:right w:val="single" w:color="9AA5B1" w:sz="4" w:space="0"/>
            </w:tcBorders>
            <w:vAlign w:val="center"/>
          </w:tcPr>
          <w:p w14:paraId="00000323">
            <w:pPr>
              <w:keepNext/>
              <w:spacing w:before="0" w:after="0" w:line="240" w:lineRule="auto"/>
              <w:jc w:val="left"/>
            </w:pPr>
            <w:r>
              <w:rPr>
                <w:sz w:val="20"/>
                <w:szCs w:val="20"/>
                <w:rtl w:val="0"/>
              </w:rPr>
              <w:t>Notably lower</w:t>
            </w:r>
          </w:p>
        </w:tc>
      </w:tr>
      <w:tr w14:paraId="39F3AF5E">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24">
            <w:pPr>
              <w:keepNext w:val="0"/>
              <w:spacing w:before="0" w:after="0" w:line="240" w:lineRule="auto"/>
              <w:jc w:val="left"/>
            </w:pPr>
            <w:r>
              <w:rPr>
                <w:sz w:val="20"/>
                <w:szCs w:val="20"/>
                <w:rtl w:val="0"/>
              </w:rPr>
              <w:t>LSTM LIME stability</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25">
            <w:pPr>
              <w:keepNext w:val="0"/>
              <w:spacing w:before="0" w:after="0" w:line="240" w:lineRule="auto"/>
              <w:jc w:val="left"/>
            </w:pPr>
            <w:r>
              <w:rPr>
                <w:sz w:val="20"/>
                <w:szCs w:val="20"/>
                <w:rtl w:val="0"/>
              </w:rPr>
              <w:t>0.319</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26">
            <w:pPr>
              <w:keepNext w:val="0"/>
              <w:spacing w:before="0" w:after="0" w:line="240" w:lineRule="auto"/>
              <w:jc w:val="left"/>
            </w:pPr>
            <w:r>
              <w:rPr>
                <w:sz w:val="20"/>
                <w:szCs w:val="20"/>
                <w:rtl w:val="0"/>
              </w:rPr>
              <w:t>0.290</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27">
            <w:pPr>
              <w:keepNext w:val="0"/>
              <w:spacing w:before="0" w:after="0" w:line="240" w:lineRule="auto"/>
              <w:jc w:val="left"/>
            </w:pPr>
            <w:r>
              <w:rPr>
                <w:sz w:val="20"/>
                <w:szCs w:val="20"/>
                <w:rtl w:val="0"/>
              </w:rPr>
              <w:t>Slightly lower</w:t>
            </w:r>
          </w:p>
        </w:tc>
      </w:tr>
    </w:tbl>
    <w:p w14:paraId="00000328">
      <w:pPr>
        <w:spacing w:before="0" w:after="120"/>
      </w:pPr>
    </w:p>
    <w:p w14:paraId="00000329">
      <w:pPr>
        <w:keepNext/>
        <w:spacing w:before="160" w:after="60" w:line="240" w:lineRule="auto"/>
        <w:jc w:val="center"/>
      </w:pPr>
      <w:r>
        <w:drawing>
          <wp:inline distT="0" distB="0" distL="0" distR="0">
            <wp:extent cx="5353050" cy="2438400"/>
            <wp:effectExtent l="0" t="0" r="0" b="0"/>
            <wp:docPr id="20" name="image4.png" descr="Figure 6.5&#10;Detection and explanation stability at the two training scales"/>
            <wp:cNvGraphicFramePr/>
            <a:graphic xmlns:a="http://schemas.openxmlformats.org/drawingml/2006/main">
              <a:graphicData uri="http://schemas.openxmlformats.org/drawingml/2006/picture">
                <pic:pic xmlns:pic="http://schemas.openxmlformats.org/drawingml/2006/picture">
                  <pic:nvPicPr>
                    <pic:cNvPr id="20" name="image4.png" descr="Figure 6.5&#10;Detection and explanation stability at the two training scales"/>
                    <pic:cNvPicPr preferRelativeResize="0"/>
                  </pic:nvPicPr>
                  <pic:blipFill>
                    <a:blip r:embed="rId29"/>
                    <a:srcRect/>
                    <a:stretch>
                      <a:fillRect/>
                    </a:stretch>
                  </pic:blipFill>
                  <pic:spPr>
                    <a:xfrm>
                      <a:off x="0" y="0"/>
                      <a:ext cx="5353050" cy="2438400"/>
                    </a:xfrm>
                    <a:prstGeom prst="rect">
                      <a:avLst/>
                    </a:prstGeom>
                  </pic:spPr>
                </pic:pic>
              </a:graphicData>
            </a:graphic>
          </wp:inline>
        </w:drawing>
      </w:r>
    </w:p>
    <w:p w14:paraId="0000032A">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60" w:after="24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92" w:name="_12uv4kqycy6m" w:colFirst="0" w:colLast="0"/>
      <w:bookmarkEnd w:id="92"/>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Figure 6.5: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Detection and explanation stability at the two training scales</w:t>
      </w:r>
    </w:p>
    <w:p w14:paraId="0000032B">
      <w:pPr>
        <w:jc w:val="both"/>
      </w:pPr>
      <w:r>
        <w:rPr>
          <w:rtl w:val="0"/>
        </w:rPr>
        <w:t>Two main patterns emerge. The first is reassuring. With six times more training data, the detection performance of the tree ensembles and the stability of their SHAP explanations stayed the same, and the broad conclusion that SHAP outperforms LIME on fidelity and stability for Random Forest and XGBoost held without exception at both scales. This is something no single experiment could show, and it is the main benefit of the staged approach described in Section 5.6, even though that approach was adopted for reasons of hardware rather than experimental design.</w:t>
      </w:r>
    </w:p>
    <w:p w14:paraId="0000032C">
      <w:pPr>
        <w:jc w:val="both"/>
      </w:pPr>
      <w:r>
        <w:rPr>
          <w:rtl w:val="0"/>
        </w:rPr>
        <w:t>The second pattern is a genuine complication. SHAP's stability on the LSTM fell from 0.640 to 0.341 as the training data grew, even though the LSTM's detection performance improved markedly over the same change. As a result, SHAP's stability lead over LIME on the LSTM shrank from about 0.32 (0.640 against 0.319) to about 0.05 (0.341 against 0.290), roughly a six-fold reduction. By contrast, on both tree models SHAP's stability lead remained large, at around 0.6 in the 300,000-row run, and SHAP was ahead of LIME on stability at both scales.</w:t>
      </w:r>
    </w:p>
    <w:p w14:paraId="0000032D">
      <w:pPr>
        <w:jc w:val="both"/>
      </w:pPr>
      <w:r>
        <w:rPr>
          <w:rtl w:val="0"/>
        </w:rPr>
        <w:t>One plausible explanation lies in how GradientExplainer works. It estimates SHAP values by sampling points between the instance and background samples and averaging the model's gradients along the way. A model trained on more data may learn a sharper, more complex decision surface, with steeper gradients in some regions and flatter ones in others. Sampling-based estimates of an average over such a surface have higher variance, so the top-ranked features can change from one run to the next. If this is the right explanation, it describes an uncomfortable situation for practitioners: training that makes the model a better detector can simultaneously make its SHAP explanations less repeatable. With only two data points, this remains a hypothesis rather than an established trend, and it is treated as such in Chapter 7. Increasing the number of background samples used by GradientExplainer would be a simple first test.</w:t>
      </w:r>
    </w:p>
    <w:p w14:paraId="0000032E">
      <w:pPr>
        <w:pStyle w:val="3"/>
        <w:rPr>
          <w:color w:val="000000"/>
        </w:rPr>
      </w:pPr>
      <w:bookmarkStart w:id="93" w:name="_xe3e53wc7bpe" w:colFirst="0" w:colLast="0"/>
      <w:bookmarkEnd w:id="93"/>
      <w:r>
        <w:rPr>
          <w:color w:val="000000"/>
          <w:rtl w:val="0"/>
        </w:rPr>
        <w:t>6.7 Practitioner Evaluation Results</w:t>
      </w:r>
    </w:p>
    <w:p w14:paraId="0000032F">
      <w:pPr>
        <w:jc w:val="both"/>
      </w:pPr>
      <w:r>
        <w:rPr>
          <w:rtl w:val="0"/>
        </w:rPr>
        <w:t>The practitioner evaluation described in the Ethics Form, which would have gathered feedback on SHAP and LIME outputs from 10–15 cybersecurity practitioners, could not be carried out within the project's timeframe (see Section 7.5). The fidelity, stability and cost measures reported in Sections 6.3 to 6.6 are reasonable proxies for some aspects of practical usefulness. Stability in particular corresponds directly to whether an analyst can rely on an explanation, and cost to whether one can be generated for every alert. They are, however, proxies, not substitutes. Whether analysts actually find SHAP's attributions clearer or more actionable than LIME's, and whether either shortens triage, remains untested here.</w:t>
      </w:r>
    </w:p>
    <w:p w14:paraId="00000330">
      <w:pPr>
        <w:pStyle w:val="3"/>
        <w:rPr>
          <w:color w:val="000000"/>
        </w:rPr>
      </w:pPr>
      <w:bookmarkStart w:id="94" w:name="_e78htrltrudh" w:colFirst="0" w:colLast="0"/>
      <w:bookmarkEnd w:id="94"/>
      <w:r>
        <w:rPr>
          <w:color w:val="000000"/>
          <w:rtl w:val="0"/>
        </w:rPr>
        <w:t>6.8 Discussion</w:t>
      </w:r>
    </w:p>
    <w:p w14:paraId="00000331">
      <w:pPr>
        <w:jc w:val="both"/>
      </w:pPr>
      <w:r>
        <w:rPr>
          <w:rtl w:val="0"/>
        </w:rPr>
        <w:t>Taken together, the results of this chapter support three main conclusions, each of which speaks to one or more of the research questions.</w:t>
      </w:r>
    </w:p>
    <w:p w14:paraId="00000332">
      <w:pPr>
        <w:jc w:val="both"/>
      </w:pPr>
      <w:r>
        <w:rPr>
          <w:rtl w:val="0"/>
        </w:rPr>
        <w:t>First, the choice of model and the choice of explanation method are not independent decisions (RQ1 and RQ2). The gap between SHAP and LIME depends heavily on which model is being explained. On tree ensembles, SHAP's model-specific estimator gives it exact, deterministic attributions that LIME cannot match. On the LSTM, where SHAP has to fall back on a sampling-based approximation, much of that advantage disappears. This is consistent with Kalakoti et al.'s finding that disagreement between XAI methods varies from model to model [34], and it means that studies comparing XAI methods on a single model should be generalised with care.</w:t>
      </w:r>
    </w:p>
    <w:p w14:paraId="00000333">
      <w:pPr>
        <w:jc w:val="both"/>
      </w:pPr>
      <w:r>
        <w:rPr>
          <w:rtl w:val="0"/>
        </w:rPr>
        <w:t>Second, that interaction is itself sensitive to scale, at least for the LSTM (RQ3). SHAP's stability lead over LIME on the LSTM shrank roughly six-fold between the 50,000-row and 300,000-row runs, while on both tree models it remained large. A study that ran only the smaller experiment would have concluded that SHAP was clearly more stable than LIME on every model, a conclusion the larger run does not support.</w:t>
      </w:r>
    </w:p>
    <w:p w14:paraId="00000334">
      <w:pPr>
        <w:jc w:val="both"/>
      </w:pPr>
      <w:r>
        <w:rPr>
          <w:rtl w:val="0"/>
        </w:rPr>
        <w:t>Third, detection accuracy and explanation quality do not move together. This echoes the central finding of Arreche, Guntur and Abdallah [15]. XGBoost, the best detector, also had one of the most faithful and fully stable SHAP explanations, so in its case the two happen to align. The LSTM, however, showed a large gain in detection between the two runs alongside a fall in SHAP stability. Detection metrics alone would have made the larger LSTM look strictly better, when for an analyst relying on its explanations it had in one respect become worse.</w:t>
      </w:r>
    </w:p>
    <w:p w14:paraId="00000335">
      <w:pPr>
        <w:jc w:val="both"/>
      </w:pPr>
      <w:r>
        <w:rPr>
          <w:rtl w:val="0"/>
        </w:rPr>
        <w:t>From a practical standpoint, the results point to a clear recommendation. XGBoost explained with SHAP's TreeExplainer offers the strongest detection of the three models, the fewest false alarms, deterministic explanations and a cost of about six milliseconds per alert, low enough to explain every alert in real time on modest hardware. Random Forest with SHAP is a close alternative. For deep learning models, SHAP is still the better of the two methods, but its explanations should be averaged over several runs, or computed with more background samples, before being shown to an analyst.</w:t>
      </w:r>
    </w:p>
    <w:p w14:paraId="00000336">
      <w:pPr>
        <w:jc w:val="both"/>
      </w:pPr>
      <w:r>
        <w:rPr>
          <w:rtl w:val="0"/>
        </w:rPr>
        <w:t>Finally, there is a caution about adversarial settings. Both methods rely on perturbing inputs, and Slack et al. have shown that a model can be crafted to look benign to SHAP and LIME while behaving differently on real inputs [36]. In a NIDS the model is built by the defender, so that particular attack is less of a concern, but an attacker who knows which features drive the explanations could try to craft traffic that looks innocent on exactly those features. Explanations should be treated as an aid to the analyst's judgement, not a replacement for it.</w:t>
      </w:r>
    </w:p>
    <w:p w14:paraId="00000337">
      <w:pPr>
        <w:pStyle w:val="3"/>
        <w:rPr>
          <w:color w:val="000000"/>
        </w:rPr>
      </w:pPr>
      <w:bookmarkStart w:id="95" w:name="_bh5nmaxh5q73" w:colFirst="0" w:colLast="0"/>
      <w:bookmarkEnd w:id="95"/>
      <w:r>
        <w:rPr>
          <w:color w:val="000000"/>
          <w:rtl w:val="0"/>
        </w:rPr>
        <w:t>6.9 Chapter Summary</w:t>
      </w:r>
    </w:p>
    <w:p w14:paraId="00000338">
      <w:pPr>
        <w:jc w:val="both"/>
      </w:pPr>
      <w:r>
        <w:rPr>
          <w:rtl w:val="0"/>
        </w:rPr>
        <w:t>On a 300,000-row sample of the real CICIDS2017 dataset, XGBoost outperformed Random Forest by a small margin, and the LSTM improved markedly on its small-scale results while remaining the weakest of the three detectors, with about fifty times as many false alarms as XGBoost. SHAP outperformed LIME on fidelity and stability for every model at both scales. The size of that advantage was consistent for the tree-based models but not for the LSTM, a difference that would not have come to light without running the experiment at two scales. Chapter 7 draws these results together against the original aim of the project.</w:t>
      </w:r>
      <w:r>
        <w:br w:type="page"/>
      </w:r>
    </w:p>
    <w:p w14:paraId="00000339">
      <w:pPr>
        <w:pStyle w:val="2"/>
        <w:rPr>
          <w:color w:val="000000"/>
        </w:rPr>
      </w:pPr>
      <w:bookmarkStart w:id="96" w:name="_cr8hkzcjt6jy" w:colFirst="0" w:colLast="0"/>
      <w:bookmarkEnd w:id="96"/>
      <w:r>
        <w:rPr>
          <w:color w:val="000000"/>
          <w:rtl w:val="0"/>
        </w:rPr>
        <w:t>CHAPTER 7: CONCLUSIONS AND RECOMMENDATIONS</w:t>
      </w:r>
    </w:p>
    <w:p w14:paraId="0000033A">
      <w:pPr>
        <w:pStyle w:val="3"/>
        <w:rPr>
          <w:color w:val="000000"/>
        </w:rPr>
      </w:pPr>
      <w:bookmarkStart w:id="97" w:name="_ky9zjoco7lky" w:colFirst="0" w:colLast="0"/>
      <w:bookmarkEnd w:id="97"/>
      <w:r>
        <w:rPr>
          <w:color w:val="000000"/>
          <w:rtl w:val="0"/>
        </w:rPr>
        <w:t>7.1 Introduction</w:t>
      </w:r>
    </w:p>
    <w:p w14:paraId="0000033B">
      <w:pPr>
        <w:jc w:val="both"/>
      </w:pPr>
      <w:r>
        <w:rPr>
          <w:rtl w:val="0"/>
        </w:rPr>
        <w:t>This chapter returns to the research problem and objectives set out in Chapter 1 and considers them in the light of the results in Chapter 6. It summarises the key findings, sets out the contributions of the study, states its limitations honestly and recommends directions for future work.</w:t>
      </w:r>
    </w:p>
    <w:p w14:paraId="0000033C">
      <w:pPr>
        <w:pStyle w:val="3"/>
        <w:rPr>
          <w:color w:val="000000"/>
        </w:rPr>
      </w:pPr>
      <w:bookmarkStart w:id="98" w:name="_uvpsejyp7x9w" w:colFirst="0" w:colLast="0"/>
      <w:bookmarkEnd w:id="98"/>
      <w:r>
        <w:rPr>
          <w:color w:val="000000"/>
          <w:rtl w:val="0"/>
        </w:rPr>
        <w:t>7.2 Revisiting the Aim and Objectives</w:t>
      </w:r>
    </w:p>
    <w:p w14:paraId="0000033D">
      <w:pPr>
        <w:jc w:val="both"/>
      </w:pPr>
      <w:r>
        <w:rPr>
          <w:rtl w:val="0"/>
        </w:rPr>
        <w:t>The aim stated in Chapter 1 was to design, implement and evaluate an XAI-enhanced NIDS on CICIDS2017, comparing SHAP and LIME across different models in order to find the combination of model and explanation method that best balances accuracy and interpretability. On the evidence of Chapter 6, this aim has been met. Table 7.1 maps each objective to the place in the report where it was addressed.</w:t>
      </w:r>
    </w:p>
    <w:p w14:paraId="0000033E">
      <w:pPr>
        <w:keepNext/>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00" w:after="8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99" w:name="_kegaime196a2" w:colFirst="0" w:colLast="0"/>
      <w:bookmarkEnd w:id="99"/>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Table 7.1: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How each objective was met</w:t>
      </w:r>
    </w:p>
    <w:tbl>
      <w:tblPr>
        <w:tblStyle w:val="27"/>
        <w:tblW w:w="8504" w:type="dxa"/>
        <w:tblInd w:w="-90" w:type="dxa"/>
        <w:tblLayout w:type="fixed"/>
        <w:tblCellMar>
          <w:top w:w="50" w:type="dxa"/>
          <w:left w:w="90" w:type="dxa"/>
          <w:bottom w:w="50" w:type="dxa"/>
          <w:right w:w="90" w:type="dxa"/>
        </w:tblCellMar>
      </w:tblPr>
      <w:tblGrid>
        <w:gridCol w:w="3429"/>
        <w:gridCol w:w="1333"/>
        <w:gridCol w:w="3742"/>
      </w:tblGrid>
      <w:tr w14:paraId="4F1AE13A">
        <w:tblPrEx>
          <w:tblCellMar>
            <w:top w:w="50" w:type="dxa"/>
            <w:left w:w="90" w:type="dxa"/>
            <w:bottom w:w="50" w:type="dxa"/>
            <w:right w:w="90" w:type="dxa"/>
          </w:tblCellMar>
        </w:tblPrEx>
        <w:trPr>
          <w:cantSplit/>
          <w:tblHeader/>
        </w:trPr>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33F">
            <w:pPr>
              <w:keepNext/>
              <w:spacing w:before="0" w:after="0" w:line="240" w:lineRule="auto"/>
              <w:jc w:val="left"/>
            </w:pPr>
            <w:r>
              <w:rPr>
                <w:b/>
                <w:bCs/>
                <w:sz w:val="20"/>
                <w:szCs w:val="20"/>
                <w:rtl w:val="0"/>
              </w:rPr>
              <w:t>Objective</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340">
            <w:pPr>
              <w:keepNext/>
              <w:spacing w:before="0" w:after="0" w:line="240" w:lineRule="auto"/>
              <w:jc w:val="left"/>
            </w:pPr>
            <w:r>
              <w:rPr>
                <w:b/>
                <w:bCs/>
                <w:sz w:val="20"/>
                <w:szCs w:val="20"/>
                <w:rtl w:val="0"/>
              </w:rPr>
              <w:t>Where addressed</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341">
            <w:pPr>
              <w:keepNext/>
              <w:spacing w:before="0" w:after="0" w:line="240" w:lineRule="auto"/>
              <w:jc w:val="left"/>
            </w:pPr>
            <w:r>
              <w:rPr>
                <w:b/>
                <w:bCs/>
                <w:sz w:val="20"/>
                <w:szCs w:val="20"/>
                <w:rtl w:val="0"/>
              </w:rPr>
              <w:t>Outcome</w:t>
            </w:r>
          </w:p>
        </w:tc>
      </w:tr>
      <w:tr w14:paraId="49C235D0">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342">
            <w:pPr>
              <w:keepNext/>
              <w:spacing w:before="0" w:after="0" w:line="240" w:lineRule="auto"/>
              <w:jc w:val="left"/>
            </w:pPr>
            <w:r>
              <w:rPr>
                <w:sz w:val="20"/>
                <w:szCs w:val="20"/>
                <w:rtl w:val="0"/>
              </w:rPr>
              <w:t>1. Review the literature on ML-based IDS and XAI and identify gaps in how SHAP and LIME have been compared</w:t>
            </w:r>
          </w:p>
        </w:tc>
        <w:tc>
          <w:tcPr>
            <w:tcBorders>
              <w:top w:val="single" w:color="9AA5B1" w:sz="4" w:space="0"/>
              <w:left w:val="single" w:color="9AA5B1" w:sz="4" w:space="0"/>
              <w:bottom w:val="single" w:color="9AA5B1" w:sz="4" w:space="0"/>
              <w:right w:val="single" w:color="9AA5B1" w:sz="4" w:space="0"/>
            </w:tcBorders>
            <w:vAlign w:val="center"/>
          </w:tcPr>
          <w:p w14:paraId="00000343">
            <w:pPr>
              <w:keepNext/>
              <w:spacing w:before="0" w:after="0" w:line="240" w:lineRule="auto"/>
              <w:jc w:val="left"/>
            </w:pPr>
            <w:r>
              <w:rPr>
                <w:sz w:val="20"/>
                <w:szCs w:val="20"/>
                <w:rtl w:val="0"/>
              </w:rPr>
              <w:t>Chapter 2</w:t>
            </w:r>
          </w:p>
        </w:tc>
        <w:tc>
          <w:tcPr>
            <w:tcBorders>
              <w:top w:val="single" w:color="9AA5B1" w:sz="4" w:space="0"/>
              <w:left w:val="single" w:color="9AA5B1" w:sz="4" w:space="0"/>
              <w:bottom w:val="single" w:color="9AA5B1" w:sz="4" w:space="0"/>
              <w:right w:val="single" w:color="9AA5B1" w:sz="4" w:space="0"/>
            </w:tcBorders>
            <w:vAlign w:val="center"/>
          </w:tcPr>
          <w:p w14:paraId="00000344">
            <w:pPr>
              <w:keepNext/>
              <w:spacing w:before="0" w:after="0" w:line="240" w:lineRule="auto"/>
              <w:jc w:val="left"/>
            </w:pPr>
            <w:r>
              <w:rPr>
                <w:sz w:val="20"/>
                <w:szCs w:val="20"/>
                <w:rtl w:val="0"/>
              </w:rPr>
              <w:t>Gap identified: few controlled, multi-model SHAP–LIME comparisons on CICIDS2017, and none testing sensitivity to scale</w:t>
            </w:r>
          </w:p>
        </w:tc>
      </w:tr>
      <w:tr w14:paraId="04FB9866">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45">
            <w:pPr>
              <w:keepNext/>
              <w:spacing w:before="0" w:after="0" w:line="240" w:lineRule="auto"/>
              <w:jc w:val="left"/>
            </w:pPr>
            <w:r>
              <w:rPr>
                <w:sz w:val="20"/>
                <w:szCs w:val="20"/>
                <w:rtl w:val="0"/>
              </w:rPr>
              <w:t>2. Build ensemble and deep learning detectors on CICIDS2017 and integrate SHAP and LIME</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46">
            <w:pPr>
              <w:keepNext/>
              <w:spacing w:before="0" w:after="0" w:line="240" w:lineRule="auto"/>
              <w:jc w:val="left"/>
            </w:pPr>
            <w:r>
              <w:rPr>
                <w:sz w:val="20"/>
                <w:szCs w:val="20"/>
                <w:rtl w:val="0"/>
              </w:rPr>
              <w:t>Chapters 4 and 5</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47">
            <w:pPr>
              <w:keepNext/>
              <w:spacing w:before="0" w:after="0" w:line="240" w:lineRule="auto"/>
              <w:jc w:val="left"/>
            </w:pPr>
            <w:r>
              <w:rPr>
                <w:sz w:val="20"/>
                <w:szCs w:val="20"/>
                <w:rtl w:val="0"/>
              </w:rPr>
              <w:t>Three working models and a shared explanation module producing real results at two data scales, reproduced on a second machine</w:t>
            </w:r>
          </w:p>
        </w:tc>
      </w:tr>
      <w:tr w14:paraId="6DB91514">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348">
            <w:pPr>
              <w:keepNext w:val="0"/>
              <w:spacing w:before="0" w:after="0" w:line="240" w:lineRule="auto"/>
              <w:jc w:val="left"/>
            </w:pPr>
            <w:r>
              <w:rPr>
                <w:sz w:val="20"/>
                <w:szCs w:val="20"/>
                <w:rtl w:val="0"/>
              </w:rPr>
              <w:t>3. Evaluate models and explanations on detection and explanation criteria and recommend a combination</w:t>
            </w:r>
          </w:p>
        </w:tc>
        <w:tc>
          <w:tcPr>
            <w:tcBorders>
              <w:top w:val="single" w:color="9AA5B1" w:sz="4" w:space="0"/>
              <w:left w:val="single" w:color="9AA5B1" w:sz="4" w:space="0"/>
              <w:bottom w:val="single" w:color="9AA5B1" w:sz="4" w:space="0"/>
              <w:right w:val="single" w:color="9AA5B1" w:sz="4" w:space="0"/>
            </w:tcBorders>
            <w:vAlign w:val="center"/>
          </w:tcPr>
          <w:p w14:paraId="00000349">
            <w:pPr>
              <w:keepNext w:val="0"/>
              <w:spacing w:before="0" w:after="0" w:line="240" w:lineRule="auto"/>
              <w:jc w:val="left"/>
            </w:pPr>
            <w:r>
              <w:rPr>
                <w:sz w:val="20"/>
                <w:szCs w:val="20"/>
                <w:rtl w:val="0"/>
              </w:rPr>
              <w:t>Chapter 6</w:t>
            </w:r>
          </w:p>
        </w:tc>
        <w:tc>
          <w:tcPr>
            <w:tcBorders>
              <w:top w:val="single" w:color="9AA5B1" w:sz="4" w:space="0"/>
              <w:left w:val="single" w:color="9AA5B1" w:sz="4" w:space="0"/>
              <w:bottom w:val="single" w:color="9AA5B1" w:sz="4" w:space="0"/>
              <w:right w:val="single" w:color="9AA5B1" w:sz="4" w:space="0"/>
            </w:tcBorders>
            <w:vAlign w:val="center"/>
          </w:tcPr>
          <w:p w14:paraId="0000034A">
            <w:pPr>
              <w:keepNext w:val="0"/>
              <w:spacing w:before="0" w:after="0" w:line="240" w:lineRule="auto"/>
              <w:jc w:val="left"/>
            </w:pPr>
            <w:r>
              <w:rPr>
                <w:sz w:val="20"/>
                <w:szCs w:val="20"/>
                <w:rtl w:val="0"/>
              </w:rPr>
              <w:t>XGBoost with SHAP recommended: best F1 (0.9971), perfect stability and about 6 ms per explanation</w:t>
            </w:r>
          </w:p>
        </w:tc>
      </w:tr>
    </w:tbl>
    <w:p w14:paraId="0000034B">
      <w:pPr>
        <w:spacing w:before="0" w:after="120"/>
      </w:pPr>
    </w:p>
    <w:p w14:paraId="0000034C">
      <w:pPr>
        <w:jc w:val="both"/>
      </w:pPr>
      <w:r>
        <w:rPr>
          <w:rtl w:val="0"/>
        </w:rPr>
        <w:t>The three research questions can also be answered directly. For RQ1, XGBoost was the strongest detector, Random Forest a very close second and the LSTM clearly weaker, mainly because of its lower precision. For RQ2, SHAP gave more faithful and more stable explanations than LIME on every model, and was also faster on two of the three. For RQ3, the tree-ensemble conclusions held at both scales, while the LSTM's explanation stability moved in the opposite direction to its detection performance as the training data grew.</w:t>
      </w:r>
    </w:p>
    <w:p w14:paraId="0000034D">
      <w:pPr>
        <w:pStyle w:val="3"/>
        <w:rPr>
          <w:color w:val="000000"/>
        </w:rPr>
      </w:pPr>
      <w:bookmarkStart w:id="100" w:name="_5sitfjk5g7ku" w:colFirst="0" w:colLast="0"/>
      <w:bookmarkEnd w:id="100"/>
      <w:r>
        <w:rPr>
          <w:color w:val="000000"/>
          <w:rtl w:val="0"/>
        </w:rPr>
        <w:t>7.3 Key Findings</w:t>
      </w:r>
    </w:p>
    <w:p w14:paraId="0000034E">
      <w:pPr>
        <w:jc w:val="both"/>
      </w:pPr>
      <w:r>
        <w:rPr>
          <w:rtl w:val="0"/>
        </w:rPr>
        <w:t>XGBoost and Random Forest both reached near-perfect detection on the 300,000-row data, with F1-scores above 0.995, and XGBoost edged ahead with an F1 of 0.9971 and a recall of 0.9995. The LSTM improved considerably with more data, its F1 rising from 0.736 to 0.867 and its recall from 0.705 to 0.975 across the two runs, but it remained the least accurate detector and would generate roughly fifty times as many false alarms as XGBoost on the same traffic.</w:t>
      </w:r>
    </w:p>
    <w:p w14:paraId="0000034F">
      <w:pPr>
        <w:jc w:val="both"/>
      </w:pPr>
      <w:r>
        <w:rPr>
          <w:rtl w:val="0"/>
        </w:rPr>
        <w:t>SHAP produced more faithful and more stable explanations than LIME for every model at both dataset sizes. For the tree ensembles this advantage was decisive and did not depend on scale, because TreeExplainer computes exact, deterministic attributions. For the LSTM, SHAP's fidelity lead remained large, but its stability advantage over LIME shrank roughly six-fold as the training set grew, leaving neither method reliably stable. LIME's top-ranked features overlapped by only about 40% between repeated runs on the tree models, which would make it hard for an analyst to rely on a single LIME explanation.</w:t>
      </w:r>
    </w:p>
    <w:p w14:paraId="00000350">
      <w:pPr>
        <w:pStyle w:val="3"/>
        <w:rPr>
          <w:color w:val="000000"/>
        </w:rPr>
      </w:pPr>
      <w:bookmarkStart w:id="101" w:name="_wamylve9bbsv" w:colFirst="0" w:colLast="0"/>
      <w:bookmarkEnd w:id="101"/>
      <w:r>
        <w:rPr>
          <w:color w:val="000000"/>
          <w:rtl w:val="0"/>
        </w:rPr>
        <w:t>7.4 Contributions</w:t>
      </w:r>
    </w:p>
    <w:p w14:paraId="00000351">
      <w:pPr>
        <w:jc w:val="both"/>
      </w:pPr>
      <w:r>
        <w:rPr>
          <w:rtl w:val="0"/>
        </w:rPr>
        <w:t>This project makes four contributions. First, it provides a systematic comparison of SHAP and LIME across three models from two families, with every model trained on the same data and every explanation computed on the same test instances, evaluated with both a deletion-based fidelity measure and a repeat-based stability measure. Second, it reports the practical cost of each model–method pair, translated into explanations per second, which shows that only one of the six pairs is fast enough to explain every alert in real time on modest hardware. Third, by running the same pipeline at two data scales, it identifies a scale-sensitive loss of stability in SHAP explanations of the LSTM that a single-scale study would not have revealed. Fourth, it delivers a working, documented and reproducible pipeline, whose preprocessing was shown to give identical results on a second machine and operating system, and whose run logs exposed two subtle pitfalls, cross-validation leakage from early SMOTE and unguarded file loading, that are worth recording for others working with CICIDS2017.</w:t>
      </w:r>
    </w:p>
    <w:p w14:paraId="00000352">
      <w:pPr>
        <w:pStyle w:val="3"/>
        <w:rPr>
          <w:color w:val="000000"/>
        </w:rPr>
      </w:pPr>
      <w:bookmarkStart w:id="102" w:name="_fi7w1ae29igw" w:colFirst="0" w:colLast="0"/>
      <w:bookmarkEnd w:id="102"/>
      <w:r>
        <w:rPr>
          <w:color w:val="000000"/>
          <w:rtl w:val="0"/>
        </w:rPr>
        <w:t>7.5 Limitations</w:t>
      </w:r>
    </w:p>
    <w:p w14:paraId="00000353">
      <w:pPr>
        <w:jc w:val="both"/>
      </w:pPr>
      <w:r>
        <w:rPr>
          <w:rtl w:val="0"/>
        </w:rPr>
        <w:t>Several limitations need to be kept in mind when interpreting these findings.</w:t>
      </w:r>
    </w:p>
    <w:p w14:paraId="00000354">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00"/>
        <w:jc w:val="both"/>
        <w:rPr>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The results come from a 300,000-row subsample of CICIDS2017, with a 50,000-row sample as a secondary comparison, rather than the full cleaned dataset of about 2.52 million rows, because of the hardware and time constraints described in Section 5.6.</w:t>
      </w:r>
    </w:p>
    <w:p w14:paraId="00000355">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00"/>
        <w:jc w:val="both"/>
        <w:rPr>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The apparent dependence of the LSTM's SHAP stability on dataset size (Section 6.6) rests on only two data points. Establishing a genuine trend would require several runs at different sizes, ideally with repeated seeds, so the finding should be treated as a hypothesis.</w:t>
      </w:r>
    </w:p>
    <w:p w14:paraId="00000356">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00"/>
        <w:jc w:val="both"/>
        <w:rPr>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The explanations were computed on a sample of 50 test instances (N_EXPLAIN_INSTANCES), not on the whole test set, because running SHAP and LIME on all 60,000 flows would have been very expensive, especially for the LSTM. The explanation metrics are therefore estimates with sampling error.</w:t>
      </w:r>
    </w:p>
    <w:p w14:paraId="00000357">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00"/>
        <w:jc w:val="both"/>
        <w:rPr>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The deletion-based fidelity gap is one reasonable way of operationalising fidelity, following the general framing of Arreche, Guntur and Abdallah [15], but it is not a field-wide standard, and masking-based measures have known biases [38].</w:t>
      </w:r>
    </w:p>
    <w:p w14:paraId="00000358">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00"/>
        <w:jc w:val="both"/>
        <w:rPr>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The LSTM's treatment of each scaled flow feature as one timestep is a modelling choice, not a claim that flow features have a natural temporal order. A differently framed deep model might behave differently under both detection and explanation.</w:t>
      </w:r>
    </w:p>
    <w:p w14:paraId="00000359">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00"/>
        <w:jc w:val="both"/>
        <w:rPr>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SMOTE was applied to the whole training partition before cross-validation, so the cross-validated scores used for hyperparameter selection are somewhat optimistic (Section 5.4). The test-set results are not affected.</w:t>
      </w:r>
    </w:p>
    <w:p w14:paraId="0000035A">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00"/>
        <w:jc w:val="both"/>
        <w:rPr>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CICIDS2017 contains known labelling and flow-construction errors [22], [23], and a random split allows flows from the same attack session to appear in both training and test sets. Detection scores on a live network would almost certainly be lower.</w:t>
      </w:r>
    </w:p>
    <w:p w14:paraId="0000035B">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00"/>
        <w:jc w:val="both"/>
        <w:rPr>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The practitioner evaluation planned in the Ethics Form was not carried out (Section 6.7). Fidelity and stability are reasonable proxies, but they cannot show whether analysts actually find the explanations useful.</w:t>
      </w:r>
    </w:p>
    <w:p w14:paraId="0000035C">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00"/>
        <w:jc w:val="both"/>
        <w:rPr>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The study compares only two XAI methods and three classifiers on a single dataset, framed as a binary task.</w:t>
      </w:r>
    </w:p>
    <w:p w14:paraId="0000035D">
      <w:pPr>
        <w:pStyle w:val="3"/>
        <w:rPr>
          <w:color w:val="000000"/>
        </w:rPr>
      </w:pPr>
      <w:bookmarkStart w:id="103" w:name="_kjaa74ut6b49" w:colFirst="0" w:colLast="0"/>
      <w:bookmarkEnd w:id="103"/>
      <w:r>
        <w:rPr>
          <w:color w:val="000000"/>
          <w:rtl w:val="0"/>
        </w:rPr>
        <w:t>7.6 Recommendations and Future Work</w:t>
      </w:r>
    </w:p>
    <w:p w14:paraId="0000035E">
      <w:pPr>
        <w:jc w:val="both"/>
      </w:pPr>
      <w:r>
        <w:rPr>
          <w:rtl w:val="0"/>
        </w:rPr>
        <w:t>The most direct follow-up is to test the scale-dependence finding of Section 6.6 properly. Running the same pipeline at several intermediate dataset sizes, with several random seeds at each, would show whether SHAP's stability on the LSTM declines steadily with scale or only beyond some threshold. Investigating why GradientExplainer's stability fell as detection improved would be a natural companion study, starting with the effect of the number of background samples.</w:t>
      </w:r>
    </w:p>
    <w:p w14:paraId="0000035F">
      <w:pPr>
        <w:jc w:val="both"/>
      </w:pPr>
      <w:r>
        <w:rPr>
          <w:rtl w:val="0"/>
        </w:rPr>
        <w:t>Beyond this, the comparison should be repeated on the full CICIDS2017 dataset, on a corrected version of it [23], and on at least one other benchmark such as UNSW-NB15 [20], ideally with a time-based rather than random train–test split. Extending the study to multi-class detection would make the explanations more informative, because an analyst needs to know not only that a flow is malicious but what kind of attack it resembles. Additional explanation methods, such as Integrated Gradients and DeepLIFT for the LSTM [33], [34], and alternative deep architectures such as a one-dimensional CNN, would widen the comparison.</w:t>
      </w:r>
    </w:p>
    <w:p w14:paraId="00000360">
      <w:pPr>
        <w:jc w:val="both"/>
      </w:pPr>
      <w:r>
        <w:rPr>
          <w:rtl w:val="0"/>
        </w:rPr>
        <w:t>Carrying out the practitioner evaluation described in the Ethics Form remains important. It would test directly whether analysts' judgements of clarity and usefulness agree with the quantitative fidelity and stability figures reported here, and whether explanations measurably shorten triage.</w:t>
      </w:r>
    </w:p>
    <w:p w14:paraId="00000361">
      <w:pPr>
        <w:jc w:val="both"/>
      </w:pPr>
      <w:r>
        <w:rPr>
          <w:rtl w:val="0"/>
        </w:rPr>
        <w:t>Finally, a number of practical improvements to the pipeline are recommended:</w:t>
      </w:r>
    </w:p>
    <w:p w14:paraId="00000362">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00"/>
        <w:jc w:val="both"/>
        <w:rPr>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Move SMOTE inside the cross-validation loop by combining it with each classifier in an imbalanced-learn pipeline.</w:t>
      </w:r>
    </w:p>
    <w:p w14:paraId="00000363">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00"/>
        <w:jc w:val="both"/>
        <w:rPr>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Load only the eight named CICIDS2017 files, and write synthetic smoke-test data to a separate folder, so that stray files cannot enter the dataset.</w:t>
      </w:r>
    </w:p>
    <w:p w14:paraId="00000364">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00"/>
        <w:jc w:val="both"/>
        <w:rPr>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 xml:space="preserve">Keep </w:t>
      </w:r>
      <w:r>
        <w:rPr>
          <w:rFonts w:ascii="Consolas" w:hAnsi="Consolas" w:eastAsia="Consolas" w:cs="Consolas"/>
          <w:b w:val="0"/>
          <w:bCs w:val="0"/>
          <w:i w:val="0"/>
          <w:iCs w:val="0"/>
          <w:smallCaps w:val="0"/>
          <w:strike w:val="0"/>
          <w:sz w:val="22"/>
          <w:szCs w:val="22"/>
          <w:u w:val="none"/>
          <w:shd w:val="clear" w:fill="auto"/>
          <w:vertAlign w:val="baseline"/>
          <w:rtl w:val="0"/>
        </w:rPr>
        <w:t>n_jobs=1</w:t>
      </w: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 xml:space="preserve"> on estimators nested inside a parallel search, to avoid oversubscribing the CPU.</w:t>
      </w:r>
    </w:p>
    <w:p w14:paraId="00000365">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00"/>
        <w:jc w:val="both"/>
        <w:rPr>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Tune the LSTM's decision threshold on validation data, which its high ROC-AUC suggests could substantially reduce its false alarms.</w:t>
      </w:r>
    </w:p>
    <w:p w14:paraId="00000366">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00"/>
        <w:jc w:val="both"/>
        <w:rPr>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Save SHAP summary plots and per-alert waterfall plots alongside the metric files, so that the explanations themselves, not only their quality scores, can be reviewed by analysts.</w:t>
      </w:r>
    </w:p>
    <w:p w14:paraId="00000367">
      <w:pPr>
        <w:pStyle w:val="3"/>
        <w:rPr>
          <w:color w:val="000000"/>
        </w:rPr>
      </w:pPr>
      <w:bookmarkStart w:id="104" w:name="_nxztgey1k70z" w:colFirst="0" w:colLast="0"/>
      <w:bookmarkEnd w:id="104"/>
      <w:r>
        <w:rPr>
          <w:color w:val="000000"/>
          <w:rtl w:val="0"/>
        </w:rPr>
        <w:t>7.7 Concluding Remarks</w:t>
      </w:r>
    </w:p>
    <w:p w14:paraId="00000368">
      <w:pPr>
        <w:jc w:val="both"/>
      </w:pPr>
      <w:r>
        <w:rPr>
          <w:rtl w:val="0"/>
        </w:rPr>
        <w:t>The central question of this project was whether explainability can be added to a high-performing intrusion detector without giving anything important away. For tree ensembles, the answer is a fairly clear yes: XGBoost with SHAP combines near-perfect detection on CICIDS2017 with explanations that are faithful, identical every time they are generated and cheap enough to attach to every alert. For deep learning, the answer is more qualified, because the explanations become less repeatable in ways that detection metrics alone do not reveal. The broader lesson is that detection and explanation have to be evaluated together, on the same data, and at more than one scale, before any combination is trusted in a SOC.</w:t>
      </w:r>
      <w:r>
        <w:br w:type="page"/>
      </w:r>
    </w:p>
    <w:p w14:paraId="00000369">
      <w:pPr>
        <w:pStyle w:val="2"/>
        <w:rPr>
          <w:color w:val="000000"/>
        </w:rPr>
      </w:pPr>
      <w:bookmarkStart w:id="105" w:name="_tgltylj2s4ec" w:colFirst="0" w:colLast="0"/>
      <w:bookmarkEnd w:id="105"/>
      <w:r>
        <w:rPr>
          <w:color w:val="000000"/>
          <w:rtl w:val="0"/>
        </w:rPr>
        <w:t>REFLECTION</w:t>
      </w:r>
    </w:p>
    <w:p w14:paraId="0000036A">
      <w:pPr>
        <w:jc w:val="both"/>
      </w:pPr>
      <w:r>
        <w:rPr>
          <w:rtl w:val="0"/>
        </w:rPr>
        <w:t>Of all the methodological decisions I ended up changing my mind about, the biggest was how much of CICIDS2017 I could realistically train on. Subsampling was always an option in the Chapter 4 design, but I had planned to use the full 2.52 million cleaned rows and saw subsampling as a fallback I probably would not need. In practice, the hardware I had could not process the whole dataset within the project's timeframe, so I switched to a staged strategy: a smaller run to prove that everything worked, followed by a larger run for the main results. I should have made that decision earlier. What I did not expect was that the staged approach, adopted purely out of necessity, would produce one of the project's most interesting findings, the change in the LSTM's explanation stability between the two scales. It taught me that constraints are not always just obstacles; sometimes they force a better experimental design than the one originally planned.</w:t>
      </w:r>
    </w:p>
    <w:p w14:paraId="0000036B">
      <w:pPr>
        <w:jc w:val="both"/>
      </w:pPr>
      <w:r>
        <w:rPr>
          <w:rtl w:val="0"/>
        </w:rPr>
        <w:t>The skill that grew most was less about machine learning and more about the unglamorous reality of getting a computational project off the ground. I had to set up a working Python environment, understand properly what a virtual environment is for, and learn to diagnose real problems from evidence rather than guesswork. The clearest example was using Task Manager to discover that a painfully slow training run was being slowed by nested parallelism, with a search wrapper and the model inside it both trying to use every CPU core, rather than by anything wrong with the model or the data. None of this is taught in the way the mathematics of SHAP and LIME is taught, but it took up a real share of the project's time, and I think it is more honest to say so than to present the implementation chapter as though the code simply ran correctly the first time.</w:t>
      </w:r>
    </w:p>
    <w:p w14:paraId="0000036C">
      <w:pPr>
        <w:jc w:val="both"/>
      </w:pPr>
      <w:r>
        <w:rPr>
          <w:rtl w:val="0"/>
        </w:rPr>
        <w:t>Reading my own logs carefully turned out to be just as important. It was only by comparing the data shapes printed at each step that I noticed SMOTE had been applied before cross-validation rather than inside it, and, during the reproducibility run on Linux, that a leftover synthetic test file had been swept into the raw data folder. Neither problem changed my headline results, but both could easily have gone unnoticed, and both are exactly the kind of mistake I would now look for from the start. Rerunning the pipeline on a second machine was also reassuring in a way I had not anticipated: seeing identical row and class counts appear on a different operating system gave me far more confidence in the preprocessing than any amount of re-reading the code.</w:t>
      </w:r>
    </w:p>
    <w:p w14:paraId="0000036D">
      <w:pPr>
        <w:jc w:val="both"/>
      </w:pPr>
      <w:r>
        <w:rPr>
          <w:rtl w:val="0"/>
        </w:rPr>
        <w:t>With more time, I would have invested earlier in testing the process on small samples instead of assuming the full dataset would work out of the box, and I would have run more than two data scales, with repeated seeds, so that the scale finding rested on more than two points. I would also have prioritised the practitioner evaluation in the Ethics Form. Without it, I can say which method produced more faithful and stable explanations, but not which one an analyst would actually prefer to read, and in the end that is the question that matters most.</w:t>
      </w:r>
    </w:p>
    <w:p w14:paraId="0000036E">
      <w:pPr>
        <w:jc w:val="both"/>
      </w:pPr>
      <w:r>
        <w:rPr>
          <w:rtl w:val="0"/>
        </w:rPr>
        <w:t>Completing the Ethics Form proved more valuable than I expected. Working out exactly what counts as personal data, and noticing where my answers to different questions did not quite agree, forced me to be concrete about how the project would handle data, something I had not thought through carefully enough when I first drafted the methodology in Chapter 3. It also made me think about the dual-use nature of explanations in security: the same insight that helps a defender understand an alert could help an attacker avoid one. That is a point I will carry into any future work in this area.</w:t>
      </w:r>
      <w:r>
        <w:br w:type="page"/>
      </w:r>
    </w:p>
    <w:p w14:paraId="0000036F">
      <w:pPr>
        <w:pStyle w:val="2"/>
        <w:rPr>
          <w:color w:val="000000"/>
        </w:rPr>
      </w:pPr>
      <w:bookmarkStart w:id="106" w:name="_gv51a4miowv5" w:colFirst="0" w:colLast="0"/>
      <w:bookmarkEnd w:id="106"/>
      <w:r>
        <w:rPr>
          <w:color w:val="000000"/>
          <w:rtl w:val="0"/>
        </w:rPr>
        <w:t>REFERENCES</w:t>
      </w:r>
    </w:p>
    <w:p w14:paraId="00000370">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[1]</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IBM Security and Ponemon Institute, "Cost of a data breach report 2024," IBM Corp., Armonk, NY, USA, Jul. 2024.</w:t>
      </w:r>
    </w:p>
    <w:p w14:paraId="00000371">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[2]</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D. E. Denning, "An intrusion-detection model," </w:t>
      </w:r>
      <w:r>
        <w:rPr>
          <w:rFonts w:ascii="Times New Roman" w:hAnsi="Times New Roman" w:eastAsia="Times New Roman" w:cs="Times New Roman"/>
          <w:b w:val="0"/>
          <w:bCs w:val="0"/>
          <w:i/>
          <w:iCs/>
          <w:smallCaps w:val="0"/>
          <w:strike w:val="0"/>
          <w:sz w:val="22"/>
          <w:szCs w:val="22"/>
          <w:u w:val="none"/>
          <w:shd w:val="clear" w:fill="auto"/>
          <w:vertAlign w:val="baseline"/>
          <w:rtl w:val="0"/>
        </w:rPr>
        <w:t>IEEE Transactions on Software Engineering</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vol. SE-13, no. 2, pp. 222–232, Feb. 1987.</w:t>
      </w:r>
    </w:p>
    <w:p w14:paraId="00000372">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[3]</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A. K. B. Arnob, R. R. Chowdhury, N. A. Chaiti, S. Saha, and A. Roy, "A comprehensive systematic review of intrusion detection systems: Emerging techniques, challenges, and future research directions," </w:t>
      </w:r>
      <w:r>
        <w:rPr>
          <w:rFonts w:ascii="Times New Roman" w:hAnsi="Times New Roman" w:eastAsia="Times New Roman" w:cs="Times New Roman"/>
          <w:b w:val="0"/>
          <w:bCs w:val="0"/>
          <w:i/>
          <w:iCs/>
          <w:smallCaps w:val="0"/>
          <w:strike w:val="0"/>
          <w:sz w:val="22"/>
          <w:szCs w:val="22"/>
          <w:u w:val="none"/>
          <w:shd w:val="clear" w:fill="auto"/>
          <w:vertAlign w:val="baseline"/>
          <w:rtl w:val="0"/>
        </w:rPr>
        <w:t>Journal of Edge Computing</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vol. 4, no. 1, pp. 73–104, 2025.</w:t>
      </w:r>
    </w:p>
    <w:p w14:paraId="00000373">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[4]</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I. Sharafaldin, A. H. Lashkari, and A. A. Ghorbani, "Toward generating a new intrusion detection dataset and intrusion traffic characterization," in </w:t>
      </w:r>
      <w:r>
        <w:rPr>
          <w:rFonts w:ascii="Times New Roman" w:hAnsi="Times New Roman" w:eastAsia="Times New Roman" w:cs="Times New Roman"/>
          <w:b w:val="0"/>
          <w:bCs w:val="0"/>
          <w:i/>
          <w:iCs/>
          <w:smallCaps w:val="0"/>
          <w:strike w:val="0"/>
          <w:sz w:val="22"/>
          <w:szCs w:val="22"/>
          <w:u w:val="none"/>
          <w:shd w:val="clear" w:fill="auto"/>
          <w:vertAlign w:val="baseline"/>
          <w:rtl w:val="0"/>
        </w:rPr>
        <w:t>Proc. 4th Int. Conf. Information Systems Security and Privacy (ICISSP)</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Funchal, Portugal, 2018, pp. 108–116.</w:t>
      </w:r>
    </w:p>
    <w:p w14:paraId="00000374">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[5]</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A. L. Buczak and E. Guven, "A survey of data mining and machine learning methods for cyber security intrusion detection," </w:t>
      </w:r>
      <w:r>
        <w:rPr>
          <w:rFonts w:ascii="Times New Roman" w:hAnsi="Times New Roman" w:eastAsia="Times New Roman" w:cs="Times New Roman"/>
          <w:b w:val="0"/>
          <w:bCs w:val="0"/>
          <w:i/>
          <w:iCs/>
          <w:smallCaps w:val="0"/>
          <w:strike w:val="0"/>
          <w:sz w:val="22"/>
          <w:szCs w:val="22"/>
          <w:u w:val="none"/>
          <w:shd w:val="clear" w:fill="auto"/>
          <w:vertAlign w:val="baseline"/>
          <w:rtl w:val="0"/>
        </w:rPr>
        <w:t>IEEE Communications Surveys &amp; Tutorials</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vol. 18, no. 2, pp. 1153–1176, 2016.</w:t>
      </w:r>
    </w:p>
    <w:p w14:paraId="00000375">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[6]</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S. Neupane, J. Ables, W. Anderson, S. Mittal, S. Rahimi, I. Banicescu, and M. Seale, "Explainable intrusion detection systems (X-IDS): A survey of current methods, challenges, and opportunities," </w:t>
      </w:r>
      <w:r>
        <w:rPr>
          <w:rFonts w:ascii="Times New Roman" w:hAnsi="Times New Roman" w:eastAsia="Times New Roman" w:cs="Times New Roman"/>
          <w:b w:val="0"/>
          <w:bCs w:val="0"/>
          <w:i/>
          <w:iCs/>
          <w:smallCaps w:val="0"/>
          <w:strike w:val="0"/>
          <w:sz w:val="22"/>
          <w:szCs w:val="22"/>
          <w:u w:val="none"/>
          <w:shd w:val="clear" w:fill="auto"/>
          <w:vertAlign w:val="baseline"/>
          <w:rtl w:val="0"/>
        </w:rPr>
        <w:t>IEEE Access</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vol. 10, pp. 112392–112415, 2022.</w:t>
      </w:r>
    </w:p>
    <w:p w14:paraId="00000376">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[7]</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P. Linardatos, V. Papastefanopoulos, and S. Kotsiantis, "Explainable AI: A review of machine learning interpretability methods," </w:t>
      </w:r>
      <w:r>
        <w:rPr>
          <w:rFonts w:ascii="Times New Roman" w:hAnsi="Times New Roman" w:eastAsia="Times New Roman" w:cs="Times New Roman"/>
          <w:b w:val="0"/>
          <w:bCs w:val="0"/>
          <w:i/>
          <w:iCs/>
          <w:smallCaps w:val="0"/>
          <w:strike w:val="0"/>
          <w:sz w:val="22"/>
          <w:szCs w:val="22"/>
          <w:u w:val="none"/>
          <w:shd w:val="clear" w:fill="auto"/>
          <w:vertAlign w:val="baseline"/>
          <w:rtl w:val="0"/>
        </w:rPr>
        <w:t>Entropy</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vol. 23, no. 1, Art. no. 18, 2021.</w:t>
      </w:r>
    </w:p>
    <w:p w14:paraId="00000377">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[8]</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S. Tariq, M. Baruwal Chhetri, S. Nepal, and C. Paris, "Alert fatigue in security operations centres: Research challenges and opportunities," </w:t>
      </w:r>
      <w:r>
        <w:rPr>
          <w:rFonts w:ascii="Times New Roman" w:hAnsi="Times New Roman" w:eastAsia="Times New Roman" w:cs="Times New Roman"/>
          <w:b w:val="0"/>
          <w:bCs w:val="0"/>
          <w:i/>
          <w:iCs/>
          <w:smallCaps w:val="0"/>
          <w:strike w:val="0"/>
          <w:sz w:val="22"/>
          <w:szCs w:val="22"/>
          <w:u w:val="none"/>
          <w:shd w:val="clear" w:fill="auto"/>
          <w:vertAlign w:val="baseline"/>
          <w:rtl w:val="0"/>
        </w:rPr>
        <w:t>ACM Computing Surveys</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vol. 57, no. 9, Art. no. 224, pp. 1–38, Apr. 2025.</w:t>
      </w:r>
    </w:p>
    <w:p w14:paraId="00000378">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[9]</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European Parliament and Council of the European Union, </w:t>
      </w:r>
      <w:r>
        <w:rPr>
          <w:rFonts w:ascii="Times New Roman" w:hAnsi="Times New Roman" w:eastAsia="Times New Roman" w:cs="Times New Roman"/>
          <w:b w:val="0"/>
          <w:bCs w:val="0"/>
          <w:i/>
          <w:iCs/>
          <w:smallCaps w:val="0"/>
          <w:strike w:val="0"/>
          <w:sz w:val="22"/>
          <w:szCs w:val="22"/>
          <w:u w:val="none"/>
          <w:shd w:val="clear" w:fill="auto"/>
          <w:vertAlign w:val="baseline"/>
          <w:rtl w:val="0"/>
        </w:rPr>
        <w:t>Regulation (EU) 2024/1689 laying down harmonised rules on artificial intelligence (Artificial Intelligence Act)</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Art. 13: Transparency and provision of information to deployers, 2024.</w:t>
      </w:r>
    </w:p>
    <w:p w14:paraId="00000379">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[10]</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Information Commissioner's Office and The Alan Turing Institute, "Explaining decisions made with AI," ICO, Wilmslow, U.K., 2020.</w:t>
      </w:r>
    </w:p>
    <w:p w14:paraId="0000037A">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[11]</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L. Nannini, "Habemus a right to an explanation: So what? – A framework on transparency-explainability functionality and tensions in the EU AI Act," in </w:t>
      </w:r>
      <w:r>
        <w:rPr>
          <w:rFonts w:ascii="Times New Roman" w:hAnsi="Times New Roman" w:eastAsia="Times New Roman" w:cs="Times New Roman"/>
          <w:b w:val="0"/>
          <w:bCs w:val="0"/>
          <w:i/>
          <w:iCs/>
          <w:smallCaps w:val="0"/>
          <w:strike w:val="0"/>
          <w:sz w:val="22"/>
          <w:szCs w:val="22"/>
          <w:u w:val="none"/>
          <w:shd w:val="clear" w:fill="auto"/>
          <w:vertAlign w:val="baseline"/>
          <w:rtl w:val="0"/>
        </w:rPr>
        <w:t>Proc. 2024 AAAI/ACM Conf. AI, Ethics, and Society (AIES '24)</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2024.</w:t>
      </w:r>
    </w:p>
    <w:p w14:paraId="0000037B">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[12]</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S. M. Lundberg and S.-I. Lee, "A unified approach to interpreting model predictions," in </w:t>
      </w:r>
      <w:r>
        <w:rPr>
          <w:rFonts w:ascii="Times New Roman" w:hAnsi="Times New Roman" w:eastAsia="Times New Roman" w:cs="Times New Roman"/>
          <w:b w:val="0"/>
          <w:bCs w:val="0"/>
          <w:i/>
          <w:iCs/>
          <w:smallCaps w:val="0"/>
          <w:strike w:val="0"/>
          <w:sz w:val="22"/>
          <w:szCs w:val="22"/>
          <w:u w:val="none"/>
          <w:shd w:val="clear" w:fill="auto"/>
          <w:vertAlign w:val="baseline"/>
          <w:rtl w:val="0"/>
        </w:rPr>
        <w:t>Advances in Neural Information Processing Systems 30 (NeurIPS)</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2017, pp. 4765–4774.</w:t>
      </w:r>
    </w:p>
    <w:p w14:paraId="0000037C">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[13]</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M. T. Ribeiro, S. Singh, and C. Guestrin, "‘Why should I trust you?’: Explaining the predictions of any classifier," in </w:t>
      </w:r>
      <w:r>
        <w:rPr>
          <w:rFonts w:ascii="Times New Roman" w:hAnsi="Times New Roman" w:eastAsia="Times New Roman" w:cs="Times New Roman"/>
          <w:b w:val="0"/>
          <w:bCs w:val="0"/>
          <w:i/>
          <w:iCs/>
          <w:smallCaps w:val="0"/>
          <w:strike w:val="0"/>
          <w:sz w:val="22"/>
          <w:szCs w:val="22"/>
          <w:u w:val="none"/>
          <w:shd w:val="clear" w:fill="auto"/>
          <w:vertAlign w:val="baseline"/>
          <w:rtl w:val="0"/>
        </w:rPr>
        <w:t>Proc. 22nd ACM SIGKDD Int. Conf. Knowledge Discovery and Data Mining</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San Francisco, CA, USA, 2016, pp. 1135–1144.</w:t>
      </w:r>
    </w:p>
    <w:p w14:paraId="0000037D">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[14]</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M. Siganos, P. Radoglou-Grammatikis, I. Kotsiuba, E. Markakis, I. Moscholios, S. Goudos, and P. Sarigiannidis, "Explainable AI-based intrusion detection in the Internet of Things," in </w:t>
      </w:r>
      <w:r>
        <w:rPr>
          <w:rFonts w:ascii="Times New Roman" w:hAnsi="Times New Roman" w:eastAsia="Times New Roman" w:cs="Times New Roman"/>
          <w:b w:val="0"/>
          <w:bCs w:val="0"/>
          <w:i/>
          <w:iCs/>
          <w:smallCaps w:val="0"/>
          <w:strike w:val="0"/>
          <w:sz w:val="22"/>
          <w:szCs w:val="22"/>
          <w:u w:val="none"/>
          <w:shd w:val="clear" w:fill="auto"/>
          <w:vertAlign w:val="baseline"/>
          <w:rtl w:val="0"/>
        </w:rPr>
        <w:t>Proc. 18th Int. Conf. Availability, Reliability and Security (ARES '23)</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Benevento, Italy, 2023, Art. no. 53, pp. 1–10.</w:t>
      </w:r>
    </w:p>
    <w:p w14:paraId="0000037E">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[15]</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O. Arreche, T. Guntur, and M. Abdallah, "E-XAI: Evaluating black-box explainable AI frameworks for network intrusion detection," </w:t>
      </w:r>
      <w:r>
        <w:rPr>
          <w:rFonts w:ascii="Times New Roman" w:hAnsi="Times New Roman" w:eastAsia="Times New Roman" w:cs="Times New Roman"/>
          <w:b w:val="0"/>
          <w:bCs w:val="0"/>
          <w:i/>
          <w:iCs/>
          <w:smallCaps w:val="0"/>
          <w:strike w:val="0"/>
          <w:sz w:val="22"/>
          <w:szCs w:val="22"/>
          <w:u w:val="none"/>
          <w:shd w:val="clear" w:fill="auto"/>
          <w:vertAlign w:val="baseline"/>
          <w:rtl w:val="0"/>
        </w:rPr>
        <w:t>IEEE Access</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vol. 12, 2024.</w:t>
      </w:r>
    </w:p>
    <w:p w14:paraId="0000037F">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[16]</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M. Roesch, "Snort: Lightweight intrusion detection for networks," in </w:t>
      </w:r>
      <w:r>
        <w:rPr>
          <w:rFonts w:ascii="Times New Roman" w:hAnsi="Times New Roman" w:eastAsia="Times New Roman" w:cs="Times New Roman"/>
          <w:b w:val="0"/>
          <w:bCs w:val="0"/>
          <w:i/>
          <w:iCs/>
          <w:smallCaps w:val="0"/>
          <w:strike w:val="0"/>
          <w:sz w:val="22"/>
          <w:szCs w:val="22"/>
          <w:u w:val="none"/>
          <w:shd w:val="clear" w:fill="auto"/>
          <w:vertAlign w:val="baseline"/>
          <w:rtl w:val="0"/>
        </w:rPr>
        <w:t>Proc. 13th USENIX Conf. System Administration (LISA '99)</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Seattle, WA, USA, 1999, pp. 229–238.</w:t>
      </w:r>
    </w:p>
    <w:p w14:paraId="00000380">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[17]</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R. Sommer and V. Paxson, "Outside the closed world: On using machine learning for network intrusion detection," in </w:t>
      </w:r>
      <w:r>
        <w:rPr>
          <w:rFonts w:ascii="Times New Roman" w:hAnsi="Times New Roman" w:eastAsia="Times New Roman" w:cs="Times New Roman"/>
          <w:b w:val="0"/>
          <w:bCs w:val="0"/>
          <w:i/>
          <w:iCs/>
          <w:smallCaps w:val="0"/>
          <w:strike w:val="0"/>
          <w:sz w:val="22"/>
          <w:szCs w:val="22"/>
          <w:u w:val="none"/>
          <w:shd w:val="clear" w:fill="auto"/>
          <w:vertAlign w:val="baseline"/>
          <w:rtl w:val="0"/>
        </w:rPr>
        <w:t>Proc. 2010 IEEE Symp. Security and Privacy</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Oakland, CA, USA, 2010, pp. 305–316.</w:t>
      </w:r>
    </w:p>
    <w:p w14:paraId="00000381">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[18]</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Y. Zhang, R. C. Muniyandi, and F. Qamar, "A review of deep learning applications in intrusion detection systems: Overcoming challenges in spatiotemporal feature extraction and data imbalance," </w:t>
      </w:r>
      <w:r>
        <w:rPr>
          <w:rFonts w:ascii="Times New Roman" w:hAnsi="Times New Roman" w:eastAsia="Times New Roman" w:cs="Times New Roman"/>
          <w:b w:val="0"/>
          <w:bCs w:val="0"/>
          <w:i/>
          <w:iCs/>
          <w:smallCaps w:val="0"/>
          <w:strike w:val="0"/>
          <w:sz w:val="22"/>
          <w:szCs w:val="22"/>
          <w:u w:val="none"/>
          <w:shd w:val="clear" w:fill="auto"/>
          <w:vertAlign w:val="baseline"/>
          <w:rtl w:val="0"/>
        </w:rPr>
        <w:t>Applied Sciences</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vol. 15, no. 3, Art. no. 1552, 2025.</w:t>
      </w:r>
    </w:p>
    <w:p w14:paraId="00000382">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[19]</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M. Tavallaee, E. Bagheri, W. Lu, and A. A. Ghorbani, "A detailed analysis of the KDD CUP 99 data set," in </w:t>
      </w:r>
      <w:r>
        <w:rPr>
          <w:rFonts w:ascii="Times New Roman" w:hAnsi="Times New Roman" w:eastAsia="Times New Roman" w:cs="Times New Roman"/>
          <w:b w:val="0"/>
          <w:bCs w:val="0"/>
          <w:i/>
          <w:iCs/>
          <w:smallCaps w:val="0"/>
          <w:strike w:val="0"/>
          <w:sz w:val="22"/>
          <w:szCs w:val="22"/>
          <w:u w:val="none"/>
          <w:shd w:val="clear" w:fill="auto"/>
          <w:vertAlign w:val="baseline"/>
          <w:rtl w:val="0"/>
        </w:rPr>
        <w:t>Proc. IEEE Symp. Computational Intelligence for Security and Defense Applications (CISDA)</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Ottawa, ON, Canada, 2009, pp. 1–6.</w:t>
      </w:r>
    </w:p>
    <w:p w14:paraId="00000383">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[20]</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N. Moustafa and J. Slay, "UNSW-NB15: A comprehensive data set for network intrusion detection systems (UNSW-NB15 network data set)," in </w:t>
      </w:r>
      <w:r>
        <w:rPr>
          <w:rFonts w:ascii="Times New Roman" w:hAnsi="Times New Roman" w:eastAsia="Times New Roman" w:cs="Times New Roman"/>
          <w:b w:val="0"/>
          <w:bCs w:val="0"/>
          <w:i/>
          <w:iCs/>
          <w:smallCaps w:val="0"/>
          <w:strike w:val="0"/>
          <w:sz w:val="22"/>
          <w:szCs w:val="22"/>
          <w:u w:val="none"/>
          <w:shd w:val="clear" w:fill="auto"/>
          <w:vertAlign w:val="baseline"/>
          <w:rtl w:val="0"/>
        </w:rPr>
        <w:t>Proc. Military Communications and Information Systems Conf. (MilCIS)</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Canberra, ACT, Australia, 2015, pp. 1–6.</w:t>
      </w:r>
    </w:p>
    <w:p w14:paraId="00000384">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[21]</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L. Yang, A. Moubayed, and A. Shami, "MTH-IDS: A multitiered hybrid intrusion detection system for Internet of Vehicles," </w:t>
      </w:r>
      <w:r>
        <w:rPr>
          <w:rFonts w:ascii="Times New Roman" w:hAnsi="Times New Roman" w:eastAsia="Times New Roman" w:cs="Times New Roman"/>
          <w:b w:val="0"/>
          <w:bCs w:val="0"/>
          <w:i/>
          <w:iCs/>
          <w:smallCaps w:val="0"/>
          <w:strike w:val="0"/>
          <w:sz w:val="22"/>
          <w:szCs w:val="22"/>
          <w:u w:val="none"/>
          <w:shd w:val="clear" w:fill="auto"/>
          <w:vertAlign w:val="baseline"/>
          <w:rtl w:val="0"/>
        </w:rPr>
        <w:t>IEEE Internet of Things Journal</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vol. 9, no. 1, pp. 616–632, Jan. 2022.</w:t>
      </w:r>
    </w:p>
    <w:p w14:paraId="00000385">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[22]</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G. Engelen, V. Rimmer, and W. Joosen, "Troubleshooting an intrusion detection dataset: The CICIDS2017 case study," in </w:t>
      </w:r>
      <w:r>
        <w:rPr>
          <w:rFonts w:ascii="Times New Roman" w:hAnsi="Times New Roman" w:eastAsia="Times New Roman" w:cs="Times New Roman"/>
          <w:b w:val="0"/>
          <w:bCs w:val="0"/>
          <w:i/>
          <w:iCs/>
          <w:smallCaps w:val="0"/>
          <w:strike w:val="0"/>
          <w:sz w:val="22"/>
          <w:szCs w:val="22"/>
          <w:u w:val="none"/>
          <w:shd w:val="clear" w:fill="auto"/>
          <w:vertAlign w:val="baseline"/>
          <w:rtl w:val="0"/>
        </w:rPr>
        <w:t>Proc. 2021 IEEE Security and Privacy Workshops (SPW)</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San Francisco, CA, USA, 2021, pp. 7–12.</w:t>
      </w:r>
    </w:p>
    <w:p w14:paraId="00000386">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[23]</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M. Lanvin, P.-F. Gimenez, Y. Han, F. Majorczyk, L. Mé, and É. Totel, "Errors in the CICIDS2017 dataset and the significant differences in detection performances it makes," in </w:t>
      </w:r>
      <w:r>
        <w:rPr>
          <w:rFonts w:ascii="Times New Roman" w:hAnsi="Times New Roman" w:eastAsia="Times New Roman" w:cs="Times New Roman"/>
          <w:b w:val="0"/>
          <w:bCs w:val="0"/>
          <w:i/>
          <w:iCs/>
          <w:smallCaps w:val="0"/>
          <w:strike w:val="0"/>
          <w:sz w:val="22"/>
          <w:szCs w:val="22"/>
          <w:u w:val="none"/>
          <w:shd w:val="clear" w:fill="auto"/>
          <w:vertAlign w:val="baseline"/>
          <w:rtl w:val="0"/>
        </w:rPr>
        <w:t>Risks and Security of Internet and Systems (CRiSIS 2022)</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Lecture Notes in Computer Science, vol. 13857. Cham, Switzerland: Springer, 2023, pp. 18–33.</w:t>
      </w:r>
    </w:p>
    <w:p w14:paraId="00000387">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[24]</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D. Arp, E. Quiring, F. Pendlebury, A. Warnecke, F. Pierazzi, C. Wressnegger, L. Cavallaro, and K. Rieck, "Dos and don'ts of machine learning in computer security," in </w:t>
      </w:r>
      <w:r>
        <w:rPr>
          <w:rFonts w:ascii="Times New Roman" w:hAnsi="Times New Roman" w:eastAsia="Times New Roman" w:cs="Times New Roman"/>
          <w:b w:val="0"/>
          <w:bCs w:val="0"/>
          <w:i/>
          <w:iCs/>
          <w:smallCaps w:val="0"/>
          <w:strike w:val="0"/>
          <w:sz w:val="22"/>
          <w:szCs w:val="22"/>
          <w:u w:val="none"/>
          <w:shd w:val="clear" w:fill="auto"/>
          <w:vertAlign w:val="baseline"/>
          <w:rtl w:val="0"/>
        </w:rPr>
        <w:t>Proc. 31st USENIX Security Symp.</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Boston, MA, USA, 2022, pp. 3971–3988.</w:t>
      </w:r>
    </w:p>
    <w:p w14:paraId="00000388">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[25]</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N. V. Chawla, K. W. Bowyer, L. O. Hall, and W. P. Kegelmeyer, "SMOTE: Synthetic minority over-sampling technique," </w:t>
      </w:r>
      <w:r>
        <w:rPr>
          <w:rFonts w:ascii="Times New Roman" w:hAnsi="Times New Roman" w:eastAsia="Times New Roman" w:cs="Times New Roman"/>
          <w:b w:val="0"/>
          <w:bCs w:val="0"/>
          <w:i/>
          <w:iCs/>
          <w:smallCaps w:val="0"/>
          <w:strike w:val="0"/>
          <w:sz w:val="22"/>
          <w:szCs w:val="22"/>
          <w:u w:val="none"/>
          <w:shd w:val="clear" w:fill="auto"/>
          <w:vertAlign w:val="baseline"/>
          <w:rtl w:val="0"/>
        </w:rPr>
        <w:t>Journal of Artificial Intelligence Research</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vol. 16, pp. 321–357, 2002.</w:t>
      </w:r>
    </w:p>
    <w:p w14:paraId="00000389">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[26]</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A. Adadi and M. Berrada, "Peeking inside the black-box: A survey on explainable artificial intelligence (XAI)," </w:t>
      </w:r>
      <w:r>
        <w:rPr>
          <w:rFonts w:ascii="Times New Roman" w:hAnsi="Times New Roman" w:eastAsia="Times New Roman" w:cs="Times New Roman"/>
          <w:b w:val="0"/>
          <w:bCs w:val="0"/>
          <w:i/>
          <w:iCs/>
          <w:smallCaps w:val="0"/>
          <w:strike w:val="0"/>
          <w:sz w:val="22"/>
          <w:szCs w:val="22"/>
          <w:u w:val="none"/>
          <w:shd w:val="clear" w:fill="auto"/>
          <w:vertAlign w:val="baseline"/>
          <w:rtl w:val="0"/>
        </w:rPr>
        <w:t>IEEE Access</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vol. 6, pp. 52138–52160, 2018.</w:t>
      </w:r>
    </w:p>
    <w:p w14:paraId="0000038A">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[27]</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V. Hassija, V. Chamola, A. Mahapatra, A. Singal, D. Goel, K. Huang, S. Scardapane, I. Spinelli, M. Mahmud, and A. Hussain, "Interpreting black-box models: A review on explainable artificial intelligence," </w:t>
      </w:r>
      <w:r>
        <w:rPr>
          <w:rFonts w:ascii="Times New Roman" w:hAnsi="Times New Roman" w:eastAsia="Times New Roman" w:cs="Times New Roman"/>
          <w:b w:val="0"/>
          <w:bCs w:val="0"/>
          <w:i/>
          <w:iCs/>
          <w:smallCaps w:val="0"/>
          <w:strike w:val="0"/>
          <w:sz w:val="22"/>
          <w:szCs w:val="22"/>
          <w:u w:val="none"/>
          <w:shd w:val="clear" w:fill="auto"/>
          <w:vertAlign w:val="baseline"/>
          <w:rtl w:val="0"/>
        </w:rPr>
        <w:t>Cognitive Computation</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vol. 16, no. 1, pp. 45–74, 2024.</w:t>
      </w:r>
    </w:p>
    <w:p w14:paraId="0000038B">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[28]</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C. Molnar, </w:t>
      </w:r>
      <w:r>
        <w:rPr>
          <w:rFonts w:ascii="Times New Roman" w:hAnsi="Times New Roman" w:eastAsia="Times New Roman" w:cs="Times New Roman"/>
          <w:b w:val="0"/>
          <w:bCs w:val="0"/>
          <w:i/>
          <w:iCs/>
          <w:smallCaps w:val="0"/>
          <w:strike w:val="0"/>
          <w:sz w:val="22"/>
          <w:szCs w:val="22"/>
          <w:u w:val="none"/>
          <w:shd w:val="clear" w:fill="auto"/>
          <w:vertAlign w:val="baseline"/>
          <w:rtl w:val="0"/>
        </w:rPr>
        <w:t>Interpretable Machine Learning: A Guide for Making Black Box Models Explainable</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2nd ed., 2022. [Online]. Available: https://christophm.github.io/interpretable-ml-book/</w:t>
      </w:r>
    </w:p>
    <w:p w14:paraId="0000038C">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[29]</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F. Doshi-Velez and B. Kim, "Towards a rigorous science of interpretable machine learning," 2017, </w:t>
      </w:r>
      <w:r>
        <w:rPr>
          <w:rFonts w:ascii="Times New Roman" w:hAnsi="Times New Roman" w:eastAsia="Times New Roman" w:cs="Times New Roman"/>
          <w:b w:val="0"/>
          <w:bCs w:val="0"/>
          <w:i/>
          <w:iCs/>
          <w:smallCaps w:val="0"/>
          <w:strike w:val="0"/>
          <w:sz w:val="22"/>
          <w:szCs w:val="22"/>
          <w:u w:val="none"/>
          <w:shd w:val="clear" w:fill="auto"/>
          <w:vertAlign w:val="baseline"/>
          <w:rtl w:val="0"/>
        </w:rPr>
        <w:t>arXiv:1702.08608</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w:t>
      </w:r>
    </w:p>
    <w:p w14:paraId="0000038D">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[30]</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D. Gunning and D. W. Aha, "DARPA's explainable artificial intelligence (XAI) program," </w:t>
      </w:r>
      <w:r>
        <w:rPr>
          <w:rFonts w:ascii="Times New Roman" w:hAnsi="Times New Roman" w:eastAsia="Times New Roman" w:cs="Times New Roman"/>
          <w:b w:val="0"/>
          <w:bCs w:val="0"/>
          <w:i/>
          <w:iCs/>
          <w:smallCaps w:val="0"/>
          <w:strike w:val="0"/>
          <w:sz w:val="22"/>
          <w:szCs w:val="22"/>
          <w:u w:val="none"/>
          <w:shd w:val="clear" w:fill="auto"/>
          <w:vertAlign w:val="baseline"/>
          <w:rtl w:val="0"/>
        </w:rPr>
        <w:t>AI Magazine</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vol. 40, no. 2, pp. 44–58, 2019.</w:t>
      </w:r>
    </w:p>
    <w:p w14:paraId="0000038E">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[31]</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L. S. Shapley, "A value for n-person games," in </w:t>
      </w:r>
      <w:r>
        <w:rPr>
          <w:rFonts w:ascii="Times New Roman" w:hAnsi="Times New Roman" w:eastAsia="Times New Roman" w:cs="Times New Roman"/>
          <w:b w:val="0"/>
          <w:bCs w:val="0"/>
          <w:i/>
          <w:iCs/>
          <w:smallCaps w:val="0"/>
          <w:strike w:val="0"/>
          <w:sz w:val="22"/>
          <w:szCs w:val="22"/>
          <w:u w:val="none"/>
          <w:shd w:val="clear" w:fill="auto"/>
          <w:vertAlign w:val="baseline"/>
          <w:rtl w:val="0"/>
        </w:rPr>
        <w:t>Contributions to the Theory of Games II</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H. W. Kuhn and A. W. Tucker, Eds. Princeton, NJ, USA: Princeton Univ. Press, 1953, pp. 307–317.</w:t>
      </w:r>
    </w:p>
    <w:p w14:paraId="0000038F">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[32]</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S. M. Lundberg, G. Erion, H. Chen, A. DeGrave, J. M. Prutkin, B. Nair, R. Katz, J. Himmelfarb, N. Bansal, and S.-I. Lee, "From local explanations to global understanding with explainable AI for trees," </w:t>
      </w:r>
      <w:r>
        <w:rPr>
          <w:rFonts w:ascii="Times New Roman" w:hAnsi="Times New Roman" w:eastAsia="Times New Roman" w:cs="Times New Roman"/>
          <w:b w:val="0"/>
          <w:bCs w:val="0"/>
          <w:i/>
          <w:iCs/>
          <w:smallCaps w:val="0"/>
          <w:strike w:val="0"/>
          <w:sz w:val="22"/>
          <w:szCs w:val="22"/>
          <w:u w:val="none"/>
          <w:shd w:val="clear" w:fill="auto"/>
          <w:vertAlign w:val="baseline"/>
          <w:rtl w:val="0"/>
        </w:rPr>
        <w:t>Nature Machine Intelligence</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vol. 2, no. 1, pp. 56–67, 2020.</w:t>
      </w:r>
    </w:p>
    <w:p w14:paraId="00000390">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[33]</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M. Sundararajan, A. Taly, and Q. Yan, "Axiomatic attribution for deep networks," in </w:t>
      </w:r>
      <w:r>
        <w:rPr>
          <w:rFonts w:ascii="Times New Roman" w:hAnsi="Times New Roman" w:eastAsia="Times New Roman" w:cs="Times New Roman"/>
          <w:b w:val="0"/>
          <w:bCs w:val="0"/>
          <w:i/>
          <w:iCs/>
          <w:smallCaps w:val="0"/>
          <w:strike w:val="0"/>
          <w:sz w:val="22"/>
          <w:szCs w:val="22"/>
          <w:u w:val="none"/>
          <w:shd w:val="clear" w:fill="auto"/>
          <w:vertAlign w:val="baseline"/>
          <w:rtl w:val="0"/>
        </w:rPr>
        <w:t>Proc. 34th Int. Conf. Machine Learning (ICML)</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Sydney, NSW, Australia, 2017, pp. 3319–3328.</w:t>
      </w:r>
    </w:p>
    <w:p w14:paraId="00000391">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[34]</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R. Kalakoti, R. Vaarandi, H. Bahsi, and S. Nõmm, "Evaluating explainable AI for deep learning-based network intrusion detection system alert classification," in </w:t>
      </w:r>
      <w:r>
        <w:rPr>
          <w:rFonts w:ascii="Times New Roman" w:hAnsi="Times New Roman" w:eastAsia="Times New Roman" w:cs="Times New Roman"/>
          <w:b w:val="0"/>
          <w:bCs w:val="0"/>
          <w:i/>
          <w:iCs/>
          <w:smallCaps w:val="0"/>
          <w:strike w:val="0"/>
          <w:sz w:val="22"/>
          <w:szCs w:val="22"/>
          <w:u w:val="none"/>
          <w:shd w:val="clear" w:fill="auto"/>
          <w:vertAlign w:val="baseline"/>
          <w:rtl w:val="0"/>
        </w:rPr>
        <w:t>Proc. 11th Int. Conf. Information Systems Security and Privacy (ICISSP)</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vol. 1, 2025, pp. 47–58.</w:t>
      </w:r>
    </w:p>
    <w:p w14:paraId="00000392">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[35]</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D. Alvarez-Melis and T. S. Jaakkola, "On the robustness of interpretability methods," 2018, </w:t>
      </w:r>
      <w:r>
        <w:rPr>
          <w:rFonts w:ascii="Times New Roman" w:hAnsi="Times New Roman" w:eastAsia="Times New Roman" w:cs="Times New Roman"/>
          <w:b w:val="0"/>
          <w:bCs w:val="0"/>
          <w:i/>
          <w:iCs/>
          <w:smallCaps w:val="0"/>
          <w:strike w:val="0"/>
          <w:sz w:val="22"/>
          <w:szCs w:val="22"/>
          <w:u w:val="none"/>
          <w:shd w:val="clear" w:fill="auto"/>
          <w:vertAlign w:val="baseline"/>
          <w:rtl w:val="0"/>
        </w:rPr>
        <w:t>arXiv:1806.08049</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w:t>
      </w:r>
    </w:p>
    <w:p w14:paraId="00000393">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[36]</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D. Slack, S. Hilgard, E. Jia, S. Singh, and H. Lakkaraju, "Fooling LIME and SHAP: Adversarial attacks on post hoc explanation methods," in </w:t>
      </w:r>
      <w:r>
        <w:rPr>
          <w:rFonts w:ascii="Times New Roman" w:hAnsi="Times New Roman" w:eastAsia="Times New Roman" w:cs="Times New Roman"/>
          <w:b w:val="0"/>
          <w:bCs w:val="0"/>
          <w:i/>
          <w:iCs/>
          <w:smallCaps w:val="0"/>
          <w:strike w:val="0"/>
          <w:sz w:val="22"/>
          <w:szCs w:val="22"/>
          <w:u w:val="none"/>
          <w:shd w:val="clear" w:fill="auto"/>
          <w:vertAlign w:val="baseline"/>
          <w:rtl w:val="0"/>
        </w:rPr>
        <w:t>Proc. AAAI/ACM Conf. AI, Ethics, and Society (AIES)</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New York, NY, USA, 2020, pp. 180–186.</w:t>
      </w:r>
    </w:p>
    <w:p w14:paraId="00000394">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[37]</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W. Samek, A. Binder, G. Montavon, S. Lapuschkin, and K.-R. Müller, "Evaluating the visualization of what a deep neural network has learned," </w:t>
      </w:r>
      <w:r>
        <w:rPr>
          <w:rFonts w:ascii="Times New Roman" w:hAnsi="Times New Roman" w:eastAsia="Times New Roman" w:cs="Times New Roman"/>
          <w:b w:val="0"/>
          <w:bCs w:val="0"/>
          <w:i/>
          <w:iCs/>
          <w:smallCaps w:val="0"/>
          <w:strike w:val="0"/>
          <w:sz w:val="22"/>
          <w:szCs w:val="22"/>
          <w:u w:val="none"/>
          <w:shd w:val="clear" w:fill="auto"/>
          <w:vertAlign w:val="baseline"/>
          <w:rtl w:val="0"/>
        </w:rPr>
        <w:t>IEEE Transactions on Neural Networks and Learning Systems</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vol. 28, no. 11, pp. 2660–2673, Nov. 2017.</w:t>
      </w:r>
    </w:p>
    <w:p w14:paraId="00000395">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[38]</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S. Hooker, D. Erhan, P.-J. Kindermans, and B. Kim, "A benchmark for interpretability methods in deep neural networks," in </w:t>
      </w:r>
      <w:r>
        <w:rPr>
          <w:rFonts w:ascii="Times New Roman" w:hAnsi="Times New Roman" w:eastAsia="Times New Roman" w:cs="Times New Roman"/>
          <w:b w:val="0"/>
          <w:bCs w:val="0"/>
          <w:i/>
          <w:iCs/>
          <w:smallCaps w:val="0"/>
          <w:strike w:val="0"/>
          <w:sz w:val="22"/>
          <w:szCs w:val="22"/>
          <w:u w:val="none"/>
          <w:shd w:val="clear" w:fill="auto"/>
          <w:vertAlign w:val="baseline"/>
          <w:rtl w:val="0"/>
        </w:rPr>
        <w:t>Advances in Neural Information Processing Systems 32 (NeurIPS)</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2019, pp. 9737–9748.</w:t>
      </w:r>
    </w:p>
    <w:p w14:paraId="00000396">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[39]</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V. Z. Mohale and I. C. Obagbuwa, "Evaluating machine learning-based intrusion detection systems with explainable AI: Enhancing transparency and interpretability," </w:t>
      </w:r>
      <w:r>
        <w:rPr>
          <w:rFonts w:ascii="Times New Roman" w:hAnsi="Times New Roman" w:eastAsia="Times New Roman" w:cs="Times New Roman"/>
          <w:b w:val="0"/>
          <w:bCs w:val="0"/>
          <w:i/>
          <w:iCs/>
          <w:smallCaps w:val="0"/>
          <w:strike w:val="0"/>
          <w:sz w:val="22"/>
          <w:szCs w:val="22"/>
          <w:u w:val="none"/>
          <w:shd w:val="clear" w:fill="auto"/>
          <w:vertAlign w:val="baseline"/>
          <w:rtl w:val="0"/>
        </w:rPr>
        <w:t>Frontiers in Computer Science</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vol. 7, Art. no. 1520741, 2025.</w:t>
      </w:r>
    </w:p>
    <w:p w14:paraId="00000397">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[40]</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Z. A. E. Houda, B. Brik, and L. Khoukhi, "‘Why should I trust your IDS?’: An explainable deep learning framework for intrusion detection systems in Internet of Things networks," </w:t>
      </w:r>
      <w:r>
        <w:rPr>
          <w:rFonts w:ascii="Times New Roman" w:hAnsi="Times New Roman" w:eastAsia="Times New Roman" w:cs="Times New Roman"/>
          <w:b w:val="0"/>
          <w:bCs w:val="0"/>
          <w:i/>
          <w:iCs/>
          <w:smallCaps w:val="0"/>
          <w:strike w:val="0"/>
          <w:sz w:val="22"/>
          <w:szCs w:val="22"/>
          <w:u w:val="none"/>
          <w:shd w:val="clear" w:fill="auto"/>
          <w:vertAlign w:val="baseline"/>
          <w:rtl w:val="0"/>
        </w:rPr>
        <w:t>IEEE Open Journal of the Communications Society</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vol. 3, pp. 1164–1176, 2022.</w:t>
      </w:r>
    </w:p>
    <w:p w14:paraId="00000398">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[41]</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M. N. K. Saunders, P. Lewis, and A. Thornhill, </w:t>
      </w:r>
      <w:r>
        <w:rPr>
          <w:rFonts w:ascii="Times New Roman" w:hAnsi="Times New Roman" w:eastAsia="Times New Roman" w:cs="Times New Roman"/>
          <w:b w:val="0"/>
          <w:bCs w:val="0"/>
          <w:i/>
          <w:iCs/>
          <w:smallCaps w:val="0"/>
          <w:strike w:val="0"/>
          <w:sz w:val="22"/>
          <w:szCs w:val="22"/>
          <w:u w:val="none"/>
          <w:shd w:val="clear" w:fill="auto"/>
          <w:vertAlign w:val="baseline"/>
          <w:rtl w:val="0"/>
        </w:rPr>
        <w:t>Research Methods for Business Students</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9th ed. Harlow, U.K.: Pearson, 2023.</w:t>
      </w:r>
    </w:p>
    <w:p w14:paraId="00000399">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[42]</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G. Lemaître, F. Nogueira, and C. K. Aridas, "Imbalanced-learn: A Python toolbox to tackle the curse of imbalanced datasets in machine learning," </w:t>
      </w:r>
      <w:r>
        <w:rPr>
          <w:rFonts w:ascii="Times New Roman" w:hAnsi="Times New Roman" w:eastAsia="Times New Roman" w:cs="Times New Roman"/>
          <w:b w:val="0"/>
          <w:bCs w:val="0"/>
          <w:i/>
          <w:iCs/>
          <w:smallCaps w:val="0"/>
          <w:strike w:val="0"/>
          <w:sz w:val="22"/>
          <w:szCs w:val="22"/>
          <w:u w:val="none"/>
          <w:shd w:val="clear" w:fill="auto"/>
          <w:vertAlign w:val="baseline"/>
          <w:rtl w:val="0"/>
        </w:rPr>
        <w:t>Journal of Machine Learning Research</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vol. 18, no. 17, pp. 1–5, 2017.</w:t>
      </w:r>
    </w:p>
    <w:p w14:paraId="0000039A">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[43]</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L. Breiman, "Random forests," </w:t>
      </w:r>
      <w:r>
        <w:rPr>
          <w:rFonts w:ascii="Times New Roman" w:hAnsi="Times New Roman" w:eastAsia="Times New Roman" w:cs="Times New Roman"/>
          <w:b w:val="0"/>
          <w:bCs w:val="0"/>
          <w:i/>
          <w:iCs/>
          <w:smallCaps w:val="0"/>
          <w:strike w:val="0"/>
          <w:sz w:val="22"/>
          <w:szCs w:val="22"/>
          <w:u w:val="none"/>
          <w:shd w:val="clear" w:fill="auto"/>
          <w:vertAlign w:val="baseline"/>
          <w:rtl w:val="0"/>
        </w:rPr>
        <w:t>Machine Learning</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vol. 45, no. 1, pp. 5–32, 2001.</w:t>
      </w:r>
    </w:p>
    <w:p w14:paraId="0000039B">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[44]</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T. Chen and C. Guestrin, "XGBoost: A scalable tree boosting system," in </w:t>
      </w:r>
      <w:r>
        <w:rPr>
          <w:rFonts w:ascii="Times New Roman" w:hAnsi="Times New Roman" w:eastAsia="Times New Roman" w:cs="Times New Roman"/>
          <w:b w:val="0"/>
          <w:bCs w:val="0"/>
          <w:i/>
          <w:iCs/>
          <w:smallCaps w:val="0"/>
          <w:strike w:val="0"/>
          <w:sz w:val="22"/>
          <w:szCs w:val="22"/>
          <w:u w:val="none"/>
          <w:shd w:val="clear" w:fill="auto"/>
          <w:vertAlign w:val="baseline"/>
          <w:rtl w:val="0"/>
        </w:rPr>
        <w:t>Proc. 22nd ACM SIGKDD Int. Conf. Knowledge Discovery and Data Mining</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San Francisco, CA, USA, 2016, pp. 785–794.</w:t>
      </w:r>
    </w:p>
    <w:p w14:paraId="0000039C">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[45]</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S. Hochreiter and J. Schmidhuber, "Long short-term memory," </w:t>
      </w:r>
      <w:r>
        <w:rPr>
          <w:rFonts w:ascii="Times New Roman" w:hAnsi="Times New Roman" w:eastAsia="Times New Roman" w:cs="Times New Roman"/>
          <w:b w:val="0"/>
          <w:bCs w:val="0"/>
          <w:i/>
          <w:iCs/>
          <w:smallCaps w:val="0"/>
          <w:strike w:val="0"/>
          <w:sz w:val="22"/>
          <w:szCs w:val="22"/>
          <w:u w:val="none"/>
          <w:shd w:val="clear" w:fill="auto"/>
          <w:vertAlign w:val="baseline"/>
          <w:rtl w:val="0"/>
        </w:rPr>
        <w:t>Neural Computation</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vol. 9, no. 8, pp. 1735–1780, 1997.</w:t>
      </w:r>
    </w:p>
    <w:p w14:paraId="0000039D">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[46]</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J. Bergstra and Y. Bengio, "Random search for hyper-parameter optimization," </w:t>
      </w:r>
      <w:r>
        <w:rPr>
          <w:rFonts w:ascii="Times New Roman" w:hAnsi="Times New Roman" w:eastAsia="Times New Roman" w:cs="Times New Roman"/>
          <w:b w:val="0"/>
          <w:bCs w:val="0"/>
          <w:i/>
          <w:iCs/>
          <w:smallCaps w:val="0"/>
          <w:strike w:val="0"/>
          <w:sz w:val="22"/>
          <w:szCs w:val="22"/>
          <w:u w:val="none"/>
          <w:shd w:val="clear" w:fill="auto"/>
          <w:vertAlign w:val="baseline"/>
          <w:rtl w:val="0"/>
        </w:rPr>
        <w:t>Journal of Machine Learning Research</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vol. 13, pp. 281–305, 2012.</w:t>
      </w:r>
    </w:p>
    <w:p w14:paraId="0000039E">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[47]</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P. Jaccard, "The distribution of the flora in the alpine zone," </w:t>
      </w:r>
      <w:r>
        <w:rPr>
          <w:rFonts w:ascii="Times New Roman" w:hAnsi="Times New Roman" w:eastAsia="Times New Roman" w:cs="Times New Roman"/>
          <w:b w:val="0"/>
          <w:bCs w:val="0"/>
          <w:i/>
          <w:iCs/>
          <w:smallCaps w:val="0"/>
          <w:strike w:val="0"/>
          <w:sz w:val="22"/>
          <w:szCs w:val="22"/>
          <w:u w:val="none"/>
          <w:shd w:val="clear" w:fill="auto"/>
          <w:vertAlign w:val="baseline"/>
          <w:rtl w:val="0"/>
        </w:rPr>
        <w:t>New Phytologist</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vol. 11, no. 2, pp. 37–50, 1912.</w:t>
      </w:r>
    </w:p>
    <w:p w14:paraId="0000039F">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[48]</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N. Srivastava, G. Hinton, A. Krizhevsky, I. Sutskever, and R. Salakhutdinov, "Dropout: A simple way to prevent neural networks from overfitting," </w:t>
      </w:r>
      <w:r>
        <w:rPr>
          <w:rFonts w:ascii="Times New Roman" w:hAnsi="Times New Roman" w:eastAsia="Times New Roman" w:cs="Times New Roman"/>
          <w:b w:val="0"/>
          <w:bCs w:val="0"/>
          <w:i/>
          <w:iCs/>
          <w:smallCaps w:val="0"/>
          <w:strike w:val="0"/>
          <w:sz w:val="22"/>
          <w:szCs w:val="22"/>
          <w:u w:val="none"/>
          <w:shd w:val="clear" w:fill="auto"/>
          <w:vertAlign w:val="baseline"/>
          <w:rtl w:val="0"/>
        </w:rPr>
        <w:t>Journal of Machine Learning Research</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vol. 15, pp. 1929–1958, 2014.</w:t>
      </w:r>
    </w:p>
    <w:p w14:paraId="000003A0">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[49]</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D. P. Kingma and J. Ba, "Adam: A method for stochastic optimization," in </w:t>
      </w:r>
      <w:r>
        <w:rPr>
          <w:rFonts w:ascii="Times New Roman" w:hAnsi="Times New Roman" w:eastAsia="Times New Roman" w:cs="Times New Roman"/>
          <w:b w:val="0"/>
          <w:bCs w:val="0"/>
          <w:i/>
          <w:iCs/>
          <w:smallCaps w:val="0"/>
          <w:strike w:val="0"/>
          <w:sz w:val="22"/>
          <w:szCs w:val="22"/>
          <w:u w:val="none"/>
          <w:shd w:val="clear" w:fill="auto"/>
          <w:vertAlign w:val="baseline"/>
          <w:rtl w:val="0"/>
        </w:rPr>
        <w:t>Proc. 3rd Int. Conf. Learning Representations (ICLR)</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San Diego, CA, USA, 2015.</w:t>
      </w:r>
    </w:p>
    <w:p w14:paraId="000003A1">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[50]</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F. Pedregosa </w:t>
      </w:r>
      <w:r>
        <w:rPr>
          <w:rFonts w:ascii="Times New Roman" w:hAnsi="Times New Roman" w:eastAsia="Times New Roman" w:cs="Times New Roman"/>
          <w:b w:val="0"/>
          <w:bCs w:val="0"/>
          <w:i/>
          <w:iCs/>
          <w:smallCaps w:val="0"/>
          <w:strike w:val="0"/>
          <w:sz w:val="22"/>
          <w:szCs w:val="22"/>
          <w:u w:val="none"/>
          <w:shd w:val="clear" w:fill="auto"/>
          <w:vertAlign w:val="baseline"/>
          <w:rtl w:val="0"/>
        </w:rPr>
        <w:t>et al.</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 "Scikit-learn: Machine learning in Python," </w:t>
      </w:r>
      <w:r>
        <w:rPr>
          <w:rFonts w:ascii="Times New Roman" w:hAnsi="Times New Roman" w:eastAsia="Times New Roman" w:cs="Times New Roman"/>
          <w:b w:val="0"/>
          <w:bCs w:val="0"/>
          <w:i/>
          <w:iCs/>
          <w:smallCaps w:val="0"/>
          <w:strike w:val="0"/>
          <w:sz w:val="22"/>
          <w:szCs w:val="22"/>
          <w:u w:val="none"/>
          <w:shd w:val="clear" w:fill="auto"/>
          <w:vertAlign w:val="baseline"/>
          <w:rtl w:val="0"/>
        </w:rPr>
        <w:t>Journal of Machine Learning Research</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vol. 12, pp. 2825–2830, 2011.</w:t>
      </w:r>
    </w:p>
    <w:p w14:paraId="000003A2">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left" w:pos="620"/>
        </w:tabs>
        <w:spacing w:before="0" w:after="120" w:line="276" w:lineRule="auto"/>
        <w:ind w:left="620" w:right="0" w:hanging="620"/>
        <w:jc w:val="left"/>
        <w:rPr>
          <w:rFonts w:ascii="Times New Roman" w:hAnsi="Times New Roman" w:eastAsia="Times New Roman" w:cs="Times New Roman"/>
          <w:b w:val="0"/>
          <w:bCs w:val="0"/>
          <w:i w:val="0"/>
          <w:iCs w:val="0"/>
          <w:smallCaps w:val="0"/>
          <w:strike w:val="0"/>
          <w:sz w:val="22"/>
          <w:szCs w:val="22"/>
          <w:u w:val="none"/>
          <w:shd w:val="clear" w:fill="auto"/>
          <w:vertAlign w:val="baseline"/>
        </w:rPr>
      </w:pP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[51]</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ab/>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M. Abadi </w:t>
      </w:r>
      <w:r>
        <w:rPr>
          <w:rFonts w:ascii="Times New Roman" w:hAnsi="Times New Roman" w:eastAsia="Times New Roman" w:cs="Times New Roman"/>
          <w:b w:val="0"/>
          <w:bCs w:val="0"/>
          <w:i/>
          <w:iCs/>
          <w:smallCaps w:val="0"/>
          <w:strike w:val="0"/>
          <w:sz w:val="22"/>
          <w:szCs w:val="22"/>
          <w:u w:val="none"/>
          <w:shd w:val="clear" w:fill="auto"/>
          <w:vertAlign w:val="baseline"/>
          <w:rtl w:val="0"/>
        </w:rPr>
        <w:t>et al.</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xml:space="preserve">, "TensorFlow: A system for large-scale machine learning," in </w:t>
      </w:r>
      <w:r>
        <w:rPr>
          <w:rFonts w:ascii="Times New Roman" w:hAnsi="Times New Roman" w:eastAsia="Times New Roman" w:cs="Times New Roman"/>
          <w:b w:val="0"/>
          <w:bCs w:val="0"/>
          <w:i/>
          <w:iCs/>
          <w:smallCaps w:val="0"/>
          <w:strike w:val="0"/>
          <w:sz w:val="22"/>
          <w:szCs w:val="22"/>
          <w:u w:val="none"/>
          <w:shd w:val="clear" w:fill="auto"/>
          <w:vertAlign w:val="baseline"/>
          <w:rtl w:val="0"/>
        </w:rPr>
        <w:t>Proc. 12th USENIX Symp. Operating Systems Design and Implementation (OSDI)</w:t>
      </w:r>
      <w:r>
        <w:rPr>
          <w:rFonts w:ascii="Times New Roman" w:hAnsi="Times New Roman" w:eastAsia="Times New Roman" w:cs="Times New Roman"/>
          <w:b w:val="0"/>
          <w:bCs w:val="0"/>
          <w:i w:val="0"/>
          <w:iCs w:val="0"/>
          <w:smallCaps w:val="0"/>
          <w:strike w:val="0"/>
          <w:sz w:val="22"/>
          <w:szCs w:val="22"/>
          <w:u w:val="none"/>
          <w:shd w:val="clear" w:fill="auto"/>
          <w:vertAlign w:val="baseline"/>
          <w:rtl w:val="0"/>
        </w:rPr>
        <w:t>, Savannah, GA, USA, 2016, pp. 265–283.</w:t>
      </w:r>
      <w:r>
        <w:br w:type="page"/>
      </w:r>
    </w:p>
    <w:p w14:paraId="000003A3">
      <w:pPr>
        <w:pStyle w:val="2"/>
        <w:rPr>
          <w:color w:val="000000"/>
        </w:rPr>
      </w:pPr>
      <w:bookmarkStart w:id="107" w:name="_8yzjsq4gesbv" w:colFirst="0" w:colLast="0"/>
      <w:bookmarkEnd w:id="107"/>
      <w:r>
        <w:rPr>
          <w:color w:val="000000"/>
          <w:rtl w:val="0"/>
        </w:rPr>
        <w:t>APPENDIX A: PROJECT STRUCTURE AND MODULE MAPPING</w:t>
      </w:r>
    </w:p>
    <w:p w14:paraId="000003A4">
      <w:pPr>
        <w:jc w:val="both"/>
      </w:pPr>
      <w:r>
        <w:rPr>
          <w:rtl w:val="0"/>
        </w:rPr>
        <w:t>The code is organised as a Python package whose modules follow the five stages of the design. Table B.1 lists each module, its role and the parts of this report it supports. The mapping is taken from Section 6 of the project README (Figure 5.5), updated to the section numbering of this report.</w:t>
      </w:r>
    </w:p>
    <w:p w14:paraId="000003A5">
      <w:pPr>
        <w:keepNext/>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00" w:after="8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108" w:name="_pkacwff0visx" w:colFirst="0" w:colLast="0"/>
      <w:bookmarkEnd w:id="108"/>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Table B.1: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Source modules, their responsibilities and the report sections they support</w:t>
      </w:r>
    </w:p>
    <w:tbl>
      <w:tblPr>
        <w:tblStyle w:val="28"/>
        <w:tblW w:w="8504" w:type="dxa"/>
        <w:tblInd w:w="-90" w:type="dxa"/>
        <w:tblLayout w:type="fixed"/>
        <w:tblCellMar>
          <w:top w:w="50" w:type="dxa"/>
          <w:left w:w="90" w:type="dxa"/>
          <w:bottom w:w="50" w:type="dxa"/>
          <w:right w:w="90" w:type="dxa"/>
        </w:tblCellMar>
      </w:tblPr>
      <w:tblGrid>
        <w:gridCol w:w="2546"/>
        <w:gridCol w:w="3910"/>
        <w:gridCol w:w="2048"/>
      </w:tblGrid>
      <w:tr w14:paraId="3A624D6E">
        <w:tblPrEx>
          <w:tblCellMar>
            <w:top w:w="50" w:type="dxa"/>
            <w:left w:w="90" w:type="dxa"/>
            <w:bottom w:w="50" w:type="dxa"/>
            <w:right w:w="90" w:type="dxa"/>
          </w:tblCellMar>
        </w:tblPrEx>
        <w:trPr>
          <w:cantSplit/>
          <w:tblHeader/>
        </w:trPr>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3A6">
            <w:pPr>
              <w:keepNext/>
              <w:spacing w:before="0" w:after="0" w:line="240" w:lineRule="auto"/>
              <w:jc w:val="left"/>
            </w:pPr>
            <w:r>
              <w:rPr>
                <w:b/>
                <w:bCs/>
                <w:sz w:val="20"/>
                <w:szCs w:val="20"/>
                <w:rtl w:val="0"/>
              </w:rPr>
              <w:t>Module</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3A7">
            <w:pPr>
              <w:keepNext/>
              <w:spacing w:before="0" w:after="0" w:line="240" w:lineRule="auto"/>
              <w:jc w:val="left"/>
            </w:pPr>
            <w:r>
              <w:rPr>
                <w:b/>
                <w:bCs/>
                <w:sz w:val="20"/>
                <w:szCs w:val="20"/>
                <w:rtl w:val="0"/>
              </w:rPr>
              <w:t>Responsibility</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3A8">
            <w:pPr>
              <w:keepNext/>
              <w:spacing w:before="0" w:after="0" w:line="240" w:lineRule="auto"/>
              <w:jc w:val="left"/>
            </w:pPr>
            <w:r>
              <w:rPr>
                <w:b/>
                <w:bCs/>
                <w:sz w:val="20"/>
                <w:szCs w:val="20"/>
                <w:rtl w:val="0"/>
              </w:rPr>
              <w:t>Report sections</w:t>
            </w:r>
          </w:p>
        </w:tc>
      </w:tr>
      <w:tr w14:paraId="14FA4CD7">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3A9">
            <w:pPr>
              <w:keepNext/>
              <w:spacing w:before="0" w:after="0" w:line="240" w:lineRule="auto"/>
              <w:jc w:val="left"/>
            </w:pPr>
            <w:r>
              <w:rPr>
                <w:sz w:val="20"/>
                <w:szCs w:val="20"/>
                <w:rtl w:val="0"/>
              </w:rPr>
              <w:t>src/config.py</w:t>
            </w:r>
          </w:p>
        </w:tc>
        <w:tc>
          <w:tcPr>
            <w:tcBorders>
              <w:top w:val="single" w:color="9AA5B1" w:sz="4" w:space="0"/>
              <w:left w:val="single" w:color="9AA5B1" w:sz="4" w:space="0"/>
              <w:bottom w:val="single" w:color="9AA5B1" w:sz="4" w:space="0"/>
              <w:right w:val="single" w:color="9AA5B1" w:sz="4" w:space="0"/>
            </w:tcBorders>
            <w:vAlign w:val="center"/>
          </w:tcPr>
          <w:p w14:paraId="000003AA">
            <w:pPr>
              <w:keepNext/>
              <w:spacing w:before="0" w:after="0" w:line="240" w:lineRule="auto"/>
              <w:jc w:val="left"/>
            </w:pPr>
            <w:r>
              <w:rPr>
                <w:sz w:val="20"/>
                <w:szCs w:val="20"/>
                <w:rtl w:val="0"/>
              </w:rPr>
              <w:t>Central configuration: paths, SUBSAMPLE_N, N_EXPLAIN_INSTANCES, seeds</w:t>
            </w:r>
          </w:p>
        </w:tc>
        <w:tc>
          <w:tcPr>
            <w:tcBorders>
              <w:top w:val="single" w:color="9AA5B1" w:sz="4" w:space="0"/>
              <w:left w:val="single" w:color="9AA5B1" w:sz="4" w:space="0"/>
              <w:bottom w:val="single" w:color="9AA5B1" w:sz="4" w:space="0"/>
              <w:right w:val="single" w:color="9AA5B1" w:sz="4" w:space="0"/>
            </w:tcBorders>
            <w:vAlign w:val="center"/>
          </w:tcPr>
          <w:p w14:paraId="000003AB">
            <w:pPr>
              <w:keepNext/>
              <w:spacing w:before="0" w:after="0" w:line="240" w:lineRule="auto"/>
              <w:jc w:val="left"/>
            </w:pPr>
            <w:r>
              <w:rPr>
                <w:sz w:val="20"/>
                <w:szCs w:val="20"/>
                <w:rtl w:val="0"/>
              </w:rPr>
              <w:t>4.4, 4.6, Appendix D</w:t>
            </w:r>
          </w:p>
        </w:tc>
      </w:tr>
      <w:tr w14:paraId="654DD8B4">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AC">
            <w:pPr>
              <w:keepNext/>
              <w:spacing w:before="0" w:after="0" w:line="240" w:lineRule="auto"/>
              <w:jc w:val="left"/>
            </w:pPr>
            <w:r>
              <w:rPr>
                <w:sz w:val="20"/>
                <w:szCs w:val="20"/>
                <w:rtl w:val="0"/>
              </w:rPr>
              <w:t>src/data_preprocessing.py</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AD">
            <w:pPr>
              <w:keepNext/>
              <w:spacing w:before="0" w:after="0" w:line="240" w:lineRule="auto"/>
              <w:jc w:val="left"/>
            </w:pPr>
            <w:r>
              <w:rPr>
                <w:sz w:val="20"/>
                <w:szCs w:val="20"/>
                <w:rtl w:val="0"/>
              </w:rPr>
              <w:t>Load CSVs, clean, encode label, subsample, split, scale, SMOTE</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AE">
            <w:pPr>
              <w:keepNext/>
              <w:spacing w:before="0" w:after="0" w:line="240" w:lineRule="auto"/>
              <w:jc w:val="left"/>
            </w:pPr>
            <w:r>
              <w:rPr>
                <w:sz w:val="20"/>
                <w:szCs w:val="20"/>
                <w:rtl w:val="0"/>
              </w:rPr>
              <w:t>3.5, 4.4, 5.3</w:t>
            </w:r>
          </w:p>
        </w:tc>
      </w:tr>
      <w:tr w14:paraId="78D29552">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3AF">
            <w:pPr>
              <w:keepNext/>
              <w:spacing w:before="0" w:after="0" w:line="240" w:lineRule="auto"/>
              <w:jc w:val="left"/>
            </w:pPr>
            <w:r>
              <w:rPr>
                <w:sz w:val="20"/>
                <w:szCs w:val="20"/>
                <w:rtl w:val="0"/>
              </w:rPr>
              <w:t>src/models.py</w:t>
            </w:r>
          </w:p>
        </w:tc>
        <w:tc>
          <w:tcPr>
            <w:tcBorders>
              <w:top w:val="single" w:color="9AA5B1" w:sz="4" w:space="0"/>
              <w:left w:val="single" w:color="9AA5B1" w:sz="4" w:space="0"/>
              <w:bottom w:val="single" w:color="9AA5B1" w:sz="4" w:space="0"/>
              <w:right w:val="single" w:color="9AA5B1" w:sz="4" w:space="0"/>
            </w:tcBorders>
            <w:vAlign w:val="center"/>
          </w:tcPr>
          <w:p w14:paraId="000003B0">
            <w:pPr>
              <w:keepNext/>
              <w:spacing w:before="0" w:after="0" w:line="240" w:lineRule="auto"/>
              <w:jc w:val="left"/>
            </w:pPr>
            <w:r>
              <w:rPr>
                <w:sz w:val="20"/>
                <w:szCs w:val="20"/>
                <w:rtl w:val="0"/>
              </w:rPr>
              <w:t>Random Forest and XGBoost randomised search; LSTM definition and training</w:t>
            </w:r>
          </w:p>
        </w:tc>
        <w:tc>
          <w:tcPr>
            <w:tcBorders>
              <w:top w:val="single" w:color="9AA5B1" w:sz="4" w:space="0"/>
              <w:left w:val="single" w:color="9AA5B1" w:sz="4" w:space="0"/>
              <w:bottom w:val="single" w:color="9AA5B1" w:sz="4" w:space="0"/>
              <w:right w:val="single" w:color="9AA5B1" w:sz="4" w:space="0"/>
            </w:tcBorders>
            <w:vAlign w:val="center"/>
          </w:tcPr>
          <w:p w14:paraId="000003B1">
            <w:pPr>
              <w:keepNext/>
              <w:spacing w:before="0" w:after="0" w:line="240" w:lineRule="auto"/>
              <w:jc w:val="left"/>
            </w:pPr>
            <w:r>
              <w:rPr>
                <w:sz w:val="20"/>
                <w:szCs w:val="20"/>
                <w:rtl w:val="0"/>
              </w:rPr>
              <w:t>3.6, 4.5, 5.4</w:t>
            </w:r>
          </w:p>
        </w:tc>
      </w:tr>
      <w:tr w14:paraId="342B53E2">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B2">
            <w:pPr>
              <w:keepNext/>
              <w:spacing w:before="0" w:after="0" w:line="240" w:lineRule="auto"/>
              <w:jc w:val="left"/>
            </w:pPr>
            <w:r>
              <w:rPr>
                <w:sz w:val="20"/>
                <w:szCs w:val="20"/>
                <w:rtl w:val="0"/>
              </w:rPr>
              <w:t>src/explainability.py</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B3">
            <w:pPr>
              <w:keepNext/>
              <w:spacing w:before="0" w:after="0" w:line="240" w:lineRule="auto"/>
              <w:jc w:val="left"/>
            </w:pPr>
            <w:r>
              <w:rPr>
                <w:sz w:val="20"/>
                <w:szCs w:val="20"/>
                <w:rtl w:val="0"/>
              </w:rPr>
              <w:t>Common SHAP / LIME wrapper for all three models</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B4">
            <w:pPr>
              <w:keepNext/>
              <w:spacing w:before="0" w:after="0" w:line="240" w:lineRule="auto"/>
              <w:jc w:val="left"/>
            </w:pPr>
            <w:r>
              <w:rPr>
                <w:sz w:val="20"/>
                <w:szCs w:val="20"/>
                <w:rtl w:val="0"/>
              </w:rPr>
              <w:t>3.7, 4.6, 5.5</w:t>
            </w:r>
          </w:p>
        </w:tc>
      </w:tr>
      <w:tr w14:paraId="4FBC02D2">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3B5">
            <w:pPr>
              <w:keepNext/>
              <w:spacing w:before="0" w:after="0" w:line="240" w:lineRule="auto"/>
              <w:jc w:val="left"/>
            </w:pPr>
            <w:r>
              <w:rPr>
                <w:sz w:val="20"/>
                <w:szCs w:val="20"/>
                <w:rtl w:val="0"/>
              </w:rPr>
              <w:t>src/evaluate.py</w:t>
            </w:r>
          </w:p>
        </w:tc>
        <w:tc>
          <w:tcPr>
            <w:tcBorders>
              <w:top w:val="single" w:color="9AA5B1" w:sz="4" w:space="0"/>
              <w:left w:val="single" w:color="9AA5B1" w:sz="4" w:space="0"/>
              <w:bottom w:val="single" w:color="9AA5B1" w:sz="4" w:space="0"/>
              <w:right w:val="single" w:color="9AA5B1" w:sz="4" w:space="0"/>
            </w:tcBorders>
            <w:vAlign w:val="center"/>
          </w:tcPr>
          <w:p w14:paraId="000003B6">
            <w:pPr>
              <w:keepNext/>
              <w:spacing w:before="0" w:after="0" w:line="240" w:lineRule="auto"/>
              <w:jc w:val="left"/>
            </w:pPr>
            <w:r>
              <w:rPr>
                <w:sz w:val="20"/>
                <w:szCs w:val="20"/>
                <w:rtl w:val="0"/>
              </w:rPr>
              <w:t>Detection metrics, fidelity gap, stability, timing; writes results CSVs</w:t>
            </w:r>
          </w:p>
        </w:tc>
        <w:tc>
          <w:tcPr>
            <w:tcBorders>
              <w:top w:val="single" w:color="9AA5B1" w:sz="4" w:space="0"/>
              <w:left w:val="single" w:color="9AA5B1" w:sz="4" w:space="0"/>
              <w:bottom w:val="single" w:color="9AA5B1" w:sz="4" w:space="0"/>
              <w:right w:val="single" w:color="9AA5B1" w:sz="4" w:space="0"/>
            </w:tcBorders>
            <w:vAlign w:val="center"/>
          </w:tcPr>
          <w:p w14:paraId="000003B7">
            <w:pPr>
              <w:keepNext/>
              <w:spacing w:before="0" w:after="0" w:line="240" w:lineRule="auto"/>
              <w:jc w:val="left"/>
            </w:pPr>
            <w:r>
              <w:rPr>
                <w:sz w:val="20"/>
                <w:szCs w:val="20"/>
                <w:rtl w:val="0"/>
              </w:rPr>
              <w:t>3.8, 4.7, Chapter 6</w:t>
            </w:r>
          </w:p>
        </w:tc>
      </w:tr>
      <w:tr w14:paraId="011EC247">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B8">
            <w:pPr>
              <w:keepNext/>
              <w:spacing w:before="0" w:after="0" w:line="240" w:lineRule="auto"/>
              <w:jc w:val="left"/>
            </w:pPr>
            <w:r>
              <w:rPr>
                <w:sz w:val="20"/>
                <w:szCs w:val="20"/>
                <w:rtl w:val="0"/>
              </w:rPr>
              <w:t>src/main.py</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B9">
            <w:pPr>
              <w:keepNext/>
              <w:spacing w:before="0" w:after="0" w:line="240" w:lineRule="auto"/>
              <w:jc w:val="left"/>
            </w:pPr>
            <w:r>
              <w:rPr>
                <w:sz w:val="20"/>
                <w:szCs w:val="20"/>
                <w:rtl w:val="0"/>
              </w:rPr>
              <w:t>Orchestrates stages 1–5; --skip-explainability flag</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BA">
            <w:pPr>
              <w:keepNext/>
              <w:spacing w:before="0" w:after="0" w:line="240" w:lineRule="auto"/>
              <w:jc w:val="left"/>
            </w:pPr>
            <w:r>
              <w:rPr>
                <w:sz w:val="20"/>
                <w:szCs w:val="20"/>
                <w:rtl w:val="0"/>
              </w:rPr>
              <w:t>4.3, 5.2</w:t>
            </w:r>
          </w:p>
        </w:tc>
      </w:tr>
      <w:tr w14:paraId="2BE087CE">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3BB">
            <w:pPr>
              <w:keepNext/>
              <w:spacing w:before="0" w:after="0" w:line="240" w:lineRule="auto"/>
              <w:jc w:val="left"/>
            </w:pPr>
            <w:r>
              <w:rPr>
                <w:sz w:val="20"/>
                <w:szCs w:val="20"/>
                <w:rtl w:val="0"/>
              </w:rPr>
              <w:t>src/make_synthetic_data.py</w:t>
            </w:r>
          </w:p>
        </w:tc>
        <w:tc>
          <w:tcPr>
            <w:tcBorders>
              <w:top w:val="single" w:color="9AA5B1" w:sz="4" w:space="0"/>
              <w:left w:val="single" w:color="9AA5B1" w:sz="4" w:space="0"/>
              <w:bottom w:val="single" w:color="9AA5B1" w:sz="4" w:space="0"/>
              <w:right w:val="single" w:color="9AA5B1" w:sz="4" w:space="0"/>
            </w:tcBorders>
            <w:vAlign w:val="center"/>
          </w:tcPr>
          <w:p w14:paraId="000003BC">
            <w:pPr>
              <w:keepNext/>
              <w:spacing w:before="0" w:after="0" w:line="240" w:lineRule="auto"/>
              <w:jc w:val="left"/>
            </w:pPr>
            <w:r>
              <w:rPr>
                <w:sz w:val="20"/>
                <w:szCs w:val="20"/>
                <w:rtl w:val="0"/>
              </w:rPr>
              <w:t>Generates a synthetic CICIDS2017-shaped file for smoke tests</w:t>
            </w:r>
          </w:p>
        </w:tc>
        <w:tc>
          <w:tcPr>
            <w:tcBorders>
              <w:top w:val="single" w:color="9AA5B1" w:sz="4" w:space="0"/>
              <w:left w:val="single" w:color="9AA5B1" w:sz="4" w:space="0"/>
              <w:bottom w:val="single" w:color="9AA5B1" w:sz="4" w:space="0"/>
              <w:right w:val="single" w:color="9AA5B1" w:sz="4" w:space="0"/>
            </w:tcBorders>
            <w:vAlign w:val="center"/>
          </w:tcPr>
          <w:p w14:paraId="000003BD">
            <w:pPr>
              <w:keepNext/>
              <w:spacing w:before="0" w:after="0" w:line="240" w:lineRule="auto"/>
              <w:jc w:val="left"/>
            </w:pPr>
            <w:r>
              <w:rPr>
                <w:sz w:val="20"/>
                <w:szCs w:val="20"/>
                <w:rtl w:val="0"/>
              </w:rPr>
              <w:t>5.2, 5.7</w:t>
            </w:r>
          </w:p>
        </w:tc>
      </w:tr>
      <w:tr w14:paraId="5D337C0E">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BE">
            <w:pPr>
              <w:keepNext/>
              <w:spacing w:before="0" w:after="0" w:line="240" w:lineRule="auto"/>
              <w:jc w:val="left"/>
            </w:pPr>
            <w:r>
              <w:rPr>
                <w:sz w:val="20"/>
                <w:szCs w:val="20"/>
                <w:rtl w:val="0"/>
              </w:rPr>
              <w:t>results/detection_metrics.csv</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BF">
            <w:pPr>
              <w:keepNext/>
              <w:spacing w:before="0" w:after="0" w:line="240" w:lineRule="auto"/>
              <w:jc w:val="left"/>
            </w:pPr>
            <w:r>
              <w:rPr>
                <w:sz w:val="20"/>
                <w:szCs w:val="20"/>
                <w:rtl w:val="0"/>
              </w:rPr>
              <w:t>Output: detection metrics per model</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C0">
            <w:pPr>
              <w:keepNext/>
              <w:spacing w:before="0" w:after="0" w:line="240" w:lineRule="auto"/>
              <w:jc w:val="left"/>
            </w:pPr>
            <w:r>
              <w:rPr>
                <w:sz w:val="20"/>
                <w:szCs w:val="20"/>
                <w:rtl w:val="0"/>
              </w:rPr>
              <w:t>6.2</w:t>
            </w:r>
          </w:p>
        </w:tc>
      </w:tr>
      <w:tr w14:paraId="5BD222B0">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3C1">
            <w:pPr>
              <w:keepNext w:val="0"/>
              <w:spacing w:before="0" w:after="0" w:line="240" w:lineRule="auto"/>
              <w:jc w:val="left"/>
            </w:pPr>
            <w:r>
              <w:rPr>
                <w:sz w:val="20"/>
                <w:szCs w:val="20"/>
                <w:rtl w:val="0"/>
              </w:rPr>
              <w:t>results/explanation_metrics.csv</w:t>
            </w:r>
          </w:p>
        </w:tc>
        <w:tc>
          <w:tcPr>
            <w:tcBorders>
              <w:top w:val="single" w:color="9AA5B1" w:sz="4" w:space="0"/>
              <w:left w:val="single" w:color="9AA5B1" w:sz="4" w:space="0"/>
              <w:bottom w:val="single" w:color="9AA5B1" w:sz="4" w:space="0"/>
              <w:right w:val="single" w:color="9AA5B1" w:sz="4" w:space="0"/>
            </w:tcBorders>
            <w:vAlign w:val="center"/>
          </w:tcPr>
          <w:p w14:paraId="000003C2">
            <w:pPr>
              <w:keepNext w:val="0"/>
              <w:spacing w:before="0" w:after="0" w:line="240" w:lineRule="auto"/>
              <w:jc w:val="left"/>
            </w:pPr>
            <w:r>
              <w:rPr>
                <w:sz w:val="20"/>
                <w:szCs w:val="20"/>
                <w:rtl w:val="0"/>
              </w:rPr>
              <w:t>Output: fidelity, stability and time per model–method pair</w:t>
            </w:r>
          </w:p>
        </w:tc>
        <w:tc>
          <w:tcPr>
            <w:tcBorders>
              <w:top w:val="single" w:color="9AA5B1" w:sz="4" w:space="0"/>
              <w:left w:val="single" w:color="9AA5B1" w:sz="4" w:space="0"/>
              <w:bottom w:val="single" w:color="9AA5B1" w:sz="4" w:space="0"/>
              <w:right w:val="single" w:color="9AA5B1" w:sz="4" w:space="0"/>
            </w:tcBorders>
            <w:vAlign w:val="center"/>
          </w:tcPr>
          <w:p w14:paraId="000003C3">
            <w:pPr>
              <w:keepNext w:val="0"/>
              <w:spacing w:before="0" w:after="0" w:line="240" w:lineRule="auto"/>
              <w:jc w:val="left"/>
            </w:pPr>
            <w:r>
              <w:rPr>
                <w:sz w:val="20"/>
                <w:szCs w:val="20"/>
                <w:rtl w:val="0"/>
              </w:rPr>
              <w:t>6.3–6.6</w:t>
            </w:r>
          </w:p>
        </w:tc>
      </w:tr>
    </w:tbl>
    <w:p w14:paraId="000003C4">
      <w:pPr>
        <w:spacing w:before="0" w:after="120"/>
      </w:pPr>
    </w:p>
    <w:p w14:paraId="000003C5">
      <w:pPr>
        <w:jc w:val="both"/>
      </w:pPr>
      <w:r>
        <w:rPr>
          <w:rtl w:val="0"/>
        </w:rPr>
        <w:t>The expected folder layout is shown below.</w:t>
      </w:r>
    </w:p>
    <w:p w14:paraId="000003C6">
      <w:pPr>
        <w:shd w:val="clear" w:fill="F3F4F6"/>
        <w:spacing w:before="120" w:after="0" w:line="240" w:lineRule="auto"/>
        <w:ind w:left="120" w:right="120" w:firstLine="0"/>
      </w:pPr>
      <w:r>
        <w:rPr>
          <w:rFonts w:ascii="Consolas" w:hAnsi="Consolas" w:eastAsia="Consolas" w:cs="Consolas"/>
          <w:sz w:val="16"/>
          <w:szCs w:val="16"/>
          <w:rtl w:val="0"/>
        </w:rPr>
        <w:t>nids_xai/</w:t>
      </w:r>
    </w:p>
    <w:p w14:paraId="000003C7">
      <w:pPr>
        <w:shd w:val="clear" w:fill="F3F4F6"/>
        <w:spacing w:before="0" w:after="0" w:line="240" w:lineRule="auto"/>
        <w:ind w:left="120" w:right="120" w:firstLine="0"/>
      </w:pPr>
      <w:r>
        <w:rPr>
          <w:rFonts w:ascii="Consolas" w:hAnsi="Consolas" w:eastAsia="Consolas" w:cs="Consolas"/>
          <w:sz w:val="16"/>
          <w:szCs w:val="16"/>
          <w:rtl w:val="0"/>
        </w:rPr>
        <w:t>├── README.md</w:t>
      </w:r>
    </w:p>
    <w:p w14:paraId="000003C8">
      <w:pPr>
        <w:shd w:val="clear" w:fill="F3F4F6"/>
        <w:spacing w:before="0" w:after="0" w:line="240" w:lineRule="auto"/>
        <w:ind w:left="120" w:right="120" w:firstLine="0"/>
      </w:pPr>
      <w:r>
        <w:rPr>
          <w:rFonts w:ascii="Consolas" w:hAnsi="Consolas" w:eastAsia="Consolas" w:cs="Consolas"/>
          <w:sz w:val="16"/>
          <w:szCs w:val="16"/>
          <w:rtl w:val="0"/>
        </w:rPr>
        <w:t>├── requirements.txt</w:t>
      </w:r>
    </w:p>
    <w:p w14:paraId="000003C9">
      <w:pPr>
        <w:shd w:val="clear" w:fill="F3F4F6"/>
        <w:spacing w:before="0" w:after="0" w:line="240" w:lineRule="auto"/>
        <w:ind w:left="120" w:right="120" w:firstLine="0"/>
      </w:pPr>
      <w:r>
        <w:rPr>
          <w:rFonts w:ascii="Consolas" w:hAnsi="Consolas" w:eastAsia="Consolas" w:cs="Consolas"/>
          <w:sz w:val="16"/>
          <w:szCs w:val="16"/>
          <w:rtl w:val="0"/>
        </w:rPr>
        <w:t>├── data/</w:t>
      </w:r>
    </w:p>
    <w:p w14:paraId="000003CA">
      <w:pPr>
        <w:shd w:val="clear" w:fill="F3F4F6"/>
        <w:spacing w:before="0" w:after="0" w:line="240" w:lineRule="auto"/>
        <w:ind w:left="120" w:right="120" w:firstLine="0"/>
      </w:pPr>
      <w:r>
        <w:rPr>
          <w:rFonts w:ascii="Consolas" w:hAnsi="Consolas" w:eastAsia="Consolas" w:cs="Consolas"/>
          <w:sz w:val="16"/>
          <w:szCs w:val="16"/>
          <w:rtl w:val="0"/>
        </w:rPr>
        <w:t>│   └── raw/                 # the eight CICIDS2017 MachineLearningCSV files</w:t>
      </w:r>
    </w:p>
    <w:p w14:paraId="000003CB">
      <w:pPr>
        <w:shd w:val="clear" w:fill="F3F4F6"/>
        <w:spacing w:before="0" w:after="0" w:line="240" w:lineRule="auto"/>
        <w:ind w:left="120" w:right="120" w:firstLine="0"/>
      </w:pPr>
      <w:r>
        <w:rPr>
          <w:rFonts w:ascii="Consolas" w:hAnsi="Consolas" w:eastAsia="Consolas" w:cs="Consolas"/>
          <w:sz w:val="16"/>
          <w:szCs w:val="16"/>
          <w:rtl w:val="0"/>
        </w:rPr>
        <w:t>├── results/</w:t>
      </w:r>
    </w:p>
    <w:p w14:paraId="000003CC">
      <w:pPr>
        <w:shd w:val="clear" w:fill="F3F4F6"/>
        <w:spacing w:before="0" w:after="0" w:line="240" w:lineRule="auto"/>
        <w:ind w:left="120" w:right="120" w:firstLine="0"/>
      </w:pPr>
      <w:r>
        <w:rPr>
          <w:rFonts w:ascii="Consolas" w:hAnsi="Consolas" w:eastAsia="Consolas" w:cs="Consolas"/>
          <w:sz w:val="16"/>
          <w:szCs w:val="16"/>
          <w:rtl w:val="0"/>
        </w:rPr>
        <w:t>│   ├── detection_metrics.csv</w:t>
      </w:r>
    </w:p>
    <w:p w14:paraId="000003CD">
      <w:pPr>
        <w:shd w:val="clear" w:fill="F3F4F6"/>
        <w:spacing w:before="0" w:after="0" w:line="240" w:lineRule="auto"/>
        <w:ind w:left="120" w:right="120" w:firstLine="0"/>
      </w:pPr>
      <w:r>
        <w:rPr>
          <w:rFonts w:ascii="Consolas" w:hAnsi="Consolas" w:eastAsia="Consolas" w:cs="Consolas"/>
          <w:sz w:val="16"/>
          <w:szCs w:val="16"/>
          <w:rtl w:val="0"/>
        </w:rPr>
        <w:t>│   └── explanation_metrics.csv</w:t>
      </w:r>
    </w:p>
    <w:p w14:paraId="000003CE">
      <w:pPr>
        <w:shd w:val="clear" w:fill="F3F4F6"/>
        <w:spacing w:before="0" w:after="0" w:line="240" w:lineRule="auto"/>
        <w:ind w:left="120" w:right="120" w:firstLine="0"/>
      </w:pPr>
      <w:r>
        <w:rPr>
          <w:rFonts w:ascii="Consolas" w:hAnsi="Consolas" w:eastAsia="Consolas" w:cs="Consolas"/>
          <w:sz w:val="16"/>
          <w:szCs w:val="16"/>
          <w:rtl w:val="0"/>
        </w:rPr>
        <w:t>└── src/</w:t>
      </w:r>
    </w:p>
    <w:p w14:paraId="000003CF">
      <w:pPr>
        <w:shd w:val="clear" w:fill="F3F4F6"/>
        <w:spacing w:before="0" w:after="0" w:line="240" w:lineRule="auto"/>
        <w:ind w:left="120" w:right="120" w:firstLine="0"/>
      </w:pPr>
      <w:r>
        <w:rPr>
          <w:rFonts w:ascii="Consolas" w:hAnsi="Consolas" w:eastAsia="Consolas" w:cs="Consolas"/>
          <w:sz w:val="16"/>
          <w:szCs w:val="16"/>
          <w:rtl w:val="0"/>
        </w:rPr>
        <w:t xml:space="preserve">    ├── config.py</w:t>
      </w:r>
    </w:p>
    <w:p w14:paraId="000003D0">
      <w:pPr>
        <w:shd w:val="clear" w:fill="F3F4F6"/>
        <w:spacing w:before="0" w:after="0" w:line="240" w:lineRule="auto"/>
        <w:ind w:left="120" w:right="120" w:firstLine="0"/>
      </w:pPr>
      <w:r>
        <w:rPr>
          <w:rFonts w:ascii="Consolas" w:hAnsi="Consolas" w:eastAsia="Consolas" w:cs="Consolas"/>
          <w:sz w:val="16"/>
          <w:szCs w:val="16"/>
          <w:rtl w:val="0"/>
        </w:rPr>
        <w:t xml:space="preserve">    ├── data_preprocessing.py</w:t>
      </w:r>
    </w:p>
    <w:p w14:paraId="000003D1">
      <w:pPr>
        <w:shd w:val="clear" w:fill="F3F4F6"/>
        <w:spacing w:before="0" w:after="0" w:line="240" w:lineRule="auto"/>
        <w:ind w:left="120" w:right="120" w:firstLine="0"/>
      </w:pPr>
      <w:r>
        <w:rPr>
          <w:rFonts w:ascii="Consolas" w:hAnsi="Consolas" w:eastAsia="Consolas" w:cs="Consolas"/>
          <w:sz w:val="16"/>
          <w:szCs w:val="16"/>
          <w:rtl w:val="0"/>
        </w:rPr>
        <w:t xml:space="preserve">    ├── models.py</w:t>
      </w:r>
    </w:p>
    <w:p w14:paraId="000003D2">
      <w:pPr>
        <w:shd w:val="clear" w:fill="F3F4F6"/>
        <w:spacing w:before="0" w:after="0" w:line="240" w:lineRule="auto"/>
        <w:ind w:left="120" w:right="120" w:firstLine="0"/>
      </w:pPr>
      <w:r>
        <w:rPr>
          <w:rFonts w:ascii="Consolas" w:hAnsi="Consolas" w:eastAsia="Consolas" w:cs="Consolas"/>
          <w:sz w:val="16"/>
          <w:szCs w:val="16"/>
          <w:rtl w:val="0"/>
        </w:rPr>
        <w:t xml:space="preserve">    ├── explainability.py</w:t>
      </w:r>
    </w:p>
    <w:p w14:paraId="000003D3">
      <w:pPr>
        <w:shd w:val="clear" w:fill="F3F4F6"/>
        <w:spacing w:before="0" w:after="0" w:line="240" w:lineRule="auto"/>
        <w:ind w:left="120" w:right="120" w:firstLine="0"/>
      </w:pPr>
      <w:r>
        <w:rPr>
          <w:rFonts w:ascii="Consolas" w:hAnsi="Consolas" w:eastAsia="Consolas" w:cs="Consolas"/>
          <w:sz w:val="16"/>
          <w:szCs w:val="16"/>
          <w:rtl w:val="0"/>
        </w:rPr>
        <w:t xml:space="preserve">    ├── evaluate.py</w:t>
      </w:r>
    </w:p>
    <w:p w14:paraId="000003D4">
      <w:pPr>
        <w:shd w:val="clear" w:fill="F3F4F6"/>
        <w:spacing w:before="0" w:after="0" w:line="240" w:lineRule="auto"/>
        <w:ind w:left="120" w:right="120" w:firstLine="0"/>
      </w:pPr>
      <w:r>
        <w:rPr>
          <w:rFonts w:ascii="Consolas" w:hAnsi="Consolas" w:eastAsia="Consolas" w:cs="Consolas"/>
          <w:sz w:val="16"/>
          <w:szCs w:val="16"/>
          <w:rtl w:val="0"/>
        </w:rPr>
        <w:t xml:space="preserve">    ├── main.py</w:t>
      </w:r>
    </w:p>
    <w:p w14:paraId="000003D5">
      <w:pPr>
        <w:shd w:val="clear" w:fill="F3F4F6"/>
        <w:spacing w:before="0" w:after="160" w:line="240" w:lineRule="auto"/>
        <w:ind w:left="120" w:right="120" w:firstLine="0"/>
      </w:pPr>
      <w:r>
        <w:rPr>
          <w:rFonts w:ascii="Consolas" w:hAnsi="Consolas" w:eastAsia="Consolas" w:cs="Consolas"/>
          <w:sz w:val="16"/>
          <w:szCs w:val="16"/>
          <w:rtl w:val="0"/>
        </w:rPr>
        <w:t xml:space="preserve">    └── make_synthetic_data.py</w:t>
      </w:r>
      <w:r>
        <w:br w:type="page"/>
      </w:r>
    </w:p>
    <w:p w14:paraId="000003D6">
      <w:pPr>
        <w:pStyle w:val="2"/>
        <w:rPr>
          <w:color w:val="000000"/>
        </w:rPr>
      </w:pPr>
      <w:bookmarkStart w:id="109" w:name="_eb6alprua9iw" w:colFirst="0" w:colLast="0"/>
      <w:bookmarkEnd w:id="109"/>
      <w:r>
        <w:rPr>
          <w:color w:val="000000"/>
          <w:rtl w:val="0"/>
        </w:rPr>
        <w:t>APPENDIX C: REPRODUCTION INSTRUCTIONS</w:t>
      </w:r>
    </w:p>
    <w:p w14:paraId="000003D7">
      <w:pPr>
        <w:jc w:val="both"/>
      </w:pPr>
      <w:r>
        <w:rPr>
          <w:rtl w:val="0"/>
        </w:rPr>
        <w:t>The following commands reproduce the environment and the runs reported in Chapter 5. They follow the README shown in Figure 5.4.</w:t>
      </w:r>
    </w:p>
    <w:p w14:paraId="000003D8">
      <w:pPr>
        <w:shd w:val="clear" w:fill="F3F4F6"/>
        <w:spacing w:before="120" w:after="0" w:line="240" w:lineRule="auto"/>
        <w:ind w:left="120" w:right="120" w:firstLine="0"/>
      </w:pPr>
      <w:r>
        <w:rPr>
          <w:rFonts w:ascii="Consolas" w:hAnsi="Consolas" w:eastAsia="Consolas" w:cs="Consolas"/>
          <w:sz w:val="16"/>
          <w:szCs w:val="16"/>
          <w:rtl w:val="0"/>
        </w:rPr>
        <w:t># 1. Create and activate an isolated environment (Python 3.12)</w:t>
      </w:r>
    </w:p>
    <w:p w14:paraId="000003D9">
      <w:pPr>
        <w:shd w:val="clear" w:fill="F3F4F6"/>
        <w:spacing w:before="0" w:after="0" w:line="240" w:lineRule="auto"/>
        <w:ind w:left="120" w:right="120" w:firstLine="0"/>
      </w:pPr>
      <w:r>
        <w:rPr>
          <w:rFonts w:ascii="Consolas" w:hAnsi="Consolas" w:eastAsia="Consolas" w:cs="Consolas"/>
          <w:sz w:val="16"/>
          <w:szCs w:val="16"/>
          <w:rtl w:val="0"/>
        </w:rPr>
        <w:t>python -m venv venv</w:t>
      </w:r>
    </w:p>
    <w:p w14:paraId="000003DA">
      <w:pPr>
        <w:shd w:val="clear" w:fill="F3F4F6"/>
        <w:spacing w:before="0" w:after="0" w:line="240" w:lineRule="auto"/>
        <w:ind w:left="120" w:right="120" w:firstLine="0"/>
      </w:pPr>
      <w:r>
        <w:rPr>
          <w:rFonts w:ascii="Consolas" w:hAnsi="Consolas" w:eastAsia="Consolas" w:cs="Consolas"/>
          <w:sz w:val="16"/>
          <w:szCs w:val="16"/>
          <w:rtl w:val="0"/>
        </w:rPr>
        <w:t>source venv/bin/activate          # Windows: venv\Scripts\activate</w:t>
      </w:r>
    </w:p>
    <w:p w14:paraId="000003DB">
      <w:pPr>
        <w:shd w:val="clear" w:fill="F3F4F6"/>
        <w:spacing w:before="0" w:after="0" w:line="240" w:lineRule="auto"/>
        <w:ind w:left="120" w:right="120" w:firstLine="0"/>
      </w:pPr>
      <w:r>
        <w:rPr>
          <w:rFonts w:ascii="Consolas" w:hAnsi="Consolas" w:eastAsia="Consolas" w:cs="Consolas"/>
          <w:sz w:val="16"/>
          <w:szCs w:val="16"/>
          <w:rtl w:val="0"/>
        </w:rPr>
        <w:t>pip install -r requirements.txt</w:t>
      </w:r>
    </w:p>
    <w:p w14:paraId="000003DC">
      <w:pPr>
        <w:shd w:val="clear" w:fill="F3F4F6"/>
        <w:spacing w:before="0" w:after="0" w:line="240" w:lineRule="auto"/>
        <w:ind w:left="120" w:right="120" w:firstLine="0"/>
      </w:pPr>
      <w:r>
        <w:rPr>
          <w:rFonts w:ascii="Consolas" w:hAnsi="Consolas" w:eastAsia="Consolas" w:cs="Consolas"/>
          <w:sz w:val="16"/>
          <w:szCs w:val="16"/>
          <w:rtl w:val="0"/>
        </w:rPr>
        <w:t xml:space="preserve"> </w:t>
      </w:r>
    </w:p>
    <w:p w14:paraId="000003DD">
      <w:pPr>
        <w:shd w:val="clear" w:fill="F3F4F6"/>
        <w:spacing w:before="0" w:after="0" w:line="240" w:lineRule="auto"/>
        <w:ind w:left="120" w:right="120" w:firstLine="0"/>
      </w:pPr>
      <w:r>
        <w:rPr>
          <w:rFonts w:ascii="Consolas" w:hAnsi="Consolas" w:eastAsia="Consolas" w:cs="Consolas"/>
          <w:sz w:val="16"/>
          <w:szCs w:val="16"/>
          <w:rtl w:val="0"/>
        </w:rPr>
        <w:t># 2. Optional smoke test on synthetic data</w:t>
      </w:r>
    </w:p>
    <w:p w14:paraId="000003DE">
      <w:pPr>
        <w:shd w:val="clear" w:fill="F3F4F6"/>
        <w:spacing w:before="0" w:after="0" w:line="240" w:lineRule="auto"/>
        <w:ind w:left="120" w:right="120" w:firstLine="0"/>
      </w:pPr>
      <w:r>
        <w:rPr>
          <w:rFonts w:ascii="Consolas" w:hAnsi="Consolas" w:eastAsia="Consolas" w:cs="Consolas"/>
          <w:sz w:val="16"/>
          <w:szCs w:val="16"/>
          <w:rtl w:val="0"/>
        </w:rPr>
        <w:t>python -m src.make_synthetic_data</w:t>
      </w:r>
    </w:p>
    <w:p w14:paraId="000003DF">
      <w:pPr>
        <w:shd w:val="clear" w:fill="F3F4F6"/>
        <w:spacing w:before="0" w:after="0" w:line="240" w:lineRule="auto"/>
        <w:ind w:left="120" w:right="120" w:firstLine="0"/>
      </w:pPr>
      <w:r>
        <w:rPr>
          <w:rFonts w:ascii="Consolas" w:hAnsi="Consolas" w:eastAsia="Consolas" w:cs="Consolas"/>
          <w:sz w:val="16"/>
          <w:szCs w:val="16"/>
          <w:rtl w:val="0"/>
        </w:rPr>
        <w:t>python -m src.main --skip-explainability</w:t>
      </w:r>
    </w:p>
    <w:p w14:paraId="000003E0">
      <w:pPr>
        <w:shd w:val="clear" w:fill="F3F4F6"/>
        <w:spacing w:before="0" w:after="0" w:line="240" w:lineRule="auto"/>
        <w:ind w:left="120" w:right="120" w:firstLine="0"/>
      </w:pPr>
      <w:r>
        <w:rPr>
          <w:rFonts w:ascii="Consolas" w:hAnsi="Consolas" w:eastAsia="Consolas" w:cs="Consolas"/>
          <w:sz w:val="16"/>
          <w:szCs w:val="16"/>
          <w:rtl w:val="0"/>
        </w:rPr>
        <w:t>#    Remove data/raw/synthetic_sample.csv before the real run (see Section 5.7)</w:t>
      </w:r>
    </w:p>
    <w:p w14:paraId="000003E1">
      <w:pPr>
        <w:shd w:val="clear" w:fill="F3F4F6"/>
        <w:spacing w:before="0" w:after="0" w:line="240" w:lineRule="auto"/>
        <w:ind w:left="120" w:right="120" w:firstLine="0"/>
      </w:pPr>
      <w:r>
        <w:rPr>
          <w:rFonts w:ascii="Consolas" w:hAnsi="Consolas" w:eastAsia="Consolas" w:cs="Consolas"/>
          <w:sz w:val="16"/>
          <w:szCs w:val="16"/>
          <w:rtl w:val="0"/>
        </w:rPr>
        <w:t xml:space="preserve"> </w:t>
      </w:r>
    </w:p>
    <w:p w14:paraId="000003E2">
      <w:pPr>
        <w:shd w:val="clear" w:fill="F3F4F6"/>
        <w:spacing w:before="0" w:after="0" w:line="240" w:lineRule="auto"/>
        <w:ind w:left="120" w:right="120" w:firstLine="0"/>
      </w:pPr>
      <w:r>
        <w:rPr>
          <w:rFonts w:ascii="Consolas" w:hAnsi="Consolas" w:eastAsia="Consolas" w:cs="Consolas"/>
          <w:sz w:val="16"/>
          <w:szCs w:val="16"/>
          <w:rtl w:val="0"/>
        </w:rPr>
        <w:t># 3. Place the eight CICIDS2017 MachineLearningCSV files in data/raw/</w:t>
      </w:r>
    </w:p>
    <w:p w14:paraId="000003E3">
      <w:pPr>
        <w:shd w:val="clear" w:fill="F3F4F6"/>
        <w:spacing w:before="0" w:after="0" w:line="240" w:lineRule="auto"/>
        <w:ind w:left="120" w:right="120" w:firstLine="0"/>
      </w:pPr>
      <w:r>
        <w:rPr>
          <w:rFonts w:ascii="Consolas" w:hAnsi="Consolas" w:eastAsia="Consolas" w:cs="Consolas"/>
          <w:sz w:val="16"/>
          <w:szCs w:val="16"/>
          <w:rtl w:val="0"/>
        </w:rPr>
        <w:t xml:space="preserve"> </w:t>
      </w:r>
    </w:p>
    <w:p w14:paraId="000003E4">
      <w:pPr>
        <w:shd w:val="clear" w:fill="F3F4F6"/>
        <w:spacing w:before="0" w:after="0" w:line="240" w:lineRule="auto"/>
        <w:ind w:left="120" w:right="120" w:firstLine="0"/>
      </w:pPr>
      <w:r>
        <w:rPr>
          <w:rFonts w:ascii="Consolas" w:hAnsi="Consolas" w:eastAsia="Consolas" w:cs="Consolas"/>
          <w:sz w:val="16"/>
          <w:szCs w:val="16"/>
          <w:rtl w:val="0"/>
        </w:rPr>
        <w:t># 4. Full run: preprocessing, training, explanation and evaluation</w:t>
      </w:r>
    </w:p>
    <w:p w14:paraId="000003E5">
      <w:pPr>
        <w:shd w:val="clear" w:fill="F3F4F6"/>
        <w:spacing w:before="0" w:after="0" w:line="240" w:lineRule="auto"/>
        <w:ind w:left="120" w:right="120" w:firstLine="0"/>
      </w:pPr>
      <w:r>
        <w:rPr>
          <w:rFonts w:ascii="Consolas" w:hAnsi="Consolas" w:eastAsia="Consolas" w:cs="Consolas"/>
          <w:sz w:val="16"/>
          <w:szCs w:val="16"/>
          <w:rtl w:val="0"/>
        </w:rPr>
        <w:t>python -m src.main</w:t>
      </w:r>
    </w:p>
    <w:p w14:paraId="000003E6">
      <w:pPr>
        <w:shd w:val="clear" w:fill="F3F4F6"/>
        <w:spacing w:before="0" w:after="0" w:line="240" w:lineRule="auto"/>
        <w:ind w:left="120" w:right="120" w:firstLine="0"/>
      </w:pPr>
      <w:r>
        <w:rPr>
          <w:rFonts w:ascii="Consolas" w:hAnsi="Consolas" w:eastAsia="Consolas" w:cs="Consolas"/>
          <w:sz w:val="16"/>
          <w:szCs w:val="16"/>
          <w:rtl w:val="0"/>
        </w:rPr>
        <w:t xml:space="preserve"> </w:t>
      </w:r>
    </w:p>
    <w:p w14:paraId="000003E7">
      <w:pPr>
        <w:shd w:val="clear" w:fill="F3F4F6"/>
        <w:spacing w:before="0" w:after="0" w:line="240" w:lineRule="auto"/>
        <w:ind w:left="120" w:right="120" w:firstLine="0"/>
      </w:pPr>
      <w:r>
        <w:rPr>
          <w:rFonts w:ascii="Consolas" w:hAnsi="Consolas" w:eastAsia="Consolas" w:cs="Consolas"/>
          <w:sz w:val="16"/>
          <w:szCs w:val="16"/>
          <w:rtl w:val="0"/>
        </w:rPr>
        <w:t># 5. Inspect results</w:t>
      </w:r>
    </w:p>
    <w:p w14:paraId="000003E8">
      <w:pPr>
        <w:shd w:val="clear" w:fill="F3F4F6"/>
        <w:spacing w:before="0" w:after="0" w:line="240" w:lineRule="auto"/>
        <w:ind w:left="120" w:right="120" w:firstLine="0"/>
      </w:pPr>
      <w:r>
        <w:rPr>
          <w:rFonts w:ascii="Consolas" w:hAnsi="Consolas" w:eastAsia="Consolas" w:cs="Consolas"/>
          <w:sz w:val="16"/>
          <w:szCs w:val="16"/>
          <w:rtl w:val="0"/>
        </w:rPr>
        <w:t>head results/detection_metrics.csv</w:t>
      </w:r>
    </w:p>
    <w:p w14:paraId="000003E9">
      <w:pPr>
        <w:shd w:val="clear" w:fill="F3F4F6"/>
        <w:spacing w:before="0" w:after="160" w:line="240" w:lineRule="auto"/>
        <w:ind w:left="120" w:right="120" w:firstLine="0"/>
      </w:pPr>
      <w:r>
        <w:rPr>
          <w:rFonts w:ascii="Consolas" w:hAnsi="Consolas" w:eastAsia="Consolas" w:cs="Consolas"/>
          <w:sz w:val="16"/>
          <w:szCs w:val="16"/>
          <w:rtl w:val="0"/>
        </w:rPr>
        <w:t>head results/explanation_metrics.csv</w:t>
      </w:r>
      <w:r>
        <w:br w:type="page"/>
      </w:r>
    </w:p>
    <w:p w14:paraId="000003EA">
      <w:pPr>
        <w:pStyle w:val="2"/>
        <w:rPr>
          <w:color w:val="000000"/>
        </w:rPr>
      </w:pPr>
      <w:bookmarkStart w:id="110" w:name="_c5lm9k3ap3nl" w:colFirst="0" w:colLast="0"/>
      <w:bookmarkEnd w:id="110"/>
      <w:r>
        <w:rPr>
          <w:color w:val="000000"/>
          <w:rtl w:val="0"/>
        </w:rPr>
        <w:t>APPENDIX D: KEY CONFIGURATION VALUES</w:t>
      </w:r>
    </w:p>
    <w:p w14:paraId="000003EB">
      <w:pPr>
        <w:keepNext/>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00" w:after="8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111" w:name="_m6fr207bipgm" w:colFirst="0" w:colLast="0"/>
      <w:bookmarkEnd w:id="111"/>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Table D.1: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Configuration values used for the main (300,000-row) run</w:t>
      </w:r>
    </w:p>
    <w:tbl>
      <w:tblPr>
        <w:tblStyle w:val="29"/>
        <w:tblW w:w="8504" w:type="dxa"/>
        <w:tblInd w:w="-90" w:type="dxa"/>
        <w:tblLayout w:type="fixed"/>
        <w:tblCellMar>
          <w:top w:w="50" w:type="dxa"/>
          <w:left w:w="90" w:type="dxa"/>
          <w:bottom w:w="50" w:type="dxa"/>
          <w:right w:w="90" w:type="dxa"/>
        </w:tblCellMar>
      </w:tblPr>
      <w:tblGrid>
        <w:gridCol w:w="2330"/>
        <w:gridCol w:w="3967"/>
        <w:gridCol w:w="2207"/>
      </w:tblGrid>
      <w:tr w14:paraId="38D8E6C6">
        <w:tblPrEx>
          <w:tblCellMar>
            <w:top w:w="50" w:type="dxa"/>
            <w:left w:w="90" w:type="dxa"/>
            <w:bottom w:w="50" w:type="dxa"/>
            <w:right w:w="90" w:type="dxa"/>
          </w:tblCellMar>
        </w:tblPrEx>
        <w:trPr>
          <w:cantSplit/>
          <w:tblHeader/>
        </w:trPr>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3EC">
            <w:pPr>
              <w:keepNext/>
              <w:spacing w:before="0" w:after="0" w:line="240" w:lineRule="auto"/>
              <w:jc w:val="left"/>
            </w:pPr>
            <w:r>
              <w:rPr>
                <w:b/>
                <w:bCs/>
                <w:sz w:val="20"/>
                <w:szCs w:val="20"/>
                <w:rtl w:val="0"/>
              </w:rPr>
              <w:t>Setting</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3ED">
            <w:pPr>
              <w:keepNext/>
              <w:spacing w:before="0" w:after="0" w:line="240" w:lineRule="auto"/>
              <w:jc w:val="left"/>
            </w:pPr>
            <w:r>
              <w:rPr>
                <w:b/>
                <w:bCs/>
                <w:sz w:val="20"/>
                <w:szCs w:val="20"/>
                <w:rtl w:val="0"/>
              </w:rPr>
              <w:t>Value</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3EE">
            <w:pPr>
              <w:keepNext/>
              <w:spacing w:before="0" w:after="0" w:line="240" w:lineRule="auto"/>
              <w:jc w:val="left"/>
            </w:pPr>
            <w:r>
              <w:rPr>
                <w:b/>
                <w:bCs/>
                <w:sz w:val="20"/>
                <w:szCs w:val="20"/>
                <w:rtl w:val="0"/>
              </w:rPr>
              <w:t>Where it matters</w:t>
            </w:r>
          </w:p>
        </w:tc>
      </w:tr>
      <w:tr w14:paraId="7DA57937">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3EF">
            <w:pPr>
              <w:keepNext/>
              <w:spacing w:before="0" w:after="0" w:line="240" w:lineRule="auto"/>
              <w:jc w:val="left"/>
            </w:pPr>
            <w:r>
              <w:rPr>
                <w:sz w:val="20"/>
                <w:szCs w:val="20"/>
                <w:rtl w:val="0"/>
              </w:rPr>
              <w:t>Input files</w:t>
            </w:r>
          </w:p>
        </w:tc>
        <w:tc>
          <w:tcPr>
            <w:tcBorders>
              <w:top w:val="single" w:color="9AA5B1" w:sz="4" w:space="0"/>
              <w:left w:val="single" w:color="9AA5B1" w:sz="4" w:space="0"/>
              <w:bottom w:val="single" w:color="9AA5B1" w:sz="4" w:space="0"/>
              <w:right w:val="single" w:color="9AA5B1" w:sz="4" w:space="0"/>
            </w:tcBorders>
            <w:vAlign w:val="center"/>
          </w:tcPr>
          <w:p w14:paraId="000003F0">
            <w:pPr>
              <w:keepNext/>
              <w:spacing w:before="0" w:after="0" w:line="240" w:lineRule="auto"/>
              <w:jc w:val="left"/>
            </w:pPr>
            <w:r>
              <w:rPr>
                <w:sz w:val="20"/>
                <w:szCs w:val="20"/>
                <w:rtl w:val="0"/>
              </w:rPr>
              <w:t>8 CICIDS2017 MachineLearningCSV files</w:t>
            </w:r>
          </w:p>
        </w:tc>
        <w:tc>
          <w:tcPr>
            <w:tcBorders>
              <w:top w:val="single" w:color="9AA5B1" w:sz="4" w:space="0"/>
              <w:left w:val="single" w:color="9AA5B1" w:sz="4" w:space="0"/>
              <w:bottom w:val="single" w:color="9AA5B1" w:sz="4" w:space="0"/>
              <w:right w:val="single" w:color="9AA5B1" w:sz="4" w:space="0"/>
            </w:tcBorders>
            <w:vAlign w:val="center"/>
          </w:tcPr>
          <w:p w14:paraId="000003F1">
            <w:pPr>
              <w:keepNext/>
              <w:spacing w:before="0" w:after="0" w:line="240" w:lineRule="auto"/>
              <w:jc w:val="left"/>
            </w:pPr>
            <w:r>
              <w:rPr>
                <w:sz w:val="20"/>
                <w:szCs w:val="20"/>
                <w:rtl w:val="0"/>
              </w:rPr>
              <w:t>Section 5.2</w:t>
            </w:r>
          </w:p>
        </w:tc>
      </w:tr>
      <w:tr w14:paraId="0EC0A81E">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F2">
            <w:pPr>
              <w:keepNext/>
              <w:spacing w:before="0" w:after="0" w:line="240" w:lineRule="auto"/>
              <w:jc w:val="left"/>
            </w:pPr>
            <w:r>
              <w:rPr>
                <w:sz w:val="20"/>
                <w:szCs w:val="20"/>
                <w:rtl w:val="0"/>
              </w:rPr>
              <w:t>Task framing</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F3">
            <w:pPr>
              <w:keepNext/>
              <w:spacing w:before="0" w:after="0" w:line="240" w:lineRule="auto"/>
              <w:jc w:val="left"/>
            </w:pPr>
            <w:r>
              <w:rPr>
                <w:sz w:val="20"/>
                <w:szCs w:val="20"/>
                <w:rtl w:val="0"/>
              </w:rPr>
              <w:t>Binary: benign = 0, attack = 1</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F4">
            <w:pPr>
              <w:keepNext/>
              <w:spacing w:before="0" w:after="0" w:line="240" w:lineRule="auto"/>
              <w:jc w:val="left"/>
            </w:pPr>
            <w:r>
              <w:rPr>
                <w:sz w:val="20"/>
                <w:szCs w:val="20"/>
                <w:rtl w:val="0"/>
              </w:rPr>
              <w:t>Sections 1.5, 4.8</w:t>
            </w:r>
          </w:p>
        </w:tc>
      </w:tr>
      <w:tr w14:paraId="699ED199">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3F5">
            <w:pPr>
              <w:keepNext/>
              <w:spacing w:before="0" w:after="0" w:line="240" w:lineRule="auto"/>
              <w:jc w:val="left"/>
            </w:pPr>
            <w:r>
              <w:rPr>
                <w:sz w:val="20"/>
                <w:szCs w:val="20"/>
                <w:rtl w:val="0"/>
              </w:rPr>
              <w:t>SUBSAMPLE_N</w:t>
            </w:r>
          </w:p>
        </w:tc>
        <w:tc>
          <w:tcPr>
            <w:tcBorders>
              <w:top w:val="single" w:color="9AA5B1" w:sz="4" w:space="0"/>
              <w:left w:val="single" w:color="9AA5B1" w:sz="4" w:space="0"/>
              <w:bottom w:val="single" w:color="9AA5B1" w:sz="4" w:space="0"/>
              <w:right w:val="single" w:color="9AA5B1" w:sz="4" w:space="0"/>
            </w:tcBorders>
            <w:vAlign w:val="center"/>
          </w:tcPr>
          <w:p w14:paraId="000003F6">
            <w:pPr>
              <w:keepNext/>
              <w:spacing w:before="0" w:after="0" w:line="240" w:lineRule="auto"/>
              <w:jc w:val="left"/>
            </w:pPr>
            <w:r>
              <w:rPr>
                <w:sz w:val="20"/>
                <w:szCs w:val="20"/>
                <w:rtl w:val="0"/>
              </w:rPr>
              <w:t>300,000 (secondary run: 50,000)</w:t>
            </w:r>
          </w:p>
        </w:tc>
        <w:tc>
          <w:tcPr>
            <w:tcBorders>
              <w:top w:val="single" w:color="9AA5B1" w:sz="4" w:space="0"/>
              <w:left w:val="single" w:color="9AA5B1" w:sz="4" w:space="0"/>
              <w:bottom w:val="single" w:color="9AA5B1" w:sz="4" w:space="0"/>
              <w:right w:val="single" w:color="9AA5B1" w:sz="4" w:space="0"/>
            </w:tcBorders>
            <w:vAlign w:val="center"/>
          </w:tcPr>
          <w:p w14:paraId="000003F7">
            <w:pPr>
              <w:keepNext/>
              <w:spacing w:before="0" w:after="0" w:line="240" w:lineRule="auto"/>
              <w:jc w:val="left"/>
            </w:pPr>
            <w:r>
              <w:rPr>
                <w:sz w:val="20"/>
                <w:szCs w:val="20"/>
                <w:rtl w:val="0"/>
              </w:rPr>
              <w:t>Sections 5.3, 6.6</w:t>
            </w:r>
          </w:p>
        </w:tc>
      </w:tr>
      <w:tr w14:paraId="20FBF592">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F8">
            <w:pPr>
              <w:keepNext/>
              <w:spacing w:before="0" w:after="0" w:line="240" w:lineRule="auto"/>
              <w:jc w:val="left"/>
            </w:pPr>
            <w:r>
              <w:rPr>
                <w:sz w:val="20"/>
                <w:szCs w:val="20"/>
                <w:rtl w:val="0"/>
              </w:rPr>
              <w:t>Train / test split</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F9">
            <w:pPr>
              <w:keepNext/>
              <w:spacing w:before="0" w:after="0" w:line="240" w:lineRule="auto"/>
              <w:jc w:val="left"/>
            </w:pPr>
            <w:r>
              <w:rPr>
                <w:sz w:val="20"/>
                <w:szCs w:val="20"/>
                <w:rtl w:val="0"/>
              </w:rPr>
              <w:t>80% / 20%, stratified</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FA">
            <w:pPr>
              <w:keepNext/>
              <w:spacing w:before="0" w:after="0" w:line="240" w:lineRule="auto"/>
              <w:jc w:val="left"/>
            </w:pPr>
            <w:r>
              <w:rPr>
                <w:sz w:val="20"/>
                <w:szCs w:val="20"/>
                <w:rtl w:val="0"/>
              </w:rPr>
              <w:t>Section 5.3</w:t>
            </w:r>
          </w:p>
        </w:tc>
      </w:tr>
      <w:tr w14:paraId="728C9DF5">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3FB">
            <w:pPr>
              <w:keepNext/>
              <w:spacing w:before="0" w:after="0" w:line="240" w:lineRule="auto"/>
              <w:jc w:val="left"/>
            </w:pPr>
            <w:r>
              <w:rPr>
                <w:sz w:val="20"/>
                <w:szCs w:val="20"/>
                <w:rtl w:val="0"/>
              </w:rPr>
              <w:t>Class balancing</w:t>
            </w:r>
          </w:p>
        </w:tc>
        <w:tc>
          <w:tcPr>
            <w:tcBorders>
              <w:top w:val="single" w:color="9AA5B1" w:sz="4" w:space="0"/>
              <w:left w:val="single" w:color="9AA5B1" w:sz="4" w:space="0"/>
              <w:bottom w:val="single" w:color="9AA5B1" w:sz="4" w:space="0"/>
              <w:right w:val="single" w:color="9AA5B1" w:sz="4" w:space="0"/>
            </w:tcBorders>
            <w:vAlign w:val="center"/>
          </w:tcPr>
          <w:p w14:paraId="000003FC">
            <w:pPr>
              <w:keepNext/>
              <w:spacing w:before="0" w:after="0" w:line="240" w:lineRule="auto"/>
              <w:jc w:val="left"/>
            </w:pPr>
            <w:r>
              <w:rPr>
                <w:sz w:val="20"/>
                <w:szCs w:val="20"/>
                <w:rtl w:val="0"/>
              </w:rPr>
              <w:t>SMOTE on training partition</w:t>
            </w:r>
          </w:p>
        </w:tc>
        <w:tc>
          <w:tcPr>
            <w:tcBorders>
              <w:top w:val="single" w:color="9AA5B1" w:sz="4" w:space="0"/>
              <w:left w:val="single" w:color="9AA5B1" w:sz="4" w:space="0"/>
              <w:bottom w:val="single" w:color="9AA5B1" w:sz="4" w:space="0"/>
              <w:right w:val="single" w:color="9AA5B1" w:sz="4" w:space="0"/>
            </w:tcBorders>
            <w:vAlign w:val="center"/>
          </w:tcPr>
          <w:p w14:paraId="000003FD">
            <w:pPr>
              <w:keepNext/>
              <w:spacing w:before="0" w:after="0" w:line="240" w:lineRule="auto"/>
              <w:jc w:val="left"/>
            </w:pPr>
            <w:r>
              <w:rPr>
                <w:sz w:val="20"/>
                <w:szCs w:val="20"/>
                <w:rtl w:val="0"/>
              </w:rPr>
              <w:t>Sections 4.4, 5.4</w:t>
            </w:r>
          </w:p>
        </w:tc>
      </w:tr>
      <w:tr w14:paraId="5A182815">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FE">
            <w:pPr>
              <w:keepNext/>
              <w:spacing w:before="0" w:after="0" w:line="240" w:lineRule="auto"/>
              <w:jc w:val="left"/>
            </w:pPr>
            <w:r>
              <w:rPr>
                <w:sz w:val="20"/>
                <w:szCs w:val="20"/>
                <w:rtl w:val="0"/>
              </w:rPr>
              <w:t>RF / XGBoost search</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3FF">
            <w:pPr>
              <w:keepNext/>
              <w:spacing w:before="0" w:after="0" w:line="240" w:lineRule="auto"/>
              <w:jc w:val="left"/>
            </w:pPr>
            <w:r>
              <w:rPr>
                <w:sz w:val="20"/>
                <w:szCs w:val="20"/>
                <w:rtl w:val="0"/>
              </w:rPr>
              <w:t>Randomised search, 10 candidates, 5-fold CV, F1 scoring</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00">
            <w:pPr>
              <w:keepNext/>
              <w:spacing w:before="0" w:after="0" w:line="240" w:lineRule="auto"/>
              <w:jc w:val="left"/>
            </w:pPr>
            <w:r>
              <w:rPr>
                <w:sz w:val="20"/>
                <w:szCs w:val="20"/>
                <w:rtl w:val="0"/>
              </w:rPr>
              <w:t>Section 5.4</w:t>
            </w:r>
          </w:p>
        </w:tc>
      </w:tr>
      <w:tr w14:paraId="74F26F60">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401">
            <w:pPr>
              <w:keepNext/>
              <w:spacing w:before="0" w:after="0" w:line="240" w:lineRule="auto"/>
              <w:jc w:val="left"/>
            </w:pPr>
            <w:r>
              <w:rPr>
                <w:sz w:val="20"/>
                <w:szCs w:val="20"/>
                <w:rtl w:val="0"/>
              </w:rPr>
              <w:t>LSTM training</w:t>
            </w:r>
          </w:p>
        </w:tc>
        <w:tc>
          <w:tcPr>
            <w:tcBorders>
              <w:top w:val="single" w:color="9AA5B1" w:sz="4" w:space="0"/>
              <w:left w:val="single" w:color="9AA5B1" w:sz="4" w:space="0"/>
              <w:bottom w:val="single" w:color="9AA5B1" w:sz="4" w:space="0"/>
              <w:right w:val="single" w:color="9AA5B1" w:sz="4" w:space="0"/>
            </w:tcBorders>
            <w:vAlign w:val="center"/>
          </w:tcPr>
          <w:p w14:paraId="00000402">
            <w:pPr>
              <w:keepNext/>
              <w:spacing w:before="0" w:after="0" w:line="240" w:lineRule="auto"/>
              <w:jc w:val="left"/>
            </w:pPr>
            <w:r>
              <w:rPr>
                <w:sz w:val="20"/>
                <w:szCs w:val="20"/>
                <w:rtl w:val="0"/>
              </w:rPr>
              <w:t>10 epochs, batch size 512, 10% validation split</w:t>
            </w:r>
          </w:p>
        </w:tc>
        <w:tc>
          <w:tcPr>
            <w:tcBorders>
              <w:top w:val="single" w:color="9AA5B1" w:sz="4" w:space="0"/>
              <w:left w:val="single" w:color="9AA5B1" w:sz="4" w:space="0"/>
              <w:bottom w:val="single" w:color="9AA5B1" w:sz="4" w:space="0"/>
              <w:right w:val="single" w:color="9AA5B1" w:sz="4" w:space="0"/>
            </w:tcBorders>
            <w:vAlign w:val="center"/>
          </w:tcPr>
          <w:p w14:paraId="00000403">
            <w:pPr>
              <w:keepNext/>
              <w:spacing w:before="0" w:after="0" w:line="240" w:lineRule="auto"/>
              <w:jc w:val="left"/>
            </w:pPr>
            <w:r>
              <w:rPr>
                <w:sz w:val="20"/>
                <w:szCs w:val="20"/>
                <w:rtl w:val="0"/>
              </w:rPr>
              <w:t>Section 5.4</w:t>
            </w:r>
          </w:p>
        </w:tc>
      </w:tr>
      <w:tr w14:paraId="301921C6">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04">
            <w:pPr>
              <w:keepNext/>
              <w:spacing w:before="0" w:after="0" w:line="240" w:lineRule="auto"/>
              <w:jc w:val="left"/>
            </w:pPr>
            <w:r>
              <w:rPr>
                <w:sz w:val="20"/>
                <w:szCs w:val="20"/>
                <w:rtl w:val="0"/>
              </w:rPr>
              <w:t>N_EXPLAIN_INSTANCES</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05">
            <w:pPr>
              <w:keepNext/>
              <w:spacing w:before="0" w:after="0" w:line="240" w:lineRule="auto"/>
              <w:jc w:val="left"/>
            </w:pPr>
            <w:r>
              <w:rPr>
                <w:sz w:val="20"/>
                <w:szCs w:val="20"/>
                <w:rtl w:val="0"/>
              </w:rPr>
              <w:t>50 test instances</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06">
            <w:pPr>
              <w:keepNext/>
              <w:spacing w:before="0" w:after="0" w:line="240" w:lineRule="auto"/>
              <w:jc w:val="left"/>
            </w:pPr>
            <w:r>
              <w:rPr>
                <w:sz w:val="20"/>
                <w:szCs w:val="20"/>
                <w:rtl w:val="0"/>
              </w:rPr>
              <w:t>Sections 4.6, 7.5</w:t>
            </w:r>
          </w:p>
        </w:tc>
      </w:tr>
      <w:tr w14:paraId="52DF4825">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407">
            <w:pPr>
              <w:keepNext/>
              <w:spacing w:before="0" w:after="0" w:line="240" w:lineRule="auto"/>
              <w:jc w:val="left"/>
            </w:pPr>
            <w:r>
              <w:rPr>
                <w:sz w:val="20"/>
                <w:szCs w:val="20"/>
                <w:rtl w:val="0"/>
              </w:rPr>
              <w:t>Stability repeats</w:t>
            </w:r>
          </w:p>
        </w:tc>
        <w:tc>
          <w:tcPr>
            <w:tcBorders>
              <w:top w:val="single" w:color="9AA5B1" w:sz="4" w:space="0"/>
              <w:left w:val="single" w:color="9AA5B1" w:sz="4" w:space="0"/>
              <w:bottom w:val="single" w:color="9AA5B1" w:sz="4" w:space="0"/>
              <w:right w:val="single" w:color="9AA5B1" w:sz="4" w:space="0"/>
            </w:tcBorders>
            <w:vAlign w:val="center"/>
          </w:tcPr>
          <w:p w14:paraId="00000408">
            <w:pPr>
              <w:keepNext/>
              <w:spacing w:before="0" w:after="0" w:line="240" w:lineRule="auto"/>
              <w:jc w:val="left"/>
            </w:pPr>
            <w:r>
              <w:rPr>
                <w:sz w:val="20"/>
                <w:szCs w:val="20"/>
                <w:rtl w:val="0"/>
              </w:rPr>
              <w:t>5 explanations per instance</w:t>
            </w:r>
          </w:p>
        </w:tc>
        <w:tc>
          <w:tcPr>
            <w:tcBorders>
              <w:top w:val="single" w:color="9AA5B1" w:sz="4" w:space="0"/>
              <w:left w:val="single" w:color="9AA5B1" w:sz="4" w:space="0"/>
              <w:bottom w:val="single" w:color="9AA5B1" w:sz="4" w:space="0"/>
              <w:right w:val="single" w:color="9AA5B1" w:sz="4" w:space="0"/>
            </w:tcBorders>
            <w:vAlign w:val="center"/>
          </w:tcPr>
          <w:p w14:paraId="00000409">
            <w:pPr>
              <w:keepNext/>
              <w:spacing w:before="0" w:after="0" w:line="240" w:lineRule="auto"/>
              <w:jc w:val="left"/>
            </w:pPr>
            <w:r>
              <w:rPr>
                <w:sz w:val="20"/>
                <w:szCs w:val="20"/>
                <w:rtl w:val="0"/>
              </w:rPr>
              <w:t>Section 3.8.2</w:t>
            </w:r>
          </w:p>
        </w:tc>
      </w:tr>
      <w:tr w14:paraId="700C05E7">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0A">
            <w:pPr>
              <w:keepNext/>
              <w:spacing w:before="0" w:after="0" w:line="240" w:lineRule="auto"/>
              <w:jc w:val="left"/>
            </w:pPr>
            <w:r>
              <w:rPr>
                <w:sz w:val="20"/>
                <w:szCs w:val="20"/>
                <w:rtl w:val="0"/>
              </w:rPr>
              <w:t>SHAP estimators</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0B">
            <w:pPr>
              <w:keepNext/>
              <w:spacing w:before="0" w:after="0" w:line="240" w:lineRule="auto"/>
              <w:jc w:val="left"/>
            </w:pPr>
            <w:r>
              <w:rPr>
                <w:sz w:val="20"/>
                <w:szCs w:val="20"/>
                <w:rtl w:val="0"/>
              </w:rPr>
              <w:t>TreeExplainer (RF, XGBoost), GradientExplainer (LSTM)</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0C">
            <w:pPr>
              <w:keepNext/>
              <w:spacing w:before="0" w:after="0" w:line="240" w:lineRule="auto"/>
              <w:jc w:val="left"/>
            </w:pPr>
            <w:r>
              <w:rPr>
                <w:sz w:val="20"/>
                <w:szCs w:val="20"/>
                <w:rtl w:val="0"/>
              </w:rPr>
              <w:t>Section 4.6</w:t>
            </w:r>
          </w:p>
        </w:tc>
      </w:tr>
      <w:tr w14:paraId="44188B04">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40D">
            <w:pPr>
              <w:keepNext w:val="0"/>
              <w:spacing w:before="0" w:after="0" w:line="240" w:lineRule="auto"/>
              <w:jc w:val="left"/>
            </w:pPr>
            <w:r>
              <w:rPr>
                <w:sz w:val="20"/>
                <w:szCs w:val="20"/>
                <w:rtl w:val="0"/>
              </w:rPr>
              <w:t>LIME explainer</w:t>
            </w:r>
          </w:p>
        </w:tc>
        <w:tc>
          <w:tcPr>
            <w:tcBorders>
              <w:top w:val="single" w:color="9AA5B1" w:sz="4" w:space="0"/>
              <w:left w:val="single" w:color="9AA5B1" w:sz="4" w:space="0"/>
              <w:bottom w:val="single" w:color="9AA5B1" w:sz="4" w:space="0"/>
              <w:right w:val="single" w:color="9AA5B1" w:sz="4" w:space="0"/>
            </w:tcBorders>
            <w:vAlign w:val="center"/>
          </w:tcPr>
          <w:p w14:paraId="0000040E">
            <w:pPr>
              <w:keepNext w:val="0"/>
              <w:spacing w:before="0" w:after="0" w:line="240" w:lineRule="auto"/>
              <w:jc w:val="left"/>
            </w:pPr>
            <w:r>
              <w:rPr>
                <w:sz w:val="20"/>
                <w:szCs w:val="20"/>
                <w:rtl w:val="0"/>
              </w:rPr>
              <w:t>LimeTabularExplainer (all models)</w:t>
            </w:r>
          </w:p>
        </w:tc>
        <w:tc>
          <w:tcPr>
            <w:tcBorders>
              <w:top w:val="single" w:color="9AA5B1" w:sz="4" w:space="0"/>
              <w:left w:val="single" w:color="9AA5B1" w:sz="4" w:space="0"/>
              <w:bottom w:val="single" w:color="9AA5B1" w:sz="4" w:space="0"/>
              <w:right w:val="single" w:color="9AA5B1" w:sz="4" w:space="0"/>
            </w:tcBorders>
            <w:vAlign w:val="center"/>
          </w:tcPr>
          <w:p w14:paraId="0000040F">
            <w:pPr>
              <w:keepNext w:val="0"/>
              <w:spacing w:before="0" w:after="0" w:line="240" w:lineRule="auto"/>
              <w:jc w:val="left"/>
            </w:pPr>
            <w:r>
              <w:rPr>
                <w:sz w:val="20"/>
                <w:szCs w:val="20"/>
                <w:rtl w:val="0"/>
              </w:rPr>
              <w:t>Section 4.6</w:t>
            </w:r>
          </w:p>
        </w:tc>
      </w:tr>
    </w:tbl>
    <w:p w14:paraId="00000410">
      <w:pPr>
        <w:spacing w:before="0" w:after="120"/>
      </w:pPr>
      <w:r>
        <w:br w:type="page"/>
      </w:r>
    </w:p>
    <w:p w14:paraId="00000411">
      <w:pPr>
        <w:pStyle w:val="2"/>
        <w:rPr>
          <w:color w:val="000000"/>
        </w:rPr>
      </w:pPr>
      <w:bookmarkStart w:id="112" w:name="_l0erepjh3trl" w:colFirst="0" w:colLast="0"/>
      <w:bookmarkEnd w:id="112"/>
      <w:r>
        <w:rPr>
          <w:color w:val="000000"/>
          <w:rtl w:val="0"/>
        </w:rPr>
        <w:t>APPENDIX E: SELECTED HYPERPARAMETERS AND RUN TIMINGS</w:t>
      </w:r>
    </w:p>
    <w:p w14:paraId="00000412">
      <w:pPr>
        <w:keepNext/>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00" w:after="8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113" w:name="_4rf90nkmjb7k" w:colFirst="0" w:colLast="0"/>
      <w:bookmarkEnd w:id="113"/>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Table E.1: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Selected hyperparameters, cross-validated scores and timings (300,000-row run)</w:t>
      </w:r>
    </w:p>
    <w:tbl>
      <w:tblPr>
        <w:tblStyle w:val="30"/>
        <w:tblW w:w="8503" w:type="dxa"/>
        <w:tblInd w:w="-90" w:type="dxa"/>
        <w:tblLayout w:type="fixed"/>
        <w:tblCellMar>
          <w:top w:w="50" w:type="dxa"/>
          <w:left w:w="90" w:type="dxa"/>
          <w:bottom w:w="50" w:type="dxa"/>
          <w:right w:w="90" w:type="dxa"/>
        </w:tblCellMar>
      </w:tblPr>
      <w:tblGrid>
        <w:gridCol w:w="1597"/>
        <w:gridCol w:w="2258"/>
        <w:gridCol w:w="2660"/>
        <w:gridCol w:w="1988"/>
      </w:tblGrid>
      <w:tr w14:paraId="606F7FDD">
        <w:tblPrEx>
          <w:tblCellMar>
            <w:top w:w="50" w:type="dxa"/>
            <w:left w:w="90" w:type="dxa"/>
            <w:bottom w:w="50" w:type="dxa"/>
            <w:right w:w="90" w:type="dxa"/>
          </w:tblCellMar>
        </w:tblPrEx>
        <w:trPr>
          <w:cantSplit/>
          <w:tblHeader/>
        </w:trPr>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413">
            <w:pPr>
              <w:keepNext/>
              <w:spacing w:before="0" w:after="0" w:line="240" w:lineRule="auto"/>
              <w:jc w:val="left"/>
            </w:pPr>
            <w:r>
              <w:rPr>
                <w:b/>
                <w:bCs/>
                <w:sz w:val="20"/>
                <w:szCs w:val="20"/>
                <w:rtl w:val="0"/>
              </w:rPr>
              <w:t>Item</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414">
            <w:pPr>
              <w:keepNext/>
              <w:spacing w:before="0" w:after="0" w:line="240" w:lineRule="auto"/>
              <w:jc w:val="left"/>
            </w:pPr>
            <w:r>
              <w:rPr>
                <w:b/>
                <w:bCs/>
                <w:sz w:val="20"/>
                <w:szCs w:val="20"/>
                <w:rtl w:val="0"/>
              </w:rPr>
              <w:t>Random Forest</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415">
            <w:pPr>
              <w:keepNext/>
              <w:spacing w:before="0" w:after="0" w:line="240" w:lineRule="auto"/>
              <w:jc w:val="left"/>
            </w:pPr>
            <w:r>
              <w:rPr>
                <w:b/>
                <w:bCs/>
                <w:sz w:val="20"/>
                <w:szCs w:val="20"/>
                <w:rtl w:val="0"/>
              </w:rPr>
              <w:t>XGBoost</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416">
            <w:pPr>
              <w:keepNext/>
              <w:spacing w:before="0" w:after="0" w:line="240" w:lineRule="auto"/>
              <w:jc w:val="left"/>
            </w:pPr>
            <w:r>
              <w:rPr>
                <w:b/>
                <w:bCs/>
                <w:sz w:val="20"/>
                <w:szCs w:val="20"/>
                <w:rtl w:val="0"/>
              </w:rPr>
              <w:t>LSTM</w:t>
            </w:r>
          </w:p>
        </w:tc>
      </w:tr>
      <w:tr w14:paraId="68DC0A38">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417">
            <w:pPr>
              <w:keepNext/>
              <w:spacing w:before="0" w:after="0" w:line="240" w:lineRule="auto"/>
              <w:jc w:val="left"/>
            </w:pPr>
            <w:r>
              <w:rPr>
                <w:sz w:val="20"/>
                <w:szCs w:val="20"/>
                <w:rtl w:val="0"/>
              </w:rPr>
              <w:t>Estimators / epochs</w:t>
            </w:r>
          </w:p>
        </w:tc>
        <w:tc>
          <w:tcPr>
            <w:tcBorders>
              <w:top w:val="single" w:color="9AA5B1" w:sz="4" w:space="0"/>
              <w:left w:val="single" w:color="9AA5B1" w:sz="4" w:space="0"/>
              <w:bottom w:val="single" w:color="9AA5B1" w:sz="4" w:space="0"/>
              <w:right w:val="single" w:color="9AA5B1" w:sz="4" w:space="0"/>
            </w:tcBorders>
            <w:vAlign w:val="center"/>
          </w:tcPr>
          <w:p w14:paraId="00000418">
            <w:pPr>
              <w:keepNext/>
              <w:spacing w:before="0" w:after="0" w:line="240" w:lineRule="auto"/>
              <w:jc w:val="left"/>
            </w:pPr>
            <w:r>
              <w:rPr>
                <w:sz w:val="20"/>
                <w:szCs w:val="20"/>
                <w:rtl w:val="0"/>
              </w:rPr>
              <w:t>200</w:t>
            </w:r>
          </w:p>
        </w:tc>
        <w:tc>
          <w:tcPr>
            <w:tcBorders>
              <w:top w:val="single" w:color="9AA5B1" w:sz="4" w:space="0"/>
              <w:left w:val="single" w:color="9AA5B1" w:sz="4" w:space="0"/>
              <w:bottom w:val="single" w:color="9AA5B1" w:sz="4" w:space="0"/>
              <w:right w:val="single" w:color="9AA5B1" w:sz="4" w:space="0"/>
            </w:tcBorders>
            <w:vAlign w:val="center"/>
          </w:tcPr>
          <w:p w14:paraId="00000419">
            <w:pPr>
              <w:keepNext/>
              <w:spacing w:before="0" w:after="0" w:line="240" w:lineRule="auto"/>
              <w:jc w:val="left"/>
            </w:pPr>
            <w:r>
              <w:rPr>
                <w:sz w:val="20"/>
                <w:szCs w:val="20"/>
                <w:rtl w:val="0"/>
              </w:rPr>
              <w:t>300</w:t>
            </w:r>
          </w:p>
        </w:tc>
        <w:tc>
          <w:tcPr>
            <w:tcBorders>
              <w:top w:val="single" w:color="9AA5B1" w:sz="4" w:space="0"/>
              <w:left w:val="single" w:color="9AA5B1" w:sz="4" w:space="0"/>
              <w:bottom w:val="single" w:color="9AA5B1" w:sz="4" w:space="0"/>
              <w:right w:val="single" w:color="9AA5B1" w:sz="4" w:space="0"/>
            </w:tcBorders>
            <w:vAlign w:val="center"/>
          </w:tcPr>
          <w:p w14:paraId="0000041A">
            <w:pPr>
              <w:keepNext/>
              <w:spacing w:before="0" w:after="0" w:line="240" w:lineRule="auto"/>
              <w:jc w:val="left"/>
            </w:pPr>
            <w:r>
              <w:rPr>
                <w:sz w:val="20"/>
                <w:szCs w:val="20"/>
                <w:rtl w:val="0"/>
              </w:rPr>
              <w:t>10 epochs</w:t>
            </w:r>
          </w:p>
        </w:tc>
      </w:tr>
      <w:tr w14:paraId="2EE9E71A">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1B">
            <w:pPr>
              <w:keepNext/>
              <w:spacing w:before="0" w:after="0" w:line="240" w:lineRule="auto"/>
              <w:jc w:val="left"/>
            </w:pPr>
            <w:r>
              <w:rPr>
                <w:sz w:val="20"/>
                <w:szCs w:val="20"/>
                <w:rtl w:val="0"/>
              </w:rPr>
              <w:t>Maximum depth</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1C">
            <w:pPr>
              <w:keepNext/>
              <w:spacing w:before="0" w:after="0" w:line="240" w:lineRule="auto"/>
              <w:jc w:val="left"/>
            </w:pPr>
            <w:r>
              <w:rPr>
                <w:sz w:val="20"/>
                <w:szCs w:val="20"/>
                <w:rtl w:val="0"/>
              </w:rPr>
              <w:t>30</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1D">
            <w:pPr>
              <w:keepNext/>
              <w:spacing w:before="0" w:after="0" w:line="240" w:lineRule="auto"/>
              <w:jc w:val="left"/>
            </w:pPr>
            <w:r>
              <w:rPr>
                <w:sz w:val="20"/>
                <w:szCs w:val="20"/>
                <w:rtl w:val="0"/>
              </w:rPr>
              <w:t>9</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1E">
            <w:pPr>
              <w:keepNext/>
              <w:spacing w:before="0" w:after="0" w:line="240" w:lineRule="auto"/>
              <w:jc w:val="left"/>
            </w:pPr>
            <w:r>
              <w:rPr>
                <w:sz w:val="20"/>
                <w:szCs w:val="20"/>
                <w:rtl w:val="0"/>
              </w:rPr>
              <w:t>–</w:t>
            </w:r>
          </w:p>
        </w:tc>
      </w:tr>
      <w:tr w14:paraId="476B28DF">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41F">
            <w:pPr>
              <w:keepNext/>
              <w:spacing w:before="0" w:after="0" w:line="240" w:lineRule="auto"/>
              <w:jc w:val="left"/>
            </w:pPr>
            <w:r>
              <w:rPr>
                <w:sz w:val="20"/>
                <w:szCs w:val="20"/>
                <w:rtl w:val="0"/>
              </w:rPr>
              <w:t>Other settings</w:t>
            </w:r>
          </w:p>
        </w:tc>
        <w:tc>
          <w:tcPr>
            <w:tcBorders>
              <w:top w:val="single" w:color="9AA5B1" w:sz="4" w:space="0"/>
              <w:left w:val="single" w:color="9AA5B1" w:sz="4" w:space="0"/>
              <w:bottom w:val="single" w:color="9AA5B1" w:sz="4" w:space="0"/>
              <w:right w:val="single" w:color="9AA5B1" w:sz="4" w:space="0"/>
            </w:tcBorders>
            <w:vAlign w:val="center"/>
          </w:tcPr>
          <w:p w14:paraId="00000420">
            <w:pPr>
              <w:keepNext/>
              <w:spacing w:before="0" w:after="0" w:line="240" w:lineRule="auto"/>
              <w:jc w:val="left"/>
            </w:pPr>
            <w:r>
              <w:rPr>
                <w:sz w:val="20"/>
                <w:szCs w:val="20"/>
                <w:rtl w:val="0"/>
              </w:rPr>
              <w:t>min_samples_split = 10, min_samples_leaf = 1</w:t>
            </w:r>
          </w:p>
        </w:tc>
        <w:tc>
          <w:tcPr>
            <w:tcBorders>
              <w:top w:val="single" w:color="9AA5B1" w:sz="4" w:space="0"/>
              <w:left w:val="single" w:color="9AA5B1" w:sz="4" w:space="0"/>
              <w:bottom w:val="single" w:color="9AA5B1" w:sz="4" w:space="0"/>
              <w:right w:val="single" w:color="9AA5B1" w:sz="4" w:space="0"/>
            </w:tcBorders>
            <w:vAlign w:val="center"/>
          </w:tcPr>
          <w:p w14:paraId="00000421">
            <w:pPr>
              <w:keepNext/>
              <w:spacing w:before="0" w:after="0" w:line="240" w:lineRule="auto"/>
              <w:jc w:val="left"/>
            </w:pPr>
            <w:r>
              <w:rPr>
                <w:sz w:val="20"/>
                <w:szCs w:val="20"/>
                <w:rtl w:val="0"/>
              </w:rPr>
              <w:t>learning_rate = 0.2, subsample = 1.0, colsample_bytree = 0.85</w:t>
            </w:r>
          </w:p>
        </w:tc>
        <w:tc>
          <w:tcPr>
            <w:tcBorders>
              <w:top w:val="single" w:color="9AA5B1" w:sz="4" w:space="0"/>
              <w:left w:val="single" w:color="9AA5B1" w:sz="4" w:space="0"/>
              <w:bottom w:val="single" w:color="9AA5B1" w:sz="4" w:space="0"/>
              <w:right w:val="single" w:color="9AA5B1" w:sz="4" w:space="0"/>
            </w:tcBorders>
            <w:vAlign w:val="center"/>
          </w:tcPr>
          <w:p w14:paraId="00000422">
            <w:pPr>
              <w:keepNext/>
              <w:spacing w:before="0" w:after="0" w:line="240" w:lineRule="auto"/>
              <w:jc w:val="left"/>
            </w:pPr>
            <w:r>
              <w:rPr>
                <w:sz w:val="20"/>
                <w:szCs w:val="20"/>
                <w:rtl w:val="0"/>
              </w:rPr>
              <w:t>batch size 512</w:t>
            </w:r>
          </w:p>
        </w:tc>
      </w:tr>
      <w:tr w14:paraId="137D8124">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23">
            <w:pPr>
              <w:keepNext/>
              <w:spacing w:before="0" w:after="0" w:line="240" w:lineRule="auto"/>
              <w:jc w:val="left"/>
            </w:pPr>
            <w:r>
              <w:rPr>
                <w:sz w:val="20"/>
                <w:szCs w:val="20"/>
                <w:rtl w:val="0"/>
              </w:rPr>
              <w:t>Model selection score</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24">
            <w:pPr>
              <w:keepNext/>
              <w:spacing w:before="0" w:after="0" w:line="240" w:lineRule="auto"/>
              <w:jc w:val="left"/>
            </w:pPr>
            <w:r>
              <w:rPr>
                <w:sz w:val="20"/>
                <w:szCs w:val="20"/>
                <w:rtl w:val="0"/>
              </w:rPr>
              <w:t>CV F1 = 0.9988</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25">
            <w:pPr>
              <w:keepNext/>
              <w:spacing w:before="0" w:after="0" w:line="240" w:lineRule="auto"/>
              <w:jc w:val="left"/>
            </w:pPr>
            <w:r>
              <w:rPr>
                <w:sz w:val="20"/>
                <w:szCs w:val="20"/>
                <w:rtl w:val="0"/>
              </w:rPr>
              <w:t>CV F1 = 0.9993</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26">
            <w:pPr>
              <w:keepNext/>
              <w:spacing w:before="0" w:after="0" w:line="240" w:lineRule="auto"/>
              <w:jc w:val="left"/>
            </w:pPr>
            <w:r>
              <w:rPr>
                <w:sz w:val="20"/>
                <w:szCs w:val="20"/>
                <w:rtl w:val="0"/>
              </w:rPr>
              <w:t>best val. accuracy 0.985 (epoch 9)</w:t>
            </w:r>
          </w:p>
        </w:tc>
      </w:tr>
      <w:tr w14:paraId="251D12E2">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427">
            <w:pPr>
              <w:keepNext/>
              <w:spacing w:before="0" w:after="0" w:line="240" w:lineRule="auto"/>
              <w:jc w:val="left"/>
            </w:pPr>
            <w:r>
              <w:rPr>
                <w:sz w:val="20"/>
                <w:szCs w:val="20"/>
                <w:rtl w:val="0"/>
              </w:rPr>
              <w:t>Test F1</w:t>
            </w:r>
          </w:p>
        </w:tc>
        <w:tc>
          <w:tcPr>
            <w:tcBorders>
              <w:top w:val="single" w:color="9AA5B1" w:sz="4" w:space="0"/>
              <w:left w:val="single" w:color="9AA5B1" w:sz="4" w:space="0"/>
              <w:bottom w:val="single" w:color="9AA5B1" w:sz="4" w:space="0"/>
              <w:right w:val="single" w:color="9AA5B1" w:sz="4" w:space="0"/>
            </w:tcBorders>
            <w:vAlign w:val="center"/>
          </w:tcPr>
          <w:p w14:paraId="00000428">
            <w:pPr>
              <w:keepNext/>
              <w:spacing w:before="0" w:after="0" w:line="240" w:lineRule="auto"/>
              <w:jc w:val="left"/>
            </w:pPr>
            <w:r>
              <w:rPr>
                <w:sz w:val="20"/>
                <w:szCs w:val="20"/>
                <w:rtl w:val="0"/>
              </w:rPr>
              <w:t>0.9956</w:t>
            </w:r>
          </w:p>
        </w:tc>
        <w:tc>
          <w:tcPr>
            <w:tcBorders>
              <w:top w:val="single" w:color="9AA5B1" w:sz="4" w:space="0"/>
              <w:left w:val="single" w:color="9AA5B1" w:sz="4" w:space="0"/>
              <w:bottom w:val="single" w:color="9AA5B1" w:sz="4" w:space="0"/>
              <w:right w:val="single" w:color="9AA5B1" w:sz="4" w:space="0"/>
            </w:tcBorders>
            <w:vAlign w:val="center"/>
          </w:tcPr>
          <w:p w14:paraId="00000429">
            <w:pPr>
              <w:keepNext/>
              <w:spacing w:before="0" w:after="0" w:line="240" w:lineRule="auto"/>
              <w:jc w:val="left"/>
            </w:pPr>
            <w:r>
              <w:rPr>
                <w:sz w:val="20"/>
                <w:szCs w:val="20"/>
                <w:rtl w:val="0"/>
              </w:rPr>
              <w:t>0.9971</w:t>
            </w:r>
          </w:p>
        </w:tc>
        <w:tc>
          <w:tcPr>
            <w:tcBorders>
              <w:top w:val="single" w:color="9AA5B1" w:sz="4" w:space="0"/>
              <w:left w:val="single" w:color="9AA5B1" w:sz="4" w:space="0"/>
              <w:bottom w:val="single" w:color="9AA5B1" w:sz="4" w:space="0"/>
              <w:right w:val="single" w:color="9AA5B1" w:sz="4" w:space="0"/>
            </w:tcBorders>
            <w:vAlign w:val="center"/>
          </w:tcPr>
          <w:p w14:paraId="0000042A">
            <w:pPr>
              <w:keepNext/>
              <w:spacing w:before="0" w:after="0" w:line="240" w:lineRule="auto"/>
              <w:jc w:val="left"/>
            </w:pPr>
            <w:r>
              <w:rPr>
                <w:sz w:val="20"/>
                <w:szCs w:val="20"/>
                <w:rtl w:val="0"/>
              </w:rPr>
              <w:t>0.8667</w:t>
            </w:r>
          </w:p>
        </w:tc>
      </w:tr>
      <w:tr w14:paraId="164FA779">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2B">
            <w:pPr>
              <w:keepNext/>
              <w:spacing w:before="0" w:after="0" w:line="240" w:lineRule="auto"/>
              <w:jc w:val="left"/>
            </w:pPr>
            <w:r>
              <w:rPr>
                <w:sz w:val="20"/>
                <w:szCs w:val="20"/>
                <w:rtl w:val="0"/>
              </w:rPr>
              <w:t>Search / training time</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2C">
            <w:pPr>
              <w:keepNext/>
              <w:spacing w:before="0" w:after="0" w:line="240" w:lineRule="auto"/>
              <w:jc w:val="left"/>
            </w:pPr>
            <w:r>
              <w:rPr>
                <w:sz w:val="20"/>
                <w:szCs w:val="20"/>
                <w:rtl w:val="0"/>
              </w:rPr>
              <w:t>about 85 min</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2D">
            <w:pPr>
              <w:keepNext/>
              <w:spacing w:before="0" w:after="0" w:line="240" w:lineRule="auto"/>
              <w:jc w:val="left"/>
            </w:pPr>
            <w:r>
              <w:rPr>
                <w:sz w:val="20"/>
                <w:szCs w:val="20"/>
                <w:rtl w:val="0"/>
              </w:rPr>
              <w:t>about 11 min</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2E">
            <w:pPr>
              <w:keepNext/>
              <w:spacing w:before="0" w:after="0" w:line="240" w:lineRule="auto"/>
              <w:jc w:val="left"/>
            </w:pPr>
            <w:r>
              <w:rPr>
                <w:sz w:val="20"/>
                <w:szCs w:val="20"/>
                <w:rtl w:val="0"/>
              </w:rPr>
              <w:t>CPU only</w:t>
            </w:r>
          </w:p>
        </w:tc>
      </w:tr>
      <w:tr w14:paraId="0FD8C531">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42F">
            <w:pPr>
              <w:keepNext/>
              <w:spacing w:before="0" w:after="0" w:line="240" w:lineRule="auto"/>
              <w:jc w:val="left"/>
            </w:pPr>
            <w:r>
              <w:rPr>
                <w:sz w:val="20"/>
                <w:szCs w:val="20"/>
                <w:rtl w:val="0"/>
              </w:rPr>
              <w:t>SHAP time per instance</w:t>
            </w:r>
          </w:p>
        </w:tc>
        <w:tc>
          <w:tcPr>
            <w:tcBorders>
              <w:top w:val="single" w:color="9AA5B1" w:sz="4" w:space="0"/>
              <w:left w:val="single" w:color="9AA5B1" w:sz="4" w:space="0"/>
              <w:bottom w:val="single" w:color="9AA5B1" w:sz="4" w:space="0"/>
              <w:right w:val="single" w:color="9AA5B1" w:sz="4" w:space="0"/>
            </w:tcBorders>
            <w:vAlign w:val="center"/>
          </w:tcPr>
          <w:p w14:paraId="00000430">
            <w:pPr>
              <w:keepNext/>
              <w:spacing w:before="0" w:after="0" w:line="240" w:lineRule="auto"/>
              <w:jc w:val="left"/>
            </w:pPr>
            <w:r>
              <w:rPr>
                <w:sz w:val="20"/>
                <w:szCs w:val="20"/>
                <w:rtl w:val="0"/>
              </w:rPr>
              <w:t>0.2072 s</w:t>
            </w:r>
          </w:p>
        </w:tc>
        <w:tc>
          <w:tcPr>
            <w:tcBorders>
              <w:top w:val="single" w:color="9AA5B1" w:sz="4" w:space="0"/>
              <w:left w:val="single" w:color="9AA5B1" w:sz="4" w:space="0"/>
              <w:bottom w:val="single" w:color="9AA5B1" w:sz="4" w:space="0"/>
              <w:right w:val="single" w:color="9AA5B1" w:sz="4" w:space="0"/>
            </w:tcBorders>
            <w:vAlign w:val="center"/>
          </w:tcPr>
          <w:p w14:paraId="00000431">
            <w:pPr>
              <w:keepNext/>
              <w:spacing w:before="0" w:after="0" w:line="240" w:lineRule="auto"/>
              <w:jc w:val="left"/>
            </w:pPr>
            <w:r>
              <w:rPr>
                <w:sz w:val="20"/>
                <w:szCs w:val="20"/>
                <w:rtl w:val="0"/>
              </w:rPr>
              <w:t>0.0063 s</w:t>
            </w:r>
          </w:p>
        </w:tc>
        <w:tc>
          <w:tcPr>
            <w:tcBorders>
              <w:top w:val="single" w:color="9AA5B1" w:sz="4" w:space="0"/>
              <w:left w:val="single" w:color="9AA5B1" w:sz="4" w:space="0"/>
              <w:bottom w:val="single" w:color="9AA5B1" w:sz="4" w:space="0"/>
              <w:right w:val="single" w:color="9AA5B1" w:sz="4" w:space="0"/>
            </w:tcBorders>
            <w:vAlign w:val="center"/>
          </w:tcPr>
          <w:p w14:paraId="00000432">
            <w:pPr>
              <w:keepNext/>
              <w:spacing w:before="0" w:after="0" w:line="240" w:lineRule="auto"/>
              <w:jc w:val="left"/>
            </w:pPr>
            <w:r>
              <w:rPr>
                <w:sz w:val="20"/>
                <w:szCs w:val="20"/>
                <w:rtl w:val="0"/>
              </w:rPr>
              <w:t>0.2585 s</w:t>
            </w:r>
          </w:p>
        </w:tc>
      </w:tr>
      <w:tr w14:paraId="35ADB020">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33">
            <w:pPr>
              <w:keepNext w:val="0"/>
              <w:spacing w:before="0" w:after="0" w:line="240" w:lineRule="auto"/>
              <w:jc w:val="left"/>
            </w:pPr>
            <w:r>
              <w:rPr>
                <w:sz w:val="20"/>
                <w:szCs w:val="20"/>
                <w:rtl w:val="0"/>
              </w:rPr>
              <w:t>LIME time per instance</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34">
            <w:pPr>
              <w:keepNext w:val="0"/>
              <w:spacing w:before="0" w:after="0" w:line="240" w:lineRule="auto"/>
              <w:jc w:val="left"/>
            </w:pPr>
            <w:r>
              <w:rPr>
                <w:sz w:val="20"/>
                <w:szCs w:val="20"/>
                <w:rtl w:val="0"/>
              </w:rPr>
              <w:t>0.1589 s</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35">
            <w:pPr>
              <w:keepNext w:val="0"/>
              <w:spacing w:before="0" w:after="0" w:line="240" w:lineRule="auto"/>
              <w:jc w:val="left"/>
            </w:pPr>
            <w:r>
              <w:rPr>
                <w:sz w:val="20"/>
                <w:szCs w:val="20"/>
                <w:rtl w:val="0"/>
              </w:rPr>
              <w:t>0.0930 s</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36">
            <w:pPr>
              <w:keepNext w:val="0"/>
              <w:spacing w:before="0" w:after="0" w:line="240" w:lineRule="auto"/>
              <w:jc w:val="left"/>
            </w:pPr>
            <w:r>
              <w:rPr>
                <w:sz w:val="20"/>
                <w:szCs w:val="20"/>
                <w:rtl w:val="0"/>
              </w:rPr>
              <w:t>0.4857 s</w:t>
            </w:r>
          </w:p>
        </w:tc>
      </w:tr>
    </w:tbl>
    <w:p w14:paraId="00000437">
      <w:pPr>
        <w:spacing w:before="0" w:after="120"/>
      </w:pPr>
      <w:r>
        <w:br w:type="page"/>
      </w:r>
    </w:p>
    <w:p w14:paraId="00000438">
      <w:pPr>
        <w:pStyle w:val="2"/>
        <w:rPr>
          <w:color w:val="000000"/>
        </w:rPr>
      </w:pPr>
      <w:bookmarkStart w:id="114" w:name="_j5k9e7cj5xj" w:colFirst="0" w:colLast="0"/>
      <w:bookmarkEnd w:id="114"/>
      <w:r>
        <w:rPr>
          <w:color w:val="000000"/>
          <w:rtl w:val="0"/>
        </w:rPr>
        <w:t>APPENDIX F: PSEUDOCODE FOR THE EXPLANATION METRICS</w:t>
      </w:r>
    </w:p>
    <w:p w14:paraId="00000439">
      <w:pPr>
        <w:jc w:val="both"/>
      </w:pPr>
      <w:r>
        <w:rPr>
          <w:rtl w:val="0"/>
        </w:rPr>
        <w:t>The following pseudocode describes the two explanation-quality metrics as specified in Sections 3.8.2 and 4.7. The exact masking baseline and the value of k are set in the project configuration.</w:t>
      </w:r>
    </w:p>
    <w:p w14:paraId="0000043A">
      <w:pPr>
        <w:shd w:val="clear" w:fill="F3F4F6"/>
        <w:spacing w:before="120" w:after="0" w:line="240" w:lineRule="auto"/>
        <w:ind w:left="120" w:right="120" w:firstLine="0"/>
      </w:pPr>
      <w:r>
        <w:rPr>
          <w:rFonts w:ascii="Consolas" w:hAnsi="Consolas" w:eastAsia="Consolas" w:cs="Consolas"/>
          <w:sz w:val="16"/>
          <w:szCs w:val="16"/>
          <w:rtl w:val="0"/>
        </w:rPr>
        <w:t>FUNCTION fidelity_gap(model, explainer, X_explain, k, baseline):</w:t>
      </w:r>
    </w:p>
    <w:p w14:paraId="0000043B">
      <w:pPr>
        <w:shd w:val="clear" w:fill="F3F4F6"/>
        <w:spacing w:before="0" w:after="0" w:line="240" w:lineRule="auto"/>
        <w:ind w:left="120" w:right="120" w:firstLine="0"/>
      </w:pPr>
      <w:r>
        <w:rPr>
          <w:rFonts w:ascii="Consolas" w:hAnsi="Consolas" w:eastAsia="Consolas" w:cs="Consolas"/>
          <w:sz w:val="16"/>
          <w:szCs w:val="16"/>
          <w:rtl w:val="0"/>
        </w:rPr>
        <w:t xml:space="preserve">    gaps ← []</w:t>
      </w:r>
    </w:p>
    <w:p w14:paraId="0000043C">
      <w:pPr>
        <w:shd w:val="clear" w:fill="F3F4F6"/>
        <w:spacing w:before="0" w:after="0" w:line="240" w:lineRule="auto"/>
        <w:ind w:left="120" w:right="120" w:firstLine="0"/>
      </w:pPr>
      <w:r>
        <w:rPr>
          <w:rFonts w:ascii="Consolas" w:hAnsi="Consolas" w:eastAsia="Consolas" w:cs="Consolas"/>
          <w:sz w:val="16"/>
          <w:szCs w:val="16"/>
          <w:rtl w:val="0"/>
        </w:rPr>
        <w:t xml:space="preserve">    FOR each instance x IN X_explain:</w:t>
      </w:r>
    </w:p>
    <w:p w14:paraId="0000043D">
      <w:pPr>
        <w:shd w:val="clear" w:fill="F3F4F6"/>
        <w:spacing w:before="0" w:after="0" w:line="240" w:lineRule="auto"/>
        <w:ind w:left="120" w:right="120" w:firstLine="0"/>
      </w:pPr>
      <w:r>
        <w:rPr>
          <w:rFonts w:ascii="Consolas" w:hAnsi="Consolas" w:eastAsia="Consolas" w:cs="Consolas"/>
          <w:sz w:val="16"/>
          <w:szCs w:val="16"/>
          <w:rtl w:val="0"/>
        </w:rPr>
        <w:t xml:space="preserve">        c      ← model.predicted_class(x)</w:t>
      </w:r>
    </w:p>
    <w:p w14:paraId="0000043E">
      <w:pPr>
        <w:shd w:val="clear" w:fill="F3F4F6"/>
        <w:spacing w:before="0" w:after="0" w:line="240" w:lineRule="auto"/>
        <w:ind w:left="120" w:right="120" w:firstLine="0"/>
      </w:pPr>
      <w:r>
        <w:rPr>
          <w:rFonts w:ascii="Consolas" w:hAnsi="Consolas" w:eastAsia="Consolas" w:cs="Consolas"/>
          <w:sz w:val="16"/>
          <w:szCs w:val="16"/>
          <w:rtl w:val="0"/>
        </w:rPr>
        <w:t xml:space="preserve">        p0     ← model.probability(x, c)</w:t>
      </w:r>
    </w:p>
    <w:p w14:paraId="0000043F">
      <w:pPr>
        <w:shd w:val="clear" w:fill="F3F4F6"/>
        <w:spacing w:before="0" w:after="0" w:line="240" w:lineRule="auto"/>
        <w:ind w:left="120" w:right="120" w:firstLine="0"/>
      </w:pPr>
      <w:r>
        <w:rPr>
          <w:rFonts w:ascii="Consolas" w:hAnsi="Consolas" w:eastAsia="Consolas" w:cs="Consolas"/>
          <w:sz w:val="16"/>
          <w:szCs w:val="16"/>
          <w:rtl w:val="0"/>
        </w:rPr>
        <w:t xml:space="preserve">        attr   ← explainer.explain(x)                  # SHAP values or LIME weights</w:t>
      </w:r>
    </w:p>
    <w:p w14:paraId="00000440">
      <w:pPr>
        <w:shd w:val="clear" w:fill="F3F4F6"/>
        <w:spacing w:before="0" w:after="0" w:line="240" w:lineRule="auto"/>
        <w:ind w:left="120" w:right="120" w:firstLine="0"/>
      </w:pPr>
      <w:r>
        <w:rPr>
          <w:rFonts w:ascii="Consolas" w:hAnsi="Consolas" w:eastAsia="Consolas" w:cs="Consolas"/>
          <w:sz w:val="16"/>
          <w:szCs w:val="16"/>
          <w:rtl w:val="0"/>
        </w:rPr>
        <w:t xml:space="preserve">        top_k  ← indices of k largest |attr|</w:t>
      </w:r>
    </w:p>
    <w:p w14:paraId="00000441">
      <w:pPr>
        <w:shd w:val="clear" w:fill="F3F4F6"/>
        <w:spacing w:before="0" w:after="0" w:line="240" w:lineRule="auto"/>
        <w:ind w:left="120" w:right="120" w:firstLine="0"/>
      </w:pPr>
      <w:r>
        <w:rPr>
          <w:rFonts w:ascii="Consolas" w:hAnsi="Consolas" w:eastAsia="Consolas" w:cs="Consolas"/>
          <w:sz w:val="16"/>
          <w:szCs w:val="16"/>
          <w:rtl w:val="0"/>
        </w:rPr>
        <w:t xml:space="preserve">        rand_k ← k indices chosen uniformly at random</w:t>
      </w:r>
    </w:p>
    <w:p w14:paraId="00000442">
      <w:pPr>
        <w:shd w:val="clear" w:fill="F3F4F6"/>
        <w:spacing w:before="0" w:after="0" w:line="240" w:lineRule="auto"/>
        <w:ind w:left="120" w:right="120" w:firstLine="0"/>
      </w:pPr>
      <w:r>
        <w:rPr>
          <w:rFonts w:ascii="Consolas" w:hAnsi="Consolas" w:eastAsia="Consolas" w:cs="Consolas"/>
          <w:sz w:val="16"/>
          <w:szCs w:val="16"/>
          <w:rtl w:val="0"/>
        </w:rPr>
        <w:t xml:space="preserve">        x_top  ← copy of x with features top_k  set to baseline</w:t>
      </w:r>
    </w:p>
    <w:p w14:paraId="00000443">
      <w:pPr>
        <w:shd w:val="clear" w:fill="F3F4F6"/>
        <w:spacing w:before="0" w:after="0" w:line="240" w:lineRule="auto"/>
        <w:ind w:left="120" w:right="120" w:firstLine="0"/>
      </w:pPr>
      <w:r>
        <w:rPr>
          <w:rFonts w:ascii="Consolas" w:hAnsi="Consolas" w:eastAsia="Consolas" w:cs="Consolas"/>
          <w:sz w:val="16"/>
          <w:szCs w:val="16"/>
          <w:rtl w:val="0"/>
        </w:rPr>
        <w:t xml:space="preserve">        x_rand ← copy of x with features rand_k set to baseline</w:t>
      </w:r>
    </w:p>
    <w:p w14:paraId="00000444">
      <w:pPr>
        <w:shd w:val="clear" w:fill="F3F4F6"/>
        <w:spacing w:before="0" w:after="0" w:line="240" w:lineRule="auto"/>
        <w:ind w:left="120" w:right="120" w:firstLine="0"/>
      </w:pPr>
      <w:r>
        <w:rPr>
          <w:rFonts w:ascii="Consolas" w:hAnsi="Consolas" w:eastAsia="Consolas" w:cs="Consolas"/>
          <w:sz w:val="16"/>
          <w:szCs w:val="16"/>
          <w:rtl w:val="0"/>
        </w:rPr>
        <w:t xml:space="preserve">        drop_top  ← p0 − model.probability(x_top,  c)</w:t>
      </w:r>
    </w:p>
    <w:p w14:paraId="00000445">
      <w:pPr>
        <w:shd w:val="clear" w:fill="F3F4F6"/>
        <w:spacing w:before="0" w:after="0" w:line="240" w:lineRule="auto"/>
        <w:ind w:left="120" w:right="120" w:firstLine="0"/>
      </w:pPr>
      <w:r>
        <w:rPr>
          <w:rFonts w:ascii="Consolas" w:hAnsi="Consolas" w:eastAsia="Consolas" w:cs="Consolas"/>
          <w:sz w:val="16"/>
          <w:szCs w:val="16"/>
          <w:rtl w:val="0"/>
        </w:rPr>
        <w:t xml:space="preserve">        drop_rand ← p0 − model.probability(x_rand, c)</w:t>
      </w:r>
    </w:p>
    <w:p w14:paraId="00000446">
      <w:pPr>
        <w:shd w:val="clear" w:fill="F3F4F6"/>
        <w:spacing w:before="0" w:after="0" w:line="240" w:lineRule="auto"/>
        <w:ind w:left="120" w:right="120" w:firstLine="0"/>
      </w:pPr>
      <w:r>
        <w:rPr>
          <w:rFonts w:ascii="Consolas" w:hAnsi="Consolas" w:eastAsia="Consolas" w:cs="Consolas"/>
          <w:sz w:val="16"/>
          <w:szCs w:val="16"/>
          <w:rtl w:val="0"/>
        </w:rPr>
        <w:t xml:space="preserve">        APPEND (drop_top − drop_rand) TO gaps</w:t>
      </w:r>
    </w:p>
    <w:p w14:paraId="00000447">
      <w:pPr>
        <w:shd w:val="clear" w:fill="F3F4F6"/>
        <w:spacing w:before="0" w:after="0" w:line="240" w:lineRule="auto"/>
        <w:ind w:left="120" w:right="120" w:firstLine="0"/>
      </w:pPr>
      <w:r>
        <w:rPr>
          <w:rFonts w:ascii="Consolas" w:hAnsi="Consolas" w:eastAsia="Consolas" w:cs="Consolas"/>
          <w:sz w:val="16"/>
          <w:szCs w:val="16"/>
          <w:rtl w:val="0"/>
        </w:rPr>
        <w:t xml:space="preserve">    RETURN mean(gaps)            # &gt; 0: explanation beats random choice</w:t>
      </w:r>
    </w:p>
    <w:p w14:paraId="00000448">
      <w:pPr>
        <w:shd w:val="clear" w:fill="F3F4F6"/>
        <w:spacing w:before="0" w:after="0" w:line="240" w:lineRule="auto"/>
        <w:ind w:left="120" w:right="120" w:firstLine="0"/>
      </w:pPr>
      <w:r>
        <w:rPr>
          <w:rFonts w:ascii="Consolas" w:hAnsi="Consolas" w:eastAsia="Consolas" w:cs="Consolas"/>
          <w:sz w:val="16"/>
          <w:szCs w:val="16"/>
          <w:rtl w:val="0"/>
        </w:rPr>
        <w:t xml:space="preserve"> </w:t>
      </w:r>
    </w:p>
    <w:p w14:paraId="00000449">
      <w:pPr>
        <w:shd w:val="clear" w:fill="F3F4F6"/>
        <w:spacing w:before="0" w:after="0" w:line="240" w:lineRule="auto"/>
        <w:ind w:left="120" w:right="120" w:firstLine="0"/>
      </w:pPr>
      <w:r>
        <w:rPr>
          <w:rFonts w:ascii="Consolas" w:hAnsi="Consolas" w:eastAsia="Consolas" w:cs="Consolas"/>
          <w:sz w:val="16"/>
          <w:szCs w:val="16"/>
          <w:rtl w:val="0"/>
        </w:rPr>
        <w:t>FUNCTION stability(explainer, X_explain, k, repeats = 5):</w:t>
      </w:r>
    </w:p>
    <w:p w14:paraId="0000044A">
      <w:pPr>
        <w:shd w:val="clear" w:fill="F3F4F6"/>
        <w:spacing w:before="0" w:after="0" w:line="240" w:lineRule="auto"/>
        <w:ind w:left="120" w:right="120" w:firstLine="0"/>
      </w:pPr>
      <w:r>
        <w:rPr>
          <w:rFonts w:ascii="Consolas" w:hAnsi="Consolas" w:eastAsia="Consolas" w:cs="Consolas"/>
          <w:sz w:val="16"/>
          <w:szCs w:val="16"/>
          <w:rtl w:val="0"/>
        </w:rPr>
        <w:t xml:space="preserve">    scores ← []</w:t>
      </w:r>
    </w:p>
    <w:p w14:paraId="0000044B">
      <w:pPr>
        <w:shd w:val="clear" w:fill="F3F4F6"/>
        <w:spacing w:before="0" w:after="0" w:line="240" w:lineRule="auto"/>
        <w:ind w:left="120" w:right="120" w:firstLine="0"/>
      </w:pPr>
      <w:r>
        <w:rPr>
          <w:rFonts w:ascii="Consolas" w:hAnsi="Consolas" w:eastAsia="Consolas" w:cs="Consolas"/>
          <w:sz w:val="16"/>
          <w:szCs w:val="16"/>
          <w:rtl w:val="0"/>
        </w:rPr>
        <w:t xml:space="preserve">    FOR each instance x IN X_explain:</w:t>
      </w:r>
    </w:p>
    <w:p w14:paraId="0000044C">
      <w:pPr>
        <w:shd w:val="clear" w:fill="F3F4F6"/>
        <w:spacing w:before="0" w:after="0" w:line="240" w:lineRule="auto"/>
        <w:ind w:left="120" w:right="120" w:firstLine="0"/>
      </w:pPr>
      <w:r>
        <w:rPr>
          <w:rFonts w:ascii="Consolas" w:hAnsi="Consolas" w:eastAsia="Consolas" w:cs="Consolas"/>
          <w:sz w:val="16"/>
          <w:szCs w:val="16"/>
          <w:rtl w:val="0"/>
        </w:rPr>
        <w:t xml:space="preserve">        sets ← []</w:t>
      </w:r>
    </w:p>
    <w:p w14:paraId="0000044D">
      <w:pPr>
        <w:shd w:val="clear" w:fill="F3F4F6"/>
        <w:spacing w:before="0" w:after="0" w:line="240" w:lineRule="auto"/>
        <w:ind w:left="120" w:right="120" w:firstLine="0"/>
      </w:pPr>
      <w:r>
        <w:rPr>
          <w:rFonts w:ascii="Consolas" w:hAnsi="Consolas" w:eastAsia="Consolas" w:cs="Consolas"/>
          <w:sz w:val="16"/>
          <w:szCs w:val="16"/>
          <w:rtl w:val="0"/>
        </w:rPr>
        <w:t xml:space="preserve">        REPEAT repeats TIMES:</w:t>
      </w:r>
    </w:p>
    <w:p w14:paraId="0000044E">
      <w:pPr>
        <w:shd w:val="clear" w:fill="F3F4F6"/>
        <w:spacing w:before="0" w:after="0" w:line="240" w:lineRule="auto"/>
        <w:ind w:left="120" w:right="120" w:firstLine="0"/>
      </w:pPr>
      <w:r>
        <w:rPr>
          <w:rFonts w:ascii="Consolas" w:hAnsi="Consolas" w:eastAsia="Consolas" w:cs="Consolas"/>
          <w:sz w:val="16"/>
          <w:szCs w:val="16"/>
          <w:rtl w:val="0"/>
        </w:rPr>
        <w:t xml:space="preserve">            attr ← explainer.explain(x)</w:t>
      </w:r>
    </w:p>
    <w:p w14:paraId="0000044F">
      <w:pPr>
        <w:shd w:val="clear" w:fill="F3F4F6"/>
        <w:spacing w:before="0" w:after="0" w:line="240" w:lineRule="auto"/>
        <w:ind w:left="120" w:right="120" w:firstLine="0"/>
      </w:pPr>
      <w:r>
        <w:rPr>
          <w:rFonts w:ascii="Consolas" w:hAnsi="Consolas" w:eastAsia="Consolas" w:cs="Consolas"/>
          <w:sz w:val="16"/>
          <w:szCs w:val="16"/>
          <w:rtl w:val="0"/>
        </w:rPr>
        <w:t xml:space="preserve">            APPEND set(indices of k largest |attr|) TO sets</w:t>
      </w:r>
    </w:p>
    <w:p w14:paraId="00000450">
      <w:pPr>
        <w:shd w:val="clear" w:fill="F3F4F6"/>
        <w:spacing w:before="0" w:after="0" w:line="240" w:lineRule="auto"/>
        <w:ind w:left="120" w:right="120" w:firstLine="0"/>
      </w:pPr>
      <w:r>
        <w:rPr>
          <w:rFonts w:ascii="Consolas" w:hAnsi="Consolas" w:eastAsia="Consolas" w:cs="Consolas"/>
          <w:sz w:val="16"/>
          <w:szCs w:val="16"/>
          <w:rtl w:val="0"/>
        </w:rPr>
        <w:t xml:space="preserve">        pair_scores ← [ |A ∩ B| / |A ∪ B|  for every pair (A, B) in sets ]</w:t>
      </w:r>
    </w:p>
    <w:p w14:paraId="00000451">
      <w:pPr>
        <w:shd w:val="clear" w:fill="F3F4F6"/>
        <w:spacing w:before="0" w:after="0" w:line="240" w:lineRule="auto"/>
        <w:ind w:left="120" w:right="120" w:firstLine="0"/>
      </w:pPr>
      <w:r>
        <w:rPr>
          <w:rFonts w:ascii="Consolas" w:hAnsi="Consolas" w:eastAsia="Consolas" w:cs="Consolas"/>
          <w:sz w:val="16"/>
          <w:szCs w:val="16"/>
          <w:rtl w:val="0"/>
        </w:rPr>
        <w:t xml:space="preserve">        APPEND mean(pair_scores) TO scores</w:t>
      </w:r>
    </w:p>
    <w:p w14:paraId="00000452">
      <w:pPr>
        <w:shd w:val="clear" w:fill="F3F4F6"/>
        <w:spacing w:before="0" w:after="160" w:line="240" w:lineRule="auto"/>
        <w:ind w:left="120" w:right="120" w:firstLine="0"/>
      </w:pPr>
      <w:r>
        <w:rPr>
          <w:rFonts w:ascii="Consolas" w:hAnsi="Consolas" w:eastAsia="Consolas" w:cs="Consolas"/>
          <w:sz w:val="16"/>
          <w:szCs w:val="16"/>
          <w:rtl w:val="0"/>
        </w:rPr>
        <w:t xml:space="preserve">    RETURN mean(scores)          # 1.0: identical top-k every time</w:t>
      </w:r>
      <w:r>
        <w:br w:type="page"/>
      </w:r>
    </w:p>
    <w:p w14:paraId="00000453">
      <w:pPr>
        <w:pStyle w:val="2"/>
        <w:rPr>
          <w:color w:val="000000"/>
        </w:rPr>
      </w:pPr>
      <w:bookmarkStart w:id="115" w:name="_ev7eamqrbay5" w:colFirst="0" w:colLast="0"/>
      <w:bookmarkEnd w:id="115"/>
      <w:r>
        <w:rPr>
          <w:color w:val="000000"/>
          <w:rtl w:val="0"/>
        </w:rPr>
        <w:t>APPENDIX G: CICIDS2017 FLOW FEATURES</w:t>
      </w:r>
    </w:p>
    <w:p w14:paraId="00000454">
      <w:pPr>
        <w:jc w:val="both"/>
      </w:pPr>
      <w:r>
        <w:rPr>
          <w:rtl w:val="0"/>
        </w:rPr>
        <w:t>The 78 flow features in the MachineLearningCSV files, as produced by CICFlowMeter [4], are listed in Table G.1. The 79th column is the label.</w:t>
      </w:r>
    </w:p>
    <w:p w14:paraId="00000455">
      <w:pPr>
        <w:keepNext/>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00" w:after="8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116" w:name="_mk4fda441yn8" w:colFirst="0" w:colLast="0"/>
      <w:bookmarkEnd w:id="116"/>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Table G.1: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The 78 CICIDS2017 flow features used as model inputs</w:t>
      </w:r>
    </w:p>
    <w:tbl>
      <w:tblPr>
        <w:tblStyle w:val="31"/>
        <w:tblW w:w="8503" w:type="dxa"/>
        <w:tblInd w:w="-90" w:type="dxa"/>
        <w:tblLayout w:type="fixed"/>
        <w:tblCellMar>
          <w:top w:w="50" w:type="dxa"/>
          <w:left w:w="90" w:type="dxa"/>
          <w:bottom w:w="50" w:type="dxa"/>
          <w:right w:w="90" w:type="dxa"/>
        </w:tblCellMar>
      </w:tblPr>
      <w:tblGrid>
        <w:gridCol w:w="2952"/>
        <w:gridCol w:w="2749"/>
        <w:gridCol w:w="2803"/>
      </w:tblGrid>
      <w:tr w14:paraId="0BC5C5EE">
        <w:tblPrEx>
          <w:tblCellMar>
            <w:top w:w="50" w:type="dxa"/>
            <w:left w:w="90" w:type="dxa"/>
            <w:bottom w:w="50" w:type="dxa"/>
            <w:right w:w="90" w:type="dxa"/>
          </w:tblCellMar>
        </w:tblPrEx>
        <w:trPr>
          <w:cantSplit/>
          <w:tblHeader/>
        </w:trPr>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456">
            <w:pPr>
              <w:keepNext w:val="0"/>
              <w:spacing w:before="0" w:after="0" w:line="240" w:lineRule="auto"/>
              <w:jc w:val="left"/>
            </w:pPr>
            <w:r>
              <w:rPr>
                <w:b/>
                <w:bCs/>
                <w:sz w:val="18"/>
                <w:szCs w:val="18"/>
                <w:rtl w:val="0"/>
              </w:rPr>
              <w:t>Features 1–26</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457">
            <w:pPr>
              <w:keepNext w:val="0"/>
              <w:spacing w:before="0" w:after="0" w:line="240" w:lineRule="auto"/>
              <w:jc w:val="left"/>
            </w:pPr>
            <w:r>
              <w:rPr>
                <w:b/>
                <w:bCs/>
                <w:sz w:val="18"/>
                <w:szCs w:val="18"/>
                <w:rtl w:val="0"/>
              </w:rPr>
              <w:t>Features 27–52</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458">
            <w:pPr>
              <w:keepNext w:val="0"/>
              <w:spacing w:before="0" w:after="0" w:line="240" w:lineRule="auto"/>
              <w:jc w:val="left"/>
            </w:pPr>
            <w:r>
              <w:rPr>
                <w:b/>
                <w:bCs/>
                <w:sz w:val="18"/>
                <w:szCs w:val="18"/>
                <w:rtl w:val="0"/>
              </w:rPr>
              <w:t>Features 53–78</w:t>
            </w:r>
          </w:p>
        </w:tc>
      </w:tr>
      <w:tr w14:paraId="796FB825">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459">
            <w:pPr>
              <w:keepNext w:val="0"/>
              <w:spacing w:before="0" w:after="0" w:line="240" w:lineRule="auto"/>
              <w:jc w:val="left"/>
            </w:pPr>
            <w:r>
              <w:rPr>
                <w:sz w:val="18"/>
                <w:szCs w:val="18"/>
                <w:rtl w:val="0"/>
              </w:rPr>
              <w:t>1. Destination Port</w:t>
            </w:r>
          </w:p>
        </w:tc>
        <w:tc>
          <w:tcPr>
            <w:tcBorders>
              <w:top w:val="single" w:color="9AA5B1" w:sz="4" w:space="0"/>
              <w:left w:val="single" w:color="9AA5B1" w:sz="4" w:space="0"/>
              <w:bottom w:val="single" w:color="9AA5B1" w:sz="4" w:space="0"/>
              <w:right w:val="single" w:color="9AA5B1" w:sz="4" w:space="0"/>
            </w:tcBorders>
            <w:vAlign w:val="center"/>
          </w:tcPr>
          <w:p w14:paraId="0000045A">
            <w:pPr>
              <w:keepNext w:val="0"/>
              <w:spacing w:before="0" w:after="0" w:line="240" w:lineRule="auto"/>
              <w:jc w:val="left"/>
            </w:pPr>
            <w:r>
              <w:rPr>
                <w:sz w:val="18"/>
                <w:szCs w:val="18"/>
                <w:rtl w:val="0"/>
              </w:rPr>
              <w:t>27. Bwd IAT Mean</w:t>
            </w:r>
          </w:p>
        </w:tc>
        <w:tc>
          <w:tcPr>
            <w:tcBorders>
              <w:top w:val="single" w:color="9AA5B1" w:sz="4" w:space="0"/>
              <w:left w:val="single" w:color="9AA5B1" w:sz="4" w:space="0"/>
              <w:bottom w:val="single" w:color="9AA5B1" w:sz="4" w:space="0"/>
              <w:right w:val="single" w:color="9AA5B1" w:sz="4" w:space="0"/>
            </w:tcBorders>
            <w:vAlign w:val="center"/>
          </w:tcPr>
          <w:p w14:paraId="0000045B">
            <w:pPr>
              <w:keepNext w:val="0"/>
              <w:spacing w:before="0" w:after="0" w:line="240" w:lineRule="auto"/>
              <w:jc w:val="left"/>
            </w:pPr>
            <w:r>
              <w:rPr>
                <w:sz w:val="18"/>
                <w:szCs w:val="18"/>
                <w:rtl w:val="0"/>
              </w:rPr>
              <w:t>53. Average Packet Size</w:t>
            </w:r>
          </w:p>
        </w:tc>
      </w:tr>
      <w:tr w14:paraId="40A3AECB">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5C">
            <w:pPr>
              <w:keepNext w:val="0"/>
              <w:spacing w:before="0" w:after="0" w:line="240" w:lineRule="auto"/>
              <w:jc w:val="left"/>
            </w:pPr>
            <w:r>
              <w:rPr>
                <w:sz w:val="18"/>
                <w:szCs w:val="18"/>
                <w:rtl w:val="0"/>
              </w:rPr>
              <w:t>2. Flow Duration</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5D">
            <w:pPr>
              <w:keepNext w:val="0"/>
              <w:spacing w:before="0" w:after="0" w:line="240" w:lineRule="auto"/>
              <w:jc w:val="left"/>
            </w:pPr>
            <w:r>
              <w:rPr>
                <w:sz w:val="18"/>
                <w:szCs w:val="18"/>
                <w:rtl w:val="0"/>
              </w:rPr>
              <w:t>28. Bwd IAT Std</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5E">
            <w:pPr>
              <w:keepNext w:val="0"/>
              <w:spacing w:before="0" w:after="0" w:line="240" w:lineRule="auto"/>
              <w:jc w:val="left"/>
            </w:pPr>
            <w:r>
              <w:rPr>
                <w:sz w:val="18"/>
                <w:szCs w:val="18"/>
                <w:rtl w:val="0"/>
              </w:rPr>
              <w:t>54. Avg Fwd Segment Size</w:t>
            </w:r>
          </w:p>
        </w:tc>
      </w:tr>
      <w:tr w14:paraId="37C3DB76">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45F">
            <w:pPr>
              <w:keepNext w:val="0"/>
              <w:spacing w:before="0" w:after="0" w:line="240" w:lineRule="auto"/>
              <w:jc w:val="left"/>
            </w:pPr>
            <w:r>
              <w:rPr>
                <w:sz w:val="18"/>
                <w:szCs w:val="18"/>
                <w:rtl w:val="0"/>
              </w:rPr>
              <w:t>3. Total Fwd Packets</w:t>
            </w:r>
          </w:p>
        </w:tc>
        <w:tc>
          <w:tcPr>
            <w:tcBorders>
              <w:top w:val="single" w:color="9AA5B1" w:sz="4" w:space="0"/>
              <w:left w:val="single" w:color="9AA5B1" w:sz="4" w:space="0"/>
              <w:bottom w:val="single" w:color="9AA5B1" w:sz="4" w:space="0"/>
              <w:right w:val="single" w:color="9AA5B1" w:sz="4" w:space="0"/>
            </w:tcBorders>
            <w:vAlign w:val="center"/>
          </w:tcPr>
          <w:p w14:paraId="00000460">
            <w:pPr>
              <w:keepNext w:val="0"/>
              <w:spacing w:before="0" w:after="0" w:line="240" w:lineRule="auto"/>
              <w:jc w:val="left"/>
            </w:pPr>
            <w:r>
              <w:rPr>
                <w:sz w:val="18"/>
                <w:szCs w:val="18"/>
                <w:rtl w:val="0"/>
              </w:rPr>
              <w:t>29. Bwd IAT Max</w:t>
            </w:r>
          </w:p>
        </w:tc>
        <w:tc>
          <w:tcPr>
            <w:tcBorders>
              <w:top w:val="single" w:color="9AA5B1" w:sz="4" w:space="0"/>
              <w:left w:val="single" w:color="9AA5B1" w:sz="4" w:space="0"/>
              <w:bottom w:val="single" w:color="9AA5B1" w:sz="4" w:space="0"/>
              <w:right w:val="single" w:color="9AA5B1" w:sz="4" w:space="0"/>
            </w:tcBorders>
            <w:vAlign w:val="center"/>
          </w:tcPr>
          <w:p w14:paraId="00000461">
            <w:pPr>
              <w:keepNext w:val="0"/>
              <w:spacing w:before="0" w:after="0" w:line="240" w:lineRule="auto"/>
              <w:jc w:val="left"/>
            </w:pPr>
            <w:r>
              <w:rPr>
                <w:sz w:val="18"/>
                <w:szCs w:val="18"/>
                <w:rtl w:val="0"/>
              </w:rPr>
              <w:t>55. Avg Bwd Segment Size</w:t>
            </w:r>
          </w:p>
        </w:tc>
      </w:tr>
      <w:tr w14:paraId="35B3114B">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62">
            <w:pPr>
              <w:keepNext w:val="0"/>
              <w:spacing w:before="0" w:after="0" w:line="240" w:lineRule="auto"/>
              <w:jc w:val="left"/>
            </w:pPr>
            <w:r>
              <w:rPr>
                <w:sz w:val="18"/>
                <w:szCs w:val="18"/>
                <w:rtl w:val="0"/>
              </w:rPr>
              <w:t>4. Total Backward Packets</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63">
            <w:pPr>
              <w:keepNext w:val="0"/>
              <w:spacing w:before="0" w:after="0" w:line="240" w:lineRule="auto"/>
              <w:jc w:val="left"/>
            </w:pPr>
            <w:r>
              <w:rPr>
                <w:sz w:val="18"/>
                <w:szCs w:val="18"/>
                <w:rtl w:val="0"/>
              </w:rPr>
              <w:t>30. Bwd IAT Min</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64">
            <w:pPr>
              <w:keepNext w:val="0"/>
              <w:spacing w:before="0" w:after="0" w:line="240" w:lineRule="auto"/>
              <w:jc w:val="left"/>
            </w:pPr>
            <w:r>
              <w:rPr>
                <w:sz w:val="18"/>
                <w:szCs w:val="18"/>
                <w:rtl w:val="0"/>
              </w:rPr>
              <w:t>56. Fwd Header Length.1</w:t>
            </w:r>
          </w:p>
        </w:tc>
      </w:tr>
      <w:tr w14:paraId="4D9083EB">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465">
            <w:pPr>
              <w:keepNext w:val="0"/>
              <w:spacing w:before="0" w:after="0" w:line="240" w:lineRule="auto"/>
              <w:jc w:val="left"/>
            </w:pPr>
            <w:r>
              <w:rPr>
                <w:sz w:val="18"/>
                <w:szCs w:val="18"/>
                <w:rtl w:val="0"/>
              </w:rPr>
              <w:t>5. Total Length of Fwd Packets</w:t>
            </w:r>
          </w:p>
        </w:tc>
        <w:tc>
          <w:tcPr>
            <w:tcBorders>
              <w:top w:val="single" w:color="9AA5B1" w:sz="4" w:space="0"/>
              <w:left w:val="single" w:color="9AA5B1" w:sz="4" w:space="0"/>
              <w:bottom w:val="single" w:color="9AA5B1" w:sz="4" w:space="0"/>
              <w:right w:val="single" w:color="9AA5B1" w:sz="4" w:space="0"/>
            </w:tcBorders>
            <w:vAlign w:val="center"/>
          </w:tcPr>
          <w:p w14:paraId="00000466">
            <w:pPr>
              <w:keepNext w:val="0"/>
              <w:spacing w:before="0" w:after="0" w:line="240" w:lineRule="auto"/>
              <w:jc w:val="left"/>
            </w:pPr>
            <w:r>
              <w:rPr>
                <w:sz w:val="18"/>
                <w:szCs w:val="18"/>
                <w:rtl w:val="0"/>
              </w:rPr>
              <w:t>31. Fwd PSH Flags</w:t>
            </w:r>
          </w:p>
        </w:tc>
        <w:tc>
          <w:tcPr>
            <w:tcBorders>
              <w:top w:val="single" w:color="9AA5B1" w:sz="4" w:space="0"/>
              <w:left w:val="single" w:color="9AA5B1" w:sz="4" w:space="0"/>
              <w:bottom w:val="single" w:color="9AA5B1" w:sz="4" w:space="0"/>
              <w:right w:val="single" w:color="9AA5B1" w:sz="4" w:space="0"/>
            </w:tcBorders>
            <w:vAlign w:val="center"/>
          </w:tcPr>
          <w:p w14:paraId="00000467">
            <w:pPr>
              <w:keepNext w:val="0"/>
              <w:spacing w:before="0" w:after="0" w:line="240" w:lineRule="auto"/>
              <w:jc w:val="left"/>
            </w:pPr>
            <w:r>
              <w:rPr>
                <w:sz w:val="18"/>
                <w:szCs w:val="18"/>
                <w:rtl w:val="0"/>
              </w:rPr>
              <w:t>57. Fwd Avg Bytes/Bulk</w:t>
            </w:r>
          </w:p>
        </w:tc>
      </w:tr>
      <w:tr w14:paraId="7452B294">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68">
            <w:pPr>
              <w:keepNext w:val="0"/>
              <w:spacing w:before="0" w:after="0" w:line="240" w:lineRule="auto"/>
              <w:jc w:val="left"/>
            </w:pPr>
            <w:r>
              <w:rPr>
                <w:sz w:val="18"/>
                <w:szCs w:val="18"/>
                <w:rtl w:val="0"/>
              </w:rPr>
              <w:t>6. Total Length of Bwd Packets</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69">
            <w:pPr>
              <w:keepNext w:val="0"/>
              <w:spacing w:before="0" w:after="0" w:line="240" w:lineRule="auto"/>
              <w:jc w:val="left"/>
            </w:pPr>
            <w:r>
              <w:rPr>
                <w:sz w:val="18"/>
                <w:szCs w:val="18"/>
                <w:rtl w:val="0"/>
              </w:rPr>
              <w:t>32. Bwd PSH Flags</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6A">
            <w:pPr>
              <w:keepNext w:val="0"/>
              <w:spacing w:before="0" w:after="0" w:line="240" w:lineRule="auto"/>
              <w:jc w:val="left"/>
            </w:pPr>
            <w:r>
              <w:rPr>
                <w:sz w:val="18"/>
                <w:szCs w:val="18"/>
                <w:rtl w:val="0"/>
              </w:rPr>
              <w:t>58. Fwd Avg Packets/Bulk</w:t>
            </w:r>
          </w:p>
        </w:tc>
      </w:tr>
      <w:tr w14:paraId="5453B932">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46B">
            <w:pPr>
              <w:keepNext w:val="0"/>
              <w:spacing w:before="0" w:after="0" w:line="240" w:lineRule="auto"/>
              <w:jc w:val="left"/>
            </w:pPr>
            <w:r>
              <w:rPr>
                <w:sz w:val="18"/>
                <w:szCs w:val="18"/>
                <w:rtl w:val="0"/>
              </w:rPr>
              <w:t>7. Fwd Packet Length Max</w:t>
            </w:r>
          </w:p>
        </w:tc>
        <w:tc>
          <w:tcPr>
            <w:tcBorders>
              <w:top w:val="single" w:color="9AA5B1" w:sz="4" w:space="0"/>
              <w:left w:val="single" w:color="9AA5B1" w:sz="4" w:space="0"/>
              <w:bottom w:val="single" w:color="9AA5B1" w:sz="4" w:space="0"/>
              <w:right w:val="single" w:color="9AA5B1" w:sz="4" w:space="0"/>
            </w:tcBorders>
            <w:vAlign w:val="center"/>
          </w:tcPr>
          <w:p w14:paraId="0000046C">
            <w:pPr>
              <w:keepNext w:val="0"/>
              <w:spacing w:before="0" w:after="0" w:line="240" w:lineRule="auto"/>
              <w:jc w:val="left"/>
            </w:pPr>
            <w:r>
              <w:rPr>
                <w:sz w:val="18"/>
                <w:szCs w:val="18"/>
                <w:rtl w:val="0"/>
              </w:rPr>
              <w:t>33. Fwd URG Flags</w:t>
            </w:r>
          </w:p>
        </w:tc>
        <w:tc>
          <w:tcPr>
            <w:tcBorders>
              <w:top w:val="single" w:color="9AA5B1" w:sz="4" w:space="0"/>
              <w:left w:val="single" w:color="9AA5B1" w:sz="4" w:space="0"/>
              <w:bottom w:val="single" w:color="9AA5B1" w:sz="4" w:space="0"/>
              <w:right w:val="single" w:color="9AA5B1" w:sz="4" w:space="0"/>
            </w:tcBorders>
            <w:vAlign w:val="center"/>
          </w:tcPr>
          <w:p w14:paraId="0000046D">
            <w:pPr>
              <w:keepNext w:val="0"/>
              <w:spacing w:before="0" w:after="0" w:line="240" w:lineRule="auto"/>
              <w:jc w:val="left"/>
            </w:pPr>
            <w:r>
              <w:rPr>
                <w:sz w:val="18"/>
                <w:szCs w:val="18"/>
                <w:rtl w:val="0"/>
              </w:rPr>
              <w:t>59. Fwd Avg Bulk Rate</w:t>
            </w:r>
          </w:p>
        </w:tc>
      </w:tr>
      <w:tr w14:paraId="7F69CB72">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6E">
            <w:pPr>
              <w:keepNext w:val="0"/>
              <w:spacing w:before="0" w:after="0" w:line="240" w:lineRule="auto"/>
              <w:jc w:val="left"/>
            </w:pPr>
            <w:r>
              <w:rPr>
                <w:sz w:val="18"/>
                <w:szCs w:val="18"/>
                <w:rtl w:val="0"/>
              </w:rPr>
              <w:t>8. Fwd Packet Length Min</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6F">
            <w:pPr>
              <w:keepNext w:val="0"/>
              <w:spacing w:before="0" w:after="0" w:line="240" w:lineRule="auto"/>
              <w:jc w:val="left"/>
            </w:pPr>
            <w:r>
              <w:rPr>
                <w:sz w:val="18"/>
                <w:szCs w:val="18"/>
                <w:rtl w:val="0"/>
              </w:rPr>
              <w:t>34. Bwd URG Flags</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70">
            <w:pPr>
              <w:keepNext w:val="0"/>
              <w:spacing w:before="0" w:after="0" w:line="240" w:lineRule="auto"/>
              <w:jc w:val="left"/>
            </w:pPr>
            <w:r>
              <w:rPr>
                <w:sz w:val="18"/>
                <w:szCs w:val="18"/>
                <w:rtl w:val="0"/>
              </w:rPr>
              <w:t>60. Bwd Avg Bytes/Bulk</w:t>
            </w:r>
          </w:p>
        </w:tc>
      </w:tr>
      <w:tr w14:paraId="0C4D8224">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471">
            <w:pPr>
              <w:keepNext w:val="0"/>
              <w:spacing w:before="0" w:after="0" w:line="240" w:lineRule="auto"/>
              <w:jc w:val="left"/>
            </w:pPr>
            <w:r>
              <w:rPr>
                <w:sz w:val="18"/>
                <w:szCs w:val="18"/>
                <w:rtl w:val="0"/>
              </w:rPr>
              <w:t>9. Fwd Packet Length Mean</w:t>
            </w:r>
          </w:p>
        </w:tc>
        <w:tc>
          <w:tcPr>
            <w:tcBorders>
              <w:top w:val="single" w:color="9AA5B1" w:sz="4" w:space="0"/>
              <w:left w:val="single" w:color="9AA5B1" w:sz="4" w:space="0"/>
              <w:bottom w:val="single" w:color="9AA5B1" w:sz="4" w:space="0"/>
              <w:right w:val="single" w:color="9AA5B1" w:sz="4" w:space="0"/>
            </w:tcBorders>
            <w:vAlign w:val="center"/>
          </w:tcPr>
          <w:p w14:paraId="00000472">
            <w:pPr>
              <w:keepNext w:val="0"/>
              <w:spacing w:before="0" w:after="0" w:line="240" w:lineRule="auto"/>
              <w:jc w:val="left"/>
            </w:pPr>
            <w:r>
              <w:rPr>
                <w:sz w:val="18"/>
                <w:szCs w:val="18"/>
                <w:rtl w:val="0"/>
              </w:rPr>
              <w:t>35. Fwd Header Length</w:t>
            </w:r>
          </w:p>
        </w:tc>
        <w:tc>
          <w:tcPr>
            <w:tcBorders>
              <w:top w:val="single" w:color="9AA5B1" w:sz="4" w:space="0"/>
              <w:left w:val="single" w:color="9AA5B1" w:sz="4" w:space="0"/>
              <w:bottom w:val="single" w:color="9AA5B1" w:sz="4" w:space="0"/>
              <w:right w:val="single" w:color="9AA5B1" w:sz="4" w:space="0"/>
            </w:tcBorders>
            <w:vAlign w:val="center"/>
          </w:tcPr>
          <w:p w14:paraId="00000473">
            <w:pPr>
              <w:keepNext w:val="0"/>
              <w:spacing w:before="0" w:after="0" w:line="240" w:lineRule="auto"/>
              <w:jc w:val="left"/>
            </w:pPr>
            <w:r>
              <w:rPr>
                <w:sz w:val="18"/>
                <w:szCs w:val="18"/>
                <w:rtl w:val="0"/>
              </w:rPr>
              <w:t>61. Bwd Avg Packets/Bulk</w:t>
            </w:r>
          </w:p>
        </w:tc>
      </w:tr>
      <w:tr w14:paraId="3D983717">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74">
            <w:pPr>
              <w:keepNext w:val="0"/>
              <w:spacing w:before="0" w:after="0" w:line="240" w:lineRule="auto"/>
              <w:jc w:val="left"/>
            </w:pPr>
            <w:r>
              <w:rPr>
                <w:sz w:val="18"/>
                <w:szCs w:val="18"/>
                <w:rtl w:val="0"/>
              </w:rPr>
              <w:t>10. Fwd Packet Length Std</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75">
            <w:pPr>
              <w:keepNext w:val="0"/>
              <w:spacing w:before="0" w:after="0" w:line="240" w:lineRule="auto"/>
              <w:jc w:val="left"/>
            </w:pPr>
            <w:r>
              <w:rPr>
                <w:sz w:val="18"/>
                <w:szCs w:val="18"/>
                <w:rtl w:val="0"/>
              </w:rPr>
              <w:t>36. Bwd Header Length</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76">
            <w:pPr>
              <w:keepNext w:val="0"/>
              <w:spacing w:before="0" w:after="0" w:line="240" w:lineRule="auto"/>
              <w:jc w:val="left"/>
            </w:pPr>
            <w:r>
              <w:rPr>
                <w:sz w:val="18"/>
                <w:szCs w:val="18"/>
                <w:rtl w:val="0"/>
              </w:rPr>
              <w:t>62. Bwd Avg Bulk Rate</w:t>
            </w:r>
          </w:p>
        </w:tc>
      </w:tr>
      <w:tr w14:paraId="2EA00DE1">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477">
            <w:pPr>
              <w:keepNext w:val="0"/>
              <w:spacing w:before="0" w:after="0" w:line="240" w:lineRule="auto"/>
              <w:jc w:val="left"/>
            </w:pPr>
            <w:r>
              <w:rPr>
                <w:sz w:val="18"/>
                <w:szCs w:val="18"/>
                <w:rtl w:val="0"/>
              </w:rPr>
              <w:t>11. Bwd Packet Length Max</w:t>
            </w:r>
          </w:p>
        </w:tc>
        <w:tc>
          <w:tcPr>
            <w:tcBorders>
              <w:top w:val="single" w:color="9AA5B1" w:sz="4" w:space="0"/>
              <w:left w:val="single" w:color="9AA5B1" w:sz="4" w:space="0"/>
              <w:bottom w:val="single" w:color="9AA5B1" w:sz="4" w:space="0"/>
              <w:right w:val="single" w:color="9AA5B1" w:sz="4" w:space="0"/>
            </w:tcBorders>
            <w:vAlign w:val="center"/>
          </w:tcPr>
          <w:p w14:paraId="00000478">
            <w:pPr>
              <w:keepNext w:val="0"/>
              <w:spacing w:before="0" w:after="0" w:line="240" w:lineRule="auto"/>
              <w:jc w:val="left"/>
            </w:pPr>
            <w:r>
              <w:rPr>
                <w:sz w:val="18"/>
                <w:szCs w:val="18"/>
                <w:rtl w:val="0"/>
              </w:rPr>
              <w:t>37. Fwd Packets/s</w:t>
            </w:r>
          </w:p>
        </w:tc>
        <w:tc>
          <w:tcPr>
            <w:tcBorders>
              <w:top w:val="single" w:color="9AA5B1" w:sz="4" w:space="0"/>
              <w:left w:val="single" w:color="9AA5B1" w:sz="4" w:space="0"/>
              <w:bottom w:val="single" w:color="9AA5B1" w:sz="4" w:space="0"/>
              <w:right w:val="single" w:color="9AA5B1" w:sz="4" w:space="0"/>
            </w:tcBorders>
            <w:vAlign w:val="center"/>
          </w:tcPr>
          <w:p w14:paraId="00000479">
            <w:pPr>
              <w:keepNext w:val="0"/>
              <w:spacing w:before="0" w:after="0" w:line="240" w:lineRule="auto"/>
              <w:jc w:val="left"/>
            </w:pPr>
            <w:r>
              <w:rPr>
                <w:sz w:val="18"/>
                <w:szCs w:val="18"/>
                <w:rtl w:val="0"/>
              </w:rPr>
              <w:t>63. Subflow Fwd Packets</w:t>
            </w:r>
          </w:p>
        </w:tc>
      </w:tr>
      <w:tr w14:paraId="0DC1BA65">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7A">
            <w:pPr>
              <w:keepNext w:val="0"/>
              <w:spacing w:before="0" w:after="0" w:line="240" w:lineRule="auto"/>
              <w:jc w:val="left"/>
            </w:pPr>
            <w:r>
              <w:rPr>
                <w:sz w:val="18"/>
                <w:szCs w:val="18"/>
                <w:rtl w:val="0"/>
              </w:rPr>
              <w:t>12. Bwd Packet Length Min</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7B">
            <w:pPr>
              <w:keepNext w:val="0"/>
              <w:spacing w:before="0" w:after="0" w:line="240" w:lineRule="auto"/>
              <w:jc w:val="left"/>
            </w:pPr>
            <w:r>
              <w:rPr>
                <w:sz w:val="18"/>
                <w:szCs w:val="18"/>
                <w:rtl w:val="0"/>
              </w:rPr>
              <w:t>38. Bwd Packets/s</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7C">
            <w:pPr>
              <w:keepNext w:val="0"/>
              <w:spacing w:before="0" w:after="0" w:line="240" w:lineRule="auto"/>
              <w:jc w:val="left"/>
            </w:pPr>
            <w:r>
              <w:rPr>
                <w:sz w:val="18"/>
                <w:szCs w:val="18"/>
                <w:rtl w:val="0"/>
              </w:rPr>
              <w:t>64. Subflow Fwd Bytes</w:t>
            </w:r>
          </w:p>
        </w:tc>
      </w:tr>
      <w:tr w14:paraId="3DB0DDDF">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47D">
            <w:pPr>
              <w:keepNext w:val="0"/>
              <w:spacing w:before="0" w:after="0" w:line="240" w:lineRule="auto"/>
              <w:jc w:val="left"/>
            </w:pPr>
            <w:r>
              <w:rPr>
                <w:sz w:val="18"/>
                <w:szCs w:val="18"/>
                <w:rtl w:val="0"/>
              </w:rPr>
              <w:t>13. Bwd Packet Length Mean</w:t>
            </w:r>
          </w:p>
        </w:tc>
        <w:tc>
          <w:tcPr>
            <w:tcBorders>
              <w:top w:val="single" w:color="9AA5B1" w:sz="4" w:space="0"/>
              <w:left w:val="single" w:color="9AA5B1" w:sz="4" w:space="0"/>
              <w:bottom w:val="single" w:color="9AA5B1" w:sz="4" w:space="0"/>
              <w:right w:val="single" w:color="9AA5B1" w:sz="4" w:space="0"/>
            </w:tcBorders>
            <w:vAlign w:val="center"/>
          </w:tcPr>
          <w:p w14:paraId="0000047E">
            <w:pPr>
              <w:keepNext w:val="0"/>
              <w:spacing w:before="0" w:after="0" w:line="240" w:lineRule="auto"/>
              <w:jc w:val="left"/>
            </w:pPr>
            <w:r>
              <w:rPr>
                <w:sz w:val="18"/>
                <w:szCs w:val="18"/>
                <w:rtl w:val="0"/>
              </w:rPr>
              <w:t>39. Min Packet Length</w:t>
            </w:r>
          </w:p>
        </w:tc>
        <w:tc>
          <w:tcPr>
            <w:tcBorders>
              <w:top w:val="single" w:color="9AA5B1" w:sz="4" w:space="0"/>
              <w:left w:val="single" w:color="9AA5B1" w:sz="4" w:space="0"/>
              <w:bottom w:val="single" w:color="9AA5B1" w:sz="4" w:space="0"/>
              <w:right w:val="single" w:color="9AA5B1" w:sz="4" w:space="0"/>
            </w:tcBorders>
            <w:vAlign w:val="center"/>
          </w:tcPr>
          <w:p w14:paraId="0000047F">
            <w:pPr>
              <w:keepNext w:val="0"/>
              <w:spacing w:before="0" w:after="0" w:line="240" w:lineRule="auto"/>
              <w:jc w:val="left"/>
            </w:pPr>
            <w:r>
              <w:rPr>
                <w:sz w:val="18"/>
                <w:szCs w:val="18"/>
                <w:rtl w:val="0"/>
              </w:rPr>
              <w:t>65. Subflow Bwd Packets</w:t>
            </w:r>
          </w:p>
        </w:tc>
      </w:tr>
      <w:tr w14:paraId="32C6EE61">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80">
            <w:pPr>
              <w:keepNext w:val="0"/>
              <w:spacing w:before="0" w:after="0" w:line="240" w:lineRule="auto"/>
              <w:jc w:val="left"/>
            </w:pPr>
            <w:r>
              <w:rPr>
                <w:sz w:val="18"/>
                <w:szCs w:val="18"/>
                <w:rtl w:val="0"/>
              </w:rPr>
              <w:t>14. Bwd Packet Length Std</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81">
            <w:pPr>
              <w:keepNext w:val="0"/>
              <w:spacing w:before="0" w:after="0" w:line="240" w:lineRule="auto"/>
              <w:jc w:val="left"/>
            </w:pPr>
            <w:r>
              <w:rPr>
                <w:sz w:val="18"/>
                <w:szCs w:val="18"/>
                <w:rtl w:val="0"/>
              </w:rPr>
              <w:t>40. Max Packet Length</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82">
            <w:pPr>
              <w:keepNext w:val="0"/>
              <w:spacing w:before="0" w:after="0" w:line="240" w:lineRule="auto"/>
              <w:jc w:val="left"/>
            </w:pPr>
            <w:r>
              <w:rPr>
                <w:sz w:val="18"/>
                <w:szCs w:val="18"/>
                <w:rtl w:val="0"/>
              </w:rPr>
              <w:t>66. Subflow Bwd Bytes</w:t>
            </w:r>
          </w:p>
        </w:tc>
      </w:tr>
      <w:tr w14:paraId="359DC60C">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483">
            <w:pPr>
              <w:keepNext w:val="0"/>
              <w:spacing w:before="0" w:after="0" w:line="240" w:lineRule="auto"/>
              <w:jc w:val="left"/>
            </w:pPr>
            <w:r>
              <w:rPr>
                <w:sz w:val="18"/>
                <w:szCs w:val="18"/>
                <w:rtl w:val="0"/>
              </w:rPr>
              <w:t>15. Flow Bytes/s</w:t>
            </w:r>
          </w:p>
        </w:tc>
        <w:tc>
          <w:tcPr>
            <w:tcBorders>
              <w:top w:val="single" w:color="9AA5B1" w:sz="4" w:space="0"/>
              <w:left w:val="single" w:color="9AA5B1" w:sz="4" w:space="0"/>
              <w:bottom w:val="single" w:color="9AA5B1" w:sz="4" w:space="0"/>
              <w:right w:val="single" w:color="9AA5B1" w:sz="4" w:space="0"/>
            </w:tcBorders>
            <w:vAlign w:val="center"/>
          </w:tcPr>
          <w:p w14:paraId="00000484">
            <w:pPr>
              <w:keepNext w:val="0"/>
              <w:spacing w:before="0" w:after="0" w:line="240" w:lineRule="auto"/>
              <w:jc w:val="left"/>
            </w:pPr>
            <w:r>
              <w:rPr>
                <w:sz w:val="18"/>
                <w:szCs w:val="18"/>
                <w:rtl w:val="0"/>
              </w:rPr>
              <w:t>41. Packet Length Mean</w:t>
            </w:r>
          </w:p>
        </w:tc>
        <w:tc>
          <w:tcPr>
            <w:tcBorders>
              <w:top w:val="single" w:color="9AA5B1" w:sz="4" w:space="0"/>
              <w:left w:val="single" w:color="9AA5B1" w:sz="4" w:space="0"/>
              <w:bottom w:val="single" w:color="9AA5B1" w:sz="4" w:space="0"/>
              <w:right w:val="single" w:color="9AA5B1" w:sz="4" w:space="0"/>
            </w:tcBorders>
            <w:vAlign w:val="center"/>
          </w:tcPr>
          <w:p w14:paraId="00000485">
            <w:pPr>
              <w:keepNext w:val="0"/>
              <w:spacing w:before="0" w:after="0" w:line="240" w:lineRule="auto"/>
              <w:jc w:val="left"/>
            </w:pPr>
            <w:r>
              <w:rPr>
                <w:sz w:val="18"/>
                <w:szCs w:val="18"/>
                <w:rtl w:val="0"/>
              </w:rPr>
              <w:t>67. Init_Win_bytes_forward</w:t>
            </w:r>
          </w:p>
        </w:tc>
      </w:tr>
      <w:tr w14:paraId="4953364A">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86">
            <w:pPr>
              <w:keepNext w:val="0"/>
              <w:spacing w:before="0" w:after="0" w:line="240" w:lineRule="auto"/>
              <w:jc w:val="left"/>
            </w:pPr>
            <w:r>
              <w:rPr>
                <w:sz w:val="18"/>
                <w:szCs w:val="18"/>
                <w:rtl w:val="0"/>
              </w:rPr>
              <w:t>16. Flow Packets/s</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87">
            <w:pPr>
              <w:keepNext w:val="0"/>
              <w:spacing w:before="0" w:after="0" w:line="240" w:lineRule="auto"/>
              <w:jc w:val="left"/>
            </w:pPr>
            <w:r>
              <w:rPr>
                <w:sz w:val="18"/>
                <w:szCs w:val="18"/>
                <w:rtl w:val="0"/>
              </w:rPr>
              <w:t>42. Packet Length Std</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88">
            <w:pPr>
              <w:keepNext w:val="0"/>
              <w:spacing w:before="0" w:after="0" w:line="240" w:lineRule="auto"/>
              <w:jc w:val="left"/>
            </w:pPr>
            <w:r>
              <w:rPr>
                <w:sz w:val="18"/>
                <w:szCs w:val="18"/>
                <w:rtl w:val="0"/>
              </w:rPr>
              <w:t>68. Init_Win_bytes_backward</w:t>
            </w:r>
          </w:p>
        </w:tc>
      </w:tr>
      <w:tr w14:paraId="310D1A0E">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489">
            <w:pPr>
              <w:keepNext w:val="0"/>
              <w:spacing w:before="0" w:after="0" w:line="240" w:lineRule="auto"/>
              <w:jc w:val="left"/>
            </w:pPr>
            <w:r>
              <w:rPr>
                <w:sz w:val="18"/>
                <w:szCs w:val="18"/>
                <w:rtl w:val="0"/>
              </w:rPr>
              <w:t>17. Flow IAT Mean</w:t>
            </w:r>
          </w:p>
        </w:tc>
        <w:tc>
          <w:tcPr>
            <w:tcBorders>
              <w:top w:val="single" w:color="9AA5B1" w:sz="4" w:space="0"/>
              <w:left w:val="single" w:color="9AA5B1" w:sz="4" w:space="0"/>
              <w:bottom w:val="single" w:color="9AA5B1" w:sz="4" w:space="0"/>
              <w:right w:val="single" w:color="9AA5B1" w:sz="4" w:space="0"/>
            </w:tcBorders>
            <w:vAlign w:val="center"/>
          </w:tcPr>
          <w:p w14:paraId="0000048A">
            <w:pPr>
              <w:keepNext w:val="0"/>
              <w:spacing w:before="0" w:after="0" w:line="240" w:lineRule="auto"/>
              <w:jc w:val="left"/>
            </w:pPr>
            <w:r>
              <w:rPr>
                <w:sz w:val="18"/>
                <w:szCs w:val="18"/>
                <w:rtl w:val="0"/>
              </w:rPr>
              <w:t>43. Packet Length Variance</w:t>
            </w:r>
          </w:p>
        </w:tc>
        <w:tc>
          <w:tcPr>
            <w:tcBorders>
              <w:top w:val="single" w:color="9AA5B1" w:sz="4" w:space="0"/>
              <w:left w:val="single" w:color="9AA5B1" w:sz="4" w:space="0"/>
              <w:bottom w:val="single" w:color="9AA5B1" w:sz="4" w:space="0"/>
              <w:right w:val="single" w:color="9AA5B1" w:sz="4" w:space="0"/>
            </w:tcBorders>
            <w:vAlign w:val="center"/>
          </w:tcPr>
          <w:p w14:paraId="0000048B">
            <w:pPr>
              <w:keepNext w:val="0"/>
              <w:spacing w:before="0" w:after="0" w:line="240" w:lineRule="auto"/>
              <w:jc w:val="left"/>
            </w:pPr>
            <w:r>
              <w:rPr>
                <w:sz w:val="18"/>
                <w:szCs w:val="18"/>
                <w:rtl w:val="0"/>
              </w:rPr>
              <w:t>69. act_data_pkt_fwd</w:t>
            </w:r>
          </w:p>
        </w:tc>
      </w:tr>
      <w:tr w14:paraId="7832BC0F">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8C">
            <w:pPr>
              <w:keepNext w:val="0"/>
              <w:spacing w:before="0" w:after="0" w:line="240" w:lineRule="auto"/>
              <w:jc w:val="left"/>
            </w:pPr>
            <w:r>
              <w:rPr>
                <w:sz w:val="18"/>
                <w:szCs w:val="18"/>
                <w:rtl w:val="0"/>
              </w:rPr>
              <w:t>18. Flow IAT Std</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8D">
            <w:pPr>
              <w:keepNext w:val="0"/>
              <w:spacing w:before="0" w:after="0" w:line="240" w:lineRule="auto"/>
              <w:jc w:val="left"/>
            </w:pPr>
            <w:r>
              <w:rPr>
                <w:sz w:val="18"/>
                <w:szCs w:val="18"/>
                <w:rtl w:val="0"/>
              </w:rPr>
              <w:t>44. FIN Flag Count</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8E">
            <w:pPr>
              <w:keepNext w:val="0"/>
              <w:spacing w:before="0" w:after="0" w:line="240" w:lineRule="auto"/>
              <w:jc w:val="left"/>
            </w:pPr>
            <w:r>
              <w:rPr>
                <w:sz w:val="18"/>
                <w:szCs w:val="18"/>
                <w:rtl w:val="0"/>
              </w:rPr>
              <w:t>70. min_seg_size_forward</w:t>
            </w:r>
          </w:p>
        </w:tc>
      </w:tr>
      <w:tr w14:paraId="59A99075">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48F">
            <w:pPr>
              <w:keepNext w:val="0"/>
              <w:spacing w:before="0" w:after="0" w:line="240" w:lineRule="auto"/>
              <w:jc w:val="left"/>
            </w:pPr>
            <w:r>
              <w:rPr>
                <w:sz w:val="18"/>
                <w:szCs w:val="18"/>
                <w:rtl w:val="0"/>
              </w:rPr>
              <w:t>19. Flow IAT Max</w:t>
            </w:r>
          </w:p>
        </w:tc>
        <w:tc>
          <w:tcPr>
            <w:tcBorders>
              <w:top w:val="single" w:color="9AA5B1" w:sz="4" w:space="0"/>
              <w:left w:val="single" w:color="9AA5B1" w:sz="4" w:space="0"/>
              <w:bottom w:val="single" w:color="9AA5B1" w:sz="4" w:space="0"/>
              <w:right w:val="single" w:color="9AA5B1" w:sz="4" w:space="0"/>
            </w:tcBorders>
            <w:vAlign w:val="center"/>
          </w:tcPr>
          <w:p w14:paraId="00000490">
            <w:pPr>
              <w:keepNext w:val="0"/>
              <w:spacing w:before="0" w:after="0" w:line="240" w:lineRule="auto"/>
              <w:jc w:val="left"/>
            </w:pPr>
            <w:r>
              <w:rPr>
                <w:sz w:val="18"/>
                <w:szCs w:val="18"/>
                <w:rtl w:val="0"/>
              </w:rPr>
              <w:t>45. SYN Flag Count</w:t>
            </w:r>
          </w:p>
        </w:tc>
        <w:tc>
          <w:tcPr>
            <w:tcBorders>
              <w:top w:val="single" w:color="9AA5B1" w:sz="4" w:space="0"/>
              <w:left w:val="single" w:color="9AA5B1" w:sz="4" w:space="0"/>
              <w:bottom w:val="single" w:color="9AA5B1" w:sz="4" w:space="0"/>
              <w:right w:val="single" w:color="9AA5B1" w:sz="4" w:space="0"/>
            </w:tcBorders>
            <w:vAlign w:val="center"/>
          </w:tcPr>
          <w:p w14:paraId="00000491">
            <w:pPr>
              <w:keepNext w:val="0"/>
              <w:spacing w:before="0" w:after="0" w:line="240" w:lineRule="auto"/>
              <w:jc w:val="left"/>
            </w:pPr>
            <w:r>
              <w:rPr>
                <w:sz w:val="18"/>
                <w:szCs w:val="18"/>
                <w:rtl w:val="0"/>
              </w:rPr>
              <w:t>71. Active Mean</w:t>
            </w:r>
          </w:p>
        </w:tc>
      </w:tr>
      <w:tr w14:paraId="362B9765">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92">
            <w:pPr>
              <w:keepNext w:val="0"/>
              <w:spacing w:before="0" w:after="0" w:line="240" w:lineRule="auto"/>
              <w:jc w:val="left"/>
            </w:pPr>
            <w:r>
              <w:rPr>
                <w:sz w:val="18"/>
                <w:szCs w:val="18"/>
                <w:rtl w:val="0"/>
              </w:rPr>
              <w:t>20. Flow IAT Min</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93">
            <w:pPr>
              <w:keepNext w:val="0"/>
              <w:spacing w:before="0" w:after="0" w:line="240" w:lineRule="auto"/>
              <w:jc w:val="left"/>
            </w:pPr>
            <w:r>
              <w:rPr>
                <w:sz w:val="18"/>
                <w:szCs w:val="18"/>
                <w:rtl w:val="0"/>
              </w:rPr>
              <w:t>46. RST Flag Count</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94">
            <w:pPr>
              <w:keepNext w:val="0"/>
              <w:spacing w:before="0" w:after="0" w:line="240" w:lineRule="auto"/>
              <w:jc w:val="left"/>
            </w:pPr>
            <w:r>
              <w:rPr>
                <w:sz w:val="18"/>
                <w:szCs w:val="18"/>
                <w:rtl w:val="0"/>
              </w:rPr>
              <w:t>72. Active Std</w:t>
            </w:r>
          </w:p>
        </w:tc>
      </w:tr>
      <w:tr w14:paraId="4ABE40EB">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495">
            <w:pPr>
              <w:keepNext w:val="0"/>
              <w:spacing w:before="0" w:after="0" w:line="240" w:lineRule="auto"/>
              <w:jc w:val="left"/>
            </w:pPr>
            <w:r>
              <w:rPr>
                <w:sz w:val="18"/>
                <w:szCs w:val="18"/>
                <w:rtl w:val="0"/>
              </w:rPr>
              <w:t>21. Fwd IAT Total</w:t>
            </w:r>
          </w:p>
        </w:tc>
        <w:tc>
          <w:tcPr>
            <w:tcBorders>
              <w:top w:val="single" w:color="9AA5B1" w:sz="4" w:space="0"/>
              <w:left w:val="single" w:color="9AA5B1" w:sz="4" w:space="0"/>
              <w:bottom w:val="single" w:color="9AA5B1" w:sz="4" w:space="0"/>
              <w:right w:val="single" w:color="9AA5B1" w:sz="4" w:space="0"/>
            </w:tcBorders>
            <w:vAlign w:val="center"/>
          </w:tcPr>
          <w:p w14:paraId="00000496">
            <w:pPr>
              <w:keepNext w:val="0"/>
              <w:spacing w:before="0" w:after="0" w:line="240" w:lineRule="auto"/>
              <w:jc w:val="left"/>
            </w:pPr>
            <w:r>
              <w:rPr>
                <w:sz w:val="18"/>
                <w:szCs w:val="18"/>
                <w:rtl w:val="0"/>
              </w:rPr>
              <w:t>47. PSH Flag Count</w:t>
            </w:r>
          </w:p>
        </w:tc>
        <w:tc>
          <w:tcPr>
            <w:tcBorders>
              <w:top w:val="single" w:color="9AA5B1" w:sz="4" w:space="0"/>
              <w:left w:val="single" w:color="9AA5B1" w:sz="4" w:space="0"/>
              <w:bottom w:val="single" w:color="9AA5B1" w:sz="4" w:space="0"/>
              <w:right w:val="single" w:color="9AA5B1" w:sz="4" w:space="0"/>
            </w:tcBorders>
            <w:vAlign w:val="center"/>
          </w:tcPr>
          <w:p w14:paraId="00000497">
            <w:pPr>
              <w:keepNext w:val="0"/>
              <w:spacing w:before="0" w:after="0" w:line="240" w:lineRule="auto"/>
              <w:jc w:val="left"/>
            </w:pPr>
            <w:r>
              <w:rPr>
                <w:sz w:val="18"/>
                <w:szCs w:val="18"/>
                <w:rtl w:val="0"/>
              </w:rPr>
              <w:t>73. Active Max</w:t>
            </w:r>
          </w:p>
        </w:tc>
      </w:tr>
      <w:tr w14:paraId="210A5D9D">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98">
            <w:pPr>
              <w:keepNext w:val="0"/>
              <w:spacing w:before="0" w:after="0" w:line="240" w:lineRule="auto"/>
              <w:jc w:val="left"/>
            </w:pPr>
            <w:r>
              <w:rPr>
                <w:sz w:val="18"/>
                <w:szCs w:val="18"/>
                <w:rtl w:val="0"/>
              </w:rPr>
              <w:t>22. Fwd IAT Mean</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99">
            <w:pPr>
              <w:keepNext w:val="0"/>
              <w:spacing w:before="0" w:after="0" w:line="240" w:lineRule="auto"/>
              <w:jc w:val="left"/>
            </w:pPr>
            <w:r>
              <w:rPr>
                <w:sz w:val="18"/>
                <w:szCs w:val="18"/>
                <w:rtl w:val="0"/>
              </w:rPr>
              <w:t>48. ACK Flag Count</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9A">
            <w:pPr>
              <w:keepNext w:val="0"/>
              <w:spacing w:before="0" w:after="0" w:line="240" w:lineRule="auto"/>
              <w:jc w:val="left"/>
            </w:pPr>
            <w:r>
              <w:rPr>
                <w:sz w:val="18"/>
                <w:szCs w:val="18"/>
                <w:rtl w:val="0"/>
              </w:rPr>
              <w:t>74. Active Min</w:t>
            </w:r>
          </w:p>
        </w:tc>
      </w:tr>
      <w:tr w14:paraId="670B0555">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49B">
            <w:pPr>
              <w:keepNext w:val="0"/>
              <w:spacing w:before="0" w:after="0" w:line="240" w:lineRule="auto"/>
              <w:jc w:val="left"/>
            </w:pPr>
            <w:r>
              <w:rPr>
                <w:sz w:val="18"/>
                <w:szCs w:val="18"/>
                <w:rtl w:val="0"/>
              </w:rPr>
              <w:t>23. Fwd IAT Std</w:t>
            </w:r>
          </w:p>
        </w:tc>
        <w:tc>
          <w:tcPr>
            <w:tcBorders>
              <w:top w:val="single" w:color="9AA5B1" w:sz="4" w:space="0"/>
              <w:left w:val="single" w:color="9AA5B1" w:sz="4" w:space="0"/>
              <w:bottom w:val="single" w:color="9AA5B1" w:sz="4" w:space="0"/>
              <w:right w:val="single" w:color="9AA5B1" w:sz="4" w:space="0"/>
            </w:tcBorders>
            <w:vAlign w:val="center"/>
          </w:tcPr>
          <w:p w14:paraId="0000049C">
            <w:pPr>
              <w:keepNext w:val="0"/>
              <w:spacing w:before="0" w:after="0" w:line="240" w:lineRule="auto"/>
              <w:jc w:val="left"/>
            </w:pPr>
            <w:r>
              <w:rPr>
                <w:sz w:val="18"/>
                <w:szCs w:val="18"/>
                <w:rtl w:val="0"/>
              </w:rPr>
              <w:t>49. URG Flag Count</w:t>
            </w:r>
          </w:p>
        </w:tc>
        <w:tc>
          <w:tcPr>
            <w:tcBorders>
              <w:top w:val="single" w:color="9AA5B1" w:sz="4" w:space="0"/>
              <w:left w:val="single" w:color="9AA5B1" w:sz="4" w:space="0"/>
              <w:bottom w:val="single" w:color="9AA5B1" w:sz="4" w:space="0"/>
              <w:right w:val="single" w:color="9AA5B1" w:sz="4" w:space="0"/>
            </w:tcBorders>
            <w:vAlign w:val="center"/>
          </w:tcPr>
          <w:p w14:paraId="0000049D">
            <w:pPr>
              <w:keepNext w:val="0"/>
              <w:spacing w:before="0" w:after="0" w:line="240" w:lineRule="auto"/>
              <w:jc w:val="left"/>
            </w:pPr>
            <w:r>
              <w:rPr>
                <w:sz w:val="18"/>
                <w:szCs w:val="18"/>
                <w:rtl w:val="0"/>
              </w:rPr>
              <w:t>75. Idle Mean</w:t>
            </w:r>
          </w:p>
        </w:tc>
      </w:tr>
      <w:tr w14:paraId="3FB9F4FA">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9E">
            <w:pPr>
              <w:keepNext w:val="0"/>
              <w:spacing w:before="0" w:after="0" w:line="240" w:lineRule="auto"/>
              <w:jc w:val="left"/>
            </w:pPr>
            <w:r>
              <w:rPr>
                <w:sz w:val="18"/>
                <w:szCs w:val="18"/>
                <w:rtl w:val="0"/>
              </w:rPr>
              <w:t>24. Fwd IAT Max</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9F">
            <w:pPr>
              <w:keepNext w:val="0"/>
              <w:spacing w:before="0" w:after="0" w:line="240" w:lineRule="auto"/>
              <w:jc w:val="left"/>
            </w:pPr>
            <w:r>
              <w:rPr>
                <w:sz w:val="18"/>
                <w:szCs w:val="18"/>
                <w:rtl w:val="0"/>
              </w:rPr>
              <w:t>50. CWE Flag Count</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A0">
            <w:pPr>
              <w:keepNext w:val="0"/>
              <w:spacing w:before="0" w:after="0" w:line="240" w:lineRule="auto"/>
              <w:jc w:val="left"/>
            </w:pPr>
            <w:r>
              <w:rPr>
                <w:sz w:val="18"/>
                <w:szCs w:val="18"/>
                <w:rtl w:val="0"/>
              </w:rPr>
              <w:t>76. Idle Std</w:t>
            </w:r>
          </w:p>
        </w:tc>
      </w:tr>
      <w:tr w14:paraId="23B79282">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4A1">
            <w:pPr>
              <w:keepNext w:val="0"/>
              <w:spacing w:before="0" w:after="0" w:line="240" w:lineRule="auto"/>
              <w:jc w:val="left"/>
            </w:pPr>
            <w:r>
              <w:rPr>
                <w:sz w:val="18"/>
                <w:szCs w:val="18"/>
                <w:rtl w:val="0"/>
              </w:rPr>
              <w:t>25. Fwd IAT Min</w:t>
            </w:r>
          </w:p>
        </w:tc>
        <w:tc>
          <w:tcPr>
            <w:tcBorders>
              <w:top w:val="single" w:color="9AA5B1" w:sz="4" w:space="0"/>
              <w:left w:val="single" w:color="9AA5B1" w:sz="4" w:space="0"/>
              <w:bottom w:val="single" w:color="9AA5B1" w:sz="4" w:space="0"/>
              <w:right w:val="single" w:color="9AA5B1" w:sz="4" w:space="0"/>
            </w:tcBorders>
            <w:vAlign w:val="center"/>
          </w:tcPr>
          <w:p w14:paraId="000004A2">
            <w:pPr>
              <w:keepNext w:val="0"/>
              <w:spacing w:before="0" w:after="0" w:line="240" w:lineRule="auto"/>
              <w:jc w:val="left"/>
            </w:pPr>
            <w:r>
              <w:rPr>
                <w:sz w:val="18"/>
                <w:szCs w:val="18"/>
                <w:rtl w:val="0"/>
              </w:rPr>
              <w:t>51. ECE Flag Count</w:t>
            </w:r>
          </w:p>
        </w:tc>
        <w:tc>
          <w:tcPr>
            <w:tcBorders>
              <w:top w:val="single" w:color="9AA5B1" w:sz="4" w:space="0"/>
              <w:left w:val="single" w:color="9AA5B1" w:sz="4" w:space="0"/>
              <w:bottom w:val="single" w:color="9AA5B1" w:sz="4" w:space="0"/>
              <w:right w:val="single" w:color="9AA5B1" w:sz="4" w:space="0"/>
            </w:tcBorders>
            <w:vAlign w:val="center"/>
          </w:tcPr>
          <w:p w14:paraId="000004A3">
            <w:pPr>
              <w:keepNext w:val="0"/>
              <w:spacing w:before="0" w:after="0" w:line="240" w:lineRule="auto"/>
              <w:jc w:val="left"/>
            </w:pPr>
            <w:r>
              <w:rPr>
                <w:sz w:val="18"/>
                <w:szCs w:val="18"/>
                <w:rtl w:val="0"/>
              </w:rPr>
              <w:t>77. Idle Max</w:t>
            </w:r>
          </w:p>
        </w:tc>
      </w:tr>
      <w:tr w14:paraId="55BC4DA8">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A4">
            <w:pPr>
              <w:keepNext w:val="0"/>
              <w:spacing w:before="0" w:after="0" w:line="240" w:lineRule="auto"/>
              <w:jc w:val="left"/>
            </w:pPr>
            <w:r>
              <w:rPr>
                <w:sz w:val="18"/>
                <w:szCs w:val="18"/>
                <w:rtl w:val="0"/>
              </w:rPr>
              <w:t>26. Bwd IAT Total</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A5">
            <w:pPr>
              <w:keepNext w:val="0"/>
              <w:spacing w:before="0" w:after="0" w:line="240" w:lineRule="auto"/>
              <w:jc w:val="left"/>
            </w:pPr>
            <w:r>
              <w:rPr>
                <w:sz w:val="18"/>
                <w:szCs w:val="18"/>
                <w:rtl w:val="0"/>
              </w:rPr>
              <w:t>52. Down/Up Ratio</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A6">
            <w:pPr>
              <w:keepNext w:val="0"/>
              <w:spacing w:before="0" w:after="0" w:line="240" w:lineRule="auto"/>
              <w:jc w:val="left"/>
            </w:pPr>
            <w:r>
              <w:rPr>
                <w:sz w:val="18"/>
                <w:szCs w:val="18"/>
                <w:rtl w:val="0"/>
              </w:rPr>
              <w:t>78. Idle Min</w:t>
            </w:r>
          </w:p>
        </w:tc>
      </w:tr>
    </w:tbl>
    <w:p w14:paraId="000004A7">
      <w:pPr>
        <w:spacing w:before="0" w:after="120"/>
      </w:pPr>
      <w:r>
        <w:br w:type="page"/>
      </w:r>
    </w:p>
    <w:p w14:paraId="000004A8">
      <w:pPr>
        <w:pStyle w:val="2"/>
        <w:rPr>
          <w:color w:val="000000"/>
        </w:rPr>
      </w:pPr>
      <w:bookmarkStart w:id="117" w:name="_3whogry7nsbs" w:colFirst="0" w:colLast="0"/>
      <w:bookmarkEnd w:id="117"/>
      <w:r>
        <w:rPr>
          <w:color w:val="000000"/>
          <w:rtl w:val="0"/>
        </w:rPr>
        <w:t>APPENDIX H: RUN LOG FROM THE REPRODUCIBILITY CHECK</w:t>
      </w:r>
    </w:p>
    <w:p w14:paraId="000004A9">
      <w:pPr>
        <w:jc w:val="both"/>
      </w:pPr>
      <w:r>
        <w:rPr>
          <w:rtl w:val="0"/>
        </w:rPr>
        <w:t>The log below is transcribed from the terminal output in Figure 5.6 and Figure 5.7 (Kali Linux machine, 24 September 2026). It is reproduced here in text form so that the figures can be searched and copied.</w:t>
      </w:r>
    </w:p>
    <w:p w14:paraId="000004AA">
      <w:pPr>
        <w:shd w:val="clear" w:fill="F3F4F6"/>
        <w:spacing w:before="120" w:after="0" w:line="240" w:lineRule="auto"/>
        <w:ind w:left="120" w:right="120" w:firstLine="0"/>
      </w:pPr>
      <w:r>
        <w:rPr>
          <w:rFonts w:ascii="Consolas" w:hAnsi="Consolas" w:eastAsia="Consolas" w:cs="Consolas"/>
          <w:sz w:val="16"/>
          <w:szCs w:val="16"/>
          <w:rtl w:val="0"/>
        </w:rPr>
        <w:t>$ python -m src.make_synthetic_data</w:t>
      </w:r>
    </w:p>
    <w:p w14:paraId="000004AB">
      <w:pPr>
        <w:shd w:val="clear" w:fill="F3F4F6"/>
        <w:spacing w:before="0" w:after="0" w:line="240" w:lineRule="auto"/>
        <w:ind w:left="120" w:right="120" w:firstLine="0"/>
      </w:pPr>
      <w:r>
        <w:rPr>
          <w:rFonts w:ascii="Consolas" w:hAnsi="Consolas" w:eastAsia="Consolas" w:cs="Consolas"/>
          <w:sz w:val="16"/>
          <w:szCs w:val="16"/>
          <w:rtl w:val="0"/>
        </w:rPr>
        <w:t>Wrote 5050 synthetic rows to .../nids_xai/data/raw/synthetic_sample.csv</w:t>
      </w:r>
    </w:p>
    <w:p w14:paraId="000004AC">
      <w:pPr>
        <w:shd w:val="clear" w:fill="F3F4F6"/>
        <w:spacing w:before="0" w:after="0" w:line="240" w:lineRule="auto"/>
        <w:ind w:left="120" w:right="120" w:firstLine="0"/>
      </w:pPr>
      <w:r>
        <w:rPr>
          <w:rFonts w:ascii="Consolas" w:hAnsi="Consolas" w:eastAsia="Consolas" w:cs="Consolas"/>
          <w:sz w:val="16"/>
          <w:szCs w:val="16"/>
          <w:rtl w:val="0"/>
        </w:rPr>
        <w:t>Now run:  python -m src.main   (or with --skip-explainability for a faster smoke test)</w:t>
      </w:r>
    </w:p>
    <w:p w14:paraId="000004AD">
      <w:pPr>
        <w:shd w:val="clear" w:fill="F3F4F6"/>
        <w:spacing w:before="0" w:after="0" w:line="240" w:lineRule="auto"/>
        <w:ind w:left="120" w:right="120" w:firstLine="0"/>
      </w:pPr>
      <w:r>
        <w:rPr>
          <w:rFonts w:ascii="Consolas" w:hAnsi="Consolas" w:eastAsia="Consolas" w:cs="Consolas"/>
          <w:sz w:val="16"/>
          <w:szCs w:val="16"/>
          <w:rtl w:val="0"/>
        </w:rPr>
        <w:t xml:space="preserve"> </w:t>
      </w:r>
    </w:p>
    <w:p w14:paraId="000004AE">
      <w:pPr>
        <w:shd w:val="clear" w:fill="F3F4F6"/>
        <w:spacing w:before="0" w:after="0" w:line="240" w:lineRule="auto"/>
        <w:ind w:left="120" w:right="120" w:firstLine="0"/>
      </w:pPr>
      <w:r>
        <w:rPr>
          <w:rFonts w:ascii="Consolas" w:hAnsi="Consolas" w:eastAsia="Consolas" w:cs="Consolas"/>
          <w:sz w:val="16"/>
          <w:szCs w:val="16"/>
          <w:rtl w:val="0"/>
        </w:rPr>
        <w:t>$ python -m src.main --skip-explainability</w:t>
      </w:r>
    </w:p>
    <w:p w14:paraId="000004AF">
      <w:pPr>
        <w:shd w:val="clear" w:fill="F3F4F6"/>
        <w:spacing w:before="0" w:after="0" w:line="240" w:lineRule="auto"/>
        <w:ind w:left="120" w:right="120" w:firstLine="0"/>
      </w:pPr>
      <w:r>
        <w:rPr>
          <w:rFonts w:ascii="Consolas" w:hAnsi="Consolas" w:eastAsia="Consolas" w:cs="Consolas"/>
          <w:sz w:val="16"/>
          <w:szCs w:val="16"/>
          <w:rtl w:val="0"/>
        </w:rPr>
        <w:t>18:32:10,849 [INFO] main: Stage 1-2: loading and preprocessing CICIDS2017</w:t>
      </w:r>
    </w:p>
    <w:p w14:paraId="000004B0">
      <w:pPr>
        <w:shd w:val="clear" w:fill="F3F4F6"/>
        <w:spacing w:before="0" w:after="0" w:line="240" w:lineRule="auto"/>
        <w:ind w:left="120" w:right="120" w:firstLine="0"/>
      </w:pPr>
      <w:r>
        <w:rPr>
          <w:rFonts w:ascii="Consolas" w:hAnsi="Consolas" w:eastAsia="Consolas" w:cs="Consolas"/>
          <w:sz w:val="16"/>
          <w:szCs w:val="16"/>
          <w:rtl w:val="0"/>
        </w:rPr>
        <w:t>18:32:10,849 [INFO] src.data_preprocessing: Loading 9 CICIDS2017 CSV files from .../data/raw</w:t>
      </w:r>
    </w:p>
    <w:p w14:paraId="000004B1">
      <w:pPr>
        <w:shd w:val="clear" w:fill="F3F4F6"/>
        <w:spacing w:before="0" w:after="0" w:line="240" w:lineRule="auto"/>
        <w:ind w:left="120" w:right="120" w:firstLine="0"/>
      </w:pPr>
      <w:r>
        <w:rPr>
          <w:rFonts w:ascii="Consolas" w:hAnsi="Consolas" w:eastAsia="Consolas" w:cs="Consolas"/>
          <w:sz w:val="16"/>
          <w:szCs w:val="16"/>
          <w:rtl w:val="0"/>
        </w:rPr>
        <w:t>18:32:34,899 [INFO] src.data_preprocessing: Combined raw shape: (2835793, 79)</w:t>
      </w:r>
    </w:p>
    <w:p w14:paraId="000004B2">
      <w:pPr>
        <w:shd w:val="clear" w:fill="F3F4F6"/>
        <w:spacing w:before="0" w:after="0" w:line="240" w:lineRule="auto"/>
        <w:ind w:left="120" w:right="120" w:firstLine="0"/>
      </w:pPr>
      <w:r>
        <w:rPr>
          <w:rFonts w:ascii="Consolas" w:hAnsi="Consolas" w:eastAsia="Consolas" w:cs="Consolas"/>
          <w:sz w:val="16"/>
          <w:szCs w:val="16"/>
          <w:rtl w:val="0"/>
        </w:rPr>
        <w:t>18:33:05,243 [INFO] src.data_preprocessing: Cleaning: 2835793 -&gt; 2520798 rows (314995 removed, 11.11%)</w:t>
      </w:r>
    </w:p>
    <w:p w14:paraId="000004B3">
      <w:pPr>
        <w:shd w:val="clear" w:fill="F3F4F6"/>
        <w:spacing w:before="0" w:after="0" w:line="240" w:lineRule="auto"/>
        <w:ind w:left="120" w:right="120" w:firstLine="0"/>
      </w:pPr>
      <w:r>
        <w:rPr>
          <w:rFonts w:ascii="Consolas" w:hAnsi="Consolas" w:eastAsia="Consolas" w:cs="Consolas"/>
          <w:sz w:val="16"/>
          <w:szCs w:val="16"/>
          <w:rtl w:val="0"/>
        </w:rPr>
        <w:t>18:33:06,691 [INFO] src.data_preprocessing: Subsampling 2520798 rows down to SUBSAMPLE_N=300000</w:t>
      </w:r>
    </w:p>
    <w:p w14:paraId="000004B4">
      <w:pPr>
        <w:shd w:val="clear" w:fill="F3F4F6"/>
        <w:spacing w:before="0" w:after="0" w:line="240" w:lineRule="auto"/>
        <w:ind w:left="120" w:right="120" w:firstLine="0"/>
      </w:pPr>
      <w:r>
        <w:rPr>
          <w:rFonts w:ascii="Consolas" w:hAnsi="Consolas" w:eastAsia="Consolas" w:cs="Consolas"/>
          <w:sz w:val="16"/>
          <w:szCs w:val="16"/>
          <w:rtl w:val="0"/>
        </w:rPr>
        <w:t>18:33:10,576 [INFO] src.data_preprocessing: Class distribution before SMOTE: {0: 199276, 1: 40724}</w:t>
      </w:r>
    </w:p>
    <w:p w14:paraId="000004B5">
      <w:pPr>
        <w:shd w:val="clear" w:fill="F3F4F6"/>
        <w:spacing w:before="0" w:after="0" w:line="240" w:lineRule="auto"/>
        <w:ind w:left="120" w:right="120" w:firstLine="0"/>
      </w:pPr>
      <w:r>
        <w:rPr>
          <w:rFonts w:ascii="Consolas" w:hAnsi="Consolas" w:eastAsia="Consolas" w:cs="Consolas"/>
          <w:sz w:val="16"/>
          <w:szCs w:val="16"/>
          <w:rtl w:val="0"/>
        </w:rPr>
        <w:t>18:33:18,381 [INFO] src.data_preprocessing: Class distribution after SMOTE: {0: 199276, 1: 199276}</w:t>
      </w:r>
    </w:p>
    <w:p w14:paraId="000004B6">
      <w:pPr>
        <w:shd w:val="clear" w:fill="F3F4F6"/>
        <w:spacing w:before="0" w:after="0" w:line="240" w:lineRule="auto"/>
        <w:ind w:left="120" w:right="120" w:firstLine="0"/>
      </w:pPr>
      <w:r>
        <w:rPr>
          <w:rFonts w:ascii="Consolas" w:hAnsi="Consolas" w:eastAsia="Consolas" w:cs="Consolas"/>
          <w:sz w:val="16"/>
          <w:szCs w:val="16"/>
          <w:rtl w:val="0"/>
        </w:rPr>
        <w:t>18:33:18,391 [INFO] main: Train shape (398552, 78), test shape (60000, 78)</w:t>
      </w:r>
    </w:p>
    <w:p w14:paraId="000004B7">
      <w:pPr>
        <w:shd w:val="clear" w:fill="F3F4F6"/>
        <w:spacing w:before="0" w:after="0" w:line="240" w:lineRule="auto"/>
        <w:ind w:left="120" w:right="120" w:firstLine="0"/>
      </w:pPr>
      <w:r>
        <w:rPr>
          <w:rFonts w:ascii="Consolas" w:hAnsi="Consolas" w:eastAsia="Consolas" w:cs="Consolas"/>
          <w:sz w:val="16"/>
          <w:szCs w:val="16"/>
          <w:rtl w:val="0"/>
        </w:rPr>
        <w:t>18:33:18,391 [INFO] main: Stage 3: training models</w:t>
      </w:r>
    </w:p>
    <w:p w14:paraId="000004B8">
      <w:pPr>
        <w:shd w:val="clear" w:fill="F3F4F6"/>
        <w:spacing w:before="0" w:after="0" w:line="240" w:lineRule="auto"/>
        <w:ind w:left="120" w:right="120" w:firstLine="0"/>
      </w:pPr>
      <w:r>
        <w:rPr>
          <w:rFonts w:ascii="Consolas" w:hAnsi="Consolas" w:eastAsia="Consolas" w:cs="Consolas"/>
          <w:sz w:val="16"/>
          <w:szCs w:val="16"/>
          <w:rtl w:val="0"/>
        </w:rPr>
        <w:t>18:33:18,392 [INFO] main: === Training Random Forest ===</w:t>
      </w:r>
    </w:p>
    <w:p w14:paraId="000004B9">
      <w:pPr>
        <w:shd w:val="clear" w:fill="F3F4F6"/>
        <w:spacing w:before="0" w:after="160" w:line="240" w:lineRule="auto"/>
        <w:ind w:left="120" w:right="120" w:firstLine="0"/>
      </w:pPr>
      <w:r>
        <w:rPr>
          <w:rFonts w:ascii="Consolas" w:hAnsi="Consolas" w:eastAsia="Consolas" w:cs="Consolas"/>
          <w:sz w:val="16"/>
          <w:szCs w:val="16"/>
          <w:rtl w:val="0"/>
        </w:rPr>
        <w:t>Fitting 5 folds for each of 10 candidates, totalling 50 fits</w:t>
      </w:r>
    </w:p>
    <w:p w14:paraId="000004BA">
      <w:pPr>
        <w:keepNext/>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00" w:after="80" w:line="259" w:lineRule="auto"/>
        <w:ind w:left="0" w:right="0" w:firstLine="0"/>
        <w:jc w:val="center"/>
        <w:rPr>
          <w:rFonts w:ascii="Times New Roman" w:hAnsi="Times New Roman" w:eastAsia="Times New Roman" w:cs="Times New Roman"/>
          <w:b w:val="0"/>
          <w:bCs w:val="0"/>
          <w:i w:val="0"/>
          <w:iCs w:val="0"/>
          <w:smallCaps w:val="0"/>
          <w:strike w:val="0"/>
          <w:sz w:val="20"/>
          <w:szCs w:val="20"/>
          <w:u w:val="none"/>
          <w:shd w:val="clear" w:fill="auto"/>
          <w:vertAlign w:val="baseline"/>
        </w:rPr>
      </w:pPr>
      <w:bookmarkStart w:id="118" w:name="_xhye1h3u9jjw" w:colFirst="0" w:colLast="0"/>
      <w:bookmarkEnd w:id="118"/>
      <w:r>
        <w:rPr>
          <w:rFonts w:ascii="Times New Roman" w:hAnsi="Times New Roman" w:eastAsia="Times New Roman" w:cs="Times New Roman"/>
          <w:b/>
          <w:bCs/>
          <w:i w:val="0"/>
          <w:iCs w:val="0"/>
          <w:smallCaps w:val="0"/>
          <w:strike w:val="0"/>
          <w:sz w:val="20"/>
          <w:szCs w:val="20"/>
          <w:u w:val="none"/>
          <w:shd w:val="clear" w:fill="auto"/>
          <w:vertAlign w:val="baseline"/>
          <w:rtl w:val="0"/>
        </w:rPr>
        <w:t xml:space="preserve">Table H.1: </w:t>
      </w:r>
      <w:r>
        <w:rPr>
          <w:rFonts w:ascii="Times New Roman" w:hAnsi="Times New Roman" w:eastAsia="Times New Roman" w:cs="Times New Roman"/>
          <w:b w:val="0"/>
          <w:bCs w:val="0"/>
          <w:i w:val="0"/>
          <w:iCs w:val="0"/>
          <w:smallCaps w:val="0"/>
          <w:strike w:val="0"/>
          <w:sz w:val="20"/>
          <w:szCs w:val="20"/>
          <w:u w:val="none"/>
          <w:shd w:val="clear" w:fill="auto"/>
          <w:vertAlign w:val="baseline"/>
          <w:rtl w:val="0"/>
        </w:rPr>
        <w:t>Primary run compared with the reproducibility run</w:t>
      </w:r>
    </w:p>
    <w:tbl>
      <w:tblPr>
        <w:tblStyle w:val="32"/>
        <w:tblW w:w="8503" w:type="dxa"/>
        <w:tblInd w:w="-90" w:type="dxa"/>
        <w:tblLayout w:type="fixed"/>
        <w:tblCellMar>
          <w:top w:w="50" w:type="dxa"/>
          <w:left w:w="90" w:type="dxa"/>
          <w:bottom w:w="50" w:type="dxa"/>
          <w:right w:w="90" w:type="dxa"/>
        </w:tblCellMar>
      </w:tblPr>
      <w:tblGrid>
        <w:gridCol w:w="2153"/>
        <w:gridCol w:w="1934"/>
        <w:gridCol w:w="2389"/>
        <w:gridCol w:w="2027"/>
      </w:tblGrid>
      <w:tr w14:paraId="3D66875C">
        <w:tblPrEx>
          <w:tblCellMar>
            <w:top w:w="50" w:type="dxa"/>
            <w:left w:w="90" w:type="dxa"/>
            <w:bottom w:w="50" w:type="dxa"/>
            <w:right w:w="90" w:type="dxa"/>
          </w:tblCellMar>
        </w:tblPrEx>
        <w:trPr>
          <w:cantSplit/>
          <w:tblHeader/>
        </w:trPr>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4BB">
            <w:pPr>
              <w:keepNext/>
              <w:spacing w:before="0" w:after="0" w:line="240" w:lineRule="auto"/>
              <w:jc w:val="left"/>
            </w:pPr>
            <w:r>
              <w:rPr>
                <w:b/>
                <w:bCs/>
                <w:sz w:val="20"/>
                <w:szCs w:val="20"/>
                <w:rtl w:val="0"/>
              </w:rPr>
              <w:t>Quantity</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4BC">
            <w:pPr>
              <w:keepNext/>
              <w:spacing w:before="0" w:after="0" w:line="240" w:lineRule="auto"/>
              <w:jc w:val="left"/>
            </w:pPr>
            <w:r>
              <w:rPr>
                <w:b/>
                <w:bCs/>
                <w:sz w:val="20"/>
                <w:szCs w:val="20"/>
                <w:rtl w:val="0"/>
              </w:rPr>
              <w:t>Primary run (Windows)</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4BD">
            <w:pPr>
              <w:keepNext/>
              <w:spacing w:before="0" w:after="0" w:line="240" w:lineRule="auto"/>
              <w:jc w:val="left"/>
            </w:pPr>
            <w:r>
              <w:rPr>
                <w:b/>
                <w:bCs/>
                <w:sz w:val="20"/>
                <w:szCs w:val="20"/>
                <w:rtl w:val="0"/>
              </w:rPr>
              <w:t>Reproducibility run (Kali Linux)</w:t>
            </w:r>
          </w:p>
        </w:tc>
        <w:tc>
          <w:tcPr>
            <w:tcBorders>
              <w:top w:val="single" w:color="9AA5B1" w:sz="4" w:space="0"/>
              <w:left w:val="single" w:color="9AA5B1" w:sz="4" w:space="0"/>
              <w:bottom w:val="single" w:color="9AA5B1" w:sz="4" w:space="0"/>
              <w:right w:val="single" w:color="9AA5B1" w:sz="4" w:space="0"/>
            </w:tcBorders>
            <w:shd w:val="clear" w:color="auto" w:fill="1F3A5F"/>
            <w:vAlign w:val="center"/>
          </w:tcPr>
          <w:p w14:paraId="000004BE">
            <w:pPr>
              <w:keepNext/>
              <w:spacing w:before="0" w:after="0" w:line="240" w:lineRule="auto"/>
              <w:jc w:val="left"/>
            </w:pPr>
            <w:r>
              <w:rPr>
                <w:b/>
                <w:bCs/>
                <w:sz w:val="20"/>
                <w:szCs w:val="20"/>
                <w:rtl w:val="0"/>
              </w:rPr>
              <w:t>Difference</w:t>
            </w:r>
          </w:p>
        </w:tc>
      </w:tr>
      <w:tr w14:paraId="3FB62A7D">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4BF">
            <w:pPr>
              <w:keepNext/>
              <w:spacing w:before="0" w:after="0" w:line="240" w:lineRule="auto"/>
              <w:jc w:val="left"/>
            </w:pPr>
            <w:r>
              <w:rPr>
                <w:sz w:val="20"/>
                <w:szCs w:val="20"/>
                <w:rtl w:val="0"/>
              </w:rPr>
              <w:t>CSV files loaded</w:t>
            </w:r>
          </w:p>
        </w:tc>
        <w:tc>
          <w:tcPr>
            <w:tcBorders>
              <w:top w:val="single" w:color="9AA5B1" w:sz="4" w:space="0"/>
              <w:left w:val="single" w:color="9AA5B1" w:sz="4" w:space="0"/>
              <w:bottom w:val="single" w:color="9AA5B1" w:sz="4" w:space="0"/>
              <w:right w:val="single" w:color="9AA5B1" w:sz="4" w:space="0"/>
            </w:tcBorders>
            <w:vAlign w:val="center"/>
          </w:tcPr>
          <w:p w14:paraId="000004C0">
            <w:pPr>
              <w:keepNext/>
              <w:spacing w:before="0" w:after="0" w:line="240" w:lineRule="auto"/>
              <w:jc w:val="left"/>
            </w:pPr>
            <w:r>
              <w:rPr>
                <w:sz w:val="20"/>
                <w:szCs w:val="20"/>
                <w:rtl w:val="0"/>
              </w:rPr>
              <w:t>8</w:t>
            </w:r>
          </w:p>
        </w:tc>
        <w:tc>
          <w:tcPr>
            <w:tcBorders>
              <w:top w:val="single" w:color="9AA5B1" w:sz="4" w:space="0"/>
              <w:left w:val="single" w:color="9AA5B1" w:sz="4" w:space="0"/>
              <w:bottom w:val="single" w:color="9AA5B1" w:sz="4" w:space="0"/>
              <w:right w:val="single" w:color="9AA5B1" w:sz="4" w:space="0"/>
            </w:tcBorders>
            <w:vAlign w:val="center"/>
          </w:tcPr>
          <w:p w14:paraId="000004C1">
            <w:pPr>
              <w:keepNext/>
              <w:spacing w:before="0" w:after="0" w:line="240" w:lineRule="auto"/>
              <w:jc w:val="left"/>
            </w:pPr>
            <w:r>
              <w:rPr>
                <w:sz w:val="20"/>
                <w:szCs w:val="20"/>
                <w:rtl w:val="0"/>
              </w:rPr>
              <w:t>9 (8 real + synthetic)</w:t>
            </w:r>
          </w:p>
        </w:tc>
        <w:tc>
          <w:tcPr>
            <w:tcBorders>
              <w:top w:val="single" w:color="9AA5B1" w:sz="4" w:space="0"/>
              <w:left w:val="single" w:color="9AA5B1" w:sz="4" w:space="0"/>
              <w:bottom w:val="single" w:color="9AA5B1" w:sz="4" w:space="0"/>
              <w:right w:val="single" w:color="9AA5B1" w:sz="4" w:space="0"/>
            </w:tcBorders>
            <w:vAlign w:val="center"/>
          </w:tcPr>
          <w:p w14:paraId="000004C2">
            <w:pPr>
              <w:keepNext/>
              <w:spacing w:before="0" w:after="0" w:line="240" w:lineRule="auto"/>
              <w:jc w:val="left"/>
            </w:pPr>
            <w:r>
              <w:rPr>
                <w:sz w:val="20"/>
                <w:szCs w:val="20"/>
                <w:rtl w:val="0"/>
              </w:rPr>
              <w:t>+1 file</w:t>
            </w:r>
          </w:p>
        </w:tc>
      </w:tr>
      <w:tr w14:paraId="0A643AAC">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C3">
            <w:pPr>
              <w:keepNext/>
              <w:spacing w:before="0" w:after="0" w:line="240" w:lineRule="auto"/>
              <w:jc w:val="left"/>
            </w:pPr>
            <w:r>
              <w:rPr>
                <w:sz w:val="20"/>
                <w:szCs w:val="20"/>
                <w:rtl w:val="0"/>
              </w:rPr>
              <w:t>Raw rows</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C4">
            <w:pPr>
              <w:keepNext/>
              <w:spacing w:before="0" w:after="0" w:line="240" w:lineRule="auto"/>
              <w:jc w:val="left"/>
            </w:pPr>
            <w:r>
              <w:rPr>
                <w:sz w:val="20"/>
                <w:szCs w:val="20"/>
                <w:rtl w:val="0"/>
              </w:rPr>
              <w:t>2,830,743</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C5">
            <w:pPr>
              <w:keepNext/>
              <w:spacing w:before="0" w:after="0" w:line="240" w:lineRule="auto"/>
              <w:jc w:val="left"/>
            </w:pPr>
            <w:r>
              <w:rPr>
                <w:sz w:val="20"/>
                <w:szCs w:val="20"/>
                <w:rtl w:val="0"/>
              </w:rPr>
              <w:t>2,835,793</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C6">
            <w:pPr>
              <w:keepNext/>
              <w:spacing w:before="0" w:after="0" w:line="240" w:lineRule="auto"/>
              <w:jc w:val="left"/>
            </w:pPr>
            <w:r>
              <w:rPr>
                <w:sz w:val="20"/>
                <w:szCs w:val="20"/>
                <w:rtl w:val="0"/>
              </w:rPr>
              <w:t>+5,050 (synthetic rows)</w:t>
            </w:r>
          </w:p>
        </w:tc>
      </w:tr>
      <w:tr w14:paraId="160FE65D">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4C7">
            <w:pPr>
              <w:keepNext/>
              <w:spacing w:before="0" w:after="0" w:line="240" w:lineRule="auto"/>
              <w:jc w:val="left"/>
            </w:pPr>
            <w:r>
              <w:rPr>
                <w:sz w:val="20"/>
                <w:szCs w:val="20"/>
                <w:rtl w:val="0"/>
              </w:rPr>
              <w:t>Rows removed in cleaning</w:t>
            </w:r>
          </w:p>
        </w:tc>
        <w:tc>
          <w:tcPr>
            <w:tcBorders>
              <w:top w:val="single" w:color="9AA5B1" w:sz="4" w:space="0"/>
              <w:left w:val="single" w:color="9AA5B1" w:sz="4" w:space="0"/>
              <w:bottom w:val="single" w:color="9AA5B1" w:sz="4" w:space="0"/>
              <w:right w:val="single" w:color="9AA5B1" w:sz="4" w:space="0"/>
            </w:tcBorders>
            <w:vAlign w:val="center"/>
          </w:tcPr>
          <w:p w14:paraId="000004C8">
            <w:pPr>
              <w:keepNext/>
              <w:spacing w:before="0" w:after="0" w:line="240" w:lineRule="auto"/>
              <w:jc w:val="left"/>
            </w:pPr>
            <w:r>
              <w:rPr>
                <w:sz w:val="20"/>
                <w:szCs w:val="20"/>
                <w:rtl w:val="0"/>
              </w:rPr>
              <w:t>309,945 (10.95%)</w:t>
            </w:r>
          </w:p>
        </w:tc>
        <w:tc>
          <w:tcPr>
            <w:tcBorders>
              <w:top w:val="single" w:color="9AA5B1" w:sz="4" w:space="0"/>
              <w:left w:val="single" w:color="9AA5B1" w:sz="4" w:space="0"/>
              <w:bottom w:val="single" w:color="9AA5B1" w:sz="4" w:space="0"/>
              <w:right w:val="single" w:color="9AA5B1" w:sz="4" w:space="0"/>
            </w:tcBorders>
            <w:vAlign w:val="center"/>
          </w:tcPr>
          <w:p w14:paraId="000004C9">
            <w:pPr>
              <w:keepNext/>
              <w:spacing w:before="0" w:after="0" w:line="240" w:lineRule="auto"/>
              <w:jc w:val="left"/>
            </w:pPr>
            <w:r>
              <w:rPr>
                <w:sz w:val="20"/>
                <w:szCs w:val="20"/>
                <w:rtl w:val="0"/>
              </w:rPr>
              <w:t>314,995 (11.11%)</w:t>
            </w:r>
          </w:p>
        </w:tc>
        <w:tc>
          <w:tcPr>
            <w:tcBorders>
              <w:top w:val="single" w:color="9AA5B1" w:sz="4" w:space="0"/>
              <w:left w:val="single" w:color="9AA5B1" w:sz="4" w:space="0"/>
              <w:bottom w:val="single" w:color="9AA5B1" w:sz="4" w:space="0"/>
              <w:right w:val="single" w:color="9AA5B1" w:sz="4" w:space="0"/>
            </w:tcBorders>
            <w:vAlign w:val="center"/>
          </w:tcPr>
          <w:p w14:paraId="000004CA">
            <w:pPr>
              <w:keepNext/>
              <w:spacing w:before="0" w:after="0" w:line="240" w:lineRule="auto"/>
              <w:jc w:val="left"/>
            </w:pPr>
            <w:r>
              <w:rPr>
                <w:sz w:val="20"/>
                <w:szCs w:val="20"/>
                <w:rtl w:val="0"/>
              </w:rPr>
              <w:t>+5,050</w:t>
            </w:r>
          </w:p>
        </w:tc>
      </w:tr>
      <w:tr w14:paraId="7F8EBAF9">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CB">
            <w:pPr>
              <w:keepNext/>
              <w:spacing w:before="0" w:after="0" w:line="240" w:lineRule="auto"/>
              <w:jc w:val="left"/>
            </w:pPr>
            <w:r>
              <w:rPr>
                <w:sz w:val="20"/>
                <w:szCs w:val="20"/>
                <w:rtl w:val="0"/>
              </w:rPr>
              <w:t>Cleaned rows</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CC">
            <w:pPr>
              <w:keepNext/>
              <w:spacing w:before="0" w:after="0" w:line="240" w:lineRule="auto"/>
              <w:jc w:val="left"/>
            </w:pPr>
            <w:r>
              <w:rPr>
                <w:sz w:val="20"/>
                <w:szCs w:val="20"/>
                <w:rtl w:val="0"/>
              </w:rPr>
              <w:t>2,520,798</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CD">
            <w:pPr>
              <w:keepNext/>
              <w:spacing w:before="0" w:after="0" w:line="240" w:lineRule="auto"/>
              <w:jc w:val="left"/>
            </w:pPr>
            <w:r>
              <w:rPr>
                <w:sz w:val="20"/>
                <w:szCs w:val="20"/>
                <w:rtl w:val="0"/>
              </w:rPr>
              <w:t>2,520,798</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CE">
            <w:pPr>
              <w:keepNext/>
              <w:spacing w:before="0" w:after="0" w:line="240" w:lineRule="auto"/>
              <w:jc w:val="left"/>
            </w:pPr>
            <w:r>
              <w:rPr>
                <w:sz w:val="20"/>
                <w:szCs w:val="20"/>
                <w:rtl w:val="0"/>
              </w:rPr>
              <w:t>None</w:t>
            </w:r>
          </w:p>
        </w:tc>
      </w:tr>
      <w:tr w14:paraId="17066FD3">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4CF">
            <w:pPr>
              <w:keepNext/>
              <w:spacing w:before="0" w:after="0" w:line="240" w:lineRule="auto"/>
              <w:jc w:val="left"/>
            </w:pPr>
            <w:r>
              <w:rPr>
                <w:sz w:val="20"/>
                <w:szCs w:val="20"/>
                <w:rtl w:val="0"/>
              </w:rPr>
              <w:t>Training rows before SMOTE</w:t>
            </w:r>
          </w:p>
        </w:tc>
        <w:tc>
          <w:tcPr>
            <w:tcBorders>
              <w:top w:val="single" w:color="9AA5B1" w:sz="4" w:space="0"/>
              <w:left w:val="single" w:color="9AA5B1" w:sz="4" w:space="0"/>
              <w:bottom w:val="single" w:color="9AA5B1" w:sz="4" w:space="0"/>
              <w:right w:val="single" w:color="9AA5B1" w:sz="4" w:space="0"/>
            </w:tcBorders>
            <w:vAlign w:val="center"/>
          </w:tcPr>
          <w:p w14:paraId="000004D0">
            <w:pPr>
              <w:keepNext/>
              <w:spacing w:before="0" w:after="0" w:line="240" w:lineRule="auto"/>
              <w:jc w:val="left"/>
            </w:pPr>
            <w:r>
              <w:rPr>
                <w:sz w:val="20"/>
                <w:szCs w:val="20"/>
                <w:rtl w:val="0"/>
              </w:rPr>
              <w:t>199,276 / 40,724</w:t>
            </w:r>
          </w:p>
        </w:tc>
        <w:tc>
          <w:tcPr>
            <w:tcBorders>
              <w:top w:val="single" w:color="9AA5B1" w:sz="4" w:space="0"/>
              <w:left w:val="single" w:color="9AA5B1" w:sz="4" w:space="0"/>
              <w:bottom w:val="single" w:color="9AA5B1" w:sz="4" w:space="0"/>
              <w:right w:val="single" w:color="9AA5B1" w:sz="4" w:space="0"/>
            </w:tcBorders>
            <w:vAlign w:val="center"/>
          </w:tcPr>
          <w:p w14:paraId="000004D1">
            <w:pPr>
              <w:keepNext/>
              <w:spacing w:before="0" w:after="0" w:line="240" w:lineRule="auto"/>
              <w:jc w:val="left"/>
            </w:pPr>
            <w:r>
              <w:rPr>
                <w:sz w:val="20"/>
                <w:szCs w:val="20"/>
                <w:rtl w:val="0"/>
              </w:rPr>
              <w:t>199,276 / 40,724</w:t>
            </w:r>
          </w:p>
        </w:tc>
        <w:tc>
          <w:tcPr>
            <w:tcBorders>
              <w:top w:val="single" w:color="9AA5B1" w:sz="4" w:space="0"/>
              <w:left w:val="single" w:color="9AA5B1" w:sz="4" w:space="0"/>
              <w:bottom w:val="single" w:color="9AA5B1" w:sz="4" w:space="0"/>
              <w:right w:val="single" w:color="9AA5B1" w:sz="4" w:space="0"/>
            </w:tcBorders>
            <w:vAlign w:val="center"/>
          </w:tcPr>
          <w:p w14:paraId="000004D2">
            <w:pPr>
              <w:keepNext/>
              <w:spacing w:before="0" w:after="0" w:line="240" w:lineRule="auto"/>
              <w:jc w:val="left"/>
            </w:pPr>
            <w:r>
              <w:rPr>
                <w:sz w:val="20"/>
                <w:szCs w:val="20"/>
                <w:rtl w:val="0"/>
              </w:rPr>
              <w:t>None</w:t>
            </w:r>
          </w:p>
        </w:tc>
      </w:tr>
      <w:tr w14:paraId="4862425A">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D3">
            <w:pPr>
              <w:keepNext/>
              <w:spacing w:before="0" w:after="0" w:line="240" w:lineRule="auto"/>
              <w:jc w:val="left"/>
            </w:pPr>
            <w:r>
              <w:rPr>
                <w:sz w:val="20"/>
                <w:szCs w:val="20"/>
                <w:rtl w:val="0"/>
              </w:rPr>
              <w:t>Training rows after SMOTE</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D4">
            <w:pPr>
              <w:keepNext/>
              <w:spacing w:before="0" w:after="0" w:line="240" w:lineRule="auto"/>
              <w:jc w:val="left"/>
            </w:pPr>
            <w:r>
              <w:rPr>
                <w:sz w:val="20"/>
                <w:szCs w:val="20"/>
                <w:rtl w:val="0"/>
              </w:rPr>
              <w:t>398,552</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D5">
            <w:pPr>
              <w:keepNext/>
              <w:spacing w:before="0" w:after="0" w:line="240" w:lineRule="auto"/>
              <w:jc w:val="left"/>
            </w:pPr>
            <w:r>
              <w:rPr>
                <w:sz w:val="20"/>
                <w:szCs w:val="20"/>
                <w:rtl w:val="0"/>
              </w:rPr>
              <w:t>398,552</w:t>
            </w:r>
          </w:p>
        </w:tc>
        <w:tc>
          <w:tcPr>
            <w:tcBorders>
              <w:top w:val="single" w:color="9AA5B1" w:sz="4" w:space="0"/>
              <w:left w:val="single" w:color="9AA5B1" w:sz="4" w:space="0"/>
              <w:bottom w:val="single" w:color="9AA5B1" w:sz="4" w:space="0"/>
              <w:right w:val="single" w:color="9AA5B1" w:sz="4" w:space="0"/>
            </w:tcBorders>
            <w:shd w:val="clear" w:color="auto" w:fill="F2F5F9"/>
            <w:vAlign w:val="center"/>
          </w:tcPr>
          <w:p w14:paraId="000004D6">
            <w:pPr>
              <w:keepNext/>
              <w:spacing w:before="0" w:after="0" w:line="240" w:lineRule="auto"/>
              <w:jc w:val="left"/>
            </w:pPr>
            <w:r>
              <w:rPr>
                <w:sz w:val="20"/>
                <w:szCs w:val="20"/>
                <w:rtl w:val="0"/>
              </w:rPr>
              <w:t>None</w:t>
            </w:r>
          </w:p>
        </w:tc>
      </w:tr>
      <w:tr w14:paraId="70027903">
        <w:tblPrEx>
          <w:tblCellMar>
            <w:top w:w="50" w:type="dxa"/>
            <w:left w:w="90" w:type="dxa"/>
            <w:bottom w:w="50" w:type="dxa"/>
            <w:right w:w="90" w:type="dxa"/>
          </w:tblCellMar>
        </w:tblPrEx>
        <w:trPr>
          <w:cantSplit/>
        </w:trPr>
        <w:tc>
          <w:tcPr>
            <w:tcBorders>
              <w:top w:val="single" w:color="9AA5B1" w:sz="4" w:space="0"/>
              <w:left w:val="single" w:color="9AA5B1" w:sz="4" w:space="0"/>
              <w:bottom w:val="single" w:color="9AA5B1" w:sz="4" w:space="0"/>
              <w:right w:val="single" w:color="9AA5B1" w:sz="4" w:space="0"/>
            </w:tcBorders>
            <w:vAlign w:val="center"/>
          </w:tcPr>
          <w:p w14:paraId="000004D7">
            <w:pPr>
              <w:keepNext w:val="0"/>
              <w:spacing w:before="0" w:after="0" w:line="240" w:lineRule="auto"/>
              <w:jc w:val="left"/>
            </w:pPr>
            <w:r>
              <w:rPr>
                <w:sz w:val="20"/>
                <w:szCs w:val="20"/>
                <w:rtl w:val="0"/>
              </w:rPr>
              <w:t>Test rows</w:t>
            </w:r>
          </w:p>
        </w:tc>
        <w:tc>
          <w:tcPr>
            <w:tcBorders>
              <w:top w:val="single" w:color="9AA5B1" w:sz="4" w:space="0"/>
              <w:left w:val="single" w:color="9AA5B1" w:sz="4" w:space="0"/>
              <w:bottom w:val="single" w:color="9AA5B1" w:sz="4" w:space="0"/>
              <w:right w:val="single" w:color="9AA5B1" w:sz="4" w:space="0"/>
            </w:tcBorders>
            <w:vAlign w:val="center"/>
          </w:tcPr>
          <w:p w14:paraId="000004D8">
            <w:pPr>
              <w:keepNext w:val="0"/>
              <w:spacing w:before="0" w:after="0" w:line="240" w:lineRule="auto"/>
              <w:jc w:val="left"/>
            </w:pPr>
            <w:r>
              <w:rPr>
                <w:sz w:val="20"/>
                <w:szCs w:val="20"/>
                <w:rtl w:val="0"/>
              </w:rPr>
              <w:t>60,000</w:t>
            </w:r>
          </w:p>
        </w:tc>
        <w:tc>
          <w:tcPr>
            <w:tcBorders>
              <w:top w:val="single" w:color="9AA5B1" w:sz="4" w:space="0"/>
              <w:left w:val="single" w:color="9AA5B1" w:sz="4" w:space="0"/>
              <w:bottom w:val="single" w:color="9AA5B1" w:sz="4" w:space="0"/>
              <w:right w:val="single" w:color="9AA5B1" w:sz="4" w:space="0"/>
            </w:tcBorders>
            <w:vAlign w:val="center"/>
          </w:tcPr>
          <w:p w14:paraId="000004D9">
            <w:pPr>
              <w:keepNext w:val="0"/>
              <w:spacing w:before="0" w:after="0" w:line="240" w:lineRule="auto"/>
              <w:jc w:val="left"/>
            </w:pPr>
            <w:r>
              <w:rPr>
                <w:sz w:val="20"/>
                <w:szCs w:val="20"/>
                <w:rtl w:val="0"/>
              </w:rPr>
              <w:t>60,000</w:t>
            </w:r>
          </w:p>
        </w:tc>
        <w:tc>
          <w:tcPr>
            <w:tcBorders>
              <w:top w:val="single" w:color="9AA5B1" w:sz="4" w:space="0"/>
              <w:left w:val="single" w:color="9AA5B1" w:sz="4" w:space="0"/>
              <w:bottom w:val="single" w:color="9AA5B1" w:sz="4" w:space="0"/>
              <w:right w:val="single" w:color="9AA5B1" w:sz="4" w:space="0"/>
            </w:tcBorders>
            <w:vAlign w:val="center"/>
          </w:tcPr>
          <w:p w14:paraId="000004DA">
            <w:pPr>
              <w:keepNext w:val="0"/>
              <w:spacing w:before="0" w:after="0" w:line="240" w:lineRule="auto"/>
              <w:jc w:val="left"/>
            </w:pPr>
            <w:r>
              <w:rPr>
                <w:sz w:val="20"/>
                <w:szCs w:val="20"/>
                <w:rtl w:val="0"/>
              </w:rPr>
              <w:t>None</w:t>
            </w:r>
          </w:p>
        </w:tc>
      </w:tr>
    </w:tbl>
    <w:p w14:paraId="000004DB">
      <w:pPr>
        <w:spacing w:before="0" w:after="120"/>
      </w:pPr>
      <w:r>
        <w:br w:type="page"/>
      </w:r>
    </w:p>
    <w:p w14:paraId="000004DC">
      <w:pPr>
        <w:pStyle w:val="2"/>
        <w:rPr>
          <w:color w:val="000000"/>
        </w:rPr>
      </w:pPr>
      <w:bookmarkStart w:id="119" w:name="_l3x4k4r9hmmn" w:colFirst="0" w:colLast="0"/>
      <w:bookmarkEnd w:id="119"/>
      <w:r>
        <w:rPr>
          <w:color w:val="000000"/>
          <w:rtl w:val="0"/>
        </w:rPr>
        <w:t>APPENDIX I: RECONSTRUCTING THE CONFUSION MATRICES</w:t>
      </w:r>
    </w:p>
    <w:p w14:paraId="000004DD">
      <w:pPr>
        <w:jc w:val="both"/>
      </w:pPr>
      <w:r>
        <w:rPr>
          <w:rtl w:val="0"/>
        </w:rPr>
        <w:t>The approximate confusion matrices in Table 6.2 were derived from the reported metrics as follows. Because the test split is stratified, it keeps the class ratio of the training split (40,724 attacks in 240,000 rows, or 16.97%), so the 60,000-row test set contains about P = 10,181 attack flows and N = 49,819 benign flows.</w:t>
      </w:r>
    </w:p>
    <w:p w14:paraId="000004DE">
      <w:pPr>
        <w:jc w:val="both"/>
      </w:pPr>
      <w:r>
        <w:rPr>
          <w:rtl w:val="0"/>
        </w:rPr>
        <w:t>For each model, with recall R and precision Pr:</w:t>
      </w:r>
    </w:p>
    <w:p w14:paraId="000004DF">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00"/>
        <w:jc w:val="both"/>
        <w:rPr>
          <w:b w:val="0"/>
          <w:bCs w:val="0"/>
          <w:i w:val="0"/>
          <w:iCs w:val="0"/>
          <w:smallCaps w:val="0"/>
          <w:strike w:val="0"/>
          <w:sz w:val="24"/>
          <w:szCs w:val="24"/>
          <w:shd w:val="clear" w:fill="auto"/>
          <w:vertAlign w:val="baseline"/>
        </w:rPr>
      </w:pPr>
      <w:r>
        <w:rPr>
          <w:rFonts w:ascii="Times New Roman" w:hAnsi="Times New Roman" w:eastAsia="Times New Roman" w:cs="Times New Roman"/>
          <w:b w:val="0"/>
          <w:bCs w:val="0"/>
          <w:i w:val="0"/>
          <w:iCs w:val="0"/>
          <w:smallCaps w:val="0"/>
          <w:strike w:val="0"/>
          <w:sz w:val="24"/>
          <w:szCs w:val="24"/>
          <w:u w:val="none"/>
          <w:shd w:val="clear" w:fill="auto"/>
          <w:vertAlign w:val="baseline"/>
          <w:rtl w:val="0"/>
        </w:rPr>
        <w:t>True positives: TP = R × P</w:t>
      </w:r>
    </w:p>
    <w:p w14:paraId="000004E0">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00"/>
        <w:jc w:val="both"/>
        <w:rPr>
          <w:b w:val="0"/>
          <w:bCs w:val="0"/>
          <w:i w:val="0"/>
          <w:iCs w:val="0"/>
          <w:smallCaps w:val="0"/>
          <w:strike w:val="0"/>
          <w:sz w:val="24"/>
          <w:szCs w:val="24"/>
          <w:shd w:val="clear" w:fill="auto"/>
          <w:vertAlign w:val="baseline"/>
        </w:rPr>
      </w:pPr>
      <w:r>
        <w:rPr>
          <w:rFonts w:ascii="Gungsuh" w:hAnsi="Gungsuh" w:eastAsia="Gungsuh" w:cs="Gungsuh"/>
          <w:b w:val="0"/>
          <w:bCs w:val="0"/>
          <w:i w:val="0"/>
          <w:iCs w:val="0"/>
          <w:smallCaps w:val="0"/>
          <w:strike w:val="0"/>
          <w:sz w:val="24"/>
          <w:szCs w:val="24"/>
          <w:u w:val="none"/>
          <w:shd w:val="clear" w:fill="auto"/>
          <w:vertAlign w:val="baseline"/>
          <w:rtl w:val="0"/>
        </w:rPr>
        <w:t>False negatives: FN = P − TP</w:t>
      </w:r>
    </w:p>
    <w:p w14:paraId="000004E1">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00"/>
        <w:jc w:val="both"/>
        <w:rPr>
          <w:b w:val="0"/>
          <w:bCs w:val="0"/>
          <w:i w:val="0"/>
          <w:iCs w:val="0"/>
          <w:smallCaps w:val="0"/>
          <w:strike w:val="0"/>
          <w:sz w:val="24"/>
          <w:szCs w:val="24"/>
          <w:shd w:val="clear" w:fill="auto"/>
          <w:vertAlign w:val="baseline"/>
        </w:rPr>
      </w:pPr>
      <w:r>
        <w:rPr>
          <w:rFonts w:ascii="Gungsuh" w:hAnsi="Gungsuh" w:eastAsia="Gungsuh" w:cs="Gungsuh"/>
          <w:b w:val="0"/>
          <w:bCs w:val="0"/>
          <w:i w:val="0"/>
          <w:iCs w:val="0"/>
          <w:smallCaps w:val="0"/>
          <w:strike w:val="0"/>
          <w:sz w:val="24"/>
          <w:szCs w:val="24"/>
          <w:u w:val="none"/>
          <w:shd w:val="clear" w:fill="auto"/>
          <w:vertAlign w:val="baseline"/>
          <w:rtl w:val="0"/>
        </w:rPr>
        <w:t>False positives: FP = TP × (1 / Pr − 1)</w:t>
      </w:r>
    </w:p>
    <w:p w14:paraId="000004E2">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80" w:line="360" w:lineRule="auto"/>
        <w:ind w:left="540" w:right="0" w:hanging="300"/>
        <w:jc w:val="both"/>
        <w:rPr>
          <w:b w:val="0"/>
          <w:bCs w:val="0"/>
          <w:i w:val="0"/>
          <w:iCs w:val="0"/>
          <w:smallCaps w:val="0"/>
          <w:strike w:val="0"/>
          <w:sz w:val="24"/>
          <w:szCs w:val="24"/>
          <w:shd w:val="clear" w:fill="auto"/>
          <w:vertAlign w:val="baseline"/>
        </w:rPr>
      </w:pPr>
      <w:r>
        <w:rPr>
          <w:rFonts w:ascii="Gungsuh" w:hAnsi="Gungsuh" w:eastAsia="Gungsuh" w:cs="Gungsuh"/>
          <w:b w:val="0"/>
          <w:bCs w:val="0"/>
          <w:i w:val="0"/>
          <w:iCs w:val="0"/>
          <w:smallCaps w:val="0"/>
          <w:strike w:val="0"/>
          <w:sz w:val="24"/>
          <w:szCs w:val="24"/>
          <w:u w:val="none"/>
          <w:shd w:val="clear" w:fill="auto"/>
          <w:vertAlign w:val="baseline"/>
          <w:rtl w:val="0"/>
        </w:rPr>
        <w:t>True negatives: TN = N − FP</w:t>
      </w:r>
    </w:p>
    <w:p w14:paraId="000004E3">
      <w:pPr>
        <w:spacing w:before="0" w:after="160"/>
        <w:jc w:val="both"/>
      </w:pPr>
      <w:r>
        <w:rPr>
          <w:rFonts w:ascii="Gungsuh" w:hAnsi="Gungsuh" w:eastAsia="Gungsuh" w:cs="Gungsuh"/>
          <w:rtl w:val="0"/>
        </w:rPr>
        <w:t>For example, for the LSTM (R = 0.9750, Pr = 0.7801): TP ≈ 9,926, FN ≈ 255, FP ≈ 2,798 and TN ≈ 47,021. The implied accuracy is (9,926 + 47,021) / 60,000 = 0.9491, which matches the measured accuracy exactly. The same check reproduces the measured accuracy of Random Forest (0.9985) and XGBoost (0.9990). Because the reported precision and recall are rounded to four decimal places and the exact class counts of the test set are not known, each cell may differ from the true value by a few flows.</w:t>
      </w:r>
    </w:p>
    <w:sectPr>
      <w:footerReference r:id="rId7" w:type="first"/>
      <w:headerReference r:id="rId5" w:type="default"/>
      <w:footerReference r:id="rId6" w:type="default"/>
      <w:pgSz w:w="11906" w:h="16838"/>
      <w:pgMar w:top="1134" w:right="1134" w:bottom="1134" w:left="2268" w:header="708" w:footer="708"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96D596F2-DE7B-4622-8D47-20ACD755648D}"/>
  </w:font>
  <w:font w:name="Arial">
    <w:panose1 w:val="020B0604020202020204"/>
    <w:charset w:val="00"/>
    <w:family w:val="swiss"/>
    <w:pitch w:val="default"/>
    <w:sig w:usb0="E0002EFF" w:usb1="C000785B" w:usb2="00000009" w:usb3="00000000" w:csb0="400001FF" w:csb1="FFFF0000"/>
    <w:embedRegular r:id="rId2" w:fontKey="{57243097-2089-43D2-8AE6-453641FBA6B8}"/>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embedRegular r:id="rId3" w:fontKey="{17A09528-2C24-4E82-A232-AF014DB7E284}"/>
  </w:font>
  <w:font w:name="Wingdings">
    <w:panose1 w:val="05000000000000000000"/>
    <w:charset w:val="02"/>
    <w:family w:val="auto"/>
    <w:pitch w:val="default"/>
    <w:sig w:usb0="00000000" w:usb1="00000000" w:usb2="00000000" w:usb3="00000000" w:csb0="80000000" w:csb1="00000000"/>
    <w:embedRegular r:id="rId4" w:fontKey="{7061AFF5-510D-47B2-9B37-1746B88C8EA6}"/>
  </w:font>
  <w:font w:name="Calibri">
    <w:panose1 w:val="020F0502020204030204"/>
    <w:charset w:val="00"/>
    <w:family w:val="swiss"/>
    <w:pitch w:val="default"/>
    <w:sig w:usb0="E4002EFF" w:usb1="C200247B" w:usb2="00000009" w:usb3="00000000" w:csb0="200001FF" w:csb1="00000000"/>
    <w:embedRegular r:id="rId5" w:fontKey="{6E656B4E-ADB2-4BB3-825D-F654BA134F49}"/>
  </w:font>
  <w:font w:name="DengXian">
    <w:panose1 w:val="02010600030101010101"/>
    <w:charset w:val="86"/>
    <w:family w:val="auto"/>
    <w:pitch w:val="default"/>
    <w:sig w:usb0="A00002BF" w:usb1="38CF7CFA" w:usb2="00000016" w:usb3="00000000" w:csb0="0004000F" w:csb1="00000000"/>
  </w:font>
  <w:font w:name="Liberation Sans">
    <w:altName w:val="Segoe Print"/>
    <w:panose1 w:val="00000000000000000000"/>
    <w:charset w:val="00"/>
    <w:family w:val="auto"/>
    <w:pitch w:val="default"/>
    <w:sig w:usb0="00000000" w:usb1="00000000" w:usb2="00000000" w:usb3="00000000" w:csb0="00000000" w:csb1="00000000"/>
  </w:font>
  <w:font w:name="Georgia">
    <w:panose1 w:val="02040502050405020303"/>
    <w:charset w:val="00"/>
    <w:family w:val="auto"/>
    <w:pitch w:val="default"/>
    <w:sig w:usb0="00000287" w:usb1="00000000" w:usb2="00000000" w:usb3="00000000" w:csb0="2000009F" w:csb1="00000000"/>
    <w:embedRegular r:id="rId6" w:fontKey="{09F6E64E-5734-4808-A890-A62D4DA42EB7}"/>
  </w:font>
  <w:font w:name="Noto Sans Symbols">
    <w:altName w:val="Segoe Print"/>
    <w:panose1 w:val="00000000000000000000"/>
    <w:charset w:val="00"/>
    <w:family w:val="auto"/>
    <w:pitch w:val="default"/>
    <w:sig w:usb0="00000000" w:usb1="00000000" w:usb2="00000000" w:usb3="00000000" w:csb0="00000000" w:csb1="00000000"/>
  </w:font>
  <w:font w:name="Consolas">
    <w:panose1 w:val="020B0609020204030204"/>
    <w:charset w:val="00"/>
    <w:family w:val="auto"/>
    <w:pitch w:val="default"/>
    <w:sig w:usb0="E00006FF" w:usb1="0000FCFF" w:usb2="00000001" w:usb3="00000000" w:csb0="6000019F" w:csb1="DFD70000"/>
    <w:embedRegular r:id="rId7" w:fontKey="{E279AE87-9906-497C-8F7F-D848B45592B6}"/>
  </w:font>
  <w:font w:name="Gungsuh">
    <w:altName w:val="Segoe Print"/>
    <w:panose1 w:val="00000000000000000000"/>
    <w:charset w:val="00"/>
    <w:family w:val="auto"/>
    <w:pitch w:val="default"/>
    <w:sig w:usb0="00000000" w:usb1="00000000" w:usb2="00000000" w:usb3="00000000" w:csb0="00000000" w:csb1="00000000"/>
  </w:font>
  <w:font w:name="Cambria">
    <w:panose1 w:val="02040503050406030204"/>
    <w:charset w:val="00"/>
    <w:family w:val="auto"/>
    <w:pitch w:val="default"/>
    <w:sig w:usb0="E00006FF" w:usb1="420024FF" w:usb2="02000000" w:usb3="00000000" w:csb0="2000019F" w:csb1="00000000"/>
    <w:embedRegular r:id="rId8" w:fontKey="{8C33F9CA-DF1C-4D60-B099-5D0BAFC6525F}"/>
  </w:font>
  <w:font w:name="Segoe Print">
    <w:panose1 w:val="02000600000000000000"/>
    <w:charset w:val="00"/>
    <w:family w:val="auto"/>
    <w:pitch w:val="default"/>
    <w:sig w:usb0="0000028F" w:usb1="00000000" w:usb2="00000000" w:usb3="00000000" w:csb0="2000009F" w:csb1="47010000"/>
    <w:embedRegular r:id="rId9" w:fontKey="{B9DB561B-306D-4791-AD8C-6840213D37A5}"/>
  </w:font>
  <w:font w:name="MS PGothic">
    <w:panose1 w:val="020B0600070205080204"/>
    <w:charset w:val="80"/>
    <w:family w:val="auto"/>
    <w:pitch w:val="default"/>
    <w:sig w:usb0="E00002FF" w:usb1="6AC7FDFB" w:usb2="08000012" w:usb3="00000000" w:csb0="4002009F" w:csb1="DFD70000"/>
  </w:font>
  <w:font w:name="Arial">
    <w:panose1 w:val="020B0604020202020204"/>
    <w:charset w:val="86"/>
    <w:family w:val="swiss"/>
    <w:pitch w:val="default"/>
    <w:sig w:usb0="E0002EFF" w:usb1="C000785B" w:usb2="00000009" w:usb3="00000000" w:csb0="400001FF" w:csb1="FFFF0000"/>
    <w:embedRegular r:id="rId10" w:fontKey="{64A61EAE-D161-4294-8424-86A0289B73EA}"/>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0004E8">
    <w:pPr>
      <w:spacing w:before="0" w:after="160"/>
      <w:jc w:val="center"/>
    </w:pPr>
    <w:r>
      <w:fldChar w:fldCharType="begin"/>
    </w:r>
    <w:r>
      <w:instrText xml:space="preserve">PAGE</w:instrText>
    </w:r>
    <w:r>
      <w:fldChar w:fldCharType="separate"/>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0004E9"/>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0004E4">
    <w:pPr>
      <w:pBdr>
        <w:bottom w:val="single" w:color="BFC5CC" w:sz="4" w:space="4"/>
      </w:pBdr>
      <w:spacing w:before="0" w:after="160"/>
      <w:jc w:val="lef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744FFD3"/>
    <w:multiLevelType w:val="multilevel"/>
    <w:tmpl w:val="8744FFD3"/>
    <w:lvl w:ilvl="0" w:tentative="0">
      <w:start w:val="1"/>
      <w:numFmt w:val="bullet"/>
      <w:lvlText w:val="●"/>
      <w:lvlJc w:val="left"/>
      <w:pPr>
        <w:ind w:left="540" w:hanging="300"/>
      </w:pPr>
      <w:rPr>
        <w:rFonts w:ascii="Noto Sans Symbols" w:hAnsi="Noto Sans Symbols" w:eastAsia="Noto Sans Symbols" w:cs="Noto Sans Symbols"/>
      </w:rPr>
    </w:lvl>
    <w:lvl w:ilvl="1" w:tentative="0">
      <w:start w:val="1"/>
      <w:numFmt w:val="decimal"/>
      <w:lvlText w:val="%2."/>
      <w:lvlJc w:val="left"/>
      <w:pPr>
        <w:ind w:left="1080" w:hanging="360"/>
      </w:pPr>
    </w:lvl>
    <w:lvl w:ilvl="2" w:tentative="0">
      <w:start w:val="1"/>
      <w:numFmt w:val="decimal"/>
      <w:lvlText w:val="%3."/>
      <w:lvlJc w:val="left"/>
      <w:pPr>
        <w:ind w:left="1440" w:hanging="360"/>
      </w:pPr>
    </w:lvl>
    <w:lvl w:ilvl="3" w:tentative="0">
      <w:start w:val="1"/>
      <w:numFmt w:val="decimal"/>
      <w:lvlText w:val="%4."/>
      <w:lvlJc w:val="left"/>
      <w:pPr>
        <w:ind w:left="1800" w:hanging="360"/>
      </w:pPr>
    </w:lvl>
    <w:lvl w:ilvl="4" w:tentative="0">
      <w:start w:val="1"/>
      <w:numFmt w:val="decimal"/>
      <w:lvlText w:val="%5."/>
      <w:lvlJc w:val="left"/>
      <w:pPr>
        <w:ind w:left="2160" w:hanging="360"/>
      </w:pPr>
    </w:lvl>
    <w:lvl w:ilvl="5" w:tentative="0">
      <w:start w:val="1"/>
      <w:numFmt w:val="decimal"/>
      <w:lvlText w:val="%6."/>
      <w:lvlJc w:val="left"/>
      <w:pPr>
        <w:ind w:left="2520" w:hanging="360"/>
      </w:pPr>
    </w:lvl>
    <w:lvl w:ilvl="6" w:tentative="0">
      <w:start w:val="1"/>
      <w:numFmt w:val="decimal"/>
      <w:lvlText w:val="%7."/>
      <w:lvlJc w:val="left"/>
      <w:pPr>
        <w:ind w:left="2880" w:hanging="360"/>
      </w:pPr>
    </w:lvl>
    <w:lvl w:ilvl="7" w:tentative="0">
      <w:start w:val="1"/>
      <w:numFmt w:val="decimal"/>
      <w:lvlText w:val="%8."/>
      <w:lvlJc w:val="left"/>
      <w:pPr>
        <w:ind w:left="3240" w:hanging="360"/>
      </w:pPr>
    </w:lvl>
    <w:lvl w:ilvl="8" w:tentative="0">
      <w:start w:val="1"/>
      <w:numFmt w:val="decimal"/>
      <w:lvlText w:val="%9."/>
      <w:lvlJc w:val="left"/>
      <w:pPr>
        <w:ind w:left="3600" w:hanging="360"/>
      </w:pPr>
    </w:lvl>
  </w:abstractNum>
  <w:abstractNum w:abstractNumId="1">
    <w:nsid w:val="A5499CD7"/>
    <w:multiLevelType w:val="multilevel"/>
    <w:tmpl w:val="A5499CD7"/>
    <w:lvl w:ilvl="0" w:tentative="0">
      <w:start w:val="1"/>
      <w:numFmt w:val="decimal"/>
      <w:lvlText w:val="%1."/>
      <w:lvlJc w:val="left"/>
      <w:pPr>
        <w:ind w:left="540" w:hanging="360"/>
      </w:pPr>
    </w:lvl>
    <w:lvl w:ilvl="1" w:tentative="0">
      <w:start w:val="1"/>
      <w:numFmt w:val="decimal"/>
      <w:lvlText w:val="%2."/>
      <w:lvlJc w:val="left"/>
      <w:pPr>
        <w:ind w:left="1080" w:hanging="360"/>
      </w:pPr>
    </w:lvl>
    <w:lvl w:ilvl="2" w:tentative="0">
      <w:start w:val="1"/>
      <w:numFmt w:val="decimal"/>
      <w:lvlText w:val="%3."/>
      <w:lvlJc w:val="left"/>
      <w:pPr>
        <w:ind w:left="1440" w:hanging="360"/>
      </w:pPr>
    </w:lvl>
    <w:lvl w:ilvl="3" w:tentative="0">
      <w:start w:val="1"/>
      <w:numFmt w:val="decimal"/>
      <w:lvlText w:val="%4."/>
      <w:lvlJc w:val="left"/>
      <w:pPr>
        <w:ind w:left="1800" w:hanging="360"/>
      </w:pPr>
    </w:lvl>
    <w:lvl w:ilvl="4" w:tentative="0">
      <w:start w:val="1"/>
      <w:numFmt w:val="decimal"/>
      <w:lvlText w:val="%5."/>
      <w:lvlJc w:val="left"/>
      <w:pPr>
        <w:ind w:left="2160" w:hanging="360"/>
      </w:pPr>
    </w:lvl>
    <w:lvl w:ilvl="5" w:tentative="0">
      <w:start w:val="1"/>
      <w:numFmt w:val="decimal"/>
      <w:lvlText w:val="%6."/>
      <w:lvlJc w:val="left"/>
      <w:pPr>
        <w:ind w:left="2520" w:hanging="360"/>
      </w:pPr>
    </w:lvl>
    <w:lvl w:ilvl="6" w:tentative="0">
      <w:start w:val="1"/>
      <w:numFmt w:val="decimal"/>
      <w:lvlText w:val="%7."/>
      <w:lvlJc w:val="left"/>
      <w:pPr>
        <w:ind w:left="2880" w:hanging="360"/>
      </w:pPr>
    </w:lvl>
    <w:lvl w:ilvl="7" w:tentative="0">
      <w:start w:val="1"/>
      <w:numFmt w:val="decimal"/>
      <w:lvlText w:val="%8."/>
      <w:lvlJc w:val="left"/>
      <w:pPr>
        <w:ind w:left="3240" w:hanging="360"/>
      </w:pPr>
    </w:lvl>
    <w:lvl w:ilvl="8" w:tentative="0">
      <w:start w:val="1"/>
      <w:numFmt w:val="decimal"/>
      <w:lvlText w:val="%9."/>
      <w:lvlJc w:val="left"/>
      <w:pPr>
        <w:ind w:left="3600" w:hanging="360"/>
      </w:pPr>
    </w:lvl>
  </w:abstractNum>
  <w:abstractNum w:abstractNumId="2">
    <w:nsid w:val="EB47B73F"/>
    <w:multiLevelType w:val="multilevel"/>
    <w:tmpl w:val="EB47B73F"/>
    <w:lvl w:ilvl="0" w:tentative="0">
      <w:start w:val="1"/>
      <w:numFmt w:val="decimal"/>
      <w:lvlText w:val="%1."/>
      <w:lvlJc w:val="left"/>
      <w:pPr>
        <w:ind w:left="540" w:hanging="360"/>
      </w:pPr>
    </w:lvl>
    <w:lvl w:ilvl="1" w:tentative="0">
      <w:start w:val="1"/>
      <w:numFmt w:val="decimal"/>
      <w:lvlText w:val="%2."/>
      <w:lvlJc w:val="left"/>
      <w:pPr>
        <w:ind w:left="1080" w:hanging="360"/>
      </w:pPr>
    </w:lvl>
    <w:lvl w:ilvl="2" w:tentative="0">
      <w:start w:val="1"/>
      <w:numFmt w:val="decimal"/>
      <w:lvlText w:val="%3."/>
      <w:lvlJc w:val="left"/>
      <w:pPr>
        <w:ind w:left="1440" w:hanging="360"/>
      </w:pPr>
    </w:lvl>
    <w:lvl w:ilvl="3" w:tentative="0">
      <w:start w:val="1"/>
      <w:numFmt w:val="decimal"/>
      <w:lvlText w:val="%4."/>
      <w:lvlJc w:val="left"/>
      <w:pPr>
        <w:ind w:left="1800" w:hanging="360"/>
      </w:pPr>
    </w:lvl>
    <w:lvl w:ilvl="4" w:tentative="0">
      <w:start w:val="1"/>
      <w:numFmt w:val="decimal"/>
      <w:lvlText w:val="%5."/>
      <w:lvlJc w:val="left"/>
      <w:pPr>
        <w:ind w:left="2160" w:hanging="360"/>
      </w:pPr>
    </w:lvl>
    <w:lvl w:ilvl="5" w:tentative="0">
      <w:start w:val="1"/>
      <w:numFmt w:val="decimal"/>
      <w:lvlText w:val="%6."/>
      <w:lvlJc w:val="left"/>
      <w:pPr>
        <w:ind w:left="2520" w:hanging="360"/>
      </w:pPr>
    </w:lvl>
    <w:lvl w:ilvl="6" w:tentative="0">
      <w:start w:val="1"/>
      <w:numFmt w:val="decimal"/>
      <w:lvlText w:val="%7."/>
      <w:lvlJc w:val="left"/>
      <w:pPr>
        <w:ind w:left="2880" w:hanging="360"/>
      </w:pPr>
    </w:lvl>
    <w:lvl w:ilvl="7" w:tentative="0">
      <w:start w:val="1"/>
      <w:numFmt w:val="decimal"/>
      <w:lvlText w:val="%8."/>
      <w:lvlJc w:val="left"/>
      <w:pPr>
        <w:ind w:left="3240" w:hanging="360"/>
      </w:pPr>
    </w:lvl>
    <w:lvl w:ilvl="8" w:tentative="0">
      <w:start w:val="1"/>
      <w:numFmt w:val="decimal"/>
      <w:lvlText w:val="%9."/>
      <w:lvlJc w:val="left"/>
      <w:pPr>
        <w:ind w:left="360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1"/>
  <w:embedTrueTypeFonts/>
  <w:documentProtection w:enforcement="0"/>
  <w:defaultTabStop w:val="720"/>
  <w:footnotePr>
    <w:footnote w:id="0"/>
    <w:footnote w:id="1"/>
  </w:footnotePr>
  <w:endnotePr>
    <w:endnote w:id="0"/>
    <w:endnote w:id="1"/>
  </w:endnotePr>
  <w:compat>
    <w:compatSetting w:name="compatibilityMode" w:uri="http://schemas.microsoft.com/office/word" w:val="15"/>
  </w:compat>
  <w:rsids>
    <w:rsidRoot w:val="00000000"/>
    <w:rsid w:val="00F4799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pPr>
    <w:rPr>
      <w:sz w:val="24"/>
      <w:szCs w:val="24"/>
      <w:lang w:val="en"/>
    </w:rPr>
  </w:style>
  <w:style w:type="paragraph" w:styleId="2">
    <w:name w:val="heading 1"/>
    <w:basedOn w:val="1"/>
    <w:next w:val="1"/>
    <w:qFormat/>
    <w:uiPriority w:val="0"/>
    <w:pPr>
      <w:keepNext/>
      <w:spacing w:before="0" w:after="360" w:line="276" w:lineRule="auto"/>
    </w:pPr>
    <w:rPr>
      <w:rFonts w:ascii="Times New Roman" w:hAnsi="Times New Roman" w:eastAsia="Times New Roman" w:cs="Times New Roman"/>
      <w:b/>
      <w:bCs/>
      <w:color w:val="1F3A5F"/>
      <w:sz w:val="32"/>
      <w:szCs w:val="32"/>
    </w:rPr>
  </w:style>
  <w:style w:type="paragraph" w:styleId="3">
    <w:name w:val="heading 2"/>
    <w:basedOn w:val="1"/>
    <w:next w:val="1"/>
    <w:qFormat/>
    <w:uiPriority w:val="0"/>
    <w:pPr>
      <w:keepNext/>
      <w:spacing w:before="320" w:after="140" w:line="276" w:lineRule="auto"/>
    </w:pPr>
    <w:rPr>
      <w:rFonts w:ascii="Times New Roman" w:hAnsi="Times New Roman" w:eastAsia="Times New Roman" w:cs="Times New Roman"/>
      <w:b/>
      <w:bCs/>
      <w:color w:val="1F3A5F"/>
      <w:sz w:val="27"/>
      <w:szCs w:val="27"/>
    </w:rPr>
  </w:style>
  <w:style w:type="paragraph" w:styleId="4">
    <w:name w:val="heading 3"/>
    <w:basedOn w:val="1"/>
    <w:next w:val="1"/>
    <w:qFormat/>
    <w:uiPriority w:val="0"/>
    <w:pPr>
      <w:keepNext/>
      <w:spacing w:before="240" w:after="100" w:line="276" w:lineRule="auto"/>
    </w:pPr>
    <w:rPr>
      <w:rFonts w:ascii="Times New Roman" w:hAnsi="Times New Roman" w:eastAsia="Times New Roman" w:cs="Times New Roman"/>
      <w:b/>
      <w:bCs/>
      <w:i/>
      <w:iCs/>
      <w:color w:val="333333"/>
      <w:sz w:val="24"/>
      <w:szCs w:val="24"/>
    </w:rPr>
  </w:style>
  <w:style w:type="paragraph" w:styleId="5">
    <w:name w:val="heading 4"/>
    <w:basedOn w:val="1"/>
    <w:next w:val="1"/>
    <w:qFormat/>
    <w:uiPriority w:val="0"/>
    <w:pPr>
      <w:keepNext/>
      <w:spacing w:before="240" w:after="120"/>
    </w:pPr>
    <w:rPr>
      <w:rFonts w:ascii="Liberation Sans" w:hAnsi="Liberation Sans" w:eastAsia="Liberation Sans" w:cs="Liberation Sans"/>
      <w:i/>
      <w:iCs/>
      <w:color w:val="2E74B5"/>
      <w:sz w:val="28"/>
      <w:szCs w:val="28"/>
    </w:rPr>
  </w:style>
  <w:style w:type="paragraph" w:styleId="6">
    <w:name w:val="heading 5"/>
    <w:basedOn w:val="1"/>
    <w:next w:val="1"/>
    <w:qFormat/>
    <w:uiPriority w:val="0"/>
    <w:pPr>
      <w:keepNext/>
      <w:spacing w:before="240" w:after="120"/>
    </w:pPr>
    <w:rPr>
      <w:rFonts w:ascii="Liberation Sans" w:hAnsi="Liberation Sans" w:eastAsia="Liberation Sans" w:cs="Liberation Sans"/>
      <w:color w:val="2E74B5"/>
      <w:sz w:val="28"/>
      <w:szCs w:val="28"/>
    </w:rPr>
  </w:style>
  <w:style w:type="paragraph" w:styleId="7">
    <w:name w:val="heading 6"/>
    <w:basedOn w:val="1"/>
    <w:next w:val="1"/>
    <w:qFormat/>
    <w:uiPriority w:val="0"/>
    <w:pPr>
      <w:keepNext/>
      <w:spacing w:before="240" w:after="120"/>
    </w:pPr>
    <w:rPr>
      <w:rFonts w:ascii="Liberation Sans" w:hAnsi="Liberation Sans" w:eastAsia="Liberation Sans" w:cs="Liberation Sans"/>
      <w:color w:val="1F4D78"/>
      <w:sz w:val="28"/>
      <w:szCs w:val="28"/>
    </w:rPr>
  </w:style>
  <w:style w:type="character" w:default="1" w:styleId="8">
    <w:name w:val="Default Paragraph Font"/>
    <w:semiHidden/>
    <w:uiPriority w:val="0"/>
  </w:style>
  <w:style w:type="table" w:default="1" w:styleId="9">
    <w:name w:val="Normal Table"/>
    <w:semiHidden/>
    <w:uiPriority w:val="0"/>
    <w:tblPr>
      <w:tblCellMar>
        <w:top w:w="0" w:type="dxa"/>
        <w:left w:w="108" w:type="dxa"/>
        <w:bottom w:w="0" w:type="dxa"/>
        <w:right w:w="108" w:type="dxa"/>
      </w:tblCellMar>
    </w:tblPr>
  </w:style>
  <w:style w:type="paragraph" w:styleId="10">
    <w:name w:val="Subtitle"/>
    <w:basedOn w:val="1"/>
    <w:next w:val="1"/>
    <w:qFormat/>
    <w:uiPriority w:val="0"/>
    <w:pPr>
      <w:keepNext/>
      <w:keepLines/>
      <w:pageBreakBefore w:val="0"/>
      <w:spacing w:before="360" w:after="80"/>
    </w:pPr>
    <w:rPr>
      <w:rFonts w:ascii="Georgia" w:hAnsi="Georgia" w:eastAsia="Georgia" w:cs="Georgia"/>
      <w:i/>
      <w:iCs/>
      <w:color w:val="666666"/>
      <w:sz w:val="48"/>
      <w:szCs w:val="48"/>
    </w:rPr>
  </w:style>
  <w:style w:type="paragraph" w:styleId="11">
    <w:name w:val="Title"/>
    <w:basedOn w:val="1"/>
    <w:next w:val="1"/>
    <w:qFormat/>
    <w:uiPriority w:val="0"/>
    <w:pPr>
      <w:keepNext/>
      <w:spacing w:before="240" w:after="120"/>
    </w:pPr>
    <w:rPr>
      <w:rFonts w:ascii="Liberation Sans" w:hAnsi="Liberation Sans" w:eastAsia="Liberation Sans" w:cs="Liberation Sans"/>
      <w:sz w:val="56"/>
      <w:szCs w:val="56"/>
    </w:rPr>
  </w:style>
  <w:style w:type="table" w:customStyle="1" w:styleId="12">
    <w:name w:val="TableNormal"/>
    <w:qFormat/>
    <w:uiPriority w:val="0"/>
    <w:tblPr>
      <w:tblCellMar>
        <w:top w:w="100" w:type="dxa"/>
        <w:left w:w="100" w:type="dxa"/>
        <w:bottom w:w="100" w:type="dxa"/>
        <w:right w:w="100" w:type="dxa"/>
      </w:tblCellMar>
    </w:tblPr>
  </w:style>
  <w:style w:type="table" w:customStyle="1" w:styleId="13">
    <w:name w:val="_Style 10"/>
    <w:basedOn w:val="12"/>
    <w:qFormat/>
    <w:uiPriority w:val="0"/>
    <w:tblPr>
      <w:tblCellMar>
        <w:top w:w="30" w:type="dxa"/>
        <w:left w:w="60" w:type="dxa"/>
        <w:bottom w:w="30" w:type="dxa"/>
        <w:right w:w="60" w:type="dxa"/>
      </w:tblCellMar>
    </w:tblPr>
  </w:style>
  <w:style w:type="table" w:customStyle="1" w:styleId="14">
    <w:name w:val="_Style 11"/>
    <w:basedOn w:val="12"/>
    <w:qFormat/>
    <w:uiPriority w:val="0"/>
    <w:tblPr>
      <w:tblCellMar>
        <w:top w:w="50" w:type="dxa"/>
        <w:left w:w="90" w:type="dxa"/>
        <w:bottom w:w="50" w:type="dxa"/>
        <w:right w:w="90" w:type="dxa"/>
      </w:tblCellMar>
    </w:tblPr>
  </w:style>
  <w:style w:type="table" w:customStyle="1" w:styleId="15">
    <w:name w:val="_Style 12"/>
    <w:basedOn w:val="12"/>
    <w:uiPriority w:val="0"/>
    <w:tblPr>
      <w:tblCellMar>
        <w:top w:w="50" w:type="dxa"/>
        <w:left w:w="90" w:type="dxa"/>
        <w:bottom w:w="50" w:type="dxa"/>
        <w:right w:w="90" w:type="dxa"/>
      </w:tblCellMar>
    </w:tblPr>
  </w:style>
  <w:style w:type="table" w:customStyle="1" w:styleId="16">
    <w:name w:val="_Style 13"/>
    <w:basedOn w:val="12"/>
    <w:qFormat/>
    <w:uiPriority w:val="0"/>
    <w:tblPr>
      <w:tblCellMar>
        <w:top w:w="50" w:type="dxa"/>
        <w:left w:w="90" w:type="dxa"/>
        <w:bottom w:w="50" w:type="dxa"/>
        <w:right w:w="90" w:type="dxa"/>
      </w:tblCellMar>
    </w:tblPr>
  </w:style>
  <w:style w:type="table" w:customStyle="1" w:styleId="17">
    <w:name w:val="_Style 14"/>
    <w:basedOn w:val="12"/>
    <w:qFormat/>
    <w:uiPriority w:val="0"/>
    <w:tblPr>
      <w:tblCellMar>
        <w:top w:w="50" w:type="dxa"/>
        <w:left w:w="90" w:type="dxa"/>
        <w:bottom w:w="50" w:type="dxa"/>
        <w:right w:w="90" w:type="dxa"/>
      </w:tblCellMar>
    </w:tblPr>
  </w:style>
  <w:style w:type="table" w:customStyle="1" w:styleId="18">
    <w:name w:val="_Style 15"/>
    <w:basedOn w:val="12"/>
    <w:uiPriority w:val="0"/>
    <w:tblPr>
      <w:tblCellMar>
        <w:top w:w="50" w:type="dxa"/>
        <w:left w:w="90" w:type="dxa"/>
        <w:bottom w:w="50" w:type="dxa"/>
        <w:right w:w="90" w:type="dxa"/>
      </w:tblCellMar>
    </w:tblPr>
  </w:style>
  <w:style w:type="table" w:customStyle="1" w:styleId="19">
    <w:name w:val="_Style 16"/>
    <w:basedOn w:val="12"/>
    <w:uiPriority w:val="0"/>
    <w:tblPr>
      <w:tblCellMar>
        <w:top w:w="50" w:type="dxa"/>
        <w:left w:w="90" w:type="dxa"/>
        <w:bottom w:w="50" w:type="dxa"/>
        <w:right w:w="90" w:type="dxa"/>
      </w:tblCellMar>
    </w:tblPr>
  </w:style>
  <w:style w:type="table" w:customStyle="1" w:styleId="20">
    <w:name w:val="_Style 17"/>
    <w:basedOn w:val="12"/>
    <w:uiPriority w:val="0"/>
    <w:tblPr>
      <w:tblCellMar>
        <w:top w:w="50" w:type="dxa"/>
        <w:left w:w="90" w:type="dxa"/>
        <w:bottom w:w="50" w:type="dxa"/>
        <w:right w:w="90" w:type="dxa"/>
      </w:tblCellMar>
    </w:tblPr>
  </w:style>
  <w:style w:type="table" w:customStyle="1" w:styleId="21">
    <w:name w:val="_Style 18"/>
    <w:basedOn w:val="12"/>
    <w:uiPriority w:val="0"/>
    <w:tblPr>
      <w:tblCellMar>
        <w:top w:w="50" w:type="dxa"/>
        <w:left w:w="90" w:type="dxa"/>
        <w:bottom w:w="50" w:type="dxa"/>
        <w:right w:w="90" w:type="dxa"/>
      </w:tblCellMar>
    </w:tblPr>
  </w:style>
  <w:style w:type="table" w:customStyle="1" w:styleId="22">
    <w:name w:val="_Style 19"/>
    <w:basedOn w:val="12"/>
    <w:uiPriority w:val="0"/>
    <w:tblPr>
      <w:tblCellMar>
        <w:top w:w="50" w:type="dxa"/>
        <w:left w:w="90" w:type="dxa"/>
        <w:bottom w:w="50" w:type="dxa"/>
        <w:right w:w="90" w:type="dxa"/>
      </w:tblCellMar>
    </w:tblPr>
  </w:style>
  <w:style w:type="table" w:customStyle="1" w:styleId="23">
    <w:name w:val="_Style 20"/>
    <w:basedOn w:val="12"/>
    <w:qFormat/>
    <w:uiPriority w:val="0"/>
    <w:tblPr>
      <w:tblCellMar>
        <w:top w:w="50" w:type="dxa"/>
        <w:left w:w="90" w:type="dxa"/>
        <w:bottom w:w="50" w:type="dxa"/>
        <w:right w:w="90" w:type="dxa"/>
      </w:tblCellMar>
    </w:tblPr>
  </w:style>
  <w:style w:type="table" w:customStyle="1" w:styleId="24">
    <w:name w:val="_Style 21"/>
    <w:basedOn w:val="12"/>
    <w:uiPriority w:val="0"/>
    <w:tblPr>
      <w:tblCellMar>
        <w:top w:w="50" w:type="dxa"/>
        <w:left w:w="90" w:type="dxa"/>
        <w:bottom w:w="50" w:type="dxa"/>
        <w:right w:w="90" w:type="dxa"/>
      </w:tblCellMar>
    </w:tblPr>
  </w:style>
  <w:style w:type="table" w:customStyle="1" w:styleId="25">
    <w:name w:val="_Style 22"/>
    <w:basedOn w:val="12"/>
    <w:uiPriority w:val="0"/>
    <w:tblPr>
      <w:tblCellMar>
        <w:top w:w="50" w:type="dxa"/>
        <w:left w:w="90" w:type="dxa"/>
        <w:bottom w:w="50" w:type="dxa"/>
        <w:right w:w="90" w:type="dxa"/>
      </w:tblCellMar>
    </w:tblPr>
  </w:style>
  <w:style w:type="table" w:customStyle="1" w:styleId="26">
    <w:name w:val="_Style 23"/>
    <w:basedOn w:val="12"/>
    <w:qFormat/>
    <w:uiPriority w:val="0"/>
    <w:tblPr>
      <w:tblCellMar>
        <w:top w:w="50" w:type="dxa"/>
        <w:left w:w="90" w:type="dxa"/>
        <w:bottom w:w="50" w:type="dxa"/>
        <w:right w:w="90" w:type="dxa"/>
      </w:tblCellMar>
    </w:tblPr>
  </w:style>
  <w:style w:type="table" w:customStyle="1" w:styleId="27">
    <w:name w:val="_Style 24"/>
    <w:basedOn w:val="12"/>
    <w:qFormat/>
    <w:uiPriority w:val="0"/>
    <w:tblPr>
      <w:tblCellMar>
        <w:top w:w="50" w:type="dxa"/>
        <w:left w:w="90" w:type="dxa"/>
        <w:bottom w:w="50" w:type="dxa"/>
        <w:right w:w="90" w:type="dxa"/>
      </w:tblCellMar>
    </w:tblPr>
  </w:style>
  <w:style w:type="table" w:customStyle="1" w:styleId="28">
    <w:name w:val="_Style 25"/>
    <w:basedOn w:val="12"/>
    <w:qFormat/>
    <w:uiPriority w:val="0"/>
    <w:tblPr>
      <w:tblCellMar>
        <w:top w:w="50" w:type="dxa"/>
        <w:left w:w="90" w:type="dxa"/>
        <w:bottom w:w="50" w:type="dxa"/>
        <w:right w:w="90" w:type="dxa"/>
      </w:tblCellMar>
    </w:tblPr>
  </w:style>
  <w:style w:type="table" w:customStyle="1" w:styleId="29">
    <w:name w:val="_Style 26"/>
    <w:basedOn w:val="12"/>
    <w:qFormat/>
    <w:uiPriority w:val="0"/>
    <w:tblPr>
      <w:tblCellMar>
        <w:top w:w="50" w:type="dxa"/>
        <w:left w:w="90" w:type="dxa"/>
        <w:bottom w:w="50" w:type="dxa"/>
        <w:right w:w="90" w:type="dxa"/>
      </w:tblCellMar>
    </w:tblPr>
  </w:style>
  <w:style w:type="table" w:customStyle="1" w:styleId="30">
    <w:name w:val="_Style 27"/>
    <w:basedOn w:val="12"/>
    <w:qFormat/>
    <w:uiPriority w:val="0"/>
    <w:tblPr>
      <w:tblCellMar>
        <w:top w:w="50" w:type="dxa"/>
        <w:left w:w="90" w:type="dxa"/>
        <w:bottom w:w="50" w:type="dxa"/>
        <w:right w:w="90" w:type="dxa"/>
      </w:tblCellMar>
    </w:tblPr>
  </w:style>
  <w:style w:type="table" w:customStyle="1" w:styleId="31">
    <w:name w:val="_Style 28"/>
    <w:basedOn w:val="12"/>
    <w:qFormat/>
    <w:uiPriority w:val="0"/>
    <w:tblPr>
      <w:tblCellMar>
        <w:top w:w="50" w:type="dxa"/>
        <w:left w:w="90" w:type="dxa"/>
        <w:bottom w:w="50" w:type="dxa"/>
        <w:right w:w="90" w:type="dxa"/>
      </w:tblCellMar>
    </w:tblPr>
  </w:style>
  <w:style w:type="table" w:customStyle="1" w:styleId="32">
    <w:name w:val="_Style 29"/>
    <w:basedOn w:val="12"/>
    <w:qFormat/>
    <w:uiPriority w:val="0"/>
    <w:tblPr>
      <w:tblCellMar>
        <w:top w:w="50" w:type="dxa"/>
        <w:left w:w="90" w:type="dxa"/>
        <w:bottom w:w="50" w:type="dxa"/>
        <w:right w:w="90"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1.png"/><Relationship Id="rId8" Type="http://schemas.openxmlformats.org/officeDocument/2006/relationships/theme" Target="theme/theme1.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1" Type="http://schemas.openxmlformats.org/officeDocument/2006/relationships/fontTable" Target="fontTable.xml"/><Relationship Id="rId30" Type="http://schemas.openxmlformats.org/officeDocument/2006/relationships/numbering" Target="numbering.xml"/><Relationship Id="rId3" Type="http://schemas.openxmlformats.org/officeDocument/2006/relationships/footnotes" Target="footnotes.xml"/><Relationship Id="rId29" Type="http://schemas.openxmlformats.org/officeDocument/2006/relationships/image" Target="media/image21.png"/><Relationship Id="rId28" Type="http://schemas.openxmlformats.org/officeDocument/2006/relationships/image" Target="media/image20.png"/><Relationship Id="rId27" Type="http://schemas.openxmlformats.org/officeDocument/2006/relationships/image" Target="media/image19.png"/><Relationship Id="rId26" Type="http://schemas.openxmlformats.org/officeDocument/2006/relationships/image" Target="media/image18.png"/><Relationship Id="rId25" Type="http://schemas.openxmlformats.org/officeDocument/2006/relationships/image" Target="media/image17.png"/><Relationship Id="rId24" Type="http://schemas.openxmlformats.org/officeDocument/2006/relationships/image" Target="media/image16.png"/><Relationship Id="rId23" Type="http://schemas.openxmlformats.org/officeDocument/2006/relationships/image" Target="media/image15.png"/><Relationship Id="rId22" Type="http://schemas.openxmlformats.org/officeDocument/2006/relationships/image" Target="media/image14.png"/><Relationship Id="rId21" Type="http://schemas.openxmlformats.org/officeDocument/2006/relationships/image" Target="media/image13.png"/><Relationship Id="rId20" Type="http://schemas.openxmlformats.org/officeDocument/2006/relationships/image" Target="media/image12.png"/><Relationship Id="rId2" Type="http://schemas.openxmlformats.org/officeDocument/2006/relationships/settings" Target="settings.xml"/><Relationship Id="rId19" Type="http://schemas.openxmlformats.org/officeDocument/2006/relationships/image" Target="media/image11.png"/><Relationship Id="rId18" Type="http://schemas.openxmlformats.org/officeDocument/2006/relationships/image" Target="media/image10.png"/><Relationship Id="rId17" Type="http://schemas.openxmlformats.org/officeDocument/2006/relationships/image" Target="media/image9.png"/><Relationship Id="rId16" Type="http://schemas.openxmlformats.org/officeDocument/2006/relationships/image" Target="media/image8.png"/><Relationship Id="rId15" Type="http://schemas.openxmlformats.org/officeDocument/2006/relationships/image" Target="media/image7.png"/><Relationship Id="rId14" Type="http://schemas.openxmlformats.org/officeDocument/2006/relationships/image" Target="media/image6.png"/><Relationship Id="rId13" Type="http://schemas.openxmlformats.org/officeDocument/2006/relationships/image" Target="media/image5.png"/><Relationship Id="rId12" Type="http://schemas.openxmlformats.org/officeDocument/2006/relationships/image" Target="media/image4.png"/><Relationship Id="rId11" Type="http://schemas.openxmlformats.org/officeDocument/2006/relationships/image" Target="media/image3.png"/><Relationship Id="rId10" Type="http://schemas.openxmlformats.org/officeDocument/2006/relationships/image" Target="media/image2.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9" Type="http://schemas.openxmlformats.org/officeDocument/2006/relationships/font" Target="fonts/font9.odttf"/><Relationship Id="rId8" Type="http://schemas.openxmlformats.org/officeDocument/2006/relationships/font" Target="fonts/font8.odttf"/><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0" Type="http://schemas.openxmlformats.org/officeDocument/2006/relationships/font" Target="fonts/font10.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Pages>80</Pages>
  <Words>21393</Words>
  <Characters>114746</Characters>
  <TotalTime>4</TotalTime>
  <ScaleCrop>false</ScaleCrop>
  <LinksUpToDate>false</LinksUpToDate>
  <CharactersWithSpaces>135384</CharactersWithSpaces>
  <Application>WPS Office_12.1.0.28485_F1E327BC-269C-435d-A152-05C5408002CA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2026-09-25T12:37:36Z</dcterms:created>
  <dc:creator>ASUS</dc:creator>
  <cp:lastModifiedBy>Aastha Babaria</cp:lastModifiedBy>
  <dcterms:modified xsi:type="dcterms:W3CDTF">2026-09-25T12:48:05Z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eyJoZGlkIjoiMTM1ZTI2ZmI4NTI0YWE5NjllZDI0OTEyMGY4NGIyZTgiLCJ1c2VySWQiOiI1Njc0MDI5NzM1MjEifQ==</vt:lpwstr>
  </property>
  <property fmtid="{D5CDD505-2E9C-101B-9397-08002B2CF9AE}" pid="3" name="KSOProductBuildVer">
    <vt:lpwstr>1033-12.1.0.28485</vt:lpwstr>
  </property>
  <property fmtid="{D5CDD505-2E9C-101B-9397-08002B2CF9AE}" pid="4" name="ICV">
    <vt:lpwstr>51FCF97B469A46DC93B6296CFF2F2567_12</vt:lpwstr>
  </property>
</Properties>
</file>