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0" w:lineRule="auto"/>
        <w:jc w:val="center"/>
        <w:rPr/>
      </w:pPr>
      <w:r w:rsidDel="00000000" w:rsidR="00000000" w:rsidRPr="00000000">
        <w:rPr>
          <w:rFonts w:ascii="Arial" w:cs="Arial" w:eastAsia="Arial" w:hAnsi="Arial"/>
        </w:rPr>
        <w:drawing>
          <wp:inline distB="114300" distT="114300" distL="114300" distR="114300">
            <wp:extent cx="1777837" cy="1777837"/>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77837" cy="1777837"/>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spacing w:after="50" w:lineRule="auto"/>
        <w:jc w:val="center"/>
        <w:rPr/>
      </w:pPr>
      <w:bookmarkStart w:colFirst="0" w:colLast="0" w:name="_ybnbiegixbiy" w:id="0"/>
      <w:bookmarkEnd w:id="0"/>
      <w:r w:rsidDel="00000000" w:rsidR="00000000" w:rsidRPr="00000000">
        <w:rPr>
          <w:rtl w:val="0"/>
        </w:rPr>
        <w:t xml:space="preserve">TraceOff</w:t>
      </w:r>
    </w:p>
    <w:p w:rsidR="00000000" w:rsidDel="00000000" w:rsidP="00000000" w:rsidRDefault="00000000" w:rsidRPr="00000000" w14:paraId="00000003">
      <w:pPr>
        <w:pStyle w:val="Subtitle"/>
        <w:spacing w:after="600" w:lineRule="auto"/>
        <w:jc w:val="center"/>
        <w:rPr>
          <w:color w:val="3c78d8"/>
        </w:rPr>
      </w:pPr>
      <w:bookmarkStart w:colFirst="0" w:colLast="0" w:name="_dbsnla1hrqkx" w:id="1"/>
      <w:bookmarkEnd w:id="1"/>
      <w:r w:rsidDel="00000000" w:rsidR="00000000" w:rsidRPr="00000000">
        <w:rPr>
          <w:color w:val="3c78d8"/>
          <w:rtl w:val="0"/>
        </w:rPr>
        <w:t xml:space="preserve">Individual Reflective Journal</w:t>
      </w:r>
    </w:p>
    <w:p w:rsidR="00000000" w:rsidDel="00000000" w:rsidP="00000000" w:rsidRDefault="00000000" w:rsidRPr="00000000" w14:paraId="00000004">
      <w:pPr>
        <w:spacing w:after="10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Student Name:</w:t>
      </w:r>
    </w:p>
    <w:p w:rsidR="00000000" w:rsidDel="00000000" w:rsidP="00000000" w:rsidRDefault="00000000" w:rsidRPr="00000000" w14:paraId="00000005">
      <w:pPr>
        <w:spacing w:after="30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David López Rodríguez</w:t>
      </w:r>
    </w:p>
    <w:p w:rsidR="00000000" w:rsidDel="00000000" w:rsidP="00000000" w:rsidRDefault="00000000" w:rsidRPr="00000000" w14:paraId="00000006">
      <w:pPr>
        <w:spacing w:after="10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Student ID:</w:t>
      </w:r>
    </w:p>
    <w:p w:rsidR="00000000" w:rsidDel="00000000" w:rsidP="00000000" w:rsidRDefault="00000000" w:rsidRPr="00000000" w14:paraId="00000007">
      <w:pPr>
        <w:spacing w:after="30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2336542</w:t>
      </w:r>
    </w:p>
    <w:p w:rsidR="00000000" w:rsidDel="00000000" w:rsidP="00000000" w:rsidRDefault="00000000" w:rsidRPr="00000000" w14:paraId="00000008">
      <w:pPr>
        <w:spacing w:after="10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Module:</w:t>
      </w:r>
    </w:p>
    <w:p w:rsidR="00000000" w:rsidDel="00000000" w:rsidP="00000000" w:rsidRDefault="00000000" w:rsidRPr="00000000" w14:paraId="00000009">
      <w:pPr>
        <w:spacing w:after="20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Emerging Trends (ACCB6019_LON)</w:t>
      </w:r>
    </w:p>
    <w:p w:rsidR="00000000" w:rsidDel="00000000" w:rsidP="00000000" w:rsidRDefault="00000000" w:rsidRPr="00000000" w14:paraId="0000000A">
      <w:pPr>
        <w:pageBreakBefore w:val="1"/>
        <w:rPr>
          <w:rFonts w:ascii="Arial" w:cs="Arial" w:eastAsia="Arial" w:hAnsi="Arial"/>
        </w:rPr>
      </w:pPr>
      <w:r w:rsidDel="00000000" w:rsidR="00000000" w:rsidRPr="00000000">
        <w:rPr>
          <w:rtl w:val="0"/>
        </w:rPr>
      </w:r>
    </w:p>
    <w:p w:rsidR="00000000" w:rsidDel="00000000" w:rsidP="00000000" w:rsidRDefault="00000000" w:rsidRPr="00000000" w14:paraId="0000000B">
      <w:pPr>
        <w:pStyle w:val="Heading1"/>
        <w:spacing w:after="300" w:lineRule="auto"/>
        <w:rPr>
          <w:rFonts w:ascii="Arial" w:cs="Arial" w:eastAsia="Arial" w:hAnsi="Arial"/>
        </w:rPr>
      </w:pPr>
      <w:r w:rsidDel="00000000" w:rsidR="00000000" w:rsidRPr="00000000">
        <w:rPr>
          <w:rFonts w:ascii="Arial" w:cs="Arial" w:eastAsia="Arial" w:hAnsi="Arial"/>
          <w:rtl w:val="0"/>
        </w:rPr>
        <w:t xml:space="preserve">Table of Contents</w:t>
      </w:r>
    </w:p>
    <w:p w:rsidR="00000000" w:rsidDel="00000000" w:rsidP="00000000" w:rsidRDefault="00000000" w:rsidRPr="00000000" w14:paraId="0000000C">
      <w:pPr>
        <w:spacing w:after="100" w:lineRule="auto"/>
        <w:rPr>
          <w:rFonts w:ascii="Arial" w:cs="Arial" w:eastAsia="Arial" w:hAnsi="Arial"/>
        </w:rPr>
      </w:pPr>
      <w:r w:rsidDel="00000000" w:rsidR="00000000" w:rsidRPr="00000000">
        <w:rPr>
          <w:rFonts w:ascii="Arial" w:cs="Arial" w:eastAsia="Arial" w:hAnsi="Arial"/>
          <w:color w:val="0563c1"/>
          <w:u w:val="single"/>
          <w:rtl w:val="0"/>
        </w:rPr>
        <w:t xml:space="preserve">1. Overview &amp; Background</w:t>
      </w:r>
      <w:r w:rsidDel="00000000" w:rsidR="00000000" w:rsidRPr="00000000">
        <w:rPr>
          <w:rtl w:val="0"/>
        </w:rPr>
      </w:r>
    </w:p>
    <w:p w:rsidR="00000000" w:rsidDel="00000000" w:rsidP="00000000" w:rsidRDefault="00000000" w:rsidRPr="00000000" w14:paraId="0000000D">
      <w:pPr>
        <w:spacing w:after="100" w:lineRule="auto"/>
        <w:rPr>
          <w:rFonts w:ascii="Arial" w:cs="Arial" w:eastAsia="Arial" w:hAnsi="Arial"/>
        </w:rPr>
      </w:pPr>
      <w:r w:rsidDel="00000000" w:rsidR="00000000" w:rsidRPr="00000000">
        <w:rPr>
          <w:rFonts w:ascii="Arial" w:cs="Arial" w:eastAsia="Arial" w:hAnsi="Arial"/>
          <w:color w:val="0563c1"/>
          <w:u w:val="single"/>
          <w:rtl w:val="0"/>
        </w:rPr>
        <w:t xml:space="preserve">2. Details of my Involvement</w:t>
      </w:r>
      <w:r w:rsidDel="00000000" w:rsidR="00000000" w:rsidRPr="00000000">
        <w:rPr>
          <w:rtl w:val="0"/>
        </w:rPr>
      </w:r>
    </w:p>
    <w:p w:rsidR="00000000" w:rsidDel="00000000" w:rsidP="00000000" w:rsidRDefault="00000000" w:rsidRPr="00000000" w14:paraId="0000000E">
      <w:pPr>
        <w:spacing w:after="100" w:lineRule="auto"/>
        <w:rPr>
          <w:rFonts w:ascii="Arial" w:cs="Arial" w:eastAsia="Arial" w:hAnsi="Arial"/>
        </w:rPr>
      </w:pPr>
      <w:r w:rsidDel="00000000" w:rsidR="00000000" w:rsidRPr="00000000">
        <w:rPr>
          <w:rFonts w:ascii="Arial" w:cs="Arial" w:eastAsia="Arial" w:hAnsi="Arial"/>
          <w:color w:val="0563c1"/>
          <w:u w:val="single"/>
          <w:rtl w:val="0"/>
        </w:rPr>
        <w:t xml:space="preserve">3. Lessons Learned: Team Experience</w:t>
      </w:r>
      <w:r w:rsidDel="00000000" w:rsidR="00000000" w:rsidRPr="00000000">
        <w:rPr>
          <w:rtl w:val="0"/>
        </w:rPr>
      </w:r>
    </w:p>
    <w:p w:rsidR="00000000" w:rsidDel="00000000" w:rsidP="00000000" w:rsidRDefault="00000000" w:rsidRPr="00000000" w14:paraId="0000000F">
      <w:pPr>
        <w:spacing w:after="100" w:lineRule="auto"/>
        <w:rPr>
          <w:rFonts w:ascii="Arial" w:cs="Arial" w:eastAsia="Arial" w:hAnsi="Arial"/>
        </w:rPr>
      </w:pPr>
      <w:r w:rsidDel="00000000" w:rsidR="00000000" w:rsidRPr="00000000">
        <w:rPr>
          <w:rFonts w:ascii="Arial" w:cs="Arial" w:eastAsia="Arial" w:hAnsi="Arial"/>
          <w:color w:val="0563c1"/>
          <w:u w:val="single"/>
          <w:rtl w:val="0"/>
        </w:rPr>
        <w:t xml:space="preserve">4. Team Rating &amp; Personal Reflection</w:t>
      </w:r>
      <w:r w:rsidDel="00000000" w:rsidR="00000000" w:rsidRPr="00000000">
        <w:rPr>
          <w:rtl w:val="0"/>
        </w:rPr>
      </w:r>
    </w:p>
    <w:p w:rsidR="00000000" w:rsidDel="00000000" w:rsidP="00000000" w:rsidRDefault="00000000" w:rsidRPr="00000000" w14:paraId="00000010">
      <w:pPr>
        <w:spacing w:after="100" w:lineRule="auto"/>
        <w:rPr>
          <w:rFonts w:ascii="Arial" w:cs="Arial" w:eastAsia="Arial" w:hAnsi="Arial"/>
        </w:rPr>
      </w:pPr>
      <w:r w:rsidDel="00000000" w:rsidR="00000000" w:rsidRPr="00000000">
        <w:rPr>
          <w:rFonts w:ascii="Arial" w:cs="Arial" w:eastAsia="Arial" w:hAnsi="Arial"/>
          <w:color w:val="0563c1"/>
          <w:u w:val="single"/>
          <w:rtl w:val="0"/>
        </w:rPr>
        <w:t xml:space="preserve">5. Limitations &amp; Risk Factors</w:t>
      </w:r>
      <w:r w:rsidDel="00000000" w:rsidR="00000000" w:rsidRPr="00000000">
        <w:rPr>
          <w:rtl w:val="0"/>
        </w:rPr>
      </w:r>
    </w:p>
    <w:p w:rsidR="00000000" w:rsidDel="00000000" w:rsidP="00000000" w:rsidRDefault="00000000" w:rsidRPr="00000000" w14:paraId="00000011">
      <w:pPr>
        <w:spacing w:after="100" w:lineRule="auto"/>
        <w:rPr>
          <w:rFonts w:ascii="Arial" w:cs="Arial" w:eastAsia="Arial" w:hAnsi="Arial"/>
        </w:rPr>
      </w:pPr>
      <w:r w:rsidDel="00000000" w:rsidR="00000000" w:rsidRPr="00000000">
        <w:rPr>
          <w:rFonts w:ascii="Arial" w:cs="Arial" w:eastAsia="Arial" w:hAnsi="Arial"/>
          <w:color w:val="0563c1"/>
          <w:u w:val="single"/>
          <w:rtl w:val="0"/>
        </w:rPr>
        <w:t xml:space="preserve">6. Final Thoughts</w:t>
      </w:r>
      <w:r w:rsidDel="00000000" w:rsidR="00000000" w:rsidRPr="00000000">
        <w:rPr>
          <w:rtl w:val="0"/>
        </w:rPr>
      </w:r>
    </w:p>
    <w:p w:rsidR="00000000" w:rsidDel="00000000" w:rsidP="00000000" w:rsidRDefault="00000000" w:rsidRPr="00000000" w14:paraId="00000012">
      <w:pPr>
        <w:pageBreakBefore w:val="1"/>
        <w:rPr>
          <w:rFonts w:ascii="Arial" w:cs="Arial" w:eastAsia="Arial" w:hAnsi="Arial"/>
        </w:rPr>
      </w:pPr>
      <w:r w:rsidDel="00000000" w:rsidR="00000000" w:rsidRPr="00000000">
        <w:rPr>
          <w:rtl w:val="0"/>
        </w:rPr>
      </w:r>
    </w:p>
    <w:p w:rsidR="00000000" w:rsidDel="00000000" w:rsidP="00000000" w:rsidRDefault="00000000" w:rsidRPr="00000000" w14:paraId="00000013">
      <w:pPr>
        <w:pStyle w:val="Heading1"/>
        <w:spacing w:after="200" w:before="200" w:lineRule="auto"/>
        <w:rPr/>
      </w:pPr>
      <w:bookmarkStart w:colFirst="0" w:colLast="0" w:name="_kewf0jhthvfh" w:id="2"/>
      <w:bookmarkEnd w:id="2"/>
      <w:r w:rsidDel="00000000" w:rsidR="00000000" w:rsidRPr="00000000">
        <w:rPr>
          <w:rtl w:val="0"/>
        </w:rPr>
        <w:t xml:space="preserve">1. Overview &amp; Background</w:t>
      </w:r>
    </w:p>
    <w:p w:rsidR="00000000" w:rsidDel="00000000" w:rsidP="00000000" w:rsidRDefault="00000000" w:rsidRPr="00000000" w14:paraId="00000014">
      <w:pPr>
        <w:spacing w:after="200" w:lineRule="auto"/>
        <w:rPr>
          <w:rFonts w:ascii="Arial" w:cs="Arial" w:eastAsia="Arial" w:hAnsi="Arial"/>
        </w:rPr>
      </w:pPr>
      <w:r w:rsidDel="00000000" w:rsidR="00000000" w:rsidRPr="00000000">
        <w:rPr>
          <w:rFonts w:ascii="Arial" w:cs="Arial" w:eastAsia="Arial" w:hAnsi="Arial"/>
          <w:rtl w:val="0"/>
        </w:rPr>
        <w:t xml:space="preserve">TraceOff was conceived from a privacy tools gap in the UK market. These are my reflections on leading the ten-week project TraceOff across both tech lead and team manager roles, choices made along the way which led to the final design, and lessons learned about myself.</w:t>
      </w:r>
    </w:p>
    <w:p w:rsidR="00000000" w:rsidDel="00000000" w:rsidP="00000000" w:rsidRDefault="00000000" w:rsidRPr="00000000" w14:paraId="00000015">
      <w:pPr>
        <w:pStyle w:val="Heading1"/>
        <w:spacing w:after="200" w:before="200" w:lineRule="auto"/>
        <w:rPr/>
      </w:pPr>
      <w:bookmarkStart w:colFirst="0" w:colLast="0" w:name="_i2d704w1rbju" w:id="3"/>
      <w:bookmarkEnd w:id="3"/>
      <w:r w:rsidDel="00000000" w:rsidR="00000000" w:rsidRPr="00000000">
        <w:rPr>
          <w:rtl w:val="0"/>
        </w:rPr>
        <w:t xml:space="preserve">2. Details of my Involvement</w:t>
      </w:r>
    </w:p>
    <w:p w:rsidR="00000000" w:rsidDel="00000000" w:rsidP="00000000" w:rsidRDefault="00000000" w:rsidRPr="00000000" w14:paraId="00000016">
      <w:pPr>
        <w:spacing w:after="200" w:lineRule="auto"/>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Roles: Architect. Decision-maker. Manager.</w:t>
      </w:r>
    </w:p>
    <w:p w:rsidR="00000000" w:rsidDel="00000000" w:rsidP="00000000" w:rsidRDefault="00000000" w:rsidRPr="00000000" w14:paraId="00000017">
      <w:pPr>
        <w:spacing w:after="200" w:lineRule="auto"/>
        <w:rPr>
          <w:rFonts w:ascii="Arial" w:cs="Arial" w:eastAsia="Arial" w:hAnsi="Arial"/>
        </w:rPr>
      </w:pPr>
      <w:r w:rsidDel="00000000" w:rsidR="00000000" w:rsidRPr="00000000">
        <w:rPr>
          <w:rFonts w:ascii="Arial" w:cs="Arial" w:eastAsia="Arial" w:hAnsi="Arial"/>
          <w:rtl w:val="0"/>
        </w:rPr>
        <w:t xml:space="preserve">Tech lead work began with research. Immersion into the current OSINT landscape HIBP, holehe, Sherlock, Mozilla Monitor to know the primitives each offered and how they were limited. From there I decided to orchestrate other free and public sources rather than building our own detection engines. The architectural decision to make a stateless serverless app where user data exists only-in-memory during a single scan process and then is discarded was a group consensus.</w:t>
      </w:r>
    </w:p>
    <w:p w:rsidR="00000000" w:rsidDel="00000000" w:rsidP="00000000" w:rsidRDefault="00000000" w:rsidRPr="00000000" w14:paraId="00000018">
      <w:pPr>
        <w:spacing w:after="200" w:lineRule="auto"/>
        <w:rPr>
          <w:rFonts w:ascii="Arial" w:cs="Arial" w:eastAsia="Arial" w:hAnsi="Arial"/>
        </w:rPr>
      </w:pPr>
      <w:r w:rsidDel="00000000" w:rsidR="00000000" w:rsidRPr="00000000">
        <w:rPr>
          <w:rFonts w:ascii="Arial" w:cs="Arial" w:eastAsia="Arial" w:hAnsi="Arial"/>
          <w:rtl w:val="0"/>
        </w:rPr>
        <w:t xml:space="preserve">I chose our tech stack (Next.js, shadcn/ui, TypeScript, terminal-inspired dark theme aesthetic with VT323 display fonts) to be fast and credible so we could deliver a working demo. Then I built that demo a complete walkthrough from giving consent, running the three-source scan, reviewing your exposure score, and triggering letter-generation.</w:t>
      </w:r>
    </w:p>
    <w:p w:rsidR="00000000" w:rsidDel="00000000" w:rsidP="00000000" w:rsidRDefault="00000000" w:rsidRPr="00000000" w14:paraId="00000019">
      <w:pPr>
        <w:spacing w:after="200" w:lineRule="auto"/>
        <w:rPr>
          <w:rFonts w:ascii="Arial" w:cs="Arial" w:eastAsia="Arial" w:hAnsi="Arial"/>
        </w:rPr>
      </w:pPr>
      <w:r w:rsidDel="00000000" w:rsidR="00000000" w:rsidRPr="00000000">
        <w:rPr>
          <w:rFonts w:ascii="Arial" w:cs="Arial" w:eastAsia="Arial" w:hAnsi="Arial"/>
          <w:rtl w:val="0"/>
        </w:rPr>
        <w:t xml:space="preserve">I also advised Alex on design direction and received direction feedback from him.</w:t>
      </w:r>
    </w:p>
    <w:p w:rsidR="00000000" w:rsidDel="00000000" w:rsidP="00000000" w:rsidRDefault="00000000" w:rsidRPr="00000000" w14:paraId="0000001A">
      <w:pPr>
        <w:spacing w:after="200" w:lineRule="auto"/>
        <w:rPr>
          <w:rFonts w:ascii="Arial" w:cs="Arial" w:eastAsia="Arial" w:hAnsi="Arial"/>
        </w:rPr>
      </w:pPr>
      <w:r w:rsidDel="00000000" w:rsidR="00000000" w:rsidRPr="00000000">
        <w:rPr>
          <w:rFonts w:ascii="Arial" w:cs="Arial" w:eastAsia="Arial" w:hAnsi="Arial"/>
          <w:rtl w:val="0"/>
        </w:rPr>
        <w:t xml:space="preserve">Above all else I am proud of the architecture. Stateless is the main feature. Nothing is saved locally or at rest. We make no database queries. That architecture is direct consequence of building from the ethical/legal model of the tool first, then everything else grew from that decision tree. That kind of rigor and authenticity separates us from everything else.</w:t>
      </w:r>
    </w:p>
    <w:p w:rsidR="00000000" w:rsidDel="00000000" w:rsidP="00000000" w:rsidRDefault="00000000" w:rsidRPr="00000000" w14:paraId="0000001B">
      <w:pPr>
        <w:spacing w:after="200" w:lineRule="auto"/>
        <w:rPr>
          <w:rFonts w:ascii="Arial" w:cs="Arial" w:eastAsia="Arial" w:hAnsi="Arial"/>
        </w:rPr>
      </w:pPr>
      <w:r w:rsidDel="00000000" w:rsidR="00000000" w:rsidRPr="00000000">
        <w:rPr>
          <w:rFonts w:ascii="Arial" w:cs="Arial" w:eastAsia="Arial" w:hAnsi="Arial"/>
          <w:rtl w:val="0"/>
        </w:rPr>
        <w:t xml:space="preserve">The tough choice was knowing we would orchestrate, not invent. So we synthesised existing good tools together in new ways. It was the right call for the project goals but not an instinctive decision for me.</w:t>
      </w:r>
    </w:p>
    <w:p w:rsidR="00000000" w:rsidDel="00000000" w:rsidP="00000000" w:rsidRDefault="00000000" w:rsidRPr="00000000" w14:paraId="0000001C">
      <w:pPr>
        <w:pStyle w:val="Heading1"/>
        <w:spacing w:after="200" w:before="200" w:lineRule="auto"/>
        <w:rPr/>
      </w:pPr>
      <w:bookmarkStart w:colFirst="0" w:colLast="0" w:name="_115vjho4lmox" w:id="4"/>
      <w:bookmarkEnd w:id="4"/>
      <w:r w:rsidDel="00000000" w:rsidR="00000000" w:rsidRPr="00000000">
        <w:rPr>
          <w:rtl w:val="0"/>
        </w:rPr>
        <w:t xml:space="preserve">3. Lessons Learned: Team Experience</w:t>
      </w:r>
    </w:p>
    <w:p w:rsidR="00000000" w:rsidDel="00000000" w:rsidP="00000000" w:rsidRDefault="00000000" w:rsidRPr="00000000" w14:paraId="0000001D">
      <w:pPr>
        <w:spacing w:after="200" w:lineRule="auto"/>
        <w:rPr>
          <w:rFonts w:ascii="Arial" w:cs="Arial" w:eastAsia="Arial" w:hAnsi="Arial"/>
        </w:rPr>
      </w:pPr>
      <w:r w:rsidDel="00000000" w:rsidR="00000000" w:rsidRPr="00000000">
        <w:rPr>
          <w:rFonts w:ascii="Arial" w:cs="Arial" w:eastAsia="Arial" w:hAnsi="Arial"/>
          <w:rtl w:val="0"/>
        </w:rPr>
        <w:t xml:space="preserve">Tools used were MS Teams for communication and a shared task board to track tasks across two developers, a designer, and a researcher across eight weeks of research, design, development, and alpha-user testing. I intentionally architected that workflow so each week was divided into clear tasks where every person always knew their next contribution.</w:t>
      </w:r>
    </w:p>
    <w:p w:rsidR="00000000" w:rsidDel="00000000" w:rsidP="00000000" w:rsidRDefault="00000000" w:rsidRPr="00000000" w14:paraId="0000001E">
      <w:pPr>
        <w:spacing w:after="200" w:lineRule="auto"/>
        <w:rPr>
          <w:rFonts w:ascii="Arial" w:cs="Arial" w:eastAsia="Arial" w:hAnsi="Arial"/>
        </w:rPr>
      </w:pPr>
      <w:r w:rsidDel="00000000" w:rsidR="00000000" w:rsidRPr="00000000">
        <w:rPr>
          <w:rFonts w:ascii="Arial" w:cs="Arial" w:eastAsia="Arial" w:hAnsi="Arial"/>
          <w:rtl w:val="0"/>
        </w:rPr>
        <w:t xml:space="preserve">Salma needed autonomy. She dove into the GDPR legal basis, researched statistics around the privacy problems, authored the project slide deck. She just needed to know what the top-level scope was and when it was due.</w:t>
      </w:r>
    </w:p>
    <w:p w:rsidR="00000000" w:rsidDel="00000000" w:rsidP="00000000" w:rsidRDefault="00000000" w:rsidRPr="00000000" w14:paraId="0000001F">
      <w:pPr>
        <w:spacing w:after="200" w:lineRule="auto"/>
        <w:rPr>
          <w:rFonts w:ascii="Arial" w:cs="Arial" w:eastAsia="Arial" w:hAnsi="Arial"/>
        </w:rPr>
      </w:pPr>
      <w:r w:rsidDel="00000000" w:rsidR="00000000" w:rsidRPr="00000000">
        <w:rPr>
          <w:rFonts w:ascii="Arial" w:cs="Arial" w:eastAsia="Arial" w:hAnsi="Arial"/>
          <w:rtl w:val="0"/>
        </w:rPr>
        <w:t xml:space="preserve">Alex required just the opposite. Gifted and uniquely skilled in the visualization and design side but he needed tightly scoped tasks with specific success-criteria. Give him an open ended challenge and he became overwhelmed. Help him break it down into detailed pieces and he produced magic.</w:t>
      </w:r>
    </w:p>
    <w:p w:rsidR="00000000" w:rsidDel="00000000" w:rsidP="00000000" w:rsidRDefault="00000000" w:rsidRPr="00000000" w14:paraId="00000020">
      <w:pPr>
        <w:spacing w:after="200" w:lineRule="auto"/>
        <w:rPr>
          <w:rFonts w:ascii="Arial" w:cs="Arial" w:eastAsia="Arial" w:hAnsi="Arial"/>
        </w:rPr>
      </w:pPr>
      <w:r w:rsidDel="00000000" w:rsidR="00000000" w:rsidRPr="00000000">
        <w:rPr>
          <w:rtl w:val="0"/>
        </w:rPr>
      </w:r>
    </w:p>
    <w:p w:rsidR="00000000" w:rsidDel="00000000" w:rsidP="00000000" w:rsidRDefault="00000000" w:rsidRPr="00000000" w14:paraId="00000021">
      <w:pPr>
        <w:pStyle w:val="Heading1"/>
        <w:spacing w:after="200" w:before="200" w:lineRule="auto"/>
        <w:rPr/>
      </w:pPr>
      <w:bookmarkStart w:colFirst="0" w:colLast="0" w:name="_wtxb5n1rkjz" w:id="5"/>
      <w:bookmarkEnd w:id="5"/>
      <w:r w:rsidDel="00000000" w:rsidR="00000000" w:rsidRPr="00000000">
        <w:rPr>
          <w:rtl w:val="0"/>
        </w:rPr>
        <w:t xml:space="preserve">4. Team Rating &amp; Personal Reflection</w:t>
      </w:r>
    </w:p>
    <w:p w:rsidR="00000000" w:rsidDel="00000000" w:rsidP="00000000" w:rsidRDefault="00000000" w:rsidRPr="00000000" w14:paraId="00000022">
      <w:pPr>
        <w:spacing w:after="200" w:lineRule="auto"/>
        <w:rPr>
          <w:rFonts w:ascii="Arial" w:cs="Arial" w:eastAsia="Arial" w:hAnsi="Arial"/>
        </w:rPr>
      </w:pPr>
      <w:r w:rsidDel="00000000" w:rsidR="00000000" w:rsidRPr="00000000">
        <w:rPr>
          <w:rFonts w:ascii="Arial" w:cs="Arial" w:eastAsia="Arial" w:hAnsi="Arial"/>
          <w:rtl w:val="0"/>
        </w:rPr>
        <w:t xml:space="preserve">Salma: 5/5. Independent, thoughtful, heads in the clouds. Learned GDPR straight from source, synthesized how it relates to architecture decision (stateless = no custody = cannot be breached/disclosed), crafted narrative for presentation to make it shine.</w:t>
      </w:r>
    </w:p>
    <w:p w:rsidR="00000000" w:rsidDel="00000000" w:rsidP="00000000" w:rsidRDefault="00000000" w:rsidRPr="00000000" w14:paraId="00000023">
      <w:pPr>
        <w:spacing w:after="200" w:lineRule="auto"/>
        <w:rPr>
          <w:rFonts w:ascii="Arial" w:cs="Arial" w:eastAsia="Arial" w:hAnsi="Arial"/>
        </w:rPr>
      </w:pPr>
      <w:r w:rsidDel="00000000" w:rsidR="00000000" w:rsidRPr="00000000">
        <w:rPr>
          <w:rFonts w:ascii="Arial" w:cs="Arial" w:eastAsia="Arial" w:hAnsi="Arial"/>
          <w:rtl w:val="0"/>
        </w:rPr>
        <w:t xml:space="preserve">Alexandru: 3/5. Positively Renaissance when it comes to visual thinking charts, graphs, styled components, UI polish. But he needs guidance for every step.</w:t>
      </w:r>
    </w:p>
    <w:p w:rsidR="00000000" w:rsidDel="00000000" w:rsidP="00000000" w:rsidRDefault="00000000" w:rsidRPr="00000000" w14:paraId="00000024">
      <w:pPr>
        <w:spacing w:after="200" w:lineRule="auto"/>
        <w:rPr>
          <w:rFonts w:ascii="Arial" w:cs="Arial" w:eastAsia="Arial" w:hAnsi="Arial"/>
        </w:rPr>
      </w:pPr>
      <w:r w:rsidDel="00000000" w:rsidR="00000000" w:rsidRPr="00000000">
        <w:rPr>
          <w:rFonts w:ascii="Arial" w:cs="Arial" w:eastAsia="Arial" w:hAnsi="Arial"/>
          <w:rtl w:val="0"/>
        </w:rPr>
        <w:t xml:space="preserve">Myself: 4/5. Confident in the architecture decisions we made and the culture around building. Could have delegated more and trusted the team more than I did. I did too much. Improvements for next time.</w:t>
      </w:r>
    </w:p>
    <w:p w:rsidR="00000000" w:rsidDel="00000000" w:rsidP="00000000" w:rsidRDefault="00000000" w:rsidRPr="00000000" w14:paraId="00000025">
      <w:pPr>
        <w:pStyle w:val="Heading1"/>
        <w:spacing w:after="200" w:before="200" w:lineRule="auto"/>
        <w:rPr/>
      </w:pPr>
      <w:bookmarkStart w:colFirst="0" w:colLast="0" w:name="_tcc7rlf34n5t" w:id="6"/>
      <w:bookmarkEnd w:id="6"/>
      <w:r w:rsidDel="00000000" w:rsidR="00000000" w:rsidRPr="00000000">
        <w:rPr>
          <w:rtl w:val="0"/>
        </w:rPr>
        <w:t xml:space="preserve">5</w:t>
      </w:r>
      <w:r w:rsidDel="00000000" w:rsidR="00000000" w:rsidRPr="00000000">
        <w:rPr>
          <w:rtl w:val="0"/>
        </w:rPr>
        <w:t xml:space="preserve">. Limitations &amp; Risk Factors</w:t>
      </w:r>
    </w:p>
    <w:p w:rsidR="00000000" w:rsidDel="00000000" w:rsidP="00000000" w:rsidRDefault="00000000" w:rsidRPr="00000000" w14:paraId="00000026">
      <w:pPr>
        <w:spacing w:after="200" w:lineRule="auto"/>
        <w:rPr>
          <w:rFonts w:ascii="Arial" w:cs="Arial" w:eastAsia="Arial" w:hAnsi="Arial"/>
        </w:rPr>
      </w:pPr>
      <w:r w:rsidDel="00000000" w:rsidR="00000000" w:rsidRPr="00000000">
        <w:rPr>
          <w:rFonts w:ascii="Arial" w:cs="Arial" w:eastAsia="Arial" w:hAnsi="Arial"/>
          <w:rtl w:val="0"/>
        </w:rPr>
        <w:t xml:space="preserve">Short on data: there simply is not enough publicly available data. HIBP only covers breaches and holehe only checks 120 websites/platforms. Not every combination. You will not know everything about your online exposure with TraceOff. You will know a lot, but not everything. That is true.</w:t>
      </w:r>
    </w:p>
    <w:p w:rsidR="00000000" w:rsidDel="00000000" w:rsidP="00000000" w:rsidRDefault="00000000" w:rsidRPr="00000000" w14:paraId="00000027">
      <w:pPr>
        <w:spacing w:after="200" w:lineRule="auto"/>
        <w:rPr>
          <w:rFonts w:ascii="Arial" w:cs="Arial" w:eastAsia="Arial" w:hAnsi="Arial"/>
        </w:rPr>
      </w:pPr>
      <w:r w:rsidDel="00000000" w:rsidR="00000000" w:rsidRPr="00000000">
        <w:rPr>
          <w:rFonts w:ascii="Arial" w:cs="Arial" w:eastAsia="Arial" w:hAnsi="Arial"/>
          <w:rtl w:val="0"/>
        </w:rPr>
        <w:t xml:space="preserve">False positives on name matching: when you search common names against people data you will get false positives for other people with that same name. Some risk of false flags remains.</w:t>
      </w:r>
    </w:p>
    <w:p w:rsidR="00000000" w:rsidDel="00000000" w:rsidP="00000000" w:rsidRDefault="00000000" w:rsidRPr="00000000" w14:paraId="00000028">
      <w:pPr>
        <w:spacing w:after="200" w:lineRule="auto"/>
        <w:rPr>
          <w:rFonts w:ascii="Arial" w:cs="Arial" w:eastAsia="Arial" w:hAnsi="Arial"/>
        </w:rPr>
      </w:pPr>
      <w:r w:rsidDel="00000000" w:rsidR="00000000" w:rsidRPr="00000000">
        <w:rPr>
          <w:rFonts w:ascii="Arial" w:cs="Arial" w:eastAsia="Arial" w:hAnsi="Arial"/>
          <w:rtl w:val="0"/>
        </w:rPr>
        <w:t xml:space="preserve">As for worry that this tool could be used to dox/tracer someone? The architecture shuts that attack vector down at the onset. (1) Email verification ensures that you control that email address at the time of verification. You cannot run TraceOff against someone else email unless you currently control it. (2) Only the affected person can access their own GDPR request (Article 15, UK GDPR). The bad actor already has your data. We are empowering the victim to see what they have for the purposes of remediation. A hammer is a weapon. Should the company that sells nails be liable for every hammer smashing?</w:t>
      </w:r>
    </w:p>
    <w:p w:rsidR="00000000" w:rsidDel="00000000" w:rsidP="00000000" w:rsidRDefault="00000000" w:rsidRPr="00000000" w14:paraId="00000029">
      <w:pPr>
        <w:pStyle w:val="Heading1"/>
        <w:spacing w:after="200" w:before="200" w:lineRule="auto"/>
        <w:rPr>
          <w:rFonts w:ascii="Arial" w:cs="Arial" w:eastAsia="Arial" w:hAnsi="Arial"/>
          <w:color w:val="ffffff"/>
          <w:sz w:val="24"/>
          <w:szCs w:val="24"/>
        </w:rPr>
      </w:pPr>
      <w:bookmarkStart w:colFirst="0" w:colLast="0" w:name="_bmc8x3mgr7s3" w:id="7"/>
      <w:bookmarkEnd w:id="7"/>
      <w:r w:rsidDel="00000000" w:rsidR="00000000" w:rsidRPr="00000000">
        <w:rPr>
          <w:rtl w:val="0"/>
        </w:rPr>
        <w:t xml:space="preserve">6</w:t>
      </w:r>
      <w:r w:rsidDel="00000000" w:rsidR="00000000" w:rsidRPr="00000000">
        <w:rPr>
          <w:rtl w:val="0"/>
        </w:rPr>
        <w:t xml:space="preserve">. Final thoughts</w:t>
      </w:r>
      <w:r w:rsidDel="00000000" w:rsidR="00000000" w:rsidRPr="00000000">
        <w:rPr>
          <w:rFonts w:ascii="Arial" w:cs="Arial" w:eastAsia="Arial" w:hAnsi="Arial"/>
          <w:color w:val="ffffff"/>
          <w:sz w:val="24"/>
          <w:szCs w:val="24"/>
          <w:rtl w:val="0"/>
        </w:rPr>
        <w:t xml:space="preserve">Humanize</w:t>
      </w:r>
    </w:p>
    <w:p w:rsidR="00000000" w:rsidDel="00000000" w:rsidP="00000000" w:rsidRDefault="00000000" w:rsidRPr="00000000" w14:paraId="0000002A">
      <w:pPr>
        <w:shd w:fill="ffffff" w:val="clear"/>
        <w:spacing w:after="200" w:lineRule="auto"/>
        <w:rPr>
          <w:rFonts w:ascii="Arial" w:cs="Arial" w:eastAsia="Arial" w:hAnsi="Arial"/>
        </w:rPr>
      </w:pPr>
      <w:r w:rsidDel="00000000" w:rsidR="00000000" w:rsidRPr="00000000">
        <w:rPr>
          <w:rFonts w:ascii="Arial" w:cs="Arial" w:eastAsia="Arial" w:hAnsi="Arial"/>
          <w:rtl w:val="0"/>
        </w:rPr>
        <w:t xml:space="preserve">This project changed the way I view technology leadership. Initially posed as a technical architecture challenge, it became a masterclass in human-centred design, adaptive leadership, and courageous tradeoffs. The stateless architecture is elegant not just because of the code but because our ethics, our engineering, and our business values were aligned. They didn’t magically align; we asked the right questions first and let the technical solutions develop from there.</w:t>
      </w:r>
    </w:p>
    <w:p w:rsidR="00000000" w:rsidDel="00000000" w:rsidP="00000000" w:rsidRDefault="00000000" w:rsidRPr="00000000" w14:paraId="0000002B">
      <w:pPr>
        <w:shd w:fill="ffffff" w:val="clear"/>
        <w:spacing w:after="200" w:lineRule="auto"/>
        <w:rPr>
          <w:rFonts w:ascii="Arial" w:cs="Arial" w:eastAsia="Arial" w:hAnsi="Arial"/>
        </w:rPr>
      </w:pPr>
      <w:r w:rsidDel="00000000" w:rsidR="00000000" w:rsidRPr="00000000">
        <w:rPr>
          <w:rFonts w:ascii="Arial" w:cs="Arial" w:eastAsia="Arial" w:hAnsi="Arial"/>
          <w:rtl w:val="0"/>
        </w:rPr>
        <w:t xml:space="preserve">Salma, Alex, and the team have taught me that leadership is not about having all the answers. Leadership is creating an environment where everybody can do their best work and everyone’s best work looks different. I started this project with the mindset i was going to be part of a group but when I realized we needed leadership to get this done I put myself the title consensuated with the rest of the team. I’m leaving with the knowledge that stepping back to listen and adapt in the moment is not failing as a teammate, it’s the opposite.</w:t>
      </w:r>
    </w:p>
    <w:p w:rsidR="00000000" w:rsidDel="00000000" w:rsidP="00000000" w:rsidRDefault="00000000" w:rsidRPr="00000000" w14:paraId="0000002C">
      <w:pPr>
        <w:shd w:fill="ffffff" w:val="clear"/>
        <w:spacing w:after="200" w:lineRule="auto"/>
        <w:rPr>
          <w:rFonts w:ascii="Arial" w:cs="Arial" w:eastAsia="Arial" w:hAnsi="Arial"/>
        </w:rPr>
      </w:pPr>
      <w:r w:rsidDel="00000000" w:rsidR="00000000" w:rsidRPr="00000000">
        <w:rPr>
          <w:rFonts w:ascii="Arial" w:cs="Arial" w:eastAsia="Arial" w:hAnsi="Arial"/>
          <w:rtl w:val="0"/>
        </w:rPr>
        <w:t xml:space="preserve">TraceOff sits at the intersection of a real-world issue, an underserved market, and a conscious decision to build a better product. People.  That intersection will one day be filled, but in the meantime our work has spoken for itself: You can give people back their privacy without asking them to give up control of their data. Privacy matters. </w:t>
      </w:r>
    </w:p>
    <w:p w:rsidR="00000000" w:rsidDel="00000000" w:rsidP="00000000" w:rsidRDefault="00000000" w:rsidRPr="00000000" w14:paraId="0000002D">
      <w:pPr>
        <w:spacing w:after="200" w:lineRule="auto"/>
        <w:rPr>
          <w:rFonts w:ascii="Arial" w:cs="Arial" w:eastAsia="Arial" w:hAnsi="Arial"/>
        </w:rPr>
      </w:pPr>
      <w:r w:rsidDel="00000000" w:rsidR="00000000" w:rsidRPr="00000000">
        <w:rPr>
          <w:rtl w:val="0"/>
        </w:rPr>
      </w:r>
    </w:p>
    <w:p w:rsidR="00000000" w:rsidDel="00000000" w:rsidP="00000000" w:rsidRDefault="00000000" w:rsidRPr="00000000" w14:paraId="0000002E">
      <w:pPr>
        <w:spacing w:after="200" w:lineRule="auto"/>
        <w:rPr>
          <w:rFonts w:ascii="Arial" w:cs="Arial" w:eastAsia="Arial" w:hAnsi="Arial"/>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