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14F75" w14:textId="2E4946B1" w:rsidR="00726BD9" w:rsidRDefault="00960ECE">
      <w:pPr>
        <w:rPr>
          <w:rFonts w:ascii="Times New Roman" w:hAnsi="Times New Roman" w:cs="Times New Roman"/>
          <w:sz w:val="24"/>
          <w:szCs w:val="24"/>
          <w:lang w:val="en-US"/>
        </w:rPr>
      </w:pPr>
      <w:r>
        <w:rPr>
          <w:rFonts w:ascii="Times New Roman" w:hAnsi="Times New Roman" w:cs="Times New Roman"/>
          <w:sz w:val="24"/>
          <w:szCs w:val="24"/>
          <w:lang w:val="en-US"/>
        </w:rPr>
        <w:t>Elizabeth Papadopoulos (2405304)</w:t>
      </w:r>
    </w:p>
    <w:p w14:paraId="7ACA8D44" w14:textId="47BAF6D6" w:rsidR="00960ECE" w:rsidRDefault="00960ECE">
      <w:pPr>
        <w:rPr>
          <w:rFonts w:ascii="Times New Roman" w:hAnsi="Times New Roman" w:cs="Times New Roman"/>
          <w:sz w:val="24"/>
          <w:szCs w:val="24"/>
          <w:lang w:val="en-US"/>
        </w:rPr>
      </w:pPr>
      <w:r>
        <w:rPr>
          <w:rFonts w:ascii="Times New Roman" w:hAnsi="Times New Roman" w:cs="Times New Roman"/>
          <w:sz w:val="24"/>
          <w:szCs w:val="24"/>
          <w:lang w:val="en-US"/>
        </w:rPr>
        <w:t>MA Medieval Studies</w:t>
      </w:r>
    </w:p>
    <w:p w14:paraId="08AB8BB6" w14:textId="437E2896" w:rsidR="00960ECE" w:rsidRDefault="00960ECE">
      <w:pPr>
        <w:rPr>
          <w:rFonts w:ascii="Times New Roman" w:hAnsi="Times New Roman" w:cs="Times New Roman"/>
          <w:sz w:val="24"/>
          <w:szCs w:val="24"/>
          <w:lang w:val="en-US"/>
        </w:rPr>
      </w:pPr>
      <w:r>
        <w:rPr>
          <w:rFonts w:ascii="Times New Roman" w:hAnsi="Times New Roman" w:cs="Times New Roman"/>
          <w:sz w:val="24"/>
          <w:szCs w:val="24"/>
          <w:lang w:val="en-US"/>
        </w:rPr>
        <w:t>History and Historians</w:t>
      </w:r>
    </w:p>
    <w:p w14:paraId="2CA97553" w14:textId="72D6AA4F" w:rsidR="00960ECE" w:rsidRDefault="00960ECE">
      <w:pPr>
        <w:rPr>
          <w:rFonts w:ascii="Times New Roman" w:hAnsi="Times New Roman" w:cs="Times New Roman"/>
          <w:sz w:val="24"/>
          <w:szCs w:val="24"/>
          <w:lang w:val="en-US"/>
        </w:rPr>
      </w:pPr>
      <w:r>
        <w:rPr>
          <w:rFonts w:ascii="Times New Roman" w:hAnsi="Times New Roman" w:cs="Times New Roman"/>
          <w:sz w:val="24"/>
          <w:szCs w:val="24"/>
          <w:lang w:val="en-US"/>
        </w:rPr>
        <w:t>Assessment 2: Commentary</w:t>
      </w:r>
    </w:p>
    <w:p w14:paraId="1F236660" w14:textId="77777777" w:rsidR="00960ECE" w:rsidRDefault="00960ECE">
      <w:pPr>
        <w:rPr>
          <w:rFonts w:ascii="Times New Roman" w:hAnsi="Times New Roman" w:cs="Times New Roman"/>
          <w:sz w:val="24"/>
          <w:szCs w:val="24"/>
          <w:lang w:val="en-US"/>
        </w:rPr>
      </w:pPr>
    </w:p>
    <w:p w14:paraId="57CAEAD2" w14:textId="77777777" w:rsidR="000350AD" w:rsidRDefault="000350AD">
      <w:pPr>
        <w:rPr>
          <w:rFonts w:ascii="Times New Roman" w:hAnsi="Times New Roman" w:cs="Times New Roman"/>
          <w:sz w:val="24"/>
          <w:szCs w:val="24"/>
          <w:lang w:val="en-US"/>
        </w:rPr>
      </w:pPr>
    </w:p>
    <w:p w14:paraId="64E09FD3" w14:textId="05102B99" w:rsidR="000350AD" w:rsidRDefault="00776F7A" w:rsidP="00776F7A">
      <w:pPr>
        <w:jc w:val="center"/>
        <w:rPr>
          <w:rFonts w:ascii="Times New Roman" w:hAnsi="Times New Roman" w:cs="Times New Roman"/>
          <w:sz w:val="24"/>
          <w:szCs w:val="24"/>
          <w:lang w:val="en-US"/>
        </w:rPr>
      </w:pPr>
      <w:r>
        <w:rPr>
          <w:rFonts w:ascii="Times New Roman" w:hAnsi="Times New Roman" w:cs="Times New Roman"/>
          <w:sz w:val="24"/>
          <w:szCs w:val="24"/>
          <w:lang w:val="en-US"/>
        </w:rPr>
        <w:t>Commentary on extract from</w:t>
      </w:r>
    </w:p>
    <w:p w14:paraId="3FECCA65" w14:textId="0BF2C657" w:rsidR="00776F7A" w:rsidRDefault="00776F7A" w:rsidP="00776F7A">
      <w:pPr>
        <w:jc w:val="center"/>
        <w:rPr>
          <w:rFonts w:ascii="Times New Roman" w:hAnsi="Times New Roman" w:cs="Times New Roman"/>
          <w:i/>
          <w:iCs/>
          <w:sz w:val="24"/>
          <w:szCs w:val="24"/>
          <w:lang w:val="en-US"/>
        </w:rPr>
      </w:pPr>
      <w:r>
        <w:rPr>
          <w:rFonts w:ascii="Times New Roman" w:hAnsi="Times New Roman" w:cs="Times New Roman"/>
          <w:i/>
          <w:iCs/>
          <w:sz w:val="24"/>
          <w:szCs w:val="24"/>
          <w:lang w:val="en-US"/>
        </w:rPr>
        <w:t>Gesta Regum Angl</w:t>
      </w:r>
      <w:r w:rsidR="00844A24">
        <w:rPr>
          <w:rFonts w:ascii="Times New Roman" w:hAnsi="Times New Roman" w:cs="Times New Roman"/>
          <w:i/>
          <w:iCs/>
          <w:sz w:val="24"/>
          <w:szCs w:val="24"/>
          <w:lang w:val="en-US"/>
        </w:rPr>
        <w:t>o</w:t>
      </w:r>
      <w:r>
        <w:rPr>
          <w:rFonts w:ascii="Times New Roman" w:hAnsi="Times New Roman" w:cs="Times New Roman"/>
          <w:i/>
          <w:iCs/>
          <w:sz w:val="24"/>
          <w:szCs w:val="24"/>
          <w:lang w:val="en-US"/>
        </w:rPr>
        <w:t>rum</w:t>
      </w:r>
    </w:p>
    <w:p w14:paraId="1B716B41" w14:textId="0872B9D2" w:rsidR="00844A24" w:rsidRDefault="00703629" w:rsidP="00776F7A">
      <w:pPr>
        <w:jc w:val="center"/>
        <w:rPr>
          <w:rFonts w:ascii="Times New Roman" w:hAnsi="Times New Roman" w:cs="Times New Roman"/>
          <w:sz w:val="24"/>
          <w:szCs w:val="24"/>
          <w:lang w:val="en-US"/>
        </w:rPr>
      </w:pPr>
      <w:r>
        <w:rPr>
          <w:rFonts w:ascii="Times New Roman" w:hAnsi="Times New Roman" w:cs="Times New Roman"/>
          <w:sz w:val="24"/>
          <w:szCs w:val="24"/>
          <w:lang w:val="en-US"/>
        </w:rPr>
        <w:t>b</w:t>
      </w:r>
      <w:r w:rsidR="00844A24">
        <w:rPr>
          <w:rFonts w:ascii="Times New Roman" w:hAnsi="Times New Roman" w:cs="Times New Roman"/>
          <w:sz w:val="24"/>
          <w:szCs w:val="24"/>
          <w:lang w:val="en-US"/>
        </w:rPr>
        <w:t xml:space="preserve">y </w:t>
      </w:r>
      <w:r w:rsidR="0064170C">
        <w:rPr>
          <w:rFonts w:ascii="Times New Roman" w:hAnsi="Times New Roman" w:cs="Times New Roman"/>
          <w:sz w:val="24"/>
          <w:szCs w:val="24"/>
          <w:lang w:val="en-US"/>
        </w:rPr>
        <w:t>William</w:t>
      </w:r>
      <w:r w:rsidR="00844A24">
        <w:rPr>
          <w:rFonts w:ascii="Times New Roman" w:hAnsi="Times New Roman" w:cs="Times New Roman"/>
          <w:sz w:val="24"/>
          <w:szCs w:val="24"/>
          <w:lang w:val="en-US"/>
        </w:rPr>
        <w:t xml:space="preserve"> </w:t>
      </w:r>
      <w:r w:rsidR="0064170C">
        <w:rPr>
          <w:rFonts w:ascii="Times New Roman" w:hAnsi="Times New Roman" w:cs="Times New Roman"/>
          <w:sz w:val="24"/>
          <w:szCs w:val="24"/>
          <w:lang w:val="en-US"/>
        </w:rPr>
        <w:t xml:space="preserve">of </w:t>
      </w:r>
      <w:r w:rsidR="00844A24">
        <w:rPr>
          <w:rFonts w:ascii="Times New Roman" w:hAnsi="Times New Roman" w:cs="Times New Roman"/>
          <w:sz w:val="24"/>
          <w:szCs w:val="24"/>
          <w:lang w:val="en-US"/>
        </w:rPr>
        <w:t>Malmesbury</w:t>
      </w:r>
      <w:r w:rsidR="004749F5">
        <w:rPr>
          <w:rStyle w:val="FootnoteReference"/>
          <w:rFonts w:ascii="Times New Roman" w:hAnsi="Times New Roman" w:cs="Times New Roman"/>
          <w:sz w:val="24"/>
          <w:szCs w:val="24"/>
          <w:lang w:val="en-US"/>
        </w:rPr>
        <w:footnoteReference w:id="1"/>
      </w:r>
    </w:p>
    <w:p w14:paraId="37B416BB" w14:textId="77777777" w:rsidR="00703629" w:rsidRPr="0039166A" w:rsidRDefault="00703629" w:rsidP="00776F7A">
      <w:pPr>
        <w:jc w:val="center"/>
        <w:rPr>
          <w:rFonts w:ascii="Times New Roman" w:hAnsi="Times New Roman" w:cs="Times New Roman"/>
          <w:sz w:val="24"/>
          <w:szCs w:val="24"/>
          <w:u w:val="single"/>
          <w:lang w:val="en-US"/>
        </w:rPr>
      </w:pPr>
    </w:p>
    <w:p w14:paraId="225F6205" w14:textId="32391E6B" w:rsidR="00703629" w:rsidRPr="0039166A" w:rsidRDefault="0039166A" w:rsidP="0039166A">
      <w:pPr>
        <w:rPr>
          <w:rFonts w:ascii="Times New Roman" w:hAnsi="Times New Roman" w:cs="Times New Roman"/>
          <w:sz w:val="24"/>
          <w:szCs w:val="24"/>
          <w:u w:val="single"/>
          <w:lang w:val="en-US"/>
        </w:rPr>
      </w:pPr>
      <w:r w:rsidRPr="0039166A">
        <w:rPr>
          <w:rFonts w:ascii="Times New Roman" w:hAnsi="Times New Roman" w:cs="Times New Roman"/>
          <w:sz w:val="24"/>
          <w:szCs w:val="24"/>
          <w:u w:val="single"/>
          <w:lang w:val="en-US"/>
        </w:rPr>
        <w:t>Extract</w:t>
      </w:r>
    </w:p>
    <w:p w14:paraId="385D8AC5" w14:textId="77777777" w:rsidR="006F7448" w:rsidRDefault="006F7448" w:rsidP="006F7448">
      <w:pPr>
        <w:pStyle w:val="NormalWeb"/>
        <w:jc w:val="both"/>
        <w:rPr>
          <w:color w:val="000000"/>
          <w:sz w:val="27"/>
          <w:szCs w:val="27"/>
        </w:rPr>
      </w:pPr>
      <w:r>
        <w:rPr>
          <w:rStyle w:val="hbodytext"/>
          <w:rFonts w:ascii="Tahoma" w:eastAsiaTheme="majorEastAsia" w:hAnsi="Tahoma" w:cs="Tahoma"/>
          <w:color w:val="000000"/>
          <w:sz w:val="18"/>
          <w:szCs w:val="18"/>
        </w:rPr>
        <w:t>This was a fatal day to England, and melancholy havoc was wrought in our dear country during the change of its lords. For it had long adopted the manners of the Angles, which had indeed altered with the times; for in the first years of their arrival they were barbarians in their look and manner, warlike in their usages, heathens in their rights. After embracing the faith of Christ, by degrees and, in process of time, in consequence of the peace which they enjoyed, they relegated arms to a secondary place and gave their whole attention to religion. I am not speaking of the poor, the meanness of whose fortune often restrains them from overstepping the bound of justice; I omit, too, men of ecclesiastical rank, whom sometimes respect for their profession and sometimes the fear of shame suffers not to deviate from the true path; I speak of princes, who from the greatness of their power might have full liberty to indulge in pleasure. Some of these in their own country, and others at Rome, changing their habit, obtained a heavenly kingdom and a saintly intercourse. Many others during their whole lives devoted themselves in outward appearance to worldly affairs, but in order that they might exhaust their treasures on the poor or divide them amongst monasteries.</w:t>
      </w:r>
    </w:p>
    <w:p w14:paraId="77A1787D" w14:textId="67E62C33" w:rsidR="006F7448" w:rsidRDefault="006F7448" w:rsidP="006F7448">
      <w:pPr>
        <w:pStyle w:val="NormalWeb"/>
        <w:jc w:val="both"/>
        <w:rPr>
          <w:color w:val="000000"/>
          <w:sz w:val="27"/>
          <w:szCs w:val="27"/>
        </w:rPr>
      </w:pPr>
      <w:r>
        <w:rPr>
          <w:rStyle w:val="hbodytext"/>
          <w:rFonts w:ascii="Tahoma" w:eastAsiaTheme="majorEastAsia" w:hAnsi="Tahoma" w:cs="Tahoma"/>
          <w:color w:val="000000"/>
          <w:sz w:val="18"/>
          <w:szCs w:val="18"/>
        </w:rPr>
        <w:t xml:space="preserve">What shall I say of the multitudes of bishops, hermits, and abbots? Does not the whole island blaze with such numerous relics of its own people that you can scarcely pass a village of any </w:t>
      </w:r>
      <w:r w:rsidR="002C0A8B">
        <w:rPr>
          <w:rStyle w:val="hbodytext"/>
          <w:rFonts w:ascii="Tahoma" w:eastAsiaTheme="majorEastAsia" w:hAnsi="Tahoma" w:cs="Tahoma"/>
          <w:color w:val="000000"/>
          <w:sz w:val="18"/>
          <w:szCs w:val="18"/>
        </w:rPr>
        <w:t>consequence,</w:t>
      </w:r>
      <w:r>
        <w:rPr>
          <w:rStyle w:val="hbodytext"/>
          <w:rFonts w:ascii="Tahoma" w:eastAsiaTheme="majorEastAsia" w:hAnsi="Tahoma" w:cs="Tahoma"/>
          <w:color w:val="000000"/>
          <w:sz w:val="18"/>
          <w:szCs w:val="18"/>
        </w:rPr>
        <w:t xml:space="preserve"> but you hear the name of some new saint? And of how many more has all remembrance perished through the want of records?</w:t>
      </w:r>
    </w:p>
    <w:p w14:paraId="08984AD9" w14:textId="2903E45E" w:rsidR="006F7448" w:rsidRDefault="006F7448" w:rsidP="006F7448">
      <w:pPr>
        <w:pStyle w:val="NormalWeb"/>
        <w:jc w:val="both"/>
        <w:rPr>
          <w:rStyle w:val="hbodytext"/>
          <w:rFonts w:ascii="Tahoma" w:eastAsiaTheme="majorEastAsia" w:hAnsi="Tahoma" w:cs="Tahoma"/>
          <w:color w:val="000000"/>
          <w:sz w:val="18"/>
          <w:szCs w:val="18"/>
        </w:rPr>
      </w:pPr>
      <w:r>
        <w:rPr>
          <w:rStyle w:val="hbodytext"/>
          <w:rFonts w:ascii="Tahoma" w:eastAsiaTheme="majorEastAsia" w:hAnsi="Tahoma" w:cs="Tahoma"/>
          <w:color w:val="000000"/>
          <w:sz w:val="18"/>
          <w:szCs w:val="18"/>
        </w:rPr>
        <w:t>Nevertheless, the attention to literature and religion had gradually decreased for several years before the arrival of the Normans. The clergy, contented with a little confused learning, could scarcely stammer out the words of the sacraments; and a person who understood grammar was an object of wonder and astonishment. The monks mocked the rule of their order by fine vestments and the use of every kind of food. The nobility, given up to luxury and wantonness, went not to church in the morning after the manner of Christians, but merely, in a careless manner, heard matins and masses from a hurrying priest in their chambers, amid the blandishments of their wives. The commonalty, left unprotected, became a prey to the most powerful, who amassed fortunes, either by seizing on their property or by selling their persons into foreign countries; although it is characteristic of this people to be more inclined to reveling than to the accumulation of wealth. . .</w:t>
      </w:r>
      <w:r w:rsidR="0064170C">
        <w:rPr>
          <w:rStyle w:val="FootnoteReference"/>
          <w:rFonts w:ascii="Tahoma" w:eastAsiaTheme="majorEastAsia" w:hAnsi="Tahoma" w:cs="Tahoma"/>
          <w:color w:val="000000"/>
          <w:sz w:val="18"/>
          <w:szCs w:val="18"/>
        </w:rPr>
        <w:footnoteReference w:id="2"/>
      </w:r>
    </w:p>
    <w:p w14:paraId="4C88DF83" w14:textId="77777777" w:rsidR="004713A0" w:rsidRDefault="004713A0" w:rsidP="006F7448">
      <w:pPr>
        <w:pStyle w:val="NormalWeb"/>
        <w:jc w:val="both"/>
        <w:rPr>
          <w:rStyle w:val="hbodytext"/>
          <w:rFonts w:ascii="Tahoma" w:eastAsiaTheme="majorEastAsia" w:hAnsi="Tahoma" w:cs="Tahoma"/>
          <w:color w:val="000000"/>
          <w:sz w:val="18"/>
          <w:szCs w:val="18"/>
        </w:rPr>
      </w:pPr>
    </w:p>
    <w:p w14:paraId="16B05D02" w14:textId="77777777" w:rsidR="004B5841" w:rsidRDefault="004B5841" w:rsidP="00BD6BF4">
      <w:pPr>
        <w:pStyle w:val="NormalWeb"/>
        <w:spacing w:line="360" w:lineRule="auto"/>
        <w:ind w:firstLine="720"/>
        <w:jc w:val="both"/>
        <w:rPr>
          <w:rStyle w:val="hbodytext"/>
          <w:rFonts w:ascii="Tahoma" w:eastAsiaTheme="majorEastAsia" w:hAnsi="Tahoma" w:cs="Tahoma"/>
          <w:color w:val="000000"/>
          <w:sz w:val="18"/>
          <w:szCs w:val="18"/>
        </w:rPr>
      </w:pPr>
    </w:p>
    <w:p w14:paraId="025D975D" w14:textId="5C3BB98F" w:rsidR="00123ED2" w:rsidRDefault="00A72FBC" w:rsidP="00BD6BF4">
      <w:pPr>
        <w:pStyle w:val="NormalWeb"/>
        <w:spacing w:line="360" w:lineRule="auto"/>
        <w:ind w:firstLine="720"/>
        <w:jc w:val="both"/>
        <w:rPr>
          <w:color w:val="000000"/>
        </w:rPr>
      </w:pPr>
      <w:r>
        <w:rPr>
          <w:color w:val="000000"/>
        </w:rPr>
        <w:lastRenderedPageBreak/>
        <w:t xml:space="preserve">The </w:t>
      </w:r>
      <w:r>
        <w:rPr>
          <w:i/>
          <w:iCs/>
          <w:color w:val="000000"/>
        </w:rPr>
        <w:t>Gesta Regum A</w:t>
      </w:r>
      <w:r w:rsidR="00BF2C57">
        <w:rPr>
          <w:i/>
          <w:iCs/>
          <w:color w:val="000000"/>
        </w:rPr>
        <w:t>nglorum</w:t>
      </w:r>
      <w:r w:rsidR="003A401F">
        <w:rPr>
          <w:i/>
          <w:iCs/>
          <w:color w:val="000000"/>
        </w:rPr>
        <w:t xml:space="preserve"> </w:t>
      </w:r>
      <w:r w:rsidR="003A401F">
        <w:rPr>
          <w:color w:val="000000"/>
        </w:rPr>
        <w:t>(</w:t>
      </w:r>
      <w:r w:rsidR="003A401F">
        <w:rPr>
          <w:i/>
          <w:iCs/>
          <w:color w:val="000000"/>
        </w:rPr>
        <w:t>History of the Kings of England</w:t>
      </w:r>
      <w:r w:rsidR="003A401F">
        <w:rPr>
          <w:color w:val="000000"/>
        </w:rPr>
        <w:t>),</w:t>
      </w:r>
      <w:r w:rsidR="00BF2C57">
        <w:rPr>
          <w:color w:val="000000"/>
        </w:rPr>
        <w:t xml:space="preserve"> </w:t>
      </w:r>
      <w:r w:rsidR="00E5434D">
        <w:rPr>
          <w:color w:val="000000"/>
        </w:rPr>
        <w:t>authored by William of Malmesbury</w:t>
      </w:r>
      <w:r w:rsidR="006D0F00">
        <w:rPr>
          <w:color w:val="000000"/>
        </w:rPr>
        <w:t xml:space="preserve"> </w:t>
      </w:r>
      <w:r w:rsidR="00E40BE8">
        <w:rPr>
          <w:color w:val="000000"/>
        </w:rPr>
        <w:t xml:space="preserve">in </w:t>
      </w:r>
      <w:r w:rsidR="006D0F00">
        <w:rPr>
          <w:color w:val="000000"/>
        </w:rPr>
        <w:t>c.</w:t>
      </w:r>
      <w:r w:rsidR="00D46079">
        <w:rPr>
          <w:color w:val="000000"/>
        </w:rPr>
        <w:t xml:space="preserve"> 11</w:t>
      </w:r>
      <w:r w:rsidR="005511CC">
        <w:rPr>
          <w:color w:val="000000"/>
        </w:rPr>
        <w:t>2</w:t>
      </w:r>
      <w:r w:rsidR="00E40BE8">
        <w:rPr>
          <w:color w:val="000000"/>
        </w:rPr>
        <w:t>5,</w:t>
      </w:r>
      <w:r w:rsidR="006D0F00">
        <w:rPr>
          <w:color w:val="000000"/>
        </w:rPr>
        <w:t xml:space="preserve"> was</w:t>
      </w:r>
      <w:r w:rsidR="00585AC7">
        <w:rPr>
          <w:color w:val="000000"/>
        </w:rPr>
        <w:t xml:space="preserve"> </w:t>
      </w:r>
      <w:r w:rsidR="00F803B9">
        <w:rPr>
          <w:color w:val="000000"/>
        </w:rPr>
        <w:t>s</w:t>
      </w:r>
      <w:r w:rsidR="00585AC7">
        <w:rPr>
          <w:color w:val="000000"/>
        </w:rPr>
        <w:t>aid to have been</w:t>
      </w:r>
      <w:r w:rsidR="006D0F00">
        <w:rPr>
          <w:color w:val="000000"/>
        </w:rPr>
        <w:t xml:space="preserve"> written </w:t>
      </w:r>
      <w:r w:rsidR="00585AC7">
        <w:rPr>
          <w:color w:val="000000"/>
        </w:rPr>
        <w:t>at the request o</w:t>
      </w:r>
      <w:r w:rsidR="00407E14">
        <w:rPr>
          <w:color w:val="000000"/>
        </w:rPr>
        <w:t>f</w:t>
      </w:r>
      <w:r w:rsidR="006D0F00">
        <w:rPr>
          <w:color w:val="000000"/>
        </w:rPr>
        <w:t xml:space="preserve"> Matilda</w:t>
      </w:r>
      <w:r w:rsidR="00382F4C">
        <w:rPr>
          <w:color w:val="000000"/>
        </w:rPr>
        <w:t>, wife of Henry I</w:t>
      </w:r>
      <w:r w:rsidR="00A73A21">
        <w:rPr>
          <w:color w:val="000000"/>
        </w:rPr>
        <w:t>, and covers</w:t>
      </w:r>
      <w:r w:rsidR="003D14DB">
        <w:rPr>
          <w:color w:val="000000"/>
        </w:rPr>
        <w:t xml:space="preserve"> the history of the kings of England from 449</w:t>
      </w:r>
      <w:r w:rsidR="00F803B9">
        <w:rPr>
          <w:color w:val="000000"/>
        </w:rPr>
        <w:t xml:space="preserve"> to 1120.</w:t>
      </w:r>
      <w:r w:rsidR="00A73A21">
        <w:rPr>
          <w:color w:val="000000"/>
        </w:rPr>
        <w:t xml:space="preserve"> </w:t>
      </w:r>
      <w:r w:rsidR="000D6FDD">
        <w:rPr>
          <w:color w:val="000000"/>
        </w:rPr>
        <w:t>The text</w:t>
      </w:r>
      <w:r w:rsidR="00C734D3">
        <w:rPr>
          <w:color w:val="000000"/>
        </w:rPr>
        <w:t xml:space="preserve"> challenges the conventional division between hagiograph</w:t>
      </w:r>
      <w:r w:rsidR="001D0531">
        <w:rPr>
          <w:color w:val="000000"/>
        </w:rPr>
        <w:t>ical</w:t>
      </w:r>
      <w:r w:rsidR="00C734D3">
        <w:rPr>
          <w:color w:val="000000"/>
        </w:rPr>
        <w:t xml:space="preserve"> and histor</w:t>
      </w:r>
      <w:r w:rsidR="001D0531">
        <w:rPr>
          <w:color w:val="000000"/>
        </w:rPr>
        <w:t xml:space="preserve">ical genres </w:t>
      </w:r>
      <w:r w:rsidR="00C734D3">
        <w:rPr>
          <w:color w:val="000000"/>
        </w:rPr>
        <w:t>by</w:t>
      </w:r>
      <w:r w:rsidR="00A73A21">
        <w:rPr>
          <w:color w:val="000000"/>
        </w:rPr>
        <w:t xml:space="preserve"> </w:t>
      </w:r>
      <w:r w:rsidR="00C17FC5">
        <w:rPr>
          <w:color w:val="000000"/>
        </w:rPr>
        <w:t xml:space="preserve">incorporating </w:t>
      </w:r>
      <w:r w:rsidR="00B259AD">
        <w:rPr>
          <w:color w:val="000000"/>
        </w:rPr>
        <w:t>saints</w:t>
      </w:r>
      <w:r w:rsidR="00AF6DE3">
        <w:rPr>
          <w:color w:val="000000"/>
        </w:rPr>
        <w:t>,</w:t>
      </w:r>
      <w:r w:rsidR="00B259AD">
        <w:rPr>
          <w:color w:val="000000"/>
        </w:rPr>
        <w:t xml:space="preserve"> both as </w:t>
      </w:r>
      <w:r w:rsidR="006501ED">
        <w:rPr>
          <w:color w:val="000000"/>
        </w:rPr>
        <w:t>men and workers of miracles</w:t>
      </w:r>
      <w:r w:rsidR="00AF6DE3">
        <w:rPr>
          <w:color w:val="000000"/>
        </w:rPr>
        <w:t xml:space="preserve">, and bishops, into a framework that </w:t>
      </w:r>
      <w:r w:rsidR="00B7532F">
        <w:rPr>
          <w:color w:val="000000"/>
        </w:rPr>
        <w:t xml:space="preserve">encompasses the political, martial and </w:t>
      </w:r>
      <w:r w:rsidR="00DE4562">
        <w:rPr>
          <w:color w:val="000000"/>
        </w:rPr>
        <w:t xml:space="preserve">social history of England. </w:t>
      </w:r>
      <w:r w:rsidR="00D0224B">
        <w:rPr>
          <w:color w:val="000000"/>
        </w:rPr>
        <w:t xml:space="preserve">The </w:t>
      </w:r>
      <w:r w:rsidR="001A5E05">
        <w:rPr>
          <w:i/>
          <w:iCs/>
          <w:color w:val="000000"/>
        </w:rPr>
        <w:t>Gesta Regum</w:t>
      </w:r>
      <w:r w:rsidR="001A5E05">
        <w:rPr>
          <w:color w:val="000000"/>
        </w:rPr>
        <w:t xml:space="preserve"> is, however, not simply a rendition of key events over time. </w:t>
      </w:r>
      <w:r w:rsidR="004529F5">
        <w:rPr>
          <w:color w:val="000000"/>
        </w:rPr>
        <w:t xml:space="preserve">Its didactic purpose must be </w:t>
      </w:r>
      <w:r w:rsidR="00B16C17">
        <w:rPr>
          <w:color w:val="000000"/>
        </w:rPr>
        <w:t>considered</w:t>
      </w:r>
      <w:r w:rsidR="00087EB8">
        <w:rPr>
          <w:color w:val="000000"/>
        </w:rPr>
        <w:t xml:space="preserve"> when set against the moral education </w:t>
      </w:r>
      <w:r w:rsidR="000B348C">
        <w:rPr>
          <w:color w:val="000000"/>
        </w:rPr>
        <w:t xml:space="preserve">integral to monastic </w:t>
      </w:r>
      <w:r w:rsidR="00552226">
        <w:rPr>
          <w:color w:val="000000"/>
        </w:rPr>
        <w:t xml:space="preserve">teaching. </w:t>
      </w:r>
      <w:r w:rsidR="00096FA9">
        <w:rPr>
          <w:color w:val="000000"/>
        </w:rPr>
        <w:t>In writing a national history,</w:t>
      </w:r>
      <w:r w:rsidR="008F13AC">
        <w:rPr>
          <w:color w:val="000000"/>
        </w:rPr>
        <w:t xml:space="preserve"> </w:t>
      </w:r>
      <w:r w:rsidR="00096FA9">
        <w:rPr>
          <w:color w:val="000000"/>
        </w:rPr>
        <w:t>William endeavoured to encourage</w:t>
      </w:r>
      <w:r w:rsidR="00A042EA">
        <w:rPr>
          <w:color w:val="000000"/>
        </w:rPr>
        <w:t xml:space="preserve"> moral development and the cultivation of virtue.</w:t>
      </w:r>
      <w:r w:rsidR="008F13AC">
        <w:rPr>
          <w:rStyle w:val="FootnoteReference"/>
          <w:color w:val="000000"/>
        </w:rPr>
        <w:footnoteReference w:id="3"/>
      </w:r>
      <w:r w:rsidR="00096FA9">
        <w:rPr>
          <w:color w:val="000000"/>
        </w:rPr>
        <w:t xml:space="preserve"> </w:t>
      </w:r>
      <w:r w:rsidR="001542D7">
        <w:rPr>
          <w:color w:val="000000"/>
        </w:rPr>
        <w:t>Nowhere</w:t>
      </w:r>
      <w:r w:rsidR="005E6E41">
        <w:rPr>
          <w:color w:val="000000"/>
        </w:rPr>
        <w:t xml:space="preserve"> was this more important than in the exercise of kingly power</w:t>
      </w:r>
      <w:r w:rsidR="004D1085">
        <w:rPr>
          <w:color w:val="000000"/>
        </w:rPr>
        <w:t>, where its outward manifestation</w:t>
      </w:r>
      <w:r w:rsidR="002A035A">
        <w:rPr>
          <w:color w:val="000000"/>
        </w:rPr>
        <w:t xml:space="preserve"> was connected to </w:t>
      </w:r>
      <w:r w:rsidR="00DC6525">
        <w:rPr>
          <w:color w:val="000000"/>
        </w:rPr>
        <w:t>‘</w:t>
      </w:r>
      <w:r w:rsidR="002A035A">
        <w:rPr>
          <w:color w:val="000000"/>
        </w:rPr>
        <w:t>inner</w:t>
      </w:r>
      <w:r w:rsidR="00DC6525">
        <w:rPr>
          <w:color w:val="000000"/>
        </w:rPr>
        <w:t xml:space="preserve"> disposition</w:t>
      </w:r>
      <w:r w:rsidR="00E37389">
        <w:rPr>
          <w:color w:val="000000"/>
        </w:rPr>
        <w:t>, and expressed early medieval assumptions about power in the language of classical antiquity</w:t>
      </w:r>
      <w:r w:rsidR="008443AF">
        <w:rPr>
          <w:color w:val="000000"/>
        </w:rPr>
        <w:t>’.</w:t>
      </w:r>
      <w:r w:rsidR="008443AF">
        <w:rPr>
          <w:rStyle w:val="FootnoteReference"/>
          <w:color w:val="000000"/>
        </w:rPr>
        <w:footnoteReference w:id="4"/>
      </w:r>
      <w:r w:rsidR="007F69C9">
        <w:rPr>
          <w:color w:val="000000"/>
        </w:rPr>
        <w:t xml:space="preserve"> </w:t>
      </w:r>
      <w:r w:rsidR="00E918EC">
        <w:rPr>
          <w:color w:val="000000"/>
        </w:rPr>
        <w:t>Kings of exceptional quality</w:t>
      </w:r>
      <w:r w:rsidR="009077FF">
        <w:rPr>
          <w:color w:val="000000"/>
        </w:rPr>
        <w:t xml:space="preserve"> all had clerical advisors</w:t>
      </w:r>
      <w:r w:rsidR="002F0B50">
        <w:rPr>
          <w:color w:val="000000"/>
        </w:rPr>
        <w:t xml:space="preserve">, </w:t>
      </w:r>
      <w:r w:rsidR="008B326E">
        <w:rPr>
          <w:color w:val="000000"/>
        </w:rPr>
        <w:t xml:space="preserve">who were instrumental in driving </w:t>
      </w:r>
      <w:r w:rsidR="00D038AB">
        <w:rPr>
          <w:color w:val="000000"/>
        </w:rPr>
        <w:t>change in national politics and history</w:t>
      </w:r>
      <w:r w:rsidR="00821344">
        <w:rPr>
          <w:color w:val="000000"/>
        </w:rPr>
        <w:t xml:space="preserve"> and it is this that William sought to emphasise in the text. </w:t>
      </w:r>
      <w:r w:rsidR="00DC7369">
        <w:rPr>
          <w:color w:val="000000"/>
        </w:rPr>
        <w:t>Although Willi</w:t>
      </w:r>
      <w:r w:rsidR="00A87D42">
        <w:rPr>
          <w:color w:val="000000"/>
        </w:rPr>
        <w:t>am may have been aiming his tex</w:t>
      </w:r>
      <w:r w:rsidR="007A227D">
        <w:rPr>
          <w:color w:val="000000"/>
        </w:rPr>
        <w:t xml:space="preserve">t, </w:t>
      </w:r>
      <w:r w:rsidR="00121D07">
        <w:rPr>
          <w:color w:val="000000"/>
        </w:rPr>
        <w:t>t</w:t>
      </w:r>
      <w:r w:rsidR="007A227D">
        <w:rPr>
          <w:color w:val="000000"/>
        </w:rPr>
        <w:t>o some extent, at a courtly lay readership</w:t>
      </w:r>
      <w:r w:rsidR="007F698B">
        <w:rPr>
          <w:color w:val="000000"/>
        </w:rPr>
        <w:t>,</w:t>
      </w:r>
      <w:r w:rsidR="002445CD">
        <w:rPr>
          <w:color w:val="000000"/>
        </w:rPr>
        <w:t xml:space="preserve"> a</w:t>
      </w:r>
      <w:r w:rsidR="00121D07">
        <w:rPr>
          <w:color w:val="000000"/>
        </w:rPr>
        <w:t>s well as</w:t>
      </w:r>
      <w:r w:rsidR="002445CD">
        <w:rPr>
          <w:color w:val="000000"/>
        </w:rPr>
        <w:t xml:space="preserve"> his own religious community,</w:t>
      </w:r>
      <w:r w:rsidR="00121D07">
        <w:rPr>
          <w:color w:val="000000"/>
        </w:rPr>
        <w:t xml:space="preserve"> he may also have envisaged a wider</w:t>
      </w:r>
      <w:r w:rsidR="007F698B">
        <w:rPr>
          <w:color w:val="000000"/>
        </w:rPr>
        <w:t xml:space="preserve"> political and lay audience</w:t>
      </w:r>
      <w:r w:rsidR="00BE487D">
        <w:rPr>
          <w:color w:val="000000"/>
        </w:rPr>
        <w:t>,</w:t>
      </w:r>
      <w:r w:rsidR="000F2AA6">
        <w:rPr>
          <w:color w:val="000000"/>
        </w:rPr>
        <w:t xml:space="preserve"> at home and on the continent</w:t>
      </w:r>
      <w:r w:rsidR="00923F0A">
        <w:rPr>
          <w:color w:val="000000"/>
        </w:rPr>
        <w:t>.</w:t>
      </w:r>
      <w:r w:rsidR="0040048E">
        <w:rPr>
          <w:color w:val="000000"/>
        </w:rPr>
        <w:t xml:space="preserve"> </w:t>
      </w:r>
      <w:r w:rsidR="0031017C">
        <w:rPr>
          <w:color w:val="000000"/>
        </w:rPr>
        <w:t>The text was later revised</w:t>
      </w:r>
      <w:r w:rsidR="00B566E0">
        <w:rPr>
          <w:color w:val="000000"/>
        </w:rPr>
        <w:t xml:space="preserve"> twice</w:t>
      </w:r>
      <w:r w:rsidR="0031017C">
        <w:rPr>
          <w:color w:val="000000"/>
        </w:rPr>
        <w:t xml:space="preserve"> by William</w:t>
      </w:r>
      <w:r w:rsidR="00870C18">
        <w:rPr>
          <w:color w:val="000000"/>
        </w:rPr>
        <w:t xml:space="preserve"> in response</w:t>
      </w:r>
      <w:r w:rsidR="00B566E0">
        <w:rPr>
          <w:color w:val="000000"/>
        </w:rPr>
        <w:t xml:space="preserve"> to a change of opinions</w:t>
      </w:r>
      <w:r w:rsidR="000F2AA6">
        <w:rPr>
          <w:color w:val="000000"/>
        </w:rPr>
        <w:t>, engendered both by age and hindsight</w:t>
      </w:r>
      <w:r w:rsidR="00EC7964">
        <w:rPr>
          <w:color w:val="000000"/>
        </w:rPr>
        <w:t>.</w:t>
      </w:r>
      <w:r w:rsidR="00AE4845">
        <w:rPr>
          <w:rStyle w:val="FootnoteReference"/>
          <w:color w:val="000000"/>
        </w:rPr>
        <w:footnoteReference w:id="5"/>
      </w:r>
    </w:p>
    <w:p w14:paraId="4BD736E0" w14:textId="522C5372" w:rsidR="005410EA" w:rsidRDefault="00D57AB0" w:rsidP="005410EA">
      <w:pPr>
        <w:pStyle w:val="NormalWeb"/>
        <w:spacing w:line="360" w:lineRule="auto"/>
        <w:ind w:firstLine="720"/>
        <w:jc w:val="both"/>
        <w:rPr>
          <w:color w:val="000000"/>
        </w:rPr>
      </w:pPr>
      <w:r>
        <w:rPr>
          <w:color w:val="000000"/>
        </w:rPr>
        <w:t xml:space="preserve">Thought to have been born in Somerset in </w:t>
      </w:r>
      <w:r w:rsidR="00B22F83">
        <w:rPr>
          <w:color w:val="000000"/>
        </w:rPr>
        <w:t>the 1190s</w:t>
      </w:r>
      <w:r w:rsidR="00633A32">
        <w:rPr>
          <w:color w:val="000000"/>
        </w:rPr>
        <w:t xml:space="preserve"> to a Norman father and Anglo-Saxon mother, William </w:t>
      </w:r>
      <w:r w:rsidR="00364C43">
        <w:rPr>
          <w:color w:val="000000"/>
        </w:rPr>
        <w:t>became an oblate at the Benedictine Abbey of Malmesbury</w:t>
      </w:r>
      <w:r w:rsidR="00FD64E9">
        <w:rPr>
          <w:color w:val="000000"/>
        </w:rPr>
        <w:t xml:space="preserve"> at a young age. </w:t>
      </w:r>
      <w:r w:rsidR="005E4439">
        <w:rPr>
          <w:color w:val="000000"/>
        </w:rPr>
        <w:t xml:space="preserve">His fascination with </w:t>
      </w:r>
      <w:r w:rsidR="00B83DF0">
        <w:rPr>
          <w:color w:val="000000"/>
        </w:rPr>
        <w:t>classical literature and Roman history</w:t>
      </w:r>
      <w:r w:rsidR="00EE6677">
        <w:rPr>
          <w:color w:val="000000"/>
        </w:rPr>
        <w:t xml:space="preserve"> was key to his belief that the study of history</w:t>
      </w:r>
      <w:r w:rsidR="008504B8">
        <w:rPr>
          <w:color w:val="000000"/>
        </w:rPr>
        <w:t>, when pres</w:t>
      </w:r>
      <w:r w:rsidR="00FD4FF2">
        <w:rPr>
          <w:color w:val="000000"/>
        </w:rPr>
        <w:t>en</w:t>
      </w:r>
      <w:r w:rsidR="008504B8">
        <w:rPr>
          <w:color w:val="000000"/>
        </w:rPr>
        <w:t>ted in an accessible manner</w:t>
      </w:r>
      <w:r w:rsidR="009B5697">
        <w:rPr>
          <w:color w:val="000000"/>
        </w:rPr>
        <w:t xml:space="preserve">, </w:t>
      </w:r>
      <w:r w:rsidR="0023360D">
        <w:rPr>
          <w:color w:val="000000"/>
        </w:rPr>
        <w:t>fostered moral development in its readers</w:t>
      </w:r>
      <w:r w:rsidR="00074BC8">
        <w:rPr>
          <w:color w:val="000000"/>
        </w:rPr>
        <w:t xml:space="preserve">, </w:t>
      </w:r>
      <w:r w:rsidR="005269D8">
        <w:rPr>
          <w:color w:val="000000"/>
        </w:rPr>
        <w:t>especially among an increasing literate</w:t>
      </w:r>
      <w:r w:rsidR="000F487B">
        <w:rPr>
          <w:color w:val="000000"/>
        </w:rPr>
        <w:t xml:space="preserve"> lay and clerical intellectual elite.</w:t>
      </w:r>
      <w:r w:rsidR="0023360D">
        <w:rPr>
          <w:color w:val="000000"/>
        </w:rPr>
        <w:t xml:space="preserve"> </w:t>
      </w:r>
      <w:r w:rsidR="009A0104">
        <w:rPr>
          <w:color w:val="000000"/>
        </w:rPr>
        <w:t>Drawing on the works of authors of late antiquity</w:t>
      </w:r>
      <w:r w:rsidR="00A359C0">
        <w:rPr>
          <w:color w:val="000000"/>
        </w:rPr>
        <w:t xml:space="preserve">, the Venerable Bede, and contemporary authors, William </w:t>
      </w:r>
      <w:r w:rsidR="00A93E66">
        <w:rPr>
          <w:color w:val="000000"/>
        </w:rPr>
        <w:t>attempted in his own works to present a coherent</w:t>
      </w:r>
      <w:r w:rsidR="0094299E">
        <w:rPr>
          <w:color w:val="000000"/>
        </w:rPr>
        <w:t xml:space="preserve"> </w:t>
      </w:r>
      <w:r w:rsidR="00F44C88">
        <w:rPr>
          <w:color w:val="000000"/>
        </w:rPr>
        <w:t>progression of the history of England</w:t>
      </w:r>
      <w:r w:rsidR="004D0C6A">
        <w:rPr>
          <w:color w:val="000000"/>
        </w:rPr>
        <w:t xml:space="preserve">, </w:t>
      </w:r>
      <w:r w:rsidR="004D0C6A">
        <w:rPr>
          <w:color w:val="000000"/>
        </w:rPr>
        <w:lastRenderedPageBreak/>
        <w:t>incorporating quotes from Latin classics</w:t>
      </w:r>
      <w:r w:rsidR="00F25DFF">
        <w:rPr>
          <w:color w:val="000000"/>
        </w:rPr>
        <w:t xml:space="preserve"> and the Bible to illustrate that </w:t>
      </w:r>
      <w:r w:rsidR="005B7C23">
        <w:rPr>
          <w:color w:val="000000"/>
        </w:rPr>
        <w:t xml:space="preserve">parallel events in the past were </w:t>
      </w:r>
      <w:r w:rsidR="0068581F">
        <w:rPr>
          <w:color w:val="000000"/>
        </w:rPr>
        <w:t>closely associated</w:t>
      </w:r>
      <w:r w:rsidR="00BF34B0">
        <w:rPr>
          <w:color w:val="000000"/>
        </w:rPr>
        <w:t xml:space="preserve"> with contemporary realities.</w:t>
      </w:r>
      <w:r w:rsidR="00795EEB">
        <w:rPr>
          <w:color w:val="000000"/>
        </w:rPr>
        <w:t xml:space="preserve"> </w:t>
      </w:r>
      <w:r w:rsidR="008E1DCA">
        <w:rPr>
          <w:color w:val="000000"/>
        </w:rPr>
        <w:t>William</w:t>
      </w:r>
      <w:r w:rsidR="00C91800">
        <w:rPr>
          <w:color w:val="000000"/>
        </w:rPr>
        <w:t xml:space="preserve"> </w:t>
      </w:r>
      <w:r w:rsidR="005A0535">
        <w:rPr>
          <w:color w:val="000000"/>
        </w:rPr>
        <w:t>widely</w:t>
      </w:r>
      <w:r w:rsidR="008665EA">
        <w:rPr>
          <w:color w:val="000000"/>
        </w:rPr>
        <w:t xml:space="preserve"> utilised</w:t>
      </w:r>
      <w:r w:rsidR="00C91800">
        <w:rPr>
          <w:color w:val="000000"/>
        </w:rPr>
        <w:t xml:space="preserve"> Bede’s text</w:t>
      </w:r>
      <w:r w:rsidR="005A0535">
        <w:rPr>
          <w:color w:val="000000"/>
        </w:rPr>
        <w:t xml:space="preserve"> to account for </w:t>
      </w:r>
      <w:r w:rsidR="00E727E3">
        <w:rPr>
          <w:color w:val="000000"/>
        </w:rPr>
        <w:t>the development of the English as devout Christians</w:t>
      </w:r>
      <w:r w:rsidR="00DD55B2">
        <w:rPr>
          <w:color w:val="000000"/>
        </w:rPr>
        <w:t xml:space="preserve">, but </w:t>
      </w:r>
      <w:r w:rsidR="00F05F88">
        <w:rPr>
          <w:color w:val="000000"/>
        </w:rPr>
        <w:t xml:space="preserve">his </w:t>
      </w:r>
      <w:r w:rsidR="00F67829">
        <w:rPr>
          <w:color w:val="000000"/>
        </w:rPr>
        <w:t>was not an ecclesiastical history</w:t>
      </w:r>
      <w:r w:rsidR="00B90B98">
        <w:rPr>
          <w:color w:val="000000"/>
        </w:rPr>
        <w:t>. Drawing on Anglo-Saxon and Anglo-Norman</w:t>
      </w:r>
      <w:r w:rsidR="00584EE2">
        <w:rPr>
          <w:color w:val="000000"/>
        </w:rPr>
        <w:t xml:space="preserve"> traditions of historiography, the </w:t>
      </w:r>
      <w:r w:rsidR="00584EE2">
        <w:rPr>
          <w:i/>
          <w:iCs/>
          <w:color w:val="000000"/>
        </w:rPr>
        <w:t>Gesta Regum</w:t>
      </w:r>
      <w:r w:rsidR="00584EE2">
        <w:rPr>
          <w:color w:val="000000"/>
        </w:rPr>
        <w:t xml:space="preserve"> was</w:t>
      </w:r>
      <w:r w:rsidR="002566F6">
        <w:rPr>
          <w:color w:val="000000"/>
        </w:rPr>
        <w:t xml:space="preserve"> instead a secular, national history</w:t>
      </w:r>
      <w:r w:rsidR="000C571B">
        <w:rPr>
          <w:color w:val="000000"/>
        </w:rPr>
        <w:t xml:space="preserve"> written in literary form.</w:t>
      </w:r>
      <w:r w:rsidR="000C571B">
        <w:rPr>
          <w:rStyle w:val="FootnoteReference"/>
          <w:color w:val="000000"/>
        </w:rPr>
        <w:footnoteReference w:id="6"/>
      </w:r>
      <w:r w:rsidR="00D369AC">
        <w:rPr>
          <w:color w:val="000000"/>
        </w:rPr>
        <w:t xml:space="preserve"> </w:t>
      </w:r>
      <w:r w:rsidR="00512E4C">
        <w:rPr>
          <w:color w:val="000000"/>
        </w:rPr>
        <w:t>His ‘distinctive use of historical terminology</w:t>
      </w:r>
      <w:r w:rsidR="006C1981">
        <w:rPr>
          <w:color w:val="000000"/>
        </w:rPr>
        <w:t xml:space="preserve">’ unlike that of </w:t>
      </w:r>
      <w:r w:rsidR="00AB6C80">
        <w:rPr>
          <w:color w:val="000000"/>
        </w:rPr>
        <w:t>other</w:t>
      </w:r>
      <w:r w:rsidR="006C1981">
        <w:rPr>
          <w:color w:val="000000"/>
        </w:rPr>
        <w:t xml:space="preserve"> contempor</w:t>
      </w:r>
      <w:r w:rsidR="00AB6C80">
        <w:rPr>
          <w:color w:val="000000"/>
        </w:rPr>
        <w:t>ary authors</w:t>
      </w:r>
      <w:r w:rsidR="003A6CDC">
        <w:rPr>
          <w:color w:val="000000"/>
        </w:rPr>
        <w:t xml:space="preserve"> appears to </w:t>
      </w:r>
      <w:r w:rsidR="00F715D7">
        <w:rPr>
          <w:color w:val="000000"/>
        </w:rPr>
        <w:t>support this.</w:t>
      </w:r>
      <w:r w:rsidR="00F715D7">
        <w:rPr>
          <w:rStyle w:val="FootnoteReference"/>
          <w:color w:val="000000"/>
        </w:rPr>
        <w:footnoteReference w:id="7"/>
      </w:r>
      <w:r w:rsidR="00F715D7">
        <w:rPr>
          <w:color w:val="000000"/>
        </w:rPr>
        <w:t xml:space="preserve"> </w:t>
      </w:r>
      <w:r w:rsidR="009A186F">
        <w:rPr>
          <w:color w:val="000000"/>
        </w:rPr>
        <w:t>Underpinning the work</w:t>
      </w:r>
      <w:r w:rsidR="00AA6487">
        <w:rPr>
          <w:color w:val="000000"/>
        </w:rPr>
        <w:t xml:space="preserve"> was William’s desire to </w:t>
      </w:r>
      <w:r w:rsidR="00B2259D">
        <w:rPr>
          <w:color w:val="000000"/>
        </w:rPr>
        <w:t>‘find in the past the evidence</w:t>
      </w:r>
      <w:r w:rsidR="00610873">
        <w:rPr>
          <w:color w:val="000000"/>
        </w:rPr>
        <w:t xml:space="preserve"> to…legitimise the present. Evidence</w:t>
      </w:r>
      <w:r w:rsidR="00B5783B">
        <w:rPr>
          <w:color w:val="000000"/>
        </w:rPr>
        <w:t>, not so much of change, but rather continuity’.</w:t>
      </w:r>
      <w:r w:rsidR="00471127">
        <w:rPr>
          <w:rStyle w:val="FootnoteReference"/>
          <w:color w:val="000000"/>
        </w:rPr>
        <w:footnoteReference w:id="8"/>
      </w:r>
      <w:r w:rsidR="00CB25BA">
        <w:rPr>
          <w:color w:val="000000"/>
        </w:rPr>
        <w:t xml:space="preserve"> </w:t>
      </w:r>
    </w:p>
    <w:p w14:paraId="4912DC08" w14:textId="442CCF7C" w:rsidR="00225725" w:rsidRDefault="00533F36" w:rsidP="00EB7EF3">
      <w:pPr>
        <w:pStyle w:val="NormalWeb"/>
        <w:spacing w:line="360" w:lineRule="auto"/>
        <w:ind w:firstLine="720"/>
        <w:jc w:val="both"/>
        <w:rPr>
          <w:color w:val="000000"/>
        </w:rPr>
      </w:pPr>
      <w:r>
        <w:rPr>
          <w:color w:val="000000"/>
        </w:rPr>
        <w:t xml:space="preserve">William’s reference to </w:t>
      </w:r>
      <w:r w:rsidR="00950210">
        <w:rPr>
          <w:color w:val="000000"/>
        </w:rPr>
        <w:t>“fatal day</w:t>
      </w:r>
      <w:r w:rsidR="00490765">
        <w:rPr>
          <w:color w:val="000000"/>
        </w:rPr>
        <w:t>” and “melancholy havoc</w:t>
      </w:r>
      <w:r w:rsidR="00066B19">
        <w:rPr>
          <w:color w:val="000000"/>
        </w:rPr>
        <w:t xml:space="preserve"> … wrought in our dear country”</w:t>
      </w:r>
      <w:r w:rsidR="00594037">
        <w:rPr>
          <w:color w:val="000000"/>
        </w:rPr>
        <w:t xml:space="preserve"> are indicative of his mixed feelings</w:t>
      </w:r>
      <w:r w:rsidR="00AC3586">
        <w:rPr>
          <w:color w:val="000000"/>
        </w:rPr>
        <w:t xml:space="preserve"> towards the Norman invasion</w:t>
      </w:r>
      <w:r w:rsidR="00732D43">
        <w:rPr>
          <w:color w:val="000000"/>
        </w:rPr>
        <w:t>, rooted maybe in his own, and his patroness’s mixed heritage.</w:t>
      </w:r>
      <w:r w:rsidR="00250AB3">
        <w:rPr>
          <w:color w:val="000000"/>
        </w:rPr>
        <w:t xml:space="preserve"> His love of his </w:t>
      </w:r>
      <w:r w:rsidR="00250AB3">
        <w:rPr>
          <w:i/>
          <w:iCs/>
          <w:color w:val="000000"/>
        </w:rPr>
        <w:t>patria</w:t>
      </w:r>
      <w:r w:rsidR="00637E39">
        <w:rPr>
          <w:color w:val="000000"/>
        </w:rPr>
        <w:t xml:space="preserve"> </w:t>
      </w:r>
      <w:r w:rsidR="000640FE">
        <w:rPr>
          <w:color w:val="000000"/>
        </w:rPr>
        <w:t>acknowledged that it had</w:t>
      </w:r>
      <w:r w:rsidR="0030698C">
        <w:rPr>
          <w:color w:val="000000"/>
        </w:rPr>
        <w:t xml:space="preserve"> been the home of an amalgamation of different people</w:t>
      </w:r>
      <w:r w:rsidR="00931B0D">
        <w:rPr>
          <w:color w:val="000000"/>
        </w:rPr>
        <w:t>s over time.</w:t>
      </w:r>
      <w:r w:rsidR="000640FE">
        <w:rPr>
          <w:color w:val="000000"/>
        </w:rPr>
        <w:t xml:space="preserve"> </w:t>
      </w:r>
      <w:r w:rsidR="00F33031">
        <w:rPr>
          <w:color w:val="000000"/>
        </w:rPr>
        <w:t xml:space="preserve"> His feeling towards the ‘Angles’ are ambivalent</w:t>
      </w:r>
      <w:r w:rsidR="0063438A">
        <w:rPr>
          <w:color w:val="000000"/>
        </w:rPr>
        <w:t>, emphasising that when they arrived</w:t>
      </w:r>
      <w:r w:rsidR="007917A4">
        <w:rPr>
          <w:color w:val="000000"/>
        </w:rPr>
        <w:t xml:space="preserve"> in Britain they were “barbarians and heathens”</w:t>
      </w:r>
      <w:r w:rsidR="00037E84">
        <w:rPr>
          <w:color w:val="000000"/>
        </w:rPr>
        <w:t xml:space="preserve"> but Christianity</w:t>
      </w:r>
      <w:r w:rsidR="00953FD8">
        <w:rPr>
          <w:color w:val="000000"/>
        </w:rPr>
        <w:t xml:space="preserve"> both saved and civilized them.</w:t>
      </w:r>
      <w:r w:rsidR="00AC5095">
        <w:rPr>
          <w:rStyle w:val="FootnoteReference"/>
          <w:color w:val="000000"/>
        </w:rPr>
        <w:footnoteReference w:id="9"/>
      </w:r>
      <w:r w:rsidR="007C04E1">
        <w:rPr>
          <w:color w:val="000000"/>
        </w:rPr>
        <w:t xml:space="preserve"> William </w:t>
      </w:r>
      <w:r w:rsidR="003F7F72">
        <w:rPr>
          <w:color w:val="000000"/>
        </w:rPr>
        <w:t xml:space="preserve">thus sought to </w:t>
      </w:r>
      <w:r w:rsidR="008E2B40">
        <w:rPr>
          <w:color w:val="000000"/>
        </w:rPr>
        <w:t xml:space="preserve">‘mend the </w:t>
      </w:r>
      <w:r w:rsidR="0075481B">
        <w:rPr>
          <w:color w:val="000000"/>
        </w:rPr>
        <w:t>broken chain of our history’</w:t>
      </w:r>
      <w:r w:rsidR="001F75DF">
        <w:rPr>
          <w:color w:val="000000"/>
        </w:rPr>
        <w:t xml:space="preserve"> and iterate how</w:t>
      </w:r>
      <w:r w:rsidR="001D67C4">
        <w:rPr>
          <w:color w:val="000000"/>
        </w:rPr>
        <w:t xml:space="preserve"> a unified English kingdom emerged.</w:t>
      </w:r>
      <w:r w:rsidR="004C791C">
        <w:rPr>
          <w:rStyle w:val="FootnoteReference"/>
          <w:color w:val="000000"/>
        </w:rPr>
        <w:footnoteReference w:id="10"/>
      </w:r>
      <w:r w:rsidR="009C27C8">
        <w:rPr>
          <w:color w:val="000000"/>
        </w:rPr>
        <w:t xml:space="preserve"> </w:t>
      </w:r>
      <w:r w:rsidR="00077491">
        <w:rPr>
          <w:color w:val="000000"/>
        </w:rPr>
        <w:t>Although William hints at the disruption and often catastrophic consequences of conquest on the poor, he is pragmatic about the reality</w:t>
      </w:r>
      <w:r w:rsidR="00AE7ABD">
        <w:rPr>
          <w:color w:val="000000"/>
        </w:rPr>
        <w:t xml:space="preserve"> of their social position in the intensely hierarchical society of medieval England</w:t>
      </w:r>
      <w:r w:rsidR="00BF2F24">
        <w:rPr>
          <w:color w:val="000000"/>
        </w:rPr>
        <w:t>, as he is</w:t>
      </w:r>
      <w:r w:rsidR="00236995">
        <w:rPr>
          <w:color w:val="000000"/>
        </w:rPr>
        <w:t xml:space="preserve"> of the more sheltered position of the clergy to the vagaries of life. This is not </w:t>
      </w:r>
      <w:r w:rsidR="00846811">
        <w:rPr>
          <w:color w:val="000000"/>
        </w:rPr>
        <w:t>of prime importance in his rendition</w:t>
      </w:r>
      <w:r w:rsidR="00816E1A">
        <w:rPr>
          <w:color w:val="000000"/>
        </w:rPr>
        <w:t xml:space="preserve"> of England’s early history. </w:t>
      </w:r>
      <w:r w:rsidR="007D2C6C">
        <w:rPr>
          <w:color w:val="000000"/>
        </w:rPr>
        <w:t>Those “princes”</w:t>
      </w:r>
      <w:r w:rsidR="00645471">
        <w:rPr>
          <w:color w:val="000000"/>
        </w:rPr>
        <w:t xml:space="preserve"> with privilege and power are, however. </w:t>
      </w:r>
      <w:r w:rsidR="00544ABB">
        <w:rPr>
          <w:color w:val="000000"/>
        </w:rPr>
        <w:t xml:space="preserve">History, and his </w:t>
      </w:r>
      <w:r w:rsidR="00544ABB">
        <w:rPr>
          <w:i/>
          <w:iCs/>
          <w:color w:val="000000"/>
        </w:rPr>
        <w:t>Historia</w:t>
      </w:r>
      <w:r w:rsidR="00544ABB">
        <w:rPr>
          <w:color w:val="000000"/>
        </w:rPr>
        <w:t xml:space="preserve"> in particular, was to instruct</w:t>
      </w:r>
      <w:r w:rsidR="00417451">
        <w:rPr>
          <w:color w:val="000000"/>
        </w:rPr>
        <w:t xml:space="preserve"> both secular princes and those ‘princes’ of the Church</w:t>
      </w:r>
      <w:r w:rsidR="008B5A1C">
        <w:rPr>
          <w:color w:val="000000"/>
        </w:rPr>
        <w:t xml:space="preserve">, while entertaining and </w:t>
      </w:r>
      <w:r w:rsidR="00170603">
        <w:rPr>
          <w:color w:val="000000"/>
        </w:rPr>
        <w:t xml:space="preserve">ensuring its place for readers </w:t>
      </w:r>
      <w:r w:rsidR="006732BC">
        <w:rPr>
          <w:color w:val="000000"/>
        </w:rPr>
        <w:t>in posterity.</w:t>
      </w:r>
      <w:r w:rsidR="00A23D82">
        <w:rPr>
          <w:color w:val="000000"/>
        </w:rPr>
        <w:t xml:space="preserve"> </w:t>
      </w:r>
      <w:r w:rsidR="00833269">
        <w:rPr>
          <w:color w:val="000000"/>
        </w:rPr>
        <w:t>William’s subsequent reference to princes who</w:t>
      </w:r>
      <w:r w:rsidR="00262A0B">
        <w:rPr>
          <w:color w:val="000000"/>
        </w:rPr>
        <w:t xml:space="preserve"> gave up secular power for</w:t>
      </w:r>
      <w:r w:rsidR="007C640C">
        <w:rPr>
          <w:color w:val="000000"/>
        </w:rPr>
        <w:t xml:space="preserve"> a “heavenly crown” would appear to be referencing Bede</w:t>
      </w:r>
      <w:r w:rsidR="003F57A0">
        <w:rPr>
          <w:color w:val="000000"/>
        </w:rPr>
        <w:t>.</w:t>
      </w:r>
      <w:r w:rsidR="003F57A0">
        <w:rPr>
          <w:rStyle w:val="FootnoteReference"/>
          <w:color w:val="000000"/>
        </w:rPr>
        <w:footnoteReference w:id="11"/>
      </w:r>
      <w:r w:rsidR="0014560C">
        <w:rPr>
          <w:color w:val="000000"/>
        </w:rPr>
        <w:t xml:space="preserve"> </w:t>
      </w:r>
      <w:r w:rsidR="008B0359">
        <w:rPr>
          <w:color w:val="000000"/>
        </w:rPr>
        <w:t xml:space="preserve">The linguistic </w:t>
      </w:r>
      <w:r w:rsidR="008B0359">
        <w:rPr>
          <w:color w:val="000000"/>
        </w:rPr>
        <w:lastRenderedPageBreak/>
        <w:t xml:space="preserve">energy </w:t>
      </w:r>
      <w:r w:rsidR="00D76533">
        <w:rPr>
          <w:color w:val="000000"/>
        </w:rPr>
        <w:t xml:space="preserve">contained within the phrase </w:t>
      </w:r>
      <w:r w:rsidR="00B5228A">
        <w:rPr>
          <w:color w:val="000000"/>
        </w:rPr>
        <w:t>“</w:t>
      </w:r>
      <w:r w:rsidR="00D76533">
        <w:rPr>
          <w:color w:val="000000"/>
        </w:rPr>
        <w:t>the whole island blaze with</w:t>
      </w:r>
      <w:r w:rsidR="00DD496F">
        <w:rPr>
          <w:color w:val="000000"/>
        </w:rPr>
        <w:t xml:space="preserve"> such numerous relics</w:t>
      </w:r>
      <w:r w:rsidR="00B5228A">
        <w:rPr>
          <w:color w:val="000000"/>
        </w:rPr>
        <w:t>”</w:t>
      </w:r>
      <w:r w:rsidR="00F3283B">
        <w:rPr>
          <w:color w:val="000000"/>
        </w:rPr>
        <w:t xml:space="preserve"> draws attention to </w:t>
      </w:r>
      <w:r w:rsidR="004359CD">
        <w:rPr>
          <w:color w:val="000000"/>
        </w:rPr>
        <w:t xml:space="preserve">the importance </w:t>
      </w:r>
      <w:r w:rsidR="002501F4">
        <w:rPr>
          <w:color w:val="000000"/>
        </w:rPr>
        <w:t xml:space="preserve">William attaches </w:t>
      </w:r>
      <w:r w:rsidR="00F4227C">
        <w:rPr>
          <w:color w:val="000000"/>
        </w:rPr>
        <w:t>to “the merits of her [England’s] home-bred saints”</w:t>
      </w:r>
      <w:r w:rsidR="007452B5">
        <w:rPr>
          <w:color w:val="000000"/>
        </w:rPr>
        <w:t xml:space="preserve"> wh</w:t>
      </w:r>
      <w:r w:rsidR="00E150B9">
        <w:rPr>
          <w:color w:val="000000"/>
        </w:rPr>
        <w:t>o interceded with God for mercy</w:t>
      </w:r>
      <w:r w:rsidR="008A1A17">
        <w:rPr>
          <w:color w:val="000000"/>
        </w:rPr>
        <w:t xml:space="preserve"> for the country’s sins due to their virtue.</w:t>
      </w:r>
      <w:r w:rsidR="001C24CB">
        <w:rPr>
          <w:rStyle w:val="FootnoteReference"/>
          <w:color w:val="000000"/>
        </w:rPr>
        <w:footnoteReference w:id="12"/>
      </w:r>
      <w:r w:rsidR="006A66DB">
        <w:rPr>
          <w:color w:val="000000"/>
        </w:rPr>
        <w:t xml:space="preserve"> He laments that many more are lost to posterity</w:t>
      </w:r>
      <w:r w:rsidR="004C2CDA">
        <w:rPr>
          <w:color w:val="000000"/>
        </w:rPr>
        <w:t xml:space="preserve"> due to a deplorable lack of written</w:t>
      </w:r>
      <w:r w:rsidR="00A40457">
        <w:rPr>
          <w:color w:val="000000"/>
        </w:rPr>
        <w:t xml:space="preserve"> evidence</w:t>
      </w:r>
      <w:r w:rsidR="003D1410">
        <w:rPr>
          <w:color w:val="000000"/>
        </w:rPr>
        <w:t xml:space="preserve">, </w:t>
      </w:r>
      <w:r w:rsidR="00DD6AF7">
        <w:rPr>
          <w:color w:val="000000"/>
        </w:rPr>
        <w:t>which given the saints’ centrality in William’s view to the</w:t>
      </w:r>
      <w:r w:rsidR="00904696">
        <w:rPr>
          <w:color w:val="000000"/>
        </w:rPr>
        <w:t xml:space="preserve"> historical and political </w:t>
      </w:r>
      <w:r w:rsidR="00EB467C">
        <w:rPr>
          <w:color w:val="000000"/>
        </w:rPr>
        <w:t xml:space="preserve">development of England, </w:t>
      </w:r>
      <w:r w:rsidR="00247725">
        <w:rPr>
          <w:color w:val="000000"/>
        </w:rPr>
        <w:t xml:space="preserve"> </w:t>
      </w:r>
      <w:r w:rsidR="00E33A77">
        <w:rPr>
          <w:color w:val="000000"/>
        </w:rPr>
        <w:t xml:space="preserve">justifies to a certain extent, </w:t>
      </w:r>
      <w:r w:rsidR="00247725">
        <w:rPr>
          <w:color w:val="000000"/>
        </w:rPr>
        <w:t xml:space="preserve"> the Norman Conquest.</w:t>
      </w:r>
      <w:r w:rsidR="00877081">
        <w:rPr>
          <w:color w:val="000000"/>
        </w:rPr>
        <w:t xml:space="preserve"> </w:t>
      </w:r>
      <w:r w:rsidR="004A0A79">
        <w:rPr>
          <w:color w:val="000000"/>
        </w:rPr>
        <w:t>William makes this abundantly clear when the following paragraph</w:t>
      </w:r>
      <w:r w:rsidR="005207F9">
        <w:rPr>
          <w:color w:val="000000"/>
        </w:rPr>
        <w:t xml:space="preserve"> </w:t>
      </w:r>
      <w:r w:rsidR="00717300">
        <w:rPr>
          <w:color w:val="000000"/>
        </w:rPr>
        <w:t>details the ways in which England’s moral integrity degenerates over time un</w:t>
      </w:r>
      <w:r w:rsidR="00ED45DD">
        <w:rPr>
          <w:color w:val="000000"/>
        </w:rPr>
        <w:t xml:space="preserve">der English rule. </w:t>
      </w:r>
      <w:r w:rsidR="005C0399">
        <w:rPr>
          <w:color w:val="000000"/>
        </w:rPr>
        <w:t>It’s deterioration</w:t>
      </w:r>
      <w:r w:rsidR="00B96084">
        <w:rPr>
          <w:color w:val="000000"/>
        </w:rPr>
        <w:t xml:space="preserve"> on cultural, societal and political levels hinges on its breakdown</w:t>
      </w:r>
      <w:r w:rsidR="00900F44">
        <w:rPr>
          <w:color w:val="000000"/>
        </w:rPr>
        <w:t xml:space="preserve"> at the religious and intellectual level. </w:t>
      </w:r>
      <w:r w:rsidR="00EF1ADF">
        <w:rPr>
          <w:color w:val="000000"/>
        </w:rPr>
        <w:t xml:space="preserve">The paragraph </w:t>
      </w:r>
      <w:r w:rsidR="000C18D2">
        <w:rPr>
          <w:color w:val="000000"/>
        </w:rPr>
        <w:t>incorporates a series of</w:t>
      </w:r>
      <w:r w:rsidR="00F172EE">
        <w:rPr>
          <w:color w:val="000000"/>
        </w:rPr>
        <w:t xml:space="preserve"> visual, oral and literary</w:t>
      </w:r>
      <w:r w:rsidR="000C18D2">
        <w:rPr>
          <w:color w:val="000000"/>
        </w:rPr>
        <w:t xml:space="preserve"> examples</w:t>
      </w:r>
      <w:r w:rsidR="00F172EE">
        <w:rPr>
          <w:color w:val="000000"/>
        </w:rPr>
        <w:t xml:space="preserve"> </w:t>
      </w:r>
      <w:r w:rsidR="00947DAF">
        <w:rPr>
          <w:color w:val="000000"/>
        </w:rPr>
        <w:t>of the deficiencies</w:t>
      </w:r>
      <w:r w:rsidR="00E46218">
        <w:rPr>
          <w:color w:val="000000"/>
        </w:rPr>
        <w:t xml:space="preserve"> stemming from corruption within the English Church</w:t>
      </w:r>
      <w:r w:rsidR="00793151">
        <w:rPr>
          <w:color w:val="000000"/>
        </w:rPr>
        <w:t>, ripples which spread outward to pervade all levels of society.</w:t>
      </w:r>
      <w:r w:rsidR="00BC489E">
        <w:rPr>
          <w:color w:val="000000"/>
        </w:rPr>
        <w:t xml:space="preserve"> </w:t>
      </w:r>
      <w:r w:rsidR="00E11074">
        <w:rPr>
          <w:color w:val="000000"/>
        </w:rPr>
        <w:t>The Conquest thus provided the means for William I and Archbishop Lanfranc</w:t>
      </w:r>
      <w:r w:rsidR="00F451D7">
        <w:rPr>
          <w:color w:val="000000"/>
        </w:rPr>
        <w:t xml:space="preserve"> to reform an inherently corrupt Anglo-Saxon Church</w:t>
      </w:r>
      <w:r w:rsidR="00513398">
        <w:rPr>
          <w:color w:val="000000"/>
        </w:rPr>
        <w:t xml:space="preserve">. </w:t>
      </w:r>
      <w:r w:rsidR="00C24CE7">
        <w:rPr>
          <w:color w:val="000000"/>
        </w:rPr>
        <w:t>This does not mean that</w:t>
      </w:r>
      <w:r w:rsidR="0068679B">
        <w:rPr>
          <w:color w:val="000000"/>
        </w:rPr>
        <w:t xml:space="preserve"> all</w:t>
      </w:r>
      <w:r w:rsidR="00C24CE7">
        <w:rPr>
          <w:color w:val="000000"/>
        </w:rPr>
        <w:t xml:space="preserve"> Anglo-Saxon kings</w:t>
      </w:r>
      <w:r w:rsidR="002521E6">
        <w:rPr>
          <w:color w:val="000000"/>
        </w:rPr>
        <w:t xml:space="preserve"> were not devout</w:t>
      </w:r>
      <w:r w:rsidR="004E2CFA">
        <w:rPr>
          <w:color w:val="000000"/>
        </w:rPr>
        <w:t xml:space="preserve"> and the religious environment of their times</w:t>
      </w:r>
      <w:r w:rsidR="00C37F2E">
        <w:rPr>
          <w:color w:val="000000"/>
        </w:rPr>
        <w:t xml:space="preserve"> corrupt. </w:t>
      </w:r>
      <w:r w:rsidR="006656E1">
        <w:rPr>
          <w:color w:val="000000"/>
        </w:rPr>
        <w:t>William is aware of this paradox</w:t>
      </w:r>
      <w:r w:rsidR="00D821CA">
        <w:rPr>
          <w:color w:val="000000"/>
        </w:rPr>
        <w:t xml:space="preserve"> in his need to justify the Norman invasion</w:t>
      </w:r>
      <w:r w:rsidR="00735CE6">
        <w:rPr>
          <w:color w:val="000000"/>
        </w:rPr>
        <w:t xml:space="preserve"> and</w:t>
      </w:r>
      <w:r w:rsidR="00B83FD0">
        <w:rPr>
          <w:color w:val="000000"/>
        </w:rPr>
        <w:t xml:space="preserve"> although</w:t>
      </w:r>
      <w:r w:rsidR="00553506">
        <w:rPr>
          <w:color w:val="000000"/>
        </w:rPr>
        <w:t xml:space="preserve"> critical of the failings of the Normans themselves</w:t>
      </w:r>
      <w:r w:rsidR="00E758A1">
        <w:rPr>
          <w:color w:val="000000"/>
        </w:rPr>
        <w:t xml:space="preserve"> </w:t>
      </w:r>
      <w:r w:rsidR="00B8661F">
        <w:rPr>
          <w:color w:val="000000"/>
        </w:rPr>
        <w:t xml:space="preserve">as evidenced at various points within his text, William adheres to the </w:t>
      </w:r>
      <w:r w:rsidR="00EA456D">
        <w:rPr>
          <w:color w:val="000000"/>
        </w:rPr>
        <w:t>idea that “God used the Normans, however unworthy they might be, as His instrument to punish the wayward English”.</w:t>
      </w:r>
      <w:r w:rsidR="00EA456D">
        <w:rPr>
          <w:rStyle w:val="FootnoteReference"/>
          <w:color w:val="000000"/>
        </w:rPr>
        <w:footnoteReference w:id="13"/>
      </w:r>
      <w:r w:rsidR="00DE4EF1">
        <w:rPr>
          <w:color w:val="000000"/>
        </w:rPr>
        <w:t xml:space="preserve"> </w:t>
      </w:r>
    </w:p>
    <w:p w14:paraId="65709663" w14:textId="6CE3621B" w:rsidR="00782942" w:rsidRDefault="0081291F" w:rsidP="00EB7EF3">
      <w:pPr>
        <w:pStyle w:val="NormalWeb"/>
        <w:spacing w:line="360" w:lineRule="auto"/>
        <w:ind w:firstLine="720"/>
        <w:jc w:val="both"/>
        <w:rPr>
          <w:color w:val="000000"/>
        </w:rPr>
      </w:pPr>
      <w:r>
        <w:rPr>
          <w:color w:val="000000"/>
        </w:rPr>
        <w:t>Described as a ‘</w:t>
      </w:r>
      <w:r w:rsidR="00D50628">
        <w:rPr>
          <w:color w:val="000000"/>
        </w:rPr>
        <w:t>freethinker</w:t>
      </w:r>
      <w:r>
        <w:rPr>
          <w:color w:val="000000"/>
        </w:rPr>
        <w:t>’</w:t>
      </w:r>
      <w:r w:rsidR="00DB5C10">
        <w:rPr>
          <w:color w:val="000000"/>
        </w:rPr>
        <w:t xml:space="preserve"> by today’s historians</w:t>
      </w:r>
      <w:r w:rsidR="008E17AE">
        <w:rPr>
          <w:color w:val="000000"/>
        </w:rPr>
        <w:t xml:space="preserve">, William of Malmesbury’s love of classical </w:t>
      </w:r>
      <w:r w:rsidR="0096353C">
        <w:rPr>
          <w:color w:val="000000"/>
        </w:rPr>
        <w:t>antiquity, its literature</w:t>
      </w:r>
      <w:r w:rsidR="002123BA">
        <w:rPr>
          <w:color w:val="000000"/>
        </w:rPr>
        <w:t>, and its influence on his own times and earlier</w:t>
      </w:r>
      <w:r w:rsidR="00FE7CA3">
        <w:rPr>
          <w:color w:val="000000"/>
        </w:rPr>
        <w:t>, on ideas</w:t>
      </w:r>
      <w:r w:rsidR="00A55E4F">
        <w:rPr>
          <w:color w:val="000000"/>
        </w:rPr>
        <w:t>, culture, traditions</w:t>
      </w:r>
      <w:r w:rsidR="0049705D">
        <w:rPr>
          <w:color w:val="000000"/>
        </w:rPr>
        <w:t xml:space="preserve"> and morals</w:t>
      </w:r>
      <w:r w:rsidR="00E879B6">
        <w:rPr>
          <w:color w:val="000000"/>
        </w:rPr>
        <w:t xml:space="preserve"> throughout succeeding centuries</w:t>
      </w:r>
      <w:r w:rsidR="0049705D">
        <w:rPr>
          <w:color w:val="000000"/>
        </w:rPr>
        <w:t>, makes him a fascinating character</w:t>
      </w:r>
      <w:r w:rsidR="008B3BA3">
        <w:rPr>
          <w:color w:val="000000"/>
        </w:rPr>
        <w:t xml:space="preserve"> who str</w:t>
      </w:r>
      <w:r w:rsidR="0031102B">
        <w:rPr>
          <w:color w:val="000000"/>
        </w:rPr>
        <w:t>ove</w:t>
      </w:r>
      <w:r w:rsidR="008B3BA3">
        <w:rPr>
          <w:color w:val="000000"/>
        </w:rPr>
        <w:t xml:space="preserve"> to make sense of the historical past</w:t>
      </w:r>
      <w:r w:rsidR="00B9058F">
        <w:rPr>
          <w:color w:val="000000"/>
        </w:rPr>
        <w:t xml:space="preserve"> and</w:t>
      </w:r>
      <w:r w:rsidR="00E879B6">
        <w:rPr>
          <w:color w:val="000000"/>
        </w:rPr>
        <w:t xml:space="preserve"> the</w:t>
      </w:r>
      <w:r w:rsidR="00B9058F">
        <w:rPr>
          <w:color w:val="000000"/>
        </w:rPr>
        <w:t xml:space="preserve"> world of his present reality.</w:t>
      </w:r>
      <w:r w:rsidR="0035395B">
        <w:rPr>
          <w:rStyle w:val="FootnoteReference"/>
          <w:color w:val="000000"/>
        </w:rPr>
        <w:footnoteReference w:id="14"/>
      </w:r>
      <w:r w:rsidR="00FA3581">
        <w:rPr>
          <w:color w:val="000000"/>
        </w:rPr>
        <w:t xml:space="preserve"> </w:t>
      </w:r>
      <w:r w:rsidR="000F3830">
        <w:rPr>
          <w:color w:val="000000"/>
        </w:rPr>
        <w:t>His in-depth knowledge</w:t>
      </w:r>
      <w:r w:rsidR="00376A29">
        <w:rPr>
          <w:color w:val="000000"/>
        </w:rPr>
        <w:t xml:space="preserve"> of Latin literature, his </w:t>
      </w:r>
      <w:r w:rsidR="00CD55C7">
        <w:rPr>
          <w:color w:val="000000"/>
        </w:rPr>
        <w:t>use of metaphor,</w:t>
      </w:r>
      <w:r w:rsidR="003659D3">
        <w:rPr>
          <w:color w:val="000000"/>
        </w:rPr>
        <w:t xml:space="preserve"> similes,</w:t>
      </w:r>
      <w:r w:rsidR="00BB7BAC">
        <w:rPr>
          <w:color w:val="000000"/>
        </w:rPr>
        <w:t xml:space="preserve"> and</w:t>
      </w:r>
      <w:r w:rsidR="003659D3">
        <w:rPr>
          <w:color w:val="000000"/>
        </w:rPr>
        <w:t xml:space="preserve"> allusions</w:t>
      </w:r>
      <w:r w:rsidR="00BB7BAC">
        <w:rPr>
          <w:color w:val="000000"/>
        </w:rPr>
        <w:t>, incorporated into his literary style</w:t>
      </w:r>
      <w:r w:rsidR="00274171">
        <w:rPr>
          <w:color w:val="000000"/>
        </w:rPr>
        <w:t>, allowed him to both entertain and educate</w:t>
      </w:r>
      <w:r w:rsidR="00D33CE4">
        <w:rPr>
          <w:color w:val="000000"/>
        </w:rPr>
        <w:t xml:space="preserve"> within the bounds</w:t>
      </w:r>
      <w:r w:rsidR="00B946BC">
        <w:rPr>
          <w:color w:val="000000"/>
        </w:rPr>
        <w:t xml:space="preserve"> of ‘the moral, ethical and </w:t>
      </w:r>
      <w:r w:rsidR="00AC6940">
        <w:rPr>
          <w:color w:val="000000"/>
        </w:rPr>
        <w:t>theological dimensions’ of his texts.</w:t>
      </w:r>
      <w:r w:rsidR="00AC6940">
        <w:rPr>
          <w:rStyle w:val="FootnoteReference"/>
          <w:color w:val="000000"/>
        </w:rPr>
        <w:footnoteReference w:id="15"/>
      </w:r>
      <w:r w:rsidR="00892B14">
        <w:rPr>
          <w:color w:val="000000"/>
        </w:rPr>
        <w:t xml:space="preserve"> </w:t>
      </w:r>
      <w:r w:rsidR="00A07056">
        <w:rPr>
          <w:color w:val="000000"/>
        </w:rPr>
        <w:t xml:space="preserve">Illustrating his ideas and </w:t>
      </w:r>
      <w:r w:rsidR="00D53783">
        <w:rPr>
          <w:color w:val="000000"/>
        </w:rPr>
        <w:t xml:space="preserve">grounding his assumptions on the course of history through </w:t>
      </w:r>
      <w:r w:rsidR="00E7785D">
        <w:rPr>
          <w:color w:val="000000"/>
        </w:rPr>
        <w:t>a variety of individuals, momentous events and their contexts</w:t>
      </w:r>
      <w:r w:rsidR="005E1F25">
        <w:rPr>
          <w:color w:val="000000"/>
        </w:rPr>
        <w:t xml:space="preserve"> </w:t>
      </w:r>
      <w:r w:rsidR="005E1F25">
        <w:rPr>
          <w:color w:val="000000"/>
        </w:rPr>
        <w:lastRenderedPageBreak/>
        <w:t>and access to saints’ lives and the</w:t>
      </w:r>
      <w:r w:rsidR="003F7AC9">
        <w:rPr>
          <w:color w:val="000000"/>
        </w:rPr>
        <w:t>ir</w:t>
      </w:r>
      <w:r w:rsidR="005E1F25">
        <w:rPr>
          <w:color w:val="000000"/>
        </w:rPr>
        <w:t xml:space="preserve"> works</w:t>
      </w:r>
      <w:r w:rsidR="003C5130">
        <w:rPr>
          <w:color w:val="000000"/>
        </w:rPr>
        <w:t>,</w:t>
      </w:r>
      <w:r w:rsidR="003F7AC9">
        <w:rPr>
          <w:color w:val="000000"/>
        </w:rPr>
        <w:t xml:space="preserve"> as well as</w:t>
      </w:r>
      <w:r w:rsidR="003C5130">
        <w:rPr>
          <w:color w:val="000000"/>
        </w:rPr>
        <w:t xml:space="preserve"> letters and documents</w:t>
      </w:r>
      <w:r w:rsidR="003F7AC9">
        <w:rPr>
          <w:color w:val="000000"/>
        </w:rPr>
        <w:t xml:space="preserve"> collected over time, William</w:t>
      </w:r>
      <w:r w:rsidR="00973BF3">
        <w:rPr>
          <w:color w:val="000000"/>
        </w:rPr>
        <w:t>’s work has remained both popular and influential</w:t>
      </w:r>
      <w:r w:rsidR="00D73293">
        <w:rPr>
          <w:color w:val="000000"/>
        </w:rPr>
        <w:t xml:space="preserve"> over hundreds of years.</w:t>
      </w:r>
      <w:r w:rsidR="00B25B5A">
        <w:rPr>
          <w:color w:val="000000"/>
        </w:rPr>
        <w:t xml:space="preserve"> </w:t>
      </w:r>
      <w:r w:rsidR="002710CE">
        <w:rPr>
          <w:color w:val="000000"/>
        </w:rPr>
        <w:t xml:space="preserve">It is a credit to his receptiveness </w:t>
      </w:r>
      <w:r w:rsidR="00290083">
        <w:rPr>
          <w:color w:val="000000"/>
        </w:rPr>
        <w:t xml:space="preserve">for new ideas that his idea of </w:t>
      </w:r>
      <w:r w:rsidR="00C57BE6">
        <w:rPr>
          <w:color w:val="000000"/>
        </w:rPr>
        <w:t>identity encompassed not only the past of the Romans and the Britons, but also</w:t>
      </w:r>
      <w:r w:rsidR="00D50628">
        <w:rPr>
          <w:color w:val="000000"/>
        </w:rPr>
        <w:t xml:space="preserve"> that of the English and the Normans.</w:t>
      </w:r>
    </w:p>
    <w:p w14:paraId="1F9196C3" w14:textId="4D76130C" w:rsidR="009A052B" w:rsidRDefault="00E71110" w:rsidP="009A052B">
      <w:pPr>
        <w:pStyle w:val="NormalWeb"/>
        <w:spacing w:line="360" w:lineRule="auto"/>
        <w:jc w:val="both"/>
        <w:rPr>
          <w:color w:val="000000"/>
        </w:rPr>
      </w:pPr>
      <w:r>
        <w:rPr>
          <w:color w:val="000000"/>
        </w:rPr>
        <w:t xml:space="preserve">Word count: 1,105. </w:t>
      </w:r>
    </w:p>
    <w:p w14:paraId="721DA209" w14:textId="77777777" w:rsidR="006430A8" w:rsidRDefault="006430A8" w:rsidP="009A052B">
      <w:pPr>
        <w:pStyle w:val="NormalWeb"/>
        <w:spacing w:line="360" w:lineRule="auto"/>
        <w:jc w:val="both"/>
        <w:rPr>
          <w:color w:val="000000"/>
        </w:rPr>
      </w:pPr>
    </w:p>
    <w:p w14:paraId="646A28BE" w14:textId="77777777" w:rsidR="006430A8" w:rsidRDefault="006430A8" w:rsidP="009A052B">
      <w:pPr>
        <w:pStyle w:val="NormalWeb"/>
        <w:spacing w:line="360" w:lineRule="auto"/>
        <w:jc w:val="both"/>
        <w:rPr>
          <w:color w:val="000000"/>
        </w:rPr>
      </w:pPr>
    </w:p>
    <w:p w14:paraId="2C9F868B" w14:textId="77777777" w:rsidR="006430A8" w:rsidRDefault="006430A8" w:rsidP="009A052B">
      <w:pPr>
        <w:pStyle w:val="NormalWeb"/>
        <w:spacing w:line="360" w:lineRule="auto"/>
        <w:jc w:val="both"/>
        <w:rPr>
          <w:color w:val="000000"/>
        </w:rPr>
      </w:pPr>
    </w:p>
    <w:p w14:paraId="3AD494E7" w14:textId="77777777" w:rsidR="006430A8" w:rsidRDefault="006430A8" w:rsidP="009A052B">
      <w:pPr>
        <w:pStyle w:val="NormalWeb"/>
        <w:spacing w:line="360" w:lineRule="auto"/>
        <w:jc w:val="both"/>
        <w:rPr>
          <w:color w:val="000000"/>
        </w:rPr>
      </w:pPr>
    </w:p>
    <w:p w14:paraId="163B47C5" w14:textId="77777777" w:rsidR="006430A8" w:rsidRDefault="006430A8" w:rsidP="009A052B">
      <w:pPr>
        <w:pStyle w:val="NormalWeb"/>
        <w:spacing w:line="360" w:lineRule="auto"/>
        <w:jc w:val="both"/>
        <w:rPr>
          <w:color w:val="000000"/>
        </w:rPr>
      </w:pPr>
    </w:p>
    <w:p w14:paraId="71E4883B" w14:textId="77777777" w:rsidR="006430A8" w:rsidRDefault="006430A8" w:rsidP="009A052B">
      <w:pPr>
        <w:pStyle w:val="NormalWeb"/>
        <w:spacing w:line="360" w:lineRule="auto"/>
        <w:jc w:val="both"/>
        <w:rPr>
          <w:color w:val="000000"/>
        </w:rPr>
      </w:pPr>
    </w:p>
    <w:p w14:paraId="4A45BF73" w14:textId="77777777" w:rsidR="006430A8" w:rsidRDefault="006430A8" w:rsidP="009A052B">
      <w:pPr>
        <w:pStyle w:val="NormalWeb"/>
        <w:spacing w:line="360" w:lineRule="auto"/>
        <w:jc w:val="both"/>
        <w:rPr>
          <w:color w:val="000000"/>
        </w:rPr>
      </w:pPr>
    </w:p>
    <w:p w14:paraId="3A04CD72" w14:textId="77777777" w:rsidR="006430A8" w:rsidRDefault="006430A8" w:rsidP="009A052B">
      <w:pPr>
        <w:pStyle w:val="NormalWeb"/>
        <w:spacing w:line="360" w:lineRule="auto"/>
        <w:jc w:val="both"/>
        <w:rPr>
          <w:color w:val="000000"/>
        </w:rPr>
      </w:pPr>
    </w:p>
    <w:p w14:paraId="701BB37A" w14:textId="77777777" w:rsidR="006430A8" w:rsidRDefault="006430A8" w:rsidP="009A052B">
      <w:pPr>
        <w:pStyle w:val="NormalWeb"/>
        <w:spacing w:line="360" w:lineRule="auto"/>
        <w:jc w:val="both"/>
        <w:rPr>
          <w:color w:val="000000"/>
        </w:rPr>
      </w:pPr>
    </w:p>
    <w:p w14:paraId="1CAAC0BE" w14:textId="77777777" w:rsidR="006430A8" w:rsidRDefault="006430A8" w:rsidP="009A052B">
      <w:pPr>
        <w:pStyle w:val="NormalWeb"/>
        <w:spacing w:line="360" w:lineRule="auto"/>
        <w:jc w:val="both"/>
        <w:rPr>
          <w:color w:val="000000"/>
        </w:rPr>
      </w:pPr>
    </w:p>
    <w:p w14:paraId="6C308556" w14:textId="77777777" w:rsidR="006430A8" w:rsidRDefault="006430A8" w:rsidP="009A052B">
      <w:pPr>
        <w:pStyle w:val="NormalWeb"/>
        <w:spacing w:line="360" w:lineRule="auto"/>
        <w:jc w:val="both"/>
        <w:rPr>
          <w:color w:val="000000"/>
        </w:rPr>
      </w:pPr>
    </w:p>
    <w:p w14:paraId="474AB026" w14:textId="77777777" w:rsidR="006430A8" w:rsidRDefault="006430A8" w:rsidP="009A052B">
      <w:pPr>
        <w:pStyle w:val="NormalWeb"/>
        <w:spacing w:line="360" w:lineRule="auto"/>
        <w:jc w:val="both"/>
        <w:rPr>
          <w:color w:val="000000"/>
        </w:rPr>
      </w:pPr>
    </w:p>
    <w:p w14:paraId="1E7A21BB" w14:textId="77777777" w:rsidR="006430A8" w:rsidRDefault="006430A8" w:rsidP="009A052B">
      <w:pPr>
        <w:pStyle w:val="NormalWeb"/>
        <w:spacing w:line="360" w:lineRule="auto"/>
        <w:jc w:val="both"/>
        <w:rPr>
          <w:color w:val="000000"/>
        </w:rPr>
      </w:pPr>
    </w:p>
    <w:p w14:paraId="3B0652AC" w14:textId="77777777" w:rsidR="006430A8" w:rsidRDefault="006430A8" w:rsidP="009A052B">
      <w:pPr>
        <w:pStyle w:val="NormalWeb"/>
        <w:spacing w:line="360" w:lineRule="auto"/>
        <w:jc w:val="both"/>
        <w:rPr>
          <w:color w:val="000000"/>
        </w:rPr>
      </w:pPr>
    </w:p>
    <w:p w14:paraId="628D38E7" w14:textId="77777777" w:rsidR="006430A8" w:rsidRDefault="006430A8" w:rsidP="009A052B">
      <w:pPr>
        <w:pStyle w:val="NormalWeb"/>
        <w:spacing w:line="360" w:lineRule="auto"/>
        <w:jc w:val="both"/>
        <w:rPr>
          <w:color w:val="000000"/>
        </w:rPr>
      </w:pPr>
    </w:p>
    <w:p w14:paraId="752AF60A" w14:textId="77777777" w:rsidR="006430A8" w:rsidRDefault="006430A8" w:rsidP="009A052B">
      <w:pPr>
        <w:pStyle w:val="NormalWeb"/>
        <w:spacing w:line="360" w:lineRule="auto"/>
        <w:jc w:val="both"/>
        <w:rPr>
          <w:color w:val="000000"/>
        </w:rPr>
      </w:pPr>
    </w:p>
    <w:p w14:paraId="53B30E5F" w14:textId="77777777" w:rsidR="006430A8" w:rsidRDefault="006430A8" w:rsidP="009A052B">
      <w:pPr>
        <w:pStyle w:val="NormalWeb"/>
        <w:spacing w:line="360" w:lineRule="auto"/>
        <w:jc w:val="both"/>
        <w:rPr>
          <w:color w:val="000000"/>
        </w:rPr>
      </w:pPr>
    </w:p>
    <w:p w14:paraId="55F0158B" w14:textId="5D8F9CF6" w:rsidR="006430A8" w:rsidRDefault="006430A8" w:rsidP="006430A8">
      <w:pPr>
        <w:pStyle w:val="NormalWeb"/>
        <w:spacing w:line="360" w:lineRule="auto"/>
        <w:jc w:val="center"/>
        <w:rPr>
          <w:color w:val="000000"/>
        </w:rPr>
      </w:pPr>
      <w:r>
        <w:rPr>
          <w:color w:val="000000"/>
        </w:rPr>
        <w:t>BIBLIOGRAPHY</w:t>
      </w:r>
    </w:p>
    <w:p w14:paraId="3D4A1948" w14:textId="77777777" w:rsidR="006430A8" w:rsidRDefault="006430A8" w:rsidP="006430A8">
      <w:pPr>
        <w:pStyle w:val="NormalWeb"/>
        <w:spacing w:line="360" w:lineRule="auto"/>
        <w:jc w:val="both"/>
        <w:rPr>
          <w:color w:val="000000"/>
        </w:rPr>
      </w:pPr>
    </w:p>
    <w:p w14:paraId="6C7624A6" w14:textId="6C0C81EF" w:rsidR="006430A8" w:rsidRDefault="006430A8" w:rsidP="006430A8">
      <w:pPr>
        <w:pStyle w:val="NormalWeb"/>
        <w:spacing w:line="360" w:lineRule="auto"/>
        <w:jc w:val="both"/>
        <w:rPr>
          <w:color w:val="000000"/>
        </w:rPr>
      </w:pPr>
      <w:r>
        <w:rPr>
          <w:color w:val="000000"/>
        </w:rPr>
        <w:t xml:space="preserve">Bede, </w:t>
      </w:r>
      <w:r>
        <w:rPr>
          <w:i/>
          <w:iCs/>
          <w:color w:val="000000"/>
        </w:rPr>
        <w:t>A History of the English Church and People</w:t>
      </w:r>
      <w:r>
        <w:rPr>
          <w:color w:val="000000"/>
        </w:rPr>
        <w:t xml:space="preserve"> (Penguin Books, 1968).</w:t>
      </w:r>
    </w:p>
    <w:p w14:paraId="07601C70" w14:textId="1FEFBA65" w:rsidR="006430A8" w:rsidRDefault="006430A8" w:rsidP="006430A8">
      <w:pPr>
        <w:pStyle w:val="NormalWeb"/>
        <w:spacing w:line="360" w:lineRule="auto"/>
        <w:jc w:val="both"/>
        <w:rPr>
          <w:color w:val="000000"/>
        </w:rPr>
      </w:pPr>
      <w:r>
        <w:rPr>
          <w:color w:val="000000"/>
        </w:rPr>
        <w:t xml:space="preserve">Dolmans, Emily, ‘Discovering William of Malmesbury: The Man and his Works’ in Rodney M. Thomson, Emily Dolmans and Emily A. Winkler (eds) </w:t>
      </w:r>
      <w:r>
        <w:rPr>
          <w:i/>
          <w:iCs/>
          <w:color w:val="000000"/>
        </w:rPr>
        <w:t xml:space="preserve">Discovering William of Malmesbury </w:t>
      </w:r>
      <w:r>
        <w:rPr>
          <w:color w:val="000000"/>
        </w:rPr>
        <w:t>(Boydell Press, 2017), pp. 1-11.</w:t>
      </w:r>
    </w:p>
    <w:p w14:paraId="6EEEA3B7" w14:textId="34F62726" w:rsidR="006430A8" w:rsidRDefault="006430A8" w:rsidP="006430A8">
      <w:pPr>
        <w:pStyle w:val="NormalWeb"/>
        <w:spacing w:line="360" w:lineRule="auto"/>
        <w:jc w:val="both"/>
        <w:rPr>
          <w:color w:val="000000"/>
        </w:rPr>
      </w:pPr>
      <w:r>
        <w:rPr>
          <w:color w:val="000000"/>
        </w:rPr>
        <w:t xml:space="preserve">Given-Wilson, Chris, </w:t>
      </w:r>
      <w:r>
        <w:rPr>
          <w:i/>
          <w:iCs/>
          <w:color w:val="000000"/>
        </w:rPr>
        <w:t>Chronicles: The Writing of History in Medieval England</w:t>
      </w:r>
      <w:r>
        <w:rPr>
          <w:color w:val="000000"/>
        </w:rPr>
        <w:t>, (Hambleton &amp; London, 2004).</w:t>
      </w:r>
    </w:p>
    <w:p w14:paraId="1B6E1FC9" w14:textId="64C5ECE4" w:rsidR="006430A8" w:rsidRDefault="006430A8" w:rsidP="006430A8">
      <w:pPr>
        <w:pStyle w:val="NormalWeb"/>
        <w:spacing w:line="360" w:lineRule="auto"/>
        <w:jc w:val="both"/>
        <w:rPr>
          <w:color w:val="000000"/>
        </w:rPr>
      </w:pPr>
      <w:r>
        <w:rPr>
          <w:color w:val="000000"/>
        </w:rPr>
        <w:t xml:space="preserve">Gransden, Antonia, </w:t>
      </w:r>
      <w:r>
        <w:rPr>
          <w:i/>
          <w:iCs/>
          <w:color w:val="000000"/>
        </w:rPr>
        <w:t>Historical Writing in En</w:t>
      </w:r>
      <w:r w:rsidR="00A45B72">
        <w:rPr>
          <w:i/>
          <w:iCs/>
          <w:color w:val="000000"/>
        </w:rPr>
        <w:t>g</w:t>
      </w:r>
      <w:r>
        <w:rPr>
          <w:i/>
          <w:iCs/>
          <w:color w:val="000000"/>
        </w:rPr>
        <w:t>land: c.550- c.1307</w:t>
      </w:r>
      <w:r>
        <w:rPr>
          <w:color w:val="000000"/>
        </w:rPr>
        <w:t>, (Routledge &amp; Kegan Paul, 1974).</w:t>
      </w:r>
    </w:p>
    <w:p w14:paraId="06455959" w14:textId="6F67F523" w:rsidR="006430A8" w:rsidRDefault="006430A8" w:rsidP="006430A8">
      <w:pPr>
        <w:pStyle w:val="NormalWeb"/>
        <w:spacing w:line="360" w:lineRule="auto"/>
        <w:jc w:val="both"/>
        <w:rPr>
          <w:color w:val="000000"/>
        </w:rPr>
      </w:pPr>
      <w:r>
        <w:rPr>
          <w:color w:val="000000"/>
        </w:rPr>
        <w:t>Hayward, Paul, ‘St Wilfred of Ripon and the Norman Church in Anglo-Saxon Norman Historiography’</w:t>
      </w:r>
      <w:r w:rsidR="00D05866">
        <w:rPr>
          <w:color w:val="000000"/>
        </w:rPr>
        <w:t xml:space="preserve">, </w:t>
      </w:r>
      <w:r w:rsidR="00D05866">
        <w:rPr>
          <w:i/>
          <w:iCs/>
          <w:color w:val="000000"/>
        </w:rPr>
        <w:t xml:space="preserve">Northern History </w:t>
      </w:r>
      <w:r w:rsidR="00D05866">
        <w:rPr>
          <w:color w:val="000000"/>
        </w:rPr>
        <w:t>49 (2012), pp. 11-36.</w:t>
      </w:r>
    </w:p>
    <w:p w14:paraId="26CD4B6B" w14:textId="29F6DBE9" w:rsidR="00D05866" w:rsidRDefault="00D05866" w:rsidP="006430A8">
      <w:pPr>
        <w:pStyle w:val="NormalWeb"/>
        <w:spacing w:line="360" w:lineRule="auto"/>
        <w:jc w:val="both"/>
        <w:rPr>
          <w:color w:val="000000"/>
        </w:rPr>
      </w:pPr>
      <w:r>
        <w:rPr>
          <w:color w:val="000000"/>
        </w:rPr>
        <w:t xml:space="preserve">Kemp, Ryan, ‘Advising the King: Kingship, Bishops and Saints in the Works of William of Malmesbury’ in Rodney M. Thomson, Emily Dolmans and Emily A. Winkler (eds) </w:t>
      </w:r>
      <w:r>
        <w:rPr>
          <w:i/>
          <w:iCs/>
          <w:color w:val="000000"/>
        </w:rPr>
        <w:t xml:space="preserve">Discovering William of Malmesbury </w:t>
      </w:r>
      <w:r>
        <w:rPr>
          <w:color w:val="000000"/>
        </w:rPr>
        <w:t>(Boydell Press, 2017), pp. 65-80.</w:t>
      </w:r>
    </w:p>
    <w:p w14:paraId="295A95FF" w14:textId="281897C4" w:rsidR="00D05866" w:rsidRDefault="00D05866" w:rsidP="006430A8">
      <w:pPr>
        <w:pStyle w:val="NormalWeb"/>
        <w:spacing w:line="360" w:lineRule="auto"/>
        <w:jc w:val="both"/>
        <w:rPr>
          <w:color w:val="000000"/>
        </w:rPr>
      </w:pPr>
      <w:r>
        <w:rPr>
          <w:color w:val="000000"/>
        </w:rPr>
        <w:t xml:space="preserve">Robinson, H. J., (ed), </w:t>
      </w:r>
      <w:r>
        <w:rPr>
          <w:i/>
          <w:iCs/>
          <w:color w:val="000000"/>
        </w:rPr>
        <w:t xml:space="preserve">Readings in European History, </w:t>
      </w:r>
      <w:r>
        <w:rPr>
          <w:color w:val="000000"/>
        </w:rPr>
        <w:t xml:space="preserve">2 Vols (Boston Ginn &amp; Co., 1904-6), Vol. 1 </w:t>
      </w:r>
      <w:r>
        <w:rPr>
          <w:i/>
          <w:iCs/>
          <w:color w:val="000000"/>
        </w:rPr>
        <w:t>From Breaking up of the Roman Empire to the Protestant Revolt</w:t>
      </w:r>
      <w:r>
        <w:rPr>
          <w:color w:val="000000"/>
        </w:rPr>
        <w:t>.</w:t>
      </w:r>
    </w:p>
    <w:p w14:paraId="093A6075" w14:textId="3D2AC15F" w:rsidR="00D05866" w:rsidRDefault="00D05866" w:rsidP="006430A8">
      <w:pPr>
        <w:pStyle w:val="NormalWeb"/>
        <w:spacing w:line="360" w:lineRule="auto"/>
        <w:jc w:val="both"/>
        <w:rPr>
          <w:color w:val="000000"/>
        </w:rPr>
      </w:pPr>
      <w:r>
        <w:rPr>
          <w:color w:val="000000"/>
        </w:rPr>
        <w:t xml:space="preserve">Sønnesyn, Sigbjørn, </w:t>
      </w:r>
      <w:r>
        <w:rPr>
          <w:i/>
          <w:iCs/>
          <w:color w:val="000000"/>
        </w:rPr>
        <w:t>William of Malmesbury and the Ethics of History</w:t>
      </w:r>
      <w:r>
        <w:rPr>
          <w:color w:val="000000"/>
        </w:rPr>
        <w:t>, (Boydell Press, 2012).</w:t>
      </w:r>
    </w:p>
    <w:p w14:paraId="10074C94" w14:textId="1F7F9539" w:rsidR="00D05866" w:rsidRDefault="00D05866" w:rsidP="006430A8">
      <w:pPr>
        <w:pStyle w:val="NormalWeb"/>
        <w:spacing w:line="360" w:lineRule="auto"/>
        <w:jc w:val="both"/>
        <w:rPr>
          <w:color w:val="000000"/>
        </w:rPr>
      </w:pPr>
      <w:r>
        <w:rPr>
          <w:color w:val="000000"/>
        </w:rPr>
        <w:t>Thomson, R. M., ‘William of Malmesbury’s anti-Norman Diatribe</w:t>
      </w:r>
      <w:r w:rsidR="00A14C06">
        <w:rPr>
          <w:color w:val="000000"/>
        </w:rPr>
        <w:t xml:space="preserve">’ in Martin Brett and David A. Woodhouse (eds), </w:t>
      </w:r>
      <w:r w:rsidR="00A14C06">
        <w:rPr>
          <w:i/>
          <w:iCs/>
          <w:color w:val="000000"/>
        </w:rPr>
        <w:t>The Long Twelfth-Century View of the Anglo-Saxon Past</w:t>
      </w:r>
      <w:r w:rsidR="00A14C06">
        <w:rPr>
          <w:color w:val="000000"/>
        </w:rPr>
        <w:t>, (Routledge, 2015), pp. 113-121.</w:t>
      </w:r>
    </w:p>
    <w:p w14:paraId="321AC981" w14:textId="2DE3F976" w:rsidR="00A14C06" w:rsidRDefault="00A14C06" w:rsidP="006430A8">
      <w:pPr>
        <w:pStyle w:val="NormalWeb"/>
        <w:spacing w:line="360" w:lineRule="auto"/>
        <w:jc w:val="both"/>
        <w:rPr>
          <w:color w:val="000000"/>
        </w:rPr>
      </w:pPr>
      <w:r>
        <w:rPr>
          <w:color w:val="000000"/>
        </w:rPr>
        <w:t>Ward, Emily Joan, ‘</w:t>
      </w:r>
      <w:r>
        <w:rPr>
          <w:i/>
          <w:iCs/>
          <w:color w:val="000000"/>
        </w:rPr>
        <w:t>Verax Historicus Bede</w:t>
      </w:r>
      <w:r>
        <w:rPr>
          <w:color w:val="000000"/>
        </w:rPr>
        <w:t xml:space="preserve">: William of Malmesbury, Bede and Historia’ in Rodney M. Thomson, Emily Dolmans and Emily A. Winkler (eds) </w:t>
      </w:r>
      <w:r>
        <w:rPr>
          <w:i/>
          <w:iCs/>
          <w:color w:val="000000"/>
        </w:rPr>
        <w:t xml:space="preserve">Discovering William of Malmesbury </w:t>
      </w:r>
      <w:r>
        <w:rPr>
          <w:color w:val="000000"/>
        </w:rPr>
        <w:t xml:space="preserve">(Boydell Press, 2017), pp. </w:t>
      </w:r>
      <w:r w:rsidR="00700A83">
        <w:rPr>
          <w:color w:val="000000"/>
        </w:rPr>
        <w:t>175-188.</w:t>
      </w:r>
    </w:p>
    <w:p w14:paraId="192C497C" w14:textId="49EFA932" w:rsidR="00700A83" w:rsidRPr="00A14C06" w:rsidRDefault="00700A83" w:rsidP="006430A8">
      <w:pPr>
        <w:pStyle w:val="NormalWeb"/>
        <w:spacing w:line="360" w:lineRule="auto"/>
        <w:jc w:val="both"/>
        <w:rPr>
          <w:color w:val="000000"/>
        </w:rPr>
      </w:pPr>
      <w:r>
        <w:rPr>
          <w:color w:val="000000"/>
        </w:rPr>
        <w:lastRenderedPageBreak/>
        <w:t xml:space="preserve">Winkler, Emily, ‘William of Malmesbury and the Britons’, in Rodney M. Thomson, Emily Dolmans and Emily A. Winkler (eds) </w:t>
      </w:r>
      <w:r>
        <w:rPr>
          <w:i/>
          <w:iCs/>
          <w:color w:val="000000"/>
        </w:rPr>
        <w:t xml:space="preserve">Discovering William of Malmesbury </w:t>
      </w:r>
      <w:r>
        <w:rPr>
          <w:color w:val="000000"/>
        </w:rPr>
        <w:t>(Boydell Press, 2017), pp. 189-202.</w:t>
      </w:r>
    </w:p>
    <w:p w14:paraId="250C4DDF" w14:textId="77777777" w:rsidR="009A052B" w:rsidRPr="00544ABB" w:rsidRDefault="009A052B" w:rsidP="00EB7EF3">
      <w:pPr>
        <w:pStyle w:val="NormalWeb"/>
        <w:spacing w:line="360" w:lineRule="auto"/>
        <w:ind w:firstLine="720"/>
        <w:jc w:val="both"/>
        <w:rPr>
          <w:color w:val="000000"/>
        </w:rPr>
      </w:pPr>
    </w:p>
    <w:p w14:paraId="0F668126" w14:textId="77777777" w:rsidR="0024722C" w:rsidRPr="0024722C" w:rsidRDefault="0024722C" w:rsidP="0024722C">
      <w:pPr>
        <w:pStyle w:val="NormalWeb"/>
        <w:spacing w:line="360" w:lineRule="auto"/>
        <w:ind w:firstLine="720"/>
        <w:jc w:val="both"/>
        <w:rPr>
          <w:color w:val="000000"/>
        </w:rPr>
      </w:pPr>
    </w:p>
    <w:p w14:paraId="46617056" w14:textId="77777777" w:rsidR="00B805DA" w:rsidRPr="00B805DA" w:rsidRDefault="00B805DA" w:rsidP="00B805DA">
      <w:pPr>
        <w:pStyle w:val="NormalWeb"/>
        <w:spacing w:line="360" w:lineRule="auto"/>
        <w:ind w:firstLine="720"/>
        <w:jc w:val="both"/>
        <w:rPr>
          <w:color w:val="000000"/>
        </w:rPr>
      </w:pPr>
    </w:p>
    <w:p w14:paraId="3EE04222" w14:textId="77777777" w:rsidR="00B805DA" w:rsidRPr="00B805DA" w:rsidRDefault="00B805DA" w:rsidP="005F773E">
      <w:pPr>
        <w:pStyle w:val="NormalWeb"/>
        <w:spacing w:line="360" w:lineRule="auto"/>
        <w:jc w:val="both"/>
        <w:rPr>
          <w:color w:val="000000"/>
        </w:rPr>
      </w:pPr>
    </w:p>
    <w:p w14:paraId="13D6C5A4" w14:textId="77777777" w:rsidR="005410EA" w:rsidRPr="005410EA" w:rsidRDefault="005410EA" w:rsidP="005410EA">
      <w:pPr>
        <w:pStyle w:val="NormalWeb"/>
        <w:spacing w:line="360" w:lineRule="auto"/>
        <w:ind w:firstLine="720"/>
        <w:jc w:val="both"/>
        <w:rPr>
          <w:color w:val="000000"/>
          <w:u w:val="single"/>
        </w:rPr>
      </w:pPr>
    </w:p>
    <w:p w14:paraId="41014BCE" w14:textId="60FA6E12" w:rsidR="004713A0" w:rsidRPr="005410EA" w:rsidRDefault="00007D17" w:rsidP="00BD6BF4">
      <w:pPr>
        <w:pStyle w:val="NormalWeb"/>
        <w:spacing w:line="360" w:lineRule="auto"/>
        <w:ind w:firstLine="720"/>
        <w:jc w:val="both"/>
        <w:rPr>
          <w:color w:val="000000"/>
          <w:u w:val="single"/>
        </w:rPr>
      </w:pPr>
      <w:r w:rsidRPr="005410EA">
        <w:rPr>
          <w:color w:val="000000"/>
          <w:u w:val="single"/>
        </w:rPr>
        <w:t xml:space="preserve"> </w:t>
      </w:r>
    </w:p>
    <w:p w14:paraId="41443CCE" w14:textId="77777777" w:rsidR="005937B2" w:rsidRPr="005937B2" w:rsidRDefault="005937B2" w:rsidP="006F7448">
      <w:pPr>
        <w:pStyle w:val="NormalWeb"/>
        <w:jc w:val="both"/>
        <w:rPr>
          <w:color w:val="000000"/>
        </w:rPr>
      </w:pPr>
    </w:p>
    <w:p w14:paraId="78ABD57A" w14:textId="77777777" w:rsidR="00703629" w:rsidRPr="006F7448" w:rsidRDefault="00703629" w:rsidP="00703629">
      <w:pPr>
        <w:jc w:val="both"/>
        <w:rPr>
          <w:rFonts w:ascii="Times New Roman" w:hAnsi="Times New Roman" w:cs="Times New Roman"/>
          <w:sz w:val="24"/>
          <w:szCs w:val="24"/>
        </w:rPr>
      </w:pPr>
    </w:p>
    <w:sectPr w:rsidR="00703629" w:rsidRPr="006F744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44DAE" w14:textId="77777777" w:rsidR="00F16850" w:rsidRDefault="00F16850" w:rsidP="0064170C">
      <w:pPr>
        <w:spacing w:after="0" w:line="240" w:lineRule="auto"/>
      </w:pPr>
      <w:r>
        <w:separator/>
      </w:r>
    </w:p>
  </w:endnote>
  <w:endnote w:type="continuationSeparator" w:id="0">
    <w:p w14:paraId="7DF0420B" w14:textId="77777777" w:rsidR="00F16850" w:rsidRDefault="00F16850" w:rsidP="00641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9D9D9" w14:textId="77777777" w:rsidR="00F16850" w:rsidRDefault="00F16850" w:rsidP="0064170C">
      <w:pPr>
        <w:spacing w:after="0" w:line="240" w:lineRule="auto"/>
      </w:pPr>
      <w:r>
        <w:separator/>
      </w:r>
    </w:p>
  </w:footnote>
  <w:footnote w:type="continuationSeparator" w:id="0">
    <w:p w14:paraId="3876E827" w14:textId="77777777" w:rsidR="00F16850" w:rsidRDefault="00F16850" w:rsidP="0064170C">
      <w:pPr>
        <w:spacing w:after="0" w:line="240" w:lineRule="auto"/>
      </w:pPr>
      <w:r>
        <w:continuationSeparator/>
      </w:r>
    </w:p>
  </w:footnote>
  <w:footnote w:id="1">
    <w:p w14:paraId="344F6017" w14:textId="4901D1EA" w:rsidR="004749F5" w:rsidRPr="00396516" w:rsidRDefault="004749F5">
      <w:pPr>
        <w:pStyle w:val="FootnoteText"/>
      </w:pPr>
      <w:r>
        <w:rPr>
          <w:rStyle w:val="FootnoteReference"/>
        </w:rPr>
        <w:footnoteRef/>
      </w:r>
      <w:r>
        <w:t xml:space="preserve"> William of Malmesbury,</w:t>
      </w:r>
      <w:r w:rsidR="005B758E">
        <w:t xml:space="preserve"> </w:t>
      </w:r>
      <w:r w:rsidR="005B758E">
        <w:rPr>
          <w:i/>
          <w:iCs/>
        </w:rPr>
        <w:t>Gesta Regu</w:t>
      </w:r>
      <w:r w:rsidR="00057C2F">
        <w:rPr>
          <w:i/>
          <w:iCs/>
        </w:rPr>
        <w:t>m Anglorum</w:t>
      </w:r>
      <w:r w:rsidR="00396516">
        <w:t>, thought to have been written c.1125.</w:t>
      </w:r>
    </w:p>
  </w:footnote>
  <w:footnote w:id="2">
    <w:p w14:paraId="155CAB6A" w14:textId="6EAAC6CD" w:rsidR="0064170C" w:rsidRPr="0064170C" w:rsidRDefault="0064170C">
      <w:pPr>
        <w:pStyle w:val="FootnoteText"/>
        <w:rPr>
          <w:lang w:val="en-US"/>
        </w:rPr>
      </w:pPr>
      <w:r>
        <w:rPr>
          <w:rStyle w:val="FootnoteReference"/>
        </w:rPr>
        <w:footnoteRef/>
      </w:r>
      <w:r w:rsidR="00A63DA4">
        <w:rPr>
          <w:rFonts w:ascii="Tahoma" w:hAnsi="Tahoma" w:cs="Tahoma"/>
          <w:color w:val="000000"/>
          <w:sz w:val="18"/>
          <w:szCs w:val="18"/>
        </w:rPr>
        <w:t xml:space="preserve"> James Harvey Robinson, ed., </w:t>
      </w:r>
      <w:r w:rsidR="00A63DA4">
        <w:rPr>
          <w:rFonts w:ascii="Tahoma" w:hAnsi="Tahoma" w:cs="Tahoma"/>
          <w:i/>
          <w:iCs/>
          <w:color w:val="000000"/>
          <w:sz w:val="18"/>
          <w:szCs w:val="18"/>
        </w:rPr>
        <w:t>Readings in European History, </w:t>
      </w:r>
      <w:r w:rsidR="00A63DA4">
        <w:rPr>
          <w:rFonts w:ascii="Tahoma" w:hAnsi="Tahoma" w:cs="Tahoma"/>
          <w:color w:val="000000"/>
          <w:sz w:val="18"/>
          <w:szCs w:val="18"/>
        </w:rPr>
        <w:t>2 Vols.</w:t>
      </w:r>
      <w:r w:rsidR="00A63DA4">
        <w:rPr>
          <w:rFonts w:ascii="Tahoma" w:hAnsi="Tahoma" w:cs="Tahoma"/>
          <w:i/>
          <w:iCs/>
          <w:color w:val="000000"/>
          <w:sz w:val="18"/>
          <w:szCs w:val="18"/>
        </w:rPr>
        <w:t> (</w:t>
      </w:r>
      <w:r w:rsidR="00A63DA4">
        <w:rPr>
          <w:rFonts w:ascii="Tahoma" w:hAnsi="Tahoma" w:cs="Tahoma"/>
          <w:color w:val="000000"/>
          <w:sz w:val="18"/>
          <w:szCs w:val="18"/>
        </w:rPr>
        <w:t>Boston: Ginn &amp; Co., 1904-06), Vol. I: </w:t>
      </w:r>
      <w:r w:rsidR="00A63DA4">
        <w:rPr>
          <w:rFonts w:ascii="Tahoma" w:hAnsi="Tahoma" w:cs="Tahoma"/>
          <w:i/>
          <w:iCs/>
          <w:color w:val="000000"/>
          <w:sz w:val="18"/>
          <w:szCs w:val="18"/>
        </w:rPr>
        <w:t>From the Breaking up of the Roman Empire to the Protestant Revolt</w:t>
      </w:r>
      <w:r w:rsidR="00A63DA4">
        <w:rPr>
          <w:rFonts w:ascii="Tahoma" w:hAnsi="Tahoma" w:cs="Tahoma"/>
          <w:color w:val="000000"/>
          <w:sz w:val="18"/>
          <w:szCs w:val="18"/>
        </w:rPr>
        <w:t>, pp. 224-229</w:t>
      </w:r>
      <w:r w:rsidR="00A63DA4">
        <w:t xml:space="preserve">. </w:t>
      </w:r>
      <w:r w:rsidR="00F102FF">
        <w:rPr>
          <w:rFonts w:ascii="Tahoma" w:hAnsi="Tahoma" w:cs="Tahoma"/>
          <w:color w:val="000000"/>
          <w:sz w:val="18"/>
          <w:szCs w:val="18"/>
        </w:rPr>
        <w:t xml:space="preserve">Scanned in and modernized by Dr. Jerome S. Arkenberg, Dept. of History, Cal. State Fullerton. </w:t>
      </w:r>
      <w:r w:rsidR="00BF205C">
        <w:rPr>
          <w:rFonts w:ascii="Tahoma" w:hAnsi="Tahoma" w:cs="Tahoma"/>
          <w:color w:val="000000"/>
          <w:sz w:val="18"/>
          <w:szCs w:val="18"/>
        </w:rPr>
        <w:t>The Internet Medieval Sour</w:t>
      </w:r>
      <w:r w:rsidR="00CC4C3D">
        <w:rPr>
          <w:rFonts w:ascii="Tahoma" w:hAnsi="Tahoma" w:cs="Tahoma"/>
          <w:color w:val="000000"/>
          <w:sz w:val="18"/>
          <w:szCs w:val="18"/>
        </w:rPr>
        <w:t>cebook,</w:t>
      </w:r>
      <w:r w:rsidR="00485383">
        <w:rPr>
          <w:rFonts w:ascii="Tahoma" w:hAnsi="Tahoma" w:cs="Tahoma"/>
          <w:color w:val="000000"/>
          <w:sz w:val="18"/>
          <w:szCs w:val="18"/>
        </w:rPr>
        <w:t xml:space="preserve"> </w:t>
      </w:r>
      <w:hyperlink r:id="rId1" w:history="1">
        <w:r w:rsidR="00625BDA" w:rsidRPr="002C2BE2">
          <w:rPr>
            <w:rStyle w:val="Hyperlink"/>
            <w:rFonts w:ascii="Tahoma" w:hAnsi="Tahoma" w:cs="Tahoma"/>
            <w:sz w:val="18"/>
            <w:szCs w:val="18"/>
          </w:rPr>
          <w:t>https://sourcebooks.fordham.edu/source/1066malmesbury.asp</w:t>
        </w:r>
      </w:hyperlink>
      <w:r w:rsidR="00625BDA">
        <w:rPr>
          <w:rFonts w:ascii="Tahoma" w:hAnsi="Tahoma" w:cs="Tahoma"/>
          <w:color w:val="000000"/>
          <w:sz w:val="18"/>
          <w:szCs w:val="18"/>
        </w:rPr>
        <w:t xml:space="preserve">. </w:t>
      </w:r>
      <w:r w:rsidR="00205B93">
        <w:rPr>
          <w:rFonts w:ascii="Tahoma" w:hAnsi="Tahoma" w:cs="Tahoma"/>
          <w:color w:val="000000"/>
          <w:sz w:val="18"/>
          <w:szCs w:val="18"/>
        </w:rPr>
        <w:t>d</w:t>
      </w:r>
      <w:r w:rsidR="00EB219D">
        <w:rPr>
          <w:rFonts w:ascii="Tahoma" w:hAnsi="Tahoma" w:cs="Tahoma"/>
          <w:color w:val="000000"/>
          <w:sz w:val="18"/>
          <w:szCs w:val="18"/>
        </w:rPr>
        <w:t>.</w:t>
      </w:r>
      <w:r w:rsidR="00F67F70">
        <w:rPr>
          <w:rFonts w:ascii="Tahoma" w:hAnsi="Tahoma" w:cs="Tahoma"/>
          <w:color w:val="000000"/>
          <w:sz w:val="18"/>
          <w:szCs w:val="18"/>
        </w:rPr>
        <w:t>o</w:t>
      </w:r>
      <w:r w:rsidR="00EB219D">
        <w:rPr>
          <w:rFonts w:ascii="Tahoma" w:hAnsi="Tahoma" w:cs="Tahoma"/>
          <w:color w:val="000000"/>
          <w:sz w:val="18"/>
          <w:szCs w:val="18"/>
        </w:rPr>
        <w:t>.</w:t>
      </w:r>
      <w:r w:rsidR="00F67F70">
        <w:rPr>
          <w:rFonts w:ascii="Tahoma" w:hAnsi="Tahoma" w:cs="Tahoma"/>
          <w:color w:val="000000"/>
          <w:sz w:val="18"/>
          <w:szCs w:val="18"/>
        </w:rPr>
        <w:t>a</w:t>
      </w:r>
      <w:r w:rsidR="00EB219D">
        <w:rPr>
          <w:rFonts w:ascii="Tahoma" w:hAnsi="Tahoma" w:cs="Tahoma"/>
          <w:color w:val="000000"/>
          <w:sz w:val="18"/>
          <w:szCs w:val="18"/>
        </w:rPr>
        <w:t>.,</w:t>
      </w:r>
      <w:r w:rsidR="00F67F70">
        <w:rPr>
          <w:rFonts w:ascii="Tahoma" w:hAnsi="Tahoma" w:cs="Tahoma"/>
          <w:color w:val="000000"/>
          <w:sz w:val="18"/>
          <w:szCs w:val="18"/>
        </w:rPr>
        <w:t xml:space="preserve"> 18/11/2025.</w:t>
      </w:r>
    </w:p>
  </w:footnote>
  <w:footnote w:id="3">
    <w:p w14:paraId="3B8B8BA6" w14:textId="7CFC21D9" w:rsidR="008F13AC" w:rsidRPr="00BB6E7B" w:rsidRDefault="008F13AC">
      <w:pPr>
        <w:pStyle w:val="FootnoteText"/>
        <w:rPr>
          <w:lang w:val="en-US"/>
        </w:rPr>
      </w:pPr>
      <w:r>
        <w:rPr>
          <w:rStyle w:val="FootnoteReference"/>
        </w:rPr>
        <w:footnoteRef/>
      </w:r>
      <w:r>
        <w:t xml:space="preserve"> </w:t>
      </w:r>
      <w:r>
        <w:rPr>
          <w:lang w:val="en-US"/>
        </w:rPr>
        <w:t>‘William sought to show English history moved according to centuries</w:t>
      </w:r>
      <w:r w:rsidR="00B56602">
        <w:rPr>
          <w:lang w:val="en-US"/>
        </w:rPr>
        <w:t>-long teleological development ordained by God, in which the English advanced</w:t>
      </w:r>
      <w:r w:rsidR="00A50BA2">
        <w:rPr>
          <w:lang w:val="en-US"/>
        </w:rPr>
        <w:t xml:space="preserve"> towards greater political and moral union as a nation, </w:t>
      </w:r>
      <w:r w:rsidR="00625F61">
        <w:rPr>
          <w:lang w:val="en-US"/>
        </w:rPr>
        <w:t>as well as spiritual unity with the Divinity’. Sigbj</w:t>
      </w:r>
      <w:r w:rsidR="00625F61">
        <w:rPr>
          <w:rFonts w:cstheme="minorHAnsi"/>
          <w:lang w:val="en-US"/>
        </w:rPr>
        <w:t>ø</w:t>
      </w:r>
      <w:r w:rsidR="00E80446">
        <w:rPr>
          <w:lang w:val="en-US"/>
        </w:rPr>
        <w:t>rn S</w:t>
      </w:r>
      <w:r w:rsidR="00E80446">
        <w:rPr>
          <w:rFonts w:cstheme="minorHAnsi"/>
          <w:lang w:val="en-US"/>
        </w:rPr>
        <w:t>ø</w:t>
      </w:r>
      <w:r w:rsidR="00E80446">
        <w:rPr>
          <w:lang w:val="en-US"/>
        </w:rPr>
        <w:t xml:space="preserve">nnesyn, </w:t>
      </w:r>
      <w:r w:rsidR="00BB6E7B">
        <w:rPr>
          <w:i/>
          <w:iCs/>
          <w:lang w:val="en-US"/>
        </w:rPr>
        <w:t xml:space="preserve">William of Malmesbury and the </w:t>
      </w:r>
      <w:r w:rsidR="001C4B4C">
        <w:rPr>
          <w:i/>
          <w:iCs/>
          <w:lang w:val="en-US"/>
        </w:rPr>
        <w:t>Ethics</w:t>
      </w:r>
      <w:r w:rsidR="00BB6E7B">
        <w:rPr>
          <w:i/>
          <w:iCs/>
          <w:lang w:val="en-US"/>
        </w:rPr>
        <w:t xml:space="preserve"> of History, </w:t>
      </w:r>
      <w:r w:rsidR="00F141DA">
        <w:rPr>
          <w:lang w:val="en-US"/>
        </w:rPr>
        <w:t>(</w:t>
      </w:r>
      <w:r w:rsidR="00BB6E7B">
        <w:rPr>
          <w:lang w:val="en-US"/>
        </w:rPr>
        <w:t>Boydell</w:t>
      </w:r>
      <w:r w:rsidR="00F141DA">
        <w:rPr>
          <w:lang w:val="en-US"/>
        </w:rPr>
        <w:t xml:space="preserve"> Press, 2012), </w:t>
      </w:r>
      <w:r w:rsidR="00206CDA">
        <w:rPr>
          <w:lang w:val="en-US"/>
        </w:rPr>
        <w:t xml:space="preserve">p.77. </w:t>
      </w:r>
      <w:r w:rsidR="004652F4">
        <w:rPr>
          <w:lang w:val="en-US"/>
        </w:rPr>
        <w:t xml:space="preserve">See chapter 4 for an in-depth discussion of this idea. </w:t>
      </w:r>
    </w:p>
  </w:footnote>
  <w:footnote w:id="4">
    <w:p w14:paraId="7DD6E6F9" w14:textId="2C4AB261" w:rsidR="008443AF" w:rsidRPr="007C57C7" w:rsidRDefault="008443AF">
      <w:pPr>
        <w:pStyle w:val="FootnoteText"/>
        <w:rPr>
          <w:lang w:val="en-US"/>
        </w:rPr>
      </w:pPr>
      <w:r>
        <w:rPr>
          <w:rStyle w:val="FootnoteReference"/>
        </w:rPr>
        <w:footnoteRef/>
      </w:r>
      <w:r w:rsidR="008A6516">
        <w:t xml:space="preserve"> Ryan Kemp,</w:t>
      </w:r>
      <w:r>
        <w:t xml:space="preserve"> </w:t>
      </w:r>
      <w:r>
        <w:rPr>
          <w:lang w:val="en-US"/>
        </w:rPr>
        <w:t>‘Advising the King: Kingship, Bishops</w:t>
      </w:r>
      <w:r w:rsidR="00F40D5D">
        <w:rPr>
          <w:lang w:val="en-US"/>
        </w:rPr>
        <w:t xml:space="preserve"> and Saints in the Works of William of Malmesbury</w:t>
      </w:r>
      <w:r w:rsidR="0054067E">
        <w:rPr>
          <w:lang w:val="en-US"/>
        </w:rPr>
        <w:t xml:space="preserve">’, in </w:t>
      </w:r>
      <w:r w:rsidR="0054067E">
        <w:rPr>
          <w:i/>
          <w:iCs/>
          <w:lang w:val="en-US"/>
        </w:rPr>
        <w:t>Discovering William of Malmesbury</w:t>
      </w:r>
      <w:r w:rsidR="007C57C7">
        <w:rPr>
          <w:lang w:val="en-US"/>
        </w:rPr>
        <w:t>, Rodney M. Thomson, Emily Dolmans and Emily Winkler (eds)</w:t>
      </w:r>
      <w:r w:rsidR="00832518">
        <w:rPr>
          <w:lang w:val="en-US"/>
        </w:rPr>
        <w:t>,</w:t>
      </w:r>
      <w:r w:rsidR="007F69C9">
        <w:rPr>
          <w:lang w:val="en-US"/>
        </w:rPr>
        <w:t xml:space="preserve"> </w:t>
      </w:r>
      <w:r w:rsidR="00832518">
        <w:rPr>
          <w:lang w:val="en-US"/>
        </w:rPr>
        <w:t xml:space="preserve">(Boydell Press, </w:t>
      </w:r>
      <w:r w:rsidR="000D47A1">
        <w:rPr>
          <w:lang w:val="en-US"/>
        </w:rPr>
        <w:t>2017), pp. 65-79, p. 65.</w:t>
      </w:r>
    </w:p>
  </w:footnote>
  <w:footnote w:id="5">
    <w:p w14:paraId="1F5E3817" w14:textId="393EA1F4" w:rsidR="00AE4845" w:rsidRPr="00AE4845" w:rsidRDefault="00AE4845">
      <w:pPr>
        <w:pStyle w:val="FootnoteText"/>
      </w:pPr>
      <w:r>
        <w:rPr>
          <w:rStyle w:val="FootnoteReference"/>
        </w:rPr>
        <w:footnoteRef/>
      </w:r>
      <w:r>
        <w:t xml:space="preserve"> </w:t>
      </w:r>
      <w:r w:rsidR="00AD0C13">
        <w:t>William may have change</w:t>
      </w:r>
      <w:r w:rsidR="00763F0E">
        <w:t>d</w:t>
      </w:r>
      <w:r w:rsidR="00AD0C13">
        <w:t xml:space="preserve"> his opinions concerning certain individuals referenced in his work, </w:t>
      </w:r>
      <w:r w:rsidR="00EA5C9F">
        <w:t>further research or</w:t>
      </w:r>
      <w:r w:rsidR="00763F0E">
        <w:t>,</w:t>
      </w:r>
      <w:r w:rsidR="00EA5C9F">
        <w:t xml:space="preserve"> a more pragmatic approach to the reaction of his patrons</w:t>
      </w:r>
      <w:r w:rsidR="00763F0E">
        <w:t xml:space="preserve">. </w:t>
      </w:r>
      <w:r w:rsidR="00F073FE">
        <w:t>Age may also have played a part in his</w:t>
      </w:r>
      <w:r w:rsidR="00D53148">
        <w:t xml:space="preserve"> change of</w:t>
      </w:r>
      <w:r w:rsidR="00F073FE">
        <w:t xml:space="preserve"> perception </w:t>
      </w:r>
      <w:r w:rsidR="00D53148">
        <w:t>concerning</w:t>
      </w:r>
      <w:r w:rsidR="00F073FE">
        <w:t xml:space="preserve"> his portrayal of events</w:t>
      </w:r>
      <w:r w:rsidR="00C76E8C">
        <w:t>, especially of the Norman invasion when hindsight</w:t>
      </w:r>
      <w:r w:rsidR="00F16D81">
        <w:t xml:space="preserve"> would have</w:t>
      </w:r>
      <w:r w:rsidR="00C505C3">
        <w:t xml:space="preserve"> allowed him to make a </w:t>
      </w:r>
      <w:r w:rsidR="00FF020D">
        <w:t>better-informed</w:t>
      </w:r>
      <w:r w:rsidR="00C505C3">
        <w:t xml:space="preserve"> assessment of its impact</w:t>
      </w:r>
      <w:r w:rsidR="00F16D81">
        <w:t>.</w:t>
      </w:r>
    </w:p>
  </w:footnote>
  <w:footnote w:id="6">
    <w:p w14:paraId="7A76E813" w14:textId="1F8D8A29" w:rsidR="000C571B" w:rsidRPr="00560291" w:rsidRDefault="000C571B">
      <w:pPr>
        <w:pStyle w:val="FootnoteText"/>
        <w:rPr>
          <w:lang w:val="en-US"/>
        </w:rPr>
      </w:pPr>
      <w:r>
        <w:rPr>
          <w:rStyle w:val="FootnoteReference"/>
        </w:rPr>
        <w:footnoteRef/>
      </w:r>
      <w:r>
        <w:t xml:space="preserve"> </w:t>
      </w:r>
      <w:r>
        <w:rPr>
          <w:lang w:val="en-US"/>
        </w:rPr>
        <w:t>Antonia Gran</w:t>
      </w:r>
      <w:r w:rsidR="003F4490">
        <w:rPr>
          <w:lang w:val="en-US"/>
        </w:rPr>
        <w:t xml:space="preserve">sden, </w:t>
      </w:r>
      <w:r w:rsidR="003F4490">
        <w:rPr>
          <w:i/>
          <w:iCs/>
          <w:lang w:val="en-US"/>
        </w:rPr>
        <w:t>Historical Writing in England: c.</w:t>
      </w:r>
      <w:r w:rsidR="00560291">
        <w:rPr>
          <w:i/>
          <w:iCs/>
          <w:lang w:val="en-US"/>
        </w:rPr>
        <w:t xml:space="preserve"> </w:t>
      </w:r>
      <w:r w:rsidR="003F4490">
        <w:rPr>
          <w:i/>
          <w:iCs/>
          <w:lang w:val="en-US"/>
        </w:rPr>
        <w:t>550-</w:t>
      </w:r>
      <w:r w:rsidR="00560291">
        <w:rPr>
          <w:i/>
          <w:iCs/>
          <w:lang w:val="en-US"/>
        </w:rPr>
        <w:t xml:space="preserve"> c. 1307</w:t>
      </w:r>
      <w:r w:rsidR="00560291">
        <w:rPr>
          <w:lang w:val="en-US"/>
        </w:rPr>
        <w:t>, (Routledge &amp; Kegan Paul, 1974), p.167.</w:t>
      </w:r>
    </w:p>
  </w:footnote>
  <w:footnote w:id="7">
    <w:p w14:paraId="098A0E17" w14:textId="70726B7E" w:rsidR="00F715D7" w:rsidRPr="00493913" w:rsidRDefault="00F715D7">
      <w:pPr>
        <w:pStyle w:val="FootnoteText"/>
      </w:pPr>
      <w:r>
        <w:rPr>
          <w:rStyle w:val="FootnoteReference"/>
        </w:rPr>
        <w:footnoteRef/>
      </w:r>
      <w:r w:rsidR="00A25F09">
        <w:t>Paul Hayward</w:t>
      </w:r>
      <w:r w:rsidR="00213847">
        <w:t xml:space="preserve">, ‘St Wilfred of Ripon and the Norman </w:t>
      </w:r>
      <w:r w:rsidR="006D481F">
        <w:t xml:space="preserve">Church in Anglo-Norman </w:t>
      </w:r>
      <w:r w:rsidR="006C7C5D">
        <w:t>Hist</w:t>
      </w:r>
      <w:r w:rsidR="00F433E5">
        <w:t>o</w:t>
      </w:r>
      <w:r w:rsidR="006C7C5D">
        <w:t>riography</w:t>
      </w:r>
      <w:r w:rsidR="004D4DCD">
        <w:t xml:space="preserve">’, </w:t>
      </w:r>
      <w:r w:rsidR="004D4DCD">
        <w:rPr>
          <w:i/>
          <w:iCs/>
        </w:rPr>
        <w:t>Northern History</w:t>
      </w:r>
      <w:r w:rsidR="004D4DCD">
        <w:t xml:space="preserve"> 49</w:t>
      </w:r>
      <w:r w:rsidR="006C7C5D">
        <w:t xml:space="preserve"> (2012) quoted </w:t>
      </w:r>
      <w:r w:rsidR="00A87C77">
        <w:t>by</w:t>
      </w:r>
      <w:r>
        <w:t xml:space="preserve"> Emily Joan Ward, ‘</w:t>
      </w:r>
      <w:r w:rsidR="00493913">
        <w:rPr>
          <w:i/>
          <w:iCs/>
        </w:rPr>
        <w:t>Verax Historicus Bede</w:t>
      </w:r>
      <w:r w:rsidR="00493913">
        <w:t xml:space="preserve">: William of Malmesbury, Bede and </w:t>
      </w:r>
      <w:r w:rsidR="00F345F9">
        <w:t>Historia’ in</w:t>
      </w:r>
      <w:r w:rsidR="008A6516">
        <w:t xml:space="preserve"> </w:t>
      </w:r>
      <w:r w:rsidR="00E73B4F">
        <w:rPr>
          <w:i/>
          <w:iCs/>
        </w:rPr>
        <w:t xml:space="preserve">Discovering William of Malmesbury, </w:t>
      </w:r>
      <w:r w:rsidR="007D68E3">
        <w:t xml:space="preserve">Rodney M. Thomson, </w:t>
      </w:r>
      <w:r w:rsidR="00F43F83">
        <w:t xml:space="preserve">Emily Dolmans and Emily A. Winkler (eds), (The Boydell Press, </w:t>
      </w:r>
      <w:r w:rsidR="008E121D">
        <w:t xml:space="preserve">2017), pp. 175-187, p. </w:t>
      </w:r>
      <w:r w:rsidR="00C462CD">
        <w:t>181</w:t>
      </w:r>
      <w:r w:rsidR="00F345F9">
        <w:t xml:space="preserve"> </w:t>
      </w:r>
    </w:p>
  </w:footnote>
  <w:footnote w:id="8">
    <w:p w14:paraId="192164B4" w14:textId="1C4CDA8E" w:rsidR="00471127" w:rsidRPr="00BC703D" w:rsidRDefault="00471127">
      <w:pPr>
        <w:pStyle w:val="FootnoteText"/>
        <w:rPr>
          <w:lang w:val="en-US"/>
        </w:rPr>
      </w:pPr>
      <w:r>
        <w:rPr>
          <w:rStyle w:val="FootnoteReference"/>
        </w:rPr>
        <w:footnoteRef/>
      </w:r>
      <w:r>
        <w:t xml:space="preserve"> </w:t>
      </w:r>
      <w:r>
        <w:rPr>
          <w:lang w:val="en-US"/>
        </w:rPr>
        <w:t xml:space="preserve">Chris Given-Wilson, </w:t>
      </w:r>
      <w:r>
        <w:rPr>
          <w:i/>
          <w:iCs/>
          <w:lang w:val="en-US"/>
        </w:rPr>
        <w:t>Chronicles:</w:t>
      </w:r>
      <w:r w:rsidR="00BC703D">
        <w:rPr>
          <w:i/>
          <w:iCs/>
          <w:lang w:val="en-US"/>
        </w:rPr>
        <w:t xml:space="preserve"> The Writing of History in Medieval England.</w:t>
      </w:r>
      <w:r w:rsidR="00BC703D">
        <w:rPr>
          <w:lang w:val="en-US"/>
        </w:rPr>
        <w:t xml:space="preserve"> (Hambledon</w:t>
      </w:r>
      <w:r w:rsidR="006F658A">
        <w:rPr>
          <w:lang w:val="en-US"/>
        </w:rPr>
        <w:t xml:space="preserve"> &amp; London, 2004), p. 180.</w:t>
      </w:r>
    </w:p>
  </w:footnote>
  <w:footnote w:id="9">
    <w:p w14:paraId="23D1437B" w14:textId="1764819A" w:rsidR="00AC5095" w:rsidRPr="00E854BA" w:rsidRDefault="00AC5095">
      <w:pPr>
        <w:pStyle w:val="FootnoteText"/>
      </w:pPr>
      <w:r>
        <w:rPr>
          <w:rStyle w:val="FootnoteReference"/>
        </w:rPr>
        <w:footnoteRef/>
      </w:r>
      <w:r>
        <w:t xml:space="preserve"> </w:t>
      </w:r>
      <w:r w:rsidR="00834DE7">
        <w:t>Emily A. Winkler</w:t>
      </w:r>
      <w:r w:rsidR="00A75059">
        <w:t xml:space="preserve"> has stated that scholarship</w:t>
      </w:r>
      <w:r w:rsidR="000B742C">
        <w:t xml:space="preserve"> investigating</w:t>
      </w:r>
      <w:r w:rsidR="006048D5">
        <w:t xml:space="preserve"> William’s </w:t>
      </w:r>
      <w:r w:rsidR="00D12504">
        <w:t xml:space="preserve">goal </w:t>
      </w:r>
      <w:r w:rsidR="008F0BA9">
        <w:t xml:space="preserve">in the writing of his </w:t>
      </w:r>
      <w:r w:rsidR="008F0BA9">
        <w:rPr>
          <w:i/>
          <w:iCs/>
        </w:rPr>
        <w:t>Gesta Regum</w:t>
      </w:r>
      <w:r w:rsidR="00C55D25">
        <w:t xml:space="preserve"> was </w:t>
      </w:r>
      <w:r w:rsidR="000B742C">
        <w:t xml:space="preserve">to </w:t>
      </w:r>
      <w:r w:rsidR="006F6509">
        <w:t>‘tell a story of improvement from barbarism to civilization’</w:t>
      </w:r>
      <w:r w:rsidR="00642867">
        <w:t xml:space="preserve">, </w:t>
      </w:r>
      <w:r w:rsidR="00E0738F">
        <w:t xml:space="preserve">‘William of Malmesbury and the Britons’ in </w:t>
      </w:r>
      <w:r w:rsidR="00E854BA">
        <w:rPr>
          <w:i/>
          <w:iCs/>
        </w:rPr>
        <w:t>Discovering William of Malmesbury</w:t>
      </w:r>
      <w:r w:rsidR="00E854BA">
        <w:t>, Rodney M. Thomson</w:t>
      </w:r>
      <w:r w:rsidR="00345B8B">
        <w:t xml:space="preserve">, Emily Dolmans and Emily A. Winkler (eds)., (The Boydell Press, </w:t>
      </w:r>
      <w:r w:rsidR="00B00C2D">
        <w:t>2017), pp. 189-202, p.190.</w:t>
      </w:r>
    </w:p>
  </w:footnote>
  <w:footnote w:id="10">
    <w:p w14:paraId="15E41983" w14:textId="0102C312" w:rsidR="004C791C" w:rsidRPr="00807757" w:rsidRDefault="004C791C">
      <w:pPr>
        <w:pStyle w:val="FootnoteText"/>
        <w:rPr>
          <w:lang w:val="en-US"/>
        </w:rPr>
      </w:pPr>
      <w:r>
        <w:rPr>
          <w:rStyle w:val="FootnoteReference"/>
        </w:rPr>
        <w:footnoteRef/>
      </w:r>
      <w:r>
        <w:t xml:space="preserve"> </w:t>
      </w:r>
      <w:r>
        <w:rPr>
          <w:lang w:val="en-US"/>
        </w:rPr>
        <w:t xml:space="preserve">Chris Given-Wilson, </w:t>
      </w:r>
      <w:r>
        <w:rPr>
          <w:i/>
          <w:iCs/>
          <w:lang w:val="en-US"/>
        </w:rPr>
        <w:t>Chronic</w:t>
      </w:r>
      <w:r w:rsidR="009C27C8">
        <w:rPr>
          <w:i/>
          <w:iCs/>
          <w:lang w:val="en-US"/>
        </w:rPr>
        <w:t>le</w:t>
      </w:r>
      <w:r>
        <w:rPr>
          <w:i/>
          <w:iCs/>
          <w:lang w:val="en-US"/>
        </w:rPr>
        <w:t>s</w:t>
      </w:r>
      <w:r w:rsidR="00807757">
        <w:rPr>
          <w:i/>
          <w:iCs/>
          <w:lang w:val="en-US"/>
        </w:rPr>
        <w:t xml:space="preserve">, </w:t>
      </w:r>
      <w:r w:rsidR="00807757">
        <w:rPr>
          <w:lang w:val="en-US"/>
        </w:rPr>
        <w:t>p. 158.</w:t>
      </w:r>
    </w:p>
  </w:footnote>
  <w:footnote w:id="11">
    <w:p w14:paraId="0A55A00C" w14:textId="38AF37C2" w:rsidR="003F57A0" w:rsidRPr="003F57A0" w:rsidRDefault="003F57A0">
      <w:pPr>
        <w:pStyle w:val="FootnoteText"/>
        <w:rPr>
          <w:lang w:val="en-US"/>
        </w:rPr>
      </w:pPr>
      <w:r>
        <w:rPr>
          <w:rStyle w:val="FootnoteReference"/>
        </w:rPr>
        <w:footnoteRef/>
      </w:r>
      <w:r>
        <w:t xml:space="preserve"> </w:t>
      </w:r>
      <w:r>
        <w:rPr>
          <w:lang w:val="en-US"/>
        </w:rPr>
        <w:t>In chapter nineteen, Bede</w:t>
      </w:r>
      <w:r w:rsidR="00AD57D7">
        <w:rPr>
          <w:lang w:val="en-US"/>
        </w:rPr>
        <w:t xml:space="preserve"> writes of Coenred, King of the Mercians</w:t>
      </w:r>
      <w:r w:rsidR="00170EB9">
        <w:rPr>
          <w:lang w:val="en-US"/>
        </w:rPr>
        <w:t xml:space="preserve">, and Offa, King of the East Saxons. </w:t>
      </w:r>
      <w:r w:rsidR="00E409D5">
        <w:rPr>
          <w:lang w:val="en-US"/>
        </w:rPr>
        <w:t>‘[Coenred] resigned</w:t>
      </w:r>
      <w:r w:rsidR="00423EF4">
        <w:rPr>
          <w:lang w:val="en-US"/>
        </w:rPr>
        <w:t xml:space="preserve"> his kingly sceptre… </w:t>
      </w:r>
      <w:r w:rsidR="006D5BEE">
        <w:rPr>
          <w:lang w:val="en-US"/>
        </w:rPr>
        <w:t>[</w:t>
      </w:r>
      <w:r w:rsidR="00A546C5">
        <w:rPr>
          <w:lang w:val="en-US"/>
        </w:rPr>
        <w:t>and</w:t>
      </w:r>
      <w:r w:rsidR="006D5BEE">
        <w:rPr>
          <w:lang w:val="en-US"/>
        </w:rPr>
        <w:t>]</w:t>
      </w:r>
      <w:r w:rsidR="00A546C5">
        <w:rPr>
          <w:lang w:val="en-US"/>
        </w:rPr>
        <w:t xml:space="preserve"> went</w:t>
      </w:r>
      <w:r w:rsidR="006D5BEE">
        <w:rPr>
          <w:lang w:val="en-US"/>
        </w:rPr>
        <w:t xml:space="preserve"> to Rome, received the tonsure</w:t>
      </w:r>
      <w:r w:rsidR="00B707FD">
        <w:rPr>
          <w:lang w:val="en-US"/>
        </w:rPr>
        <w:t>, and became a monk at the shrine of the Apostles, passing the remainder of his days in prayer</w:t>
      </w:r>
      <w:r w:rsidR="009F4F3F">
        <w:rPr>
          <w:lang w:val="en-US"/>
        </w:rPr>
        <w:t xml:space="preserve">, fasting and acts of mercy. </w:t>
      </w:r>
      <w:r w:rsidR="003209CB">
        <w:rPr>
          <w:lang w:val="en-US"/>
        </w:rPr>
        <w:t xml:space="preserve">Offa…fired by </w:t>
      </w:r>
      <w:r w:rsidR="000F131C">
        <w:rPr>
          <w:lang w:val="en-US"/>
        </w:rPr>
        <w:t>an equal ardour, left his wife, lands, family</w:t>
      </w:r>
      <w:r w:rsidR="002564BB">
        <w:rPr>
          <w:lang w:val="en-US"/>
        </w:rPr>
        <w:t xml:space="preserve">, and country for the sake of Christ and his Gospel… . </w:t>
      </w:r>
      <w:r w:rsidR="00D244D8">
        <w:rPr>
          <w:lang w:val="en-US"/>
        </w:rPr>
        <w:t>He received the tonsure, entered upon the monastic life, and at last attained</w:t>
      </w:r>
      <w:r w:rsidR="0081275D">
        <w:rPr>
          <w:lang w:val="en-US"/>
        </w:rPr>
        <w:t xml:space="preserve"> the long-desired vision of the blessed Apostles in heaven</w:t>
      </w:r>
      <w:r w:rsidR="0014560C">
        <w:rPr>
          <w:lang w:val="en-US"/>
        </w:rPr>
        <w:t>’</w:t>
      </w:r>
      <w:r w:rsidR="0081275D">
        <w:rPr>
          <w:lang w:val="en-US"/>
        </w:rPr>
        <w:t xml:space="preserve">. </w:t>
      </w:r>
      <w:r w:rsidR="007535FE">
        <w:rPr>
          <w:lang w:val="en-US"/>
        </w:rPr>
        <w:t xml:space="preserve">Bede, </w:t>
      </w:r>
      <w:r w:rsidR="007535FE">
        <w:rPr>
          <w:i/>
          <w:iCs/>
          <w:lang w:val="en-US"/>
        </w:rPr>
        <w:t>A History of the English Church and People</w:t>
      </w:r>
      <w:r w:rsidR="007535FE">
        <w:rPr>
          <w:lang w:val="en-US"/>
        </w:rPr>
        <w:t xml:space="preserve">, </w:t>
      </w:r>
      <w:r w:rsidR="00E22ECD">
        <w:rPr>
          <w:lang w:val="en-US"/>
        </w:rPr>
        <w:t xml:space="preserve">(Penguin Books, 1968), p. </w:t>
      </w:r>
      <w:r w:rsidR="0014560C">
        <w:rPr>
          <w:lang w:val="en-US"/>
        </w:rPr>
        <w:t>305.</w:t>
      </w:r>
      <w:r w:rsidR="00E409D5">
        <w:rPr>
          <w:lang w:val="en-US"/>
        </w:rPr>
        <w:t xml:space="preserve"> </w:t>
      </w:r>
    </w:p>
  </w:footnote>
  <w:footnote w:id="12">
    <w:p w14:paraId="0ED57317" w14:textId="45BCAE62" w:rsidR="001C24CB" w:rsidRPr="008B4BDF" w:rsidRDefault="001C24CB">
      <w:pPr>
        <w:pStyle w:val="FootnoteText"/>
        <w:rPr>
          <w:lang w:val="en-US"/>
        </w:rPr>
      </w:pPr>
      <w:r>
        <w:rPr>
          <w:rStyle w:val="FootnoteReference"/>
        </w:rPr>
        <w:footnoteRef/>
      </w:r>
      <w:r>
        <w:t xml:space="preserve"> </w:t>
      </w:r>
      <w:r>
        <w:rPr>
          <w:lang w:val="en-US"/>
        </w:rPr>
        <w:t xml:space="preserve">Ryan Kemp, </w:t>
      </w:r>
      <w:r w:rsidR="007D68F5">
        <w:rPr>
          <w:lang w:val="en-US"/>
        </w:rPr>
        <w:t>‘Advising the King: Kingship, Bishops and Saints in the Works of William of Malmesbury</w:t>
      </w:r>
      <w:r w:rsidR="008B4BDF">
        <w:rPr>
          <w:lang w:val="en-US"/>
        </w:rPr>
        <w:t xml:space="preserve">’ in </w:t>
      </w:r>
      <w:r w:rsidR="008B4BDF">
        <w:rPr>
          <w:i/>
          <w:iCs/>
          <w:lang w:val="en-US"/>
        </w:rPr>
        <w:t>Discovering William of Malmesbury</w:t>
      </w:r>
      <w:r w:rsidR="008B4BDF">
        <w:rPr>
          <w:lang w:val="en-US"/>
        </w:rPr>
        <w:t>, p.</w:t>
      </w:r>
      <w:r w:rsidR="004C05B4">
        <w:rPr>
          <w:lang w:val="en-US"/>
        </w:rPr>
        <w:t>73.</w:t>
      </w:r>
      <w:r w:rsidR="00EB4A11">
        <w:rPr>
          <w:lang w:val="en-US"/>
        </w:rPr>
        <w:t xml:space="preserve"> </w:t>
      </w:r>
    </w:p>
  </w:footnote>
  <w:footnote w:id="13">
    <w:p w14:paraId="71C30D4A" w14:textId="4361548C" w:rsidR="00EA456D" w:rsidRPr="00DE4EF1" w:rsidRDefault="00EA456D">
      <w:pPr>
        <w:pStyle w:val="FootnoteText"/>
        <w:rPr>
          <w:lang w:val="en-US"/>
        </w:rPr>
      </w:pPr>
      <w:r>
        <w:rPr>
          <w:rStyle w:val="FootnoteReference"/>
        </w:rPr>
        <w:footnoteRef/>
      </w:r>
      <w:r>
        <w:t xml:space="preserve"> </w:t>
      </w:r>
      <w:r w:rsidR="00201520">
        <w:rPr>
          <w:lang w:val="en-US"/>
        </w:rPr>
        <w:t>R. M. Thomson</w:t>
      </w:r>
      <w:r w:rsidR="00DB2E84">
        <w:rPr>
          <w:lang w:val="en-US"/>
        </w:rPr>
        <w:t>, ‘William of Malmesbury’s anti-Norman</w:t>
      </w:r>
      <w:r w:rsidR="00472932">
        <w:rPr>
          <w:lang w:val="en-US"/>
        </w:rPr>
        <w:t xml:space="preserve"> diatribe’ in </w:t>
      </w:r>
      <w:r w:rsidR="00472932">
        <w:rPr>
          <w:i/>
          <w:iCs/>
          <w:lang w:val="en-US"/>
        </w:rPr>
        <w:t>The Long Twelfth-Century View</w:t>
      </w:r>
      <w:r w:rsidR="004C26E6">
        <w:rPr>
          <w:i/>
          <w:iCs/>
          <w:lang w:val="en-US"/>
        </w:rPr>
        <w:t xml:space="preserve"> of the Anglo-Saxon Past</w:t>
      </w:r>
      <w:r w:rsidR="00D74211">
        <w:rPr>
          <w:i/>
          <w:iCs/>
          <w:lang w:val="en-US"/>
        </w:rPr>
        <w:t>,</w:t>
      </w:r>
      <w:r w:rsidR="004C26E6">
        <w:rPr>
          <w:lang w:val="en-US"/>
        </w:rPr>
        <w:t xml:space="preserve"> Martin Brett and David A. Woodman (eds), (Routledge, 2015), </w:t>
      </w:r>
      <w:r w:rsidR="00D74211">
        <w:rPr>
          <w:i/>
          <w:iCs/>
          <w:lang w:val="en-US"/>
        </w:rPr>
        <w:t xml:space="preserve"> </w:t>
      </w:r>
      <w:r w:rsidR="00DE4EF1">
        <w:rPr>
          <w:lang w:val="en-US"/>
        </w:rPr>
        <w:t>pp.113-121, p. 114-115.</w:t>
      </w:r>
    </w:p>
  </w:footnote>
  <w:footnote w:id="14">
    <w:p w14:paraId="5EA612CE" w14:textId="5236F4A7" w:rsidR="0035395B" w:rsidRPr="00FA3581" w:rsidRDefault="0035395B">
      <w:pPr>
        <w:pStyle w:val="FootnoteText"/>
        <w:rPr>
          <w:lang w:val="en-US"/>
        </w:rPr>
      </w:pPr>
      <w:r>
        <w:rPr>
          <w:rStyle w:val="FootnoteReference"/>
        </w:rPr>
        <w:footnoteRef/>
      </w:r>
      <w:r>
        <w:t xml:space="preserve"> </w:t>
      </w:r>
      <w:r w:rsidR="00E75590">
        <w:rPr>
          <w:lang w:val="en-US"/>
        </w:rPr>
        <w:t>Emily A</w:t>
      </w:r>
      <w:r w:rsidR="00E41F7F">
        <w:rPr>
          <w:lang w:val="en-US"/>
        </w:rPr>
        <w:t>. Winkler and Emily Dolmans, ‘Discovering William of Malmesbury: The Man and his Works’</w:t>
      </w:r>
      <w:r w:rsidR="00FA3581">
        <w:rPr>
          <w:lang w:val="en-US"/>
        </w:rPr>
        <w:t xml:space="preserve"> in </w:t>
      </w:r>
      <w:r w:rsidR="00FA3581">
        <w:rPr>
          <w:i/>
          <w:iCs/>
          <w:lang w:val="en-US"/>
        </w:rPr>
        <w:t>Discovering William of Malmesbury</w:t>
      </w:r>
      <w:r w:rsidR="00FA3581">
        <w:rPr>
          <w:lang w:val="en-US"/>
        </w:rPr>
        <w:t>, p.5.</w:t>
      </w:r>
    </w:p>
  </w:footnote>
  <w:footnote w:id="15">
    <w:p w14:paraId="08FA3F02" w14:textId="382C1304" w:rsidR="00AC6940" w:rsidRPr="00647FE4" w:rsidRDefault="00AC6940">
      <w:pPr>
        <w:pStyle w:val="FootnoteText"/>
        <w:rPr>
          <w:lang w:val="en-US"/>
        </w:rPr>
      </w:pPr>
      <w:r>
        <w:rPr>
          <w:rStyle w:val="FootnoteReference"/>
        </w:rPr>
        <w:footnoteRef/>
      </w:r>
      <w:r>
        <w:t xml:space="preserve"> </w:t>
      </w:r>
      <w:r>
        <w:rPr>
          <w:lang w:val="en-US"/>
        </w:rPr>
        <w:t xml:space="preserve">Ryan Kemp, </w:t>
      </w:r>
      <w:r w:rsidR="00647FE4">
        <w:rPr>
          <w:lang w:val="en-US"/>
        </w:rPr>
        <w:t xml:space="preserve">‘Advising the King…’ in </w:t>
      </w:r>
      <w:r w:rsidR="00647FE4">
        <w:rPr>
          <w:i/>
          <w:iCs/>
          <w:lang w:val="en-US"/>
        </w:rPr>
        <w:t>Discovering William of Malmesbury</w:t>
      </w:r>
      <w:r w:rsidR="00647FE4">
        <w:rPr>
          <w:lang w:val="en-US"/>
        </w:rPr>
        <w:t xml:space="preserve">, p. </w:t>
      </w:r>
      <w:r w:rsidR="00892B14">
        <w:rPr>
          <w:lang w:val="en-US"/>
        </w:rPr>
        <w:t>65.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2390327"/>
      <w:docPartObj>
        <w:docPartGallery w:val="Page Numbers (Top of Page)"/>
        <w:docPartUnique/>
      </w:docPartObj>
    </w:sdtPr>
    <w:sdtContent>
      <w:p w14:paraId="17752D32" w14:textId="7153A33D" w:rsidR="004713A0" w:rsidRDefault="004713A0">
        <w:pPr>
          <w:pStyle w:val="Header"/>
          <w:jc w:val="right"/>
        </w:pPr>
        <w:r>
          <w:fldChar w:fldCharType="begin"/>
        </w:r>
        <w:r>
          <w:instrText>PAGE   \* MERGEFORMAT</w:instrText>
        </w:r>
        <w:r>
          <w:fldChar w:fldCharType="separate"/>
        </w:r>
        <w:r>
          <w:t>2</w:t>
        </w:r>
        <w:r>
          <w:fldChar w:fldCharType="end"/>
        </w:r>
      </w:p>
    </w:sdtContent>
  </w:sdt>
  <w:p w14:paraId="33EF0108" w14:textId="77777777" w:rsidR="004713A0" w:rsidRDefault="004713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ECE"/>
    <w:rsid w:val="00007D17"/>
    <w:rsid w:val="00027124"/>
    <w:rsid w:val="000350AD"/>
    <w:rsid w:val="00037E84"/>
    <w:rsid w:val="00057C2F"/>
    <w:rsid w:val="000640FE"/>
    <w:rsid w:val="00066B19"/>
    <w:rsid w:val="00074BC8"/>
    <w:rsid w:val="00077491"/>
    <w:rsid w:val="00087EB8"/>
    <w:rsid w:val="00096FA9"/>
    <w:rsid w:val="000B348C"/>
    <w:rsid w:val="000B742C"/>
    <w:rsid w:val="000C18D2"/>
    <w:rsid w:val="000C571B"/>
    <w:rsid w:val="000D47A1"/>
    <w:rsid w:val="000D6FDD"/>
    <w:rsid w:val="000F131C"/>
    <w:rsid w:val="000F2AA6"/>
    <w:rsid w:val="000F3830"/>
    <w:rsid w:val="000F487B"/>
    <w:rsid w:val="00103D3F"/>
    <w:rsid w:val="00121D07"/>
    <w:rsid w:val="00123ED2"/>
    <w:rsid w:val="0014560C"/>
    <w:rsid w:val="001542D7"/>
    <w:rsid w:val="00170603"/>
    <w:rsid w:val="00170EB9"/>
    <w:rsid w:val="001A5E05"/>
    <w:rsid w:val="001C24CB"/>
    <w:rsid w:val="001C4B4C"/>
    <w:rsid w:val="001D0531"/>
    <w:rsid w:val="001D67C4"/>
    <w:rsid w:val="001F75DF"/>
    <w:rsid w:val="00201520"/>
    <w:rsid w:val="00205B93"/>
    <w:rsid w:val="002066A0"/>
    <w:rsid w:val="00206CDA"/>
    <w:rsid w:val="002123BA"/>
    <w:rsid w:val="00213847"/>
    <w:rsid w:val="00225725"/>
    <w:rsid w:val="0023360D"/>
    <w:rsid w:val="00236995"/>
    <w:rsid w:val="002445CD"/>
    <w:rsid w:val="0024722C"/>
    <w:rsid w:val="00247725"/>
    <w:rsid w:val="002501F4"/>
    <w:rsid w:val="00250AB3"/>
    <w:rsid w:val="002521E6"/>
    <w:rsid w:val="002564BB"/>
    <w:rsid w:val="002566F6"/>
    <w:rsid w:val="00262A0B"/>
    <w:rsid w:val="002710CE"/>
    <w:rsid w:val="00274171"/>
    <w:rsid w:val="002753B6"/>
    <w:rsid w:val="00290083"/>
    <w:rsid w:val="002934B3"/>
    <w:rsid w:val="002A035A"/>
    <w:rsid w:val="002C0A8B"/>
    <w:rsid w:val="002D6FA4"/>
    <w:rsid w:val="002F0B50"/>
    <w:rsid w:val="002F38BE"/>
    <w:rsid w:val="0030698C"/>
    <w:rsid w:val="0031017C"/>
    <w:rsid w:val="0031102B"/>
    <w:rsid w:val="003209CB"/>
    <w:rsid w:val="0033309F"/>
    <w:rsid w:val="00345B8B"/>
    <w:rsid w:val="0035395B"/>
    <w:rsid w:val="00364C43"/>
    <w:rsid w:val="003659D3"/>
    <w:rsid w:val="00376A29"/>
    <w:rsid w:val="00382F4C"/>
    <w:rsid w:val="0039166A"/>
    <w:rsid w:val="00396516"/>
    <w:rsid w:val="003A401F"/>
    <w:rsid w:val="003A6CDC"/>
    <w:rsid w:val="003C5130"/>
    <w:rsid w:val="003D1410"/>
    <w:rsid w:val="003D14DB"/>
    <w:rsid w:val="003D34D7"/>
    <w:rsid w:val="003F4490"/>
    <w:rsid w:val="003F57A0"/>
    <w:rsid w:val="003F7AC9"/>
    <w:rsid w:val="003F7F72"/>
    <w:rsid w:val="0040048E"/>
    <w:rsid w:val="00407E14"/>
    <w:rsid w:val="00417451"/>
    <w:rsid w:val="00423EF4"/>
    <w:rsid w:val="004359CD"/>
    <w:rsid w:val="004529F5"/>
    <w:rsid w:val="004652F4"/>
    <w:rsid w:val="00471127"/>
    <w:rsid w:val="004713A0"/>
    <w:rsid w:val="00472932"/>
    <w:rsid w:val="004749F5"/>
    <w:rsid w:val="00485383"/>
    <w:rsid w:val="00490765"/>
    <w:rsid w:val="00493913"/>
    <w:rsid w:val="0049705D"/>
    <w:rsid w:val="004A0A79"/>
    <w:rsid w:val="004B5841"/>
    <w:rsid w:val="004C05B4"/>
    <w:rsid w:val="004C26E6"/>
    <w:rsid w:val="004C2CDA"/>
    <w:rsid w:val="004C791C"/>
    <w:rsid w:val="004D0C6A"/>
    <w:rsid w:val="004D1085"/>
    <w:rsid w:val="004D4DCD"/>
    <w:rsid w:val="004E2CFA"/>
    <w:rsid w:val="00503E51"/>
    <w:rsid w:val="00512E4C"/>
    <w:rsid w:val="00513398"/>
    <w:rsid w:val="005207F9"/>
    <w:rsid w:val="005269D8"/>
    <w:rsid w:val="00533F36"/>
    <w:rsid w:val="0054067E"/>
    <w:rsid w:val="005410EA"/>
    <w:rsid w:val="00544ABB"/>
    <w:rsid w:val="005511CC"/>
    <w:rsid w:val="00552226"/>
    <w:rsid w:val="00553506"/>
    <w:rsid w:val="00560291"/>
    <w:rsid w:val="00584EE2"/>
    <w:rsid w:val="00585AC7"/>
    <w:rsid w:val="005937B2"/>
    <w:rsid w:val="00594037"/>
    <w:rsid w:val="00595106"/>
    <w:rsid w:val="005A0535"/>
    <w:rsid w:val="005A054F"/>
    <w:rsid w:val="005B758E"/>
    <w:rsid w:val="005B7C23"/>
    <w:rsid w:val="005C0399"/>
    <w:rsid w:val="005C0DB6"/>
    <w:rsid w:val="005E1F25"/>
    <w:rsid w:val="005E4439"/>
    <w:rsid w:val="005E6E41"/>
    <w:rsid w:val="005F773E"/>
    <w:rsid w:val="006048D5"/>
    <w:rsid w:val="00610873"/>
    <w:rsid w:val="006120A9"/>
    <w:rsid w:val="00625BDA"/>
    <w:rsid w:val="00625F61"/>
    <w:rsid w:val="00632595"/>
    <w:rsid w:val="00633A32"/>
    <w:rsid w:val="0063438A"/>
    <w:rsid w:val="00637E39"/>
    <w:rsid w:val="0064170C"/>
    <w:rsid w:val="0064180E"/>
    <w:rsid w:val="00642867"/>
    <w:rsid w:val="006430A8"/>
    <w:rsid w:val="00645471"/>
    <w:rsid w:val="00647FE4"/>
    <w:rsid w:val="006501ED"/>
    <w:rsid w:val="006656E1"/>
    <w:rsid w:val="006732BC"/>
    <w:rsid w:val="0068581F"/>
    <w:rsid w:val="0068679B"/>
    <w:rsid w:val="006A66DB"/>
    <w:rsid w:val="006C1981"/>
    <w:rsid w:val="006C7C5D"/>
    <w:rsid w:val="006D07AA"/>
    <w:rsid w:val="006D0F00"/>
    <w:rsid w:val="006D481F"/>
    <w:rsid w:val="006D5BEE"/>
    <w:rsid w:val="006F6509"/>
    <w:rsid w:val="006F658A"/>
    <w:rsid w:val="006F7448"/>
    <w:rsid w:val="00700A83"/>
    <w:rsid w:val="00703629"/>
    <w:rsid w:val="00717300"/>
    <w:rsid w:val="00726BD9"/>
    <w:rsid w:val="00732D43"/>
    <w:rsid w:val="00735CE6"/>
    <w:rsid w:val="007452B5"/>
    <w:rsid w:val="007535FE"/>
    <w:rsid w:val="0075481B"/>
    <w:rsid w:val="00763F0E"/>
    <w:rsid w:val="00776F7A"/>
    <w:rsid w:val="00782942"/>
    <w:rsid w:val="007917A4"/>
    <w:rsid w:val="00793151"/>
    <w:rsid w:val="00795EEB"/>
    <w:rsid w:val="007A227D"/>
    <w:rsid w:val="007C04E1"/>
    <w:rsid w:val="007C57C7"/>
    <w:rsid w:val="007C640C"/>
    <w:rsid w:val="007D2C6C"/>
    <w:rsid w:val="007D68E3"/>
    <w:rsid w:val="007D68F5"/>
    <w:rsid w:val="007F698B"/>
    <w:rsid w:val="007F69C9"/>
    <w:rsid w:val="00807757"/>
    <w:rsid w:val="0081275D"/>
    <w:rsid w:val="0081291F"/>
    <w:rsid w:val="00816E1A"/>
    <w:rsid w:val="00821344"/>
    <w:rsid w:val="00827CC6"/>
    <w:rsid w:val="00832518"/>
    <w:rsid w:val="008328BD"/>
    <w:rsid w:val="00833269"/>
    <w:rsid w:val="00834DE7"/>
    <w:rsid w:val="0084085C"/>
    <w:rsid w:val="008443AF"/>
    <w:rsid w:val="00844A24"/>
    <w:rsid w:val="00846811"/>
    <w:rsid w:val="008504B8"/>
    <w:rsid w:val="008665EA"/>
    <w:rsid w:val="00870C18"/>
    <w:rsid w:val="00877081"/>
    <w:rsid w:val="00892B14"/>
    <w:rsid w:val="008A1A17"/>
    <w:rsid w:val="008A6516"/>
    <w:rsid w:val="008B0359"/>
    <w:rsid w:val="008B326E"/>
    <w:rsid w:val="008B3BA3"/>
    <w:rsid w:val="008B4BDF"/>
    <w:rsid w:val="008B5A1C"/>
    <w:rsid w:val="008E121D"/>
    <w:rsid w:val="008E17AE"/>
    <w:rsid w:val="008E1DCA"/>
    <w:rsid w:val="008E2B40"/>
    <w:rsid w:val="008F0BA9"/>
    <w:rsid w:val="008F13AC"/>
    <w:rsid w:val="00900F44"/>
    <w:rsid w:val="00904696"/>
    <w:rsid w:val="009077FF"/>
    <w:rsid w:val="00923F0A"/>
    <w:rsid w:val="00931B0D"/>
    <w:rsid w:val="0094299E"/>
    <w:rsid w:val="00947DAF"/>
    <w:rsid w:val="00950210"/>
    <w:rsid w:val="00953FD8"/>
    <w:rsid w:val="00960ECE"/>
    <w:rsid w:val="0096353C"/>
    <w:rsid w:val="00973BF3"/>
    <w:rsid w:val="009A0104"/>
    <w:rsid w:val="009A052B"/>
    <w:rsid w:val="009A186F"/>
    <w:rsid w:val="009B5697"/>
    <w:rsid w:val="009B6274"/>
    <w:rsid w:val="009C27C8"/>
    <w:rsid w:val="009C7657"/>
    <w:rsid w:val="009F4F3F"/>
    <w:rsid w:val="00A042EA"/>
    <w:rsid w:val="00A07056"/>
    <w:rsid w:val="00A14C06"/>
    <w:rsid w:val="00A23D82"/>
    <w:rsid w:val="00A25F09"/>
    <w:rsid w:val="00A359C0"/>
    <w:rsid w:val="00A40457"/>
    <w:rsid w:val="00A45B72"/>
    <w:rsid w:val="00A50BA2"/>
    <w:rsid w:val="00A546C5"/>
    <w:rsid w:val="00A55E4F"/>
    <w:rsid w:val="00A63DA4"/>
    <w:rsid w:val="00A72FBC"/>
    <w:rsid w:val="00A733C5"/>
    <w:rsid w:val="00A73A21"/>
    <w:rsid w:val="00A75059"/>
    <w:rsid w:val="00A84D2E"/>
    <w:rsid w:val="00A87C77"/>
    <w:rsid w:val="00A87D42"/>
    <w:rsid w:val="00A93E66"/>
    <w:rsid w:val="00AA6487"/>
    <w:rsid w:val="00AB6C80"/>
    <w:rsid w:val="00AC3586"/>
    <w:rsid w:val="00AC5095"/>
    <w:rsid w:val="00AC6940"/>
    <w:rsid w:val="00AD0C13"/>
    <w:rsid w:val="00AD57D7"/>
    <w:rsid w:val="00AD6854"/>
    <w:rsid w:val="00AE4845"/>
    <w:rsid w:val="00AE7ABD"/>
    <w:rsid w:val="00AF6DE3"/>
    <w:rsid w:val="00B00C2D"/>
    <w:rsid w:val="00B16C17"/>
    <w:rsid w:val="00B2259D"/>
    <w:rsid w:val="00B22F83"/>
    <w:rsid w:val="00B23037"/>
    <w:rsid w:val="00B259AD"/>
    <w:rsid w:val="00B25B5A"/>
    <w:rsid w:val="00B5228A"/>
    <w:rsid w:val="00B56602"/>
    <w:rsid w:val="00B566E0"/>
    <w:rsid w:val="00B5783B"/>
    <w:rsid w:val="00B707FD"/>
    <w:rsid w:val="00B7532F"/>
    <w:rsid w:val="00B805DA"/>
    <w:rsid w:val="00B83DF0"/>
    <w:rsid w:val="00B83FD0"/>
    <w:rsid w:val="00B8661F"/>
    <w:rsid w:val="00B9058F"/>
    <w:rsid w:val="00B90B98"/>
    <w:rsid w:val="00B946BC"/>
    <w:rsid w:val="00B96084"/>
    <w:rsid w:val="00BB6E7B"/>
    <w:rsid w:val="00BB7BAC"/>
    <w:rsid w:val="00BC489E"/>
    <w:rsid w:val="00BC703D"/>
    <w:rsid w:val="00BD6BF4"/>
    <w:rsid w:val="00BE487D"/>
    <w:rsid w:val="00BF205C"/>
    <w:rsid w:val="00BF2C57"/>
    <w:rsid w:val="00BF2F24"/>
    <w:rsid w:val="00BF34B0"/>
    <w:rsid w:val="00C17FC5"/>
    <w:rsid w:val="00C24CE7"/>
    <w:rsid w:val="00C27632"/>
    <w:rsid w:val="00C37F2E"/>
    <w:rsid w:val="00C462CD"/>
    <w:rsid w:val="00C505C3"/>
    <w:rsid w:val="00C55D25"/>
    <w:rsid w:val="00C57BE6"/>
    <w:rsid w:val="00C71828"/>
    <w:rsid w:val="00C734D3"/>
    <w:rsid w:val="00C76E8C"/>
    <w:rsid w:val="00C91800"/>
    <w:rsid w:val="00CB25BA"/>
    <w:rsid w:val="00CC4C3D"/>
    <w:rsid w:val="00CD55C7"/>
    <w:rsid w:val="00CF130C"/>
    <w:rsid w:val="00D0224B"/>
    <w:rsid w:val="00D038AB"/>
    <w:rsid w:val="00D05866"/>
    <w:rsid w:val="00D12504"/>
    <w:rsid w:val="00D244D8"/>
    <w:rsid w:val="00D33CE4"/>
    <w:rsid w:val="00D369AC"/>
    <w:rsid w:val="00D46079"/>
    <w:rsid w:val="00D50628"/>
    <w:rsid w:val="00D53148"/>
    <w:rsid w:val="00D53783"/>
    <w:rsid w:val="00D56377"/>
    <w:rsid w:val="00D57AB0"/>
    <w:rsid w:val="00D73293"/>
    <w:rsid w:val="00D74211"/>
    <w:rsid w:val="00D76533"/>
    <w:rsid w:val="00D821CA"/>
    <w:rsid w:val="00DA4AA0"/>
    <w:rsid w:val="00DB2E84"/>
    <w:rsid w:val="00DB5C10"/>
    <w:rsid w:val="00DC6525"/>
    <w:rsid w:val="00DC7369"/>
    <w:rsid w:val="00DD1C80"/>
    <w:rsid w:val="00DD496F"/>
    <w:rsid w:val="00DD55B2"/>
    <w:rsid w:val="00DD6AF7"/>
    <w:rsid w:val="00DE4562"/>
    <w:rsid w:val="00DE4EF1"/>
    <w:rsid w:val="00DE7353"/>
    <w:rsid w:val="00E0738F"/>
    <w:rsid w:val="00E11074"/>
    <w:rsid w:val="00E150B9"/>
    <w:rsid w:val="00E22ECD"/>
    <w:rsid w:val="00E33A77"/>
    <w:rsid w:val="00E37389"/>
    <w:rsid w:val="00E409D5"/>
    <w:rsid w:val="00E40BE8"/>
    <w:rsid w:val="00E41F7F"/>
    <w:rsid w:val="00E46218"/>
    <w:rsid w:val="00E5434D"/>
    <w:rsid w:val="00E71110"/>
    <w:rsid w:val="00E727E3"/>
    <w:rsid w:val="00E73B4F"/>
    <w:rsid w:val="00E743C2"/>
    <w:rsid w:val="00E75590"/>
    <w:rsid w:val="00E758A1"/>
    <w:rsid w:val="00E7785D"/>
    <w:rsid w:val="00E80446"/>
    <w:rsid w:val="00E83DC2"/>
    <w:rsid w:val="00E854BA"/>
    <w:rsid w:val="00E879B6"/>
    <w:rsid w:val="00E918EC"/>
    <w:rsid w:val="00EA456D"/>
    <w:rsid w:val="00EA5C9F"/>
    <w:rsid w:val="00EB219D"/>
    <w:rsid w:val="00EB467C"/>
    <w:rsid w:val="00EB4A11"/>
    <w:rsid w:val="00EB7EF3"/>
    <w:rsid w:val="00EC7964"/>
    <w:rsid w:val="00ED45DD"/>
    <w:rsid w:val="00EE6677"/>
    <w:rsid w:val="00EF1ADF"/>
    <w:rsid w:val="00F05F88"/>
    <w:rsid w:val="00F073FE"/>
    <w:rsid w:val="00F102FF"/>
    <w:rsid w:val="00F141DA"/>
    <w:rsid w:val="00F16850"/>
    <w:rsid w:val="00F16D81"/>
    <w:rsid w:val="00F172EE"/>
    <w:rsid w:val="00F25DFF"/>
    <w:rsid w:val="00F3283B"/>
    <w:rsid w:val="00F33031"/>
    <w:rsid w:val="00F345F9"/>
    <w:rsid w:val="00F40D5D"/>
    <w:rsid w:val="00F4227C"/>
    <w:rsid w:val="00F433E5"/>
    <w:rsid w:val="00F43F83"/>
    <w:rsid w:val="00F44C88"/>
    <w:rsid w:val="00F451D7"/>
    <w:rsid w:val="00F67829"/>
    <w:rsid w:val="00F67F70"/>
    <w:rsid w:val="00F715D7"/>
    <w:rsid w:val="00F803B9"/>
    <w:rsid w:val="00FA076F"/>
    <w:rsid w:val="00FA3581"/>
    <w:rsid w:val="00FD4FF2"/>
    <w:rsid w:val="00FD64E9"/>
    <w:rsid w:val="00FE7CA3"/>
    <w:rsid w:val="00FF0024"/>
    <w:rsid w:val="00FF0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6C9E39"/>
  <w15:chartTrackingRefBased/>
  <w15:docId w15:val="{0EDFB180-22A7-4D4A-B8A7-8949743A9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0E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60E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60E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60E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60E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60E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0E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0E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0E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E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60E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60E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60E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60E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60E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0E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0E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0ECE"/>
    <w:rPr>
      <w:rFonts w:eastAsiaTheme="majorEastAsia" w:cstheme="majorBidi"/>
      <w:color w:val="272727" w:themeColor="text1" w:themeTint="D8"/>
    </w:rPr>
  </w:style>
  <w:style w:type="paragraph" w:styleId="Title">
    <w:name w:val="Title"/>
    <w:basedOn w:val="Normal"/>
    <w:next w:val="Normal"/>
    <w:link w:val="TitleChar"/>
    <w:uiPriority w:val="10"/>
    <w:qFormat/>
    <w:rsid w:val="00960E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E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0E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0E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0ECE"/>
    <w:pPr>
      <w:spacing w:before="160"/>
      <w:jc w:val="center"/>
    </w:pPr>
    <w:rPr>
      <w:i/>
      <w:iCs/>
      <w:color w:val="404040" w:themeColor="text1" w:themeTint="BF"/>
    </w:rPr>
  </w:style>
  <w:style w:type="character" w:customStyle="1" w:styleId="QuoteChar">
    <w:name w:val="Quote Char"/>
    <w:basedOn w:val="DefaultParagraphFont"/>
    <w:link w:val="Quote"/>
    <w:uiPriority w:val="29"/>
    <w:rsid w:val="00960ECE"/>
    <w:rPr>
      <w:i/>
      <w:iCs/>
      <w:color w:val="404040" w:themeColor="text1" w:themeTint="BF"/>
    </w:rPr>
  </w:style>
  <w:style w:type="paragraph" w:styleId="ListParagraph">
    <w:name w:val="List Paragraph"/>
    <w:basedOn w:val="Normal"/>
    <w:uiPriority w:val="34"/>
    <w:qFormat/>
    <w:rsid w:val="00960ECE"/>
    <w:pPr>
      <w:ind w:left="720"/>
      <w:contextualSpacing/>
    </w:pPr>
  </w:style>
  <w:style w:type="character" w:styleId="IntenseEmphasis">
    <w:name w:val="Intense Emphasis"/>
    <w:basedOn w:val="DefaultParagraphFont"/>
    <w:uiPriority w:val="21"/>
    <w:qFormat/>
    <w:rsid w:val="00960ECE"/>
    <w:rPr>
      <w:i/>
      <w:iCs/>
      <w:color w:val="2F5496" w:themeColor="accent1" w:themeShade="BF"/>
    </w:rPr>
  </w:style>
  <w:style w:type="paragraph" w:styleId="IntenseQuote">
    <w:name w:val="Intense Quote"/>
    <w:basedOn w:val="Normal"/>
    <w:next w:val="Normal"/>
    <w:link w:val="IntenseQuoteChar"/>
    <w:uiPriority w:val="30"/>
    <w:qFormat/>
    <w:rsid w:val="00960E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60ECE"/>
    <w:rPr>
      <w:i/>
      <w:iCs/>
      <w:color w:val="2F5496" w:themeColor="accent1" w:themeShade="BF"/>
    </w:rPr>
  </w:style>
  <w:style w:type="character" w:styleId="IntenseReference">
    <w:name w:val="Intense Reference"/>
    <w:basedOn w:val="DefaultParagraphFont"/>
    <w:uiPriority w:val="32"/>
    <w:qFormat/>
    <w:rsid w:val="00960ECE"/>
    <w:rPr>
      <w:b/>
      <w:bCs/>
      <w:smallCaps/>
      <w:color w:val="2F5496" w:themeColor="accent1" w:themeShade="BF"/>
      <w:spacing w:val="5"/>
    </w:rPr>
  </w:style>
  <w:style w:type="paragraph" w:styleId="NormalWeb">
    <w:name w:val="Normal (Web)"/>
    <w:basedOn w:val="Normal"/>
    <w:uiPriority w:val="99"/>
    <w:semiHidden/>
    <w:unhideWhenUsed/>
    <w:rsid w:val="006F744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bodytext">
    <w:name w:val="h_body_text"/>
    <w:basedOn w:val="DefaultParagraphFont"/>
    <w:rsid w:val="006F7448"/>
  </w:style>
  <w:style w:type="paragraph" w:styleId="FootnoteText">
    <w:name w:val="footnote text"/>
    <w:basedOn w:val="Normal"/>
    <w:link w:val="FootnoteTextChar"/>
    <w:uiPriority w:val="99"/>
    <w:semiHidden/>
    <w:unhideWhenUsed/>
    <w:rsid w:val="0064170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170C"/>
    <w:rPr>
      <w:sz w:val="20"/>
      <w:szCs w:val="20"/>
    </w:rPr>
  </w:style>
  <w:style w:type="character" w:styleId="FootnoteReference">
    <w:name w:val="footnote reference"/>
    <w:basedOn w:val="DefaultParagraphFont"/>
    <w:uiPriority w:val="99"/>
    <w:semiHidden/>
    <w:unhideWhenUsed/>
    <w:rsid w:val="0064170C"/>
    <w:rPr>
      <w:vertAlign w:val="superscript"/>
    </w:rPr>
  </w:style>
  <w:style w:type="character" w:styleId="Hyperlink">
    <w:name w:val="Hyperlink"/>
    <w:basedOn w:val="DefaultParagraphFont"/>
    <w:uiPriority w:val="99"/>
    <w:unhideWhenUsed/>
    <w:rsid w:val="00B23037"/>
    <w:rPr>
      <w:color w:val="0000FF"/>
      <w:u w:val="single"/>
    </w:rPr>
  </w:style>
  <w:style w:type="character" w:styleId="UnresolvedMention">
    <w:name w:val="Unresolved Mention"/>
    <w:basedOn w:val="DefaultParagraphFont"/>
    <w:uiPriority w:val="99"/>
    <w:semiHidden/>
    <w:unhideWhenUsed/>
    <w:rsid w:val="00625BDA"/>
    <w:rPr>
      <w:color w:val="605E5C"/>
      <w:shd w:val="clear" w:color="auto" w:fill="E1DFDD"/>
    </w:rPr>
  </w:style>
  <w:style w:type="paragraph" w:styleId="Header">
    <w:name w:val="header"/>
    <w:basedOn w:val="Normal"/>
    <w:link w:val="HeaderChar"/>
    <w:uiPriority w:val="99"/>
    <w:unhideWhenUsed/>
    <w:rsid w:val="004713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3A0"/>
  </w:style>
  <w:style w:type="paragraph" w:styleId="Footer">
    <w:name w:val="footer"/>
    <w:basedOn w:val="Normal"/>
    <w:link w:val="FooterChar"/>
    <w:uiPriority w:val="99"/>
    <w:unhideWhenUsed/>
    <w:rsid w:val="004713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3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sourcebooks.fordham.edu/source/1066malmesbury.asp"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D7908-20B7-4C7D-B9A0-D1DB15C0B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1723</Words>
  <Characters>9823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Papadopoulou</dc:creator>
  <cp:keywords/>
  <dc:description/>
  <cp:lastModifiedBy>ELIZABETH PAPADOPOULOS</cp:lastModifiedBy>
  <cp:revision>4</cp:revision>
  <dcterms:created xsi:type="dcterms:W3CDTF">2025-11-25T16:23:00Z</dcterms:created>
  <dcterms:modified xsi:type="dcterms:W3CDTF">2025-11-28T08:37:00Z</dcterms:modified>
</cp:coreProperties>
</file>