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02E2CA" w14:textId="3E5EE4FC" w:rsidR="6848D6EE" w:rsidRDefault="6848D6EE" w:rsidP="50FF6E60">
      <w:pPr>
        <w:spacing w:before="240" w:after="240"/>
        <w:jc w:val="center"/>
        <w:rPr>
          <w:rFonts w:ascii="Aptos Display" w:eastAsia="Aptos Display" w:hAnsi="Aptos Display" w:cs="Aptos Display"/>
          <w:b/>
          <w:bCs/>
          <w:sz w:val="32"/>
          <w:szCs w:val="32"/>
        </w:rPr>
      </w:pPr>
      <w:r w:rsidRPr="50FF6E60">
        <w:rPr>
          <w:rFonts w:ascii="Aptos Display" w:eastAsia="Aptos Display" w:hAnsi="Aptos Display" w:cs="Aptos Display"/>
          <w:b/>
          <w:bCs/>
          <w:sz w:val="32"/>
          <w:szCs w:val="32"/>
        </w:rPr>
        <w:t xml:space="preserve">Global perspectives in education (ECIE6004) </w:t>
      </w:r>
    </w:p>
    <w:p w14:paraId="6116AA8B" w14:textId="53EE2A8A" w:rsidR="00070653" w:rsidRDefault="00070653" w:rsidP="50FF6E60">
      <w:pPr>
        <w:spacing w:before="240" w:after="240"/>
        <w:jc w:val="center"/>
        <w:rPr>
          <w:rFonts w:ascii="Aptos Display" w:eastAsia="Aptos Display" w:hAnsi="Aptos Display" w:cs="Aptos Display"/>
          <w:b/>
          <w:bCs/>
          <w:sz w:val="32"/>
          <w:szCs w:val="32"/>
        </w:rPr>
      </w:pPr>
      <w:r>
        <w:rPr>
          <w:rFonts w:ascii="Aptos Display" w:eastAsia="Aptos Display" w:hAnsi="Aptos Display" w:cs="Aptos Display"/>
          <w:b/>
          <w:bCs/>
          <w:sz w:val="32"/>
          <w:szCs w:val="32"/>
        </w:rPr>
        <w:t>Nour Algeboory</w:t>
      </w:r>
    </w:p>
    <w:p w14:paraId="0062B308" w14:textId="7E873033" w:rsidR="00070653" w:rsidRDefault="00070653" w:rsidP="00070653">
      <w:pPr>
        <w:spacing w:before="240" w:after="240"/>
        <w:jc w:val="center"/>
        <w:rPr>
          <w:rFonts w:ascii="Aptos Display" w:eastAsia="Aptos Display" w:hAnsi="Aptos Display" w:cs="Aptos Display"/>
          <w:b/>
          <w:bCs/>
          <w:sz w:val="32"/>
          <w:szCs w:val="32"/>
        </w:rPr>
      </w:pPr>
      <w:r>
        <w:rPr>
          <w:rFonts w:ascii="Aptos Display" w:eastAsia="Aptos Display" w:hAnsi="Aptos Display" w:cs="Aptos Display"/>
          <w:b/>
          <w:bCs/>
          <w:sz w:val="32"/>
          <w:szCs w:val="32"/>
        </w:rPr>
        <w:t>(</w:t>
      </w:r>
      <w:r w:rsidRPr="00070653">
        <w:rPr>
          <w:rFonts w:ascii="Aptos Display" w:eastAsia="Aptos Display" w:hAnsi="Aptos Display" w:cs="Aptos Display"/>
          <w:b/>
          <w:bCs/>
          <w:sz w:val="32"/>
          <w:szCs w:val="32"/>
          <w:lang w:val="en-US"/>
        </w:rPr>
        <w:t>1709546</w:t>
      </w:r>
      <w:r>
        <w:rPr>
          <w:rFonts w:ascii="Aptos Display" w:eastAsia="Aptos Display" w:hAnsi="Aptos Display" w:cs="Aptos Display"/>
          <w:b/>
          <w:bCs/>
          <w:sz w:val="32"/>
          <w:szCs w:val="32"/>
          <w:lang w:val="en-US"/>
        </w:rPr>
        <w:t>)</w:t>
      </w:r>
    </w:p>
    <w:p w14:paraId="0C4C6787" w14:textId="50B8FC2C" w:rsidR="6848D6EE" w:rsidRDefault="6848D6EE" w:rsidP="50FF6E60">
      <w:pPr>
        <w:spacing w:before="240" w:after="240"/>
        <w:jc w:val="center"/>
      </w:pPr>
      <w:r w:rsidRPr="50FF6E60">
        <w:rPr>
          <w:rFonts w:ascii="Aptos Display" w:eastAsia="Aptos Display" w:hAnsi="Aptos Display" w:cs="Aptos Display"/>
        </w:rPr>
        <w:t xml:space="preserve"> </w:t>
      </w:r>
    </w:p>
    <w:p w14:paraId="3612BD02" w14:textId="49201C71" w:rsidR="6848D6EE" w:rsidRDefault="6848D6EE" w:rsidP="50FF6E60">
      <w:pPr>
        <w:spacing w:before="240" w:after="240"/>
        <w:jc w:val="both"/>
      </w:pPr>
      <w:r w:rsidRPr="50FF6E60">
        <w:rPr>
          <w:rFonts w:ascii="Aptos Display" w:eastAsia="Aptos Display" w:hAnsi="Aptos Display" w:cs="Aptos Display"/>
        </w:rPr>
        <w:t xml:space="preserve"> </w:t>
      </w:r>
    </w:p>
    <w:p w14:paraId="7E546015" w14:textId="7AEA0287" w:rsidR="6848D6EE" w:rsidRDefault="6848D6EE" w:rsidP="50FF6E60">
      <w:pPr>
        <w:spacing w:before="240" w:after="240"/>
        <w:jc w:val="both"/>
      </w:pPr>
      <w:r w:rsidRPr="50FF6E60">
        <w:rPr>
          <w:rFonts w:ascii="Aptos Display" w:eastAsia="Aptos Display" w:hAnsi="Aptos Display" w:cs="Aptos Display"/>
        </w:rPr>
        <w:t xml:space="preserve"> </w:t>
      </w:r>
    </w:p>
    <w:p w14:paraId="53C8CB4C" w14:textId="308B101B" w:rsidR="6848D6EE" w:rsidRDefault="6848D6EE" w:rsidP="50FF6E60">
      <w:pPr>
        <w:spacing w:before="240" w:after="240"/>
        <w:jc w:val="both"/>
      </w:pPr>
      <w:r w:rsidRPr="50FF6E60">
        <w:rPr>
          <w:rFonts w:ascii="Aptos Display" w:eastAsia="Aptos Display" w:hAnsi="Aptos Display" w:cs="Aptos Display"/>
        </w:rPr>
        <w:t xml:space="preserve"> </w:t>
      </w:r>
    </w:p>
    <w:p w14:paraId="0E7F5E53" w14:textId="722C6535" w:rsidR="6848D6EE" w:rsidRDefault="6848D6EE" w:rsidP="50FF6E60">
      <w:pPr>
        <w:spacing w:before="240" w:after="240"/>
        <w:jc w:val="both"/>
      </w:pPr>
      <w:r w:rsidRPr="50FF6E60">
        <w:rPr>
          <w:rFonts w:ascii="Aptos Display" w:eastAsia="Aptos Display" w:hAnsi="Aptos Display" w:cs="Aptos Display"/>
        </w:rPr>
        <w:t xml:space="preserve"> </w:t>
      </w:r>
    </w:p>
    <w:p w14:paraId="41508458" w14:textId="4208D266" w:rsidR="6848D6EE" w:rsidRDefault="6848D6EE" w:rsidP="50FF6E60">
      <w:pPr>
        <w:spacing w:before="240" w:after="240"/>
        <w:jc w:val="both"/>
      </w:pPr>
      <w:r w:rsidRPr="50FF6E60">
        <w:rPr>
          <w:rFonts w:ascii="Aptos Display" w:eastAsia="Aptos Display" w:hAnsi="Aptos Display" w:cs="Aptos Display"/>
        </w:rPr>
        <w:t xml:space="preserve"> </w:t>
      </w:r>
    </w:p>
    <w:p w14:paraId="0FC9B5A5" w14:textId="74DDBC7D" w:rsidR="6848D6EE" w:rsidRDefault="6848D6EE" w:rsidP="50FF6E60">
      <w:pPr>
        <w:spacing w:before="240" w:after="240"/>
        <w:jc w:val="both"/>
      </w:pPr>
      <w:r w:rsidRPr="50FF6E60">
        <w:rPr>
          <w:rFonts w:ascii="Aptos Display" w:eastAsia="Aptos Display" w:hAnsi="Aptos Display" w:cs="Aptos Display"/>
        </w:rPr>
        <w:t xml:space="preserve"> </w:t>
      </w:r>
    </w:p>
    <w:p w14:paraId="0A4C14B1" w14:textId="3A4E8203" w:rsidR="6848D6EE" w:rsidRDefault="6848D6EE" w:rsidP="50FF6E60">
      <w:pPr>
        <w:spacing w:before="240" w:after="240"/>
        <w:jc w:val="both"/>
      </w:pPr>
      <w:r w:rsidRPr="50FF6E60">
        <w:rPr>
          <w:rFonts w:ascii="Aptos Display" w:eastAsia="Aptos Display" w:hAnsi="Aptos Display" w:cs="Aptos Display"/>
        </w:rPr>
        <w:t xml:space="preserve"> </w:t>
      </w:r>
    </w:p>
    <w:p w14:paraId="3C6E4194" w14:textId="4EE8FC49" w:rsidR="6848D6EE" w:rsidRDefault="6848D6EE" w:rsidP="50FF6E60">
      <w:pPr>
        <w:spacing w:before="240" w:after="240"/>
        <w:jc w:val="both"/>
      </w:pPr>
      <w:r w:rsidRPr="50FF6E60">
        <w:rPr>
          <w:rFonts w:ascii="Aptos Display" w:eastAsia="Aptos Display" w:hAnsi="Aptos Display" w:cs="Aptos Display"/>
        </w:rPr>
        <w:t xml:space="preserve"> </w:t>
      </w:r>
    </w:p>
    <w:p w14:paraId="4D21E05E" w14:textId="02473D3A" w:rsidR="6848D6EE" w:rsidRDefault="6848D6EE" w:rsidP="50FF6E60">
      <w:pPr>
        <w:spacing w:before="240" w:after="240"/>
        <w:jc w:val="both"/>
      </w:pPr>
      <w:r w:rsidRPr="50FF6E60">
        <w:rPr>
          <w:rFonts w:ascii="Aptos Display" w:eastAsia="Aptos Display" w:hAnsi="Aptos Display" w:cs="Aptos Display"/>
        </w:rPr>
        <w:t xml:space="preserve"> </w:t>
      </w:r>
    </w:p>
    <w:p w14:paraId="7AD3DCB9" w14:textId="13A72F13" w:rsidR="6848D6EE" w:rsidRDefault="6848D6EE" w:rsidP="50FF6E60">
      <w:pPr>
        <w:spacing w:before="240" w:after="240"/>
        <w:jc w:val="both"/>
      </w:pPr>
      <w:r w:rsidRPr="50FF6E60">
        <w:rPr>
          <w:rFonts w:ascii="Aptos Display" w:eastAsia="Aptos Display" w:hAnsi="Aptos Display" w:cs="Aptos Display"/>
        </w:rPr>
        <w:t xml:space="preserve"> </w:t>
      </w:r>
    </w:p>
    <w:p w14:paraId="2B10F7B8" w14:textId="105EE900" w:rsidR="6848D6EE" w:rsidRDefault="6848D6EE" w:rsidP="50FF6E60">
      <w:pPr>
        <w:spacing w:before="240" w:after="240"/>
        <w:jc w:val="both"/>
      </w:pPr>
      <w:r w:rsidRPr="50FF6E60">
        <w:rPr>
          <w:rFonts w:ascii="Aptos Display" w:eastAsia="Aptos Display" w:hAnsi="Aptos Display" w:cs="Aptos Display"/>
        </w:rPr>
        <w:t xml:space="preserve"> </w:t>
      </w:r>
    </w:p>
    <w:p w14:paraId="4872D814" w14:textId="54AC1362" w:rsidR="6848D6EE" w:rsidRDefault="6848D6EE" w:rsidP="50FF6E60">
      <w:pPr>
        <w:spacing w:before="240" w:after="240"/>
        <w:jc w:val="both"/>
      </w:pPr>
      <w:r w:rsidRPr="50FF6E60">
        <w:rPr>
          <w:rFonts w:ascii="Aptos Display" w:eastAsia="Aptos Display" w:hAnsi="Aptos Display" w:cs="Aptos Display"/>
        </w:rPr>
        <w:t xml:space="preserve"> </w:t>
      </w:r>
    </w:p>
    <w:p w14:paraId="5C88D9D5" w14:textId="1B997CC4" w:rsidR="6848D6EE" w:rsidRDefault="6848D6EE" w:rsidP="50FF6E60">
      <w:pPr>
        <w:spacing w:before="240" w:after="240"/>
        <w:jc w:val="both"/>
      </w:pPr>
      <w:r w:rsidRPr="50FF6E60">
        <w:rPr>
          <w:rFonts w:ascii="Aptos Display" w:eastAsia="Aptos Display" w:hAnsi="Aptos Display" w:cs="Aptos Display"/>
        </w:rPr>
        <w:t xml:space="preserve"> </w:t>
      </w:r>
    </w:p>
    <w:p w14:paraId="0CFA77EF" w14:textId="3DE3F029" w:rsidR="6848D6EE" w:rsidRDefault="6848D6EE" w:rsidP="50FF6E60">
      <w:pPr>
        <w:spacing w:before="240" w:after="240"/>
        <w:jc w:val="both"/>
      </w:pPr>
      <w:r w:rsidRPr="50FF6E60">
        <w:rPr>
          <w:rFonts w:ascii="Aptos Display" w:eastAsia="Aptos Display" w:hAnsi="Aptos Display" w:cs="Aptos Display"/>
        </w:rPr>
        <w:t xml:space="preserve"> </w:t>
      </w:r>
    </w:p>
    <w:p w14:paraId="3D00007A" w14:textId="41EF8847" w:rsidR="6848D6EE" w:rsidRDefault="6848D6EE" w:rsidP="50FF6E60">
      <w:pPr>
        <w:spacing w:before="240" w:after="240"/>
        <w:jc w:val="both"/>
      </w:pPr>
      <w:r w:rsidRPr="50FF6E60">
        <w:rPr>
          <w:rFonts w:ascii="Aptos Display" w:eastAsia="Aptos Display" w:hAnsi="Aptos Display" w:cs="Aptos Display"/>
        </w:rPr>
        <w:t xml:space="preserve"> </w:t>
      </w:r>
    </w:p>
    <w:p w14:paraId="419ED2EE" w14:textId="390ADE04" w:rsidR="6848D6EE" w:rsidRDefault="6848D6EE" w:rsidP="50FF6E60">
      <w:pPr>
        <w:spacing w:before="240" w:after="240"/>
        <w:jc w:val="both"/>
      </w:pPr>
      <w:r w:rsidRPr="50FF6E60">
        <w:rPr>
          <w:rFonts w:ascii="Aptos Display" w:eastAsia="Aptos Display" w:hAnsi="Aptos Display" w:cs="Aptos Display"/>
        </w:rPr>
        <w:t xml:space="preserve"> </w:t>
      </w:r>
    </w:p>
    <w:p w14:paraId="103BFDE8" w14:textId="27106AF4" w:rsidR="6848D6EE" w:rsidRDefault="6848D6EE" w:rsidP="50FF6E60">
      <w:pPr>
        <w:spacing w:before="240" w:after="240"/>
        <w:jc w:val="both"/>
      </w:pPr>
      <w:r w:rsidRPr="50FF6E60">
        <w:rPr>
          <w:rFonts w:ascii="Aptos Display" w:eastAsia="Aptos Display" w:hAnsi="Aptos Display" w:cs="Aptos Display"/>
        </w:rPr>
        <w:t xml:space="preserve"> </w:t>
      </w:r>
    </w:p>
    <w:p w14:paraId="0B1E9D70" w14:textId="4B0FF77A" w:rsidR="6848D6EE" w:rsidRDefault="6848D6EE" w:rsidP="50FF6E60">
      <w:pPr>
        <w:spacing w:before="240" w:after="240"/>
        <w:jc w:val="both"/>
      </w:pPr>
      <w:r w:rsidRPr="50FF6E60">
        <w:rPr>
          <w:rFonts w:ascii="Aptos Display" w:eastAsia="Aptos Display" w:hAnsi="Aptos Display" w:cs="Aptos Display"/>
        </w:rPr>
        <w:t xml:space="preserve"> </w:t>
      </w:r>
    </w:p>
    <w:p w14:paraId="3DC32D27" w14:textId="196E4EF2" w:rsidR="6848D6EE" w:rsidRDefault="6848D6EE" w:rsidP="50FF6E60">
      <w:pPr>
        <w:spacing w:before="240" w:after="240"/>
        <w:jc w:val="both"/>
      </w:pPr>
      <w:r w:rsidRPr="50FF6E60">
        <w:rPr>
          <w:rFonts w:ascii="Aptos Display" w:eastAsia="Aptos Display" w:hAnsi="Aptos Display" w:cs="Aptos Display"/>
        </w:rPr>
        <w:t xml:space="preserve"> </w:t>
      </w:r>
    </w:p>
    <w:p w14:paraId="59948776" w14:textId="08F1B6CB" w:rsidR="6848D6EE" w:rsidRDefault="6848D6EE" w:rsidP="50FF6E60">
      <w:pPr>
        <w:spacing w:before="240" w:after="240"/>
        <w:jc w:val="both"/>
      </w:pPr>
      <w:r w:rsidRPr="50FF6E60">
        <w:rPr>
          <w:rFonts w:ascii="Aptos Display" w:eastAsia="Aptos Display" w:hAnsi="Aptos Display" w:cs="Aptos Display"/>
        </w:rPr>
        <w:lastRenderedPageBreak/>
        <w:t xml:space="preserve"> </w:t>
      </w:r>
    </w:p>
    <w:p w14:paraId="16F3A6B1" w14:textId="6C503227" w:rsidR="6848D6EE" w:rsidRDefault="6848D6EE" w:rsidP="50FF6E60">
      <w:pPr>
        <w:spacing w:before="240" w:after="240"/>
        <w:jc w:val="both"/>
      </w:pPr>
      <w:r w:rsidRPr="50FF6E60">
        <w:rPr>
          <w:rFonts w:ascii="Aptos Display" w:eastAsia="Aptos Display" w:hAnsi="Aptos Display" w:cs="Aptos Display"/>
        </w:rPr>
        <w:t xml:space="preserve"> </w:t>
      </w:r>
    </w:p>
    <w:p w14:paraId="7B5E282D" w14:textId="11E93CF6" w:rsidR="6848D6EE" w:rsidRDefault="6848D6EE" w:rsidP="50FF6E60">
      <w:pPr>
        <w:spacing w:before="240" w:after="240"/>
        <w:jc w:val="both"/>
      </w:pPr>
      <w:r w:rsidRPr="50FF6E60">
        <w:rPr>
          <w:rFonts w:ascii="Aptos Display" w:eastAsia="Aptos Display" w:hAnsi="Aptos Display" w:cs="Aptos Display"/>
        </w:rPr>
        <w:t xml:space="preserve"> </w:t>
      </w:r>
    </w:p>
    <w:p w14:paraId="6916BE21" w14:textId="0B11CA16" w:rsidR="6848D6EE" w:rsidRDefault="6848D6EE" w:rsidP="50FF6E60">
      <w:pPr>
        <w:spacing w:before="299" w:after="299"/>
        <w:jc w:val="both"/>
      </w:pPr>
      <w:r w:rsidRPr="50FF6E60">
        <w:rPr>
          <w:rFonts w:ascii="Aptos Display" w:eastAsia="Aptos Display" w:hAnsi="Aptos Display" w:cs="Aptos Display"/>
        </w:rPr>
        <w:t xml:space="preserve"> </w:t>
      </w:r>
      <w:r w:rsidR="69A653A2" w:rsidRPr="50FF6E60">
        <w:rPr>
          <w:rFonts w:ascii="Aptos Display" w:eastAsia="Aptos Display" w:hAnsi="Aptos Display" w:cs="Aptos Display"/>
          <w:b/>
          <w:bCs/>
          <w:sz w:val="36"/>
          <w:szCs w:val="36"/>
        </w:rPr>
        <w:t>Contents</w:t>
      </w:r>
    </w:p>
    <w:p w14:paraId="28378448" w14:textId="12F27D1C"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Introduction ........................................................................ 3</w:t>
      </w:r>
    </w:p>
    <w:p w14:paraId="35481239" w14:textId="341E798E"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Education as a Human Right and Global Perspectives .............. 3</w:t>
      </w:r>
    </w:p>
    <w:p w14:paraId="706A976F" w14:textId="67449A88"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 xml:space="preserve">Globalisation, Global Education, and Childhood Globalisation ... </w:t>
      </w:r>
      <w:r w:rsidR="6F1AA68E" w:rsidRPr="50FF6E60">
        <w:rPr>
          <w:rFonts w:asciiTheme="majorHAnsi" w:eastAsiaTheme="majorEastAsia" w:hAnsiTheme="majorHAnsi" w:cstheme="majorBidi"/>
        </w:rPr>
        <w:t>4</w:t>
      </w:r>
    </w:p>
    <w:p w14:paraId="3CB84525" w14:textId="38C95452"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 xml:space="preserve">Education for Sustainable Development and Global Policy Frameworks ............................................................................... </w:t>
      </w:r>
      <w:r w:rsidR="653193B3" w:rsidRPr="50FF6E60">
        <w:rPr>
          <w:rFonts w:asciiTheme="majorHAnsi" w:eastAsiaTheme="majorEastAsia" w:hAnsiTheme="majorHAnsi" w:cstheme="majorBidi"/>
        </w:rPr>
        <w:t>5</w:t>
      </w:r>
    </w:p>
    <w:p w14:paraId="4845F6D5" w14:textId="546A7E3D"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 xml:space="preserve">Gender Inequality in Global Education ................................. </w:t>
      </w:r>
      <w:r w:rsidR="199EC239" w:rsidRPr="50FF6E60">
        <w:rPr>
          <w:rFonts w:asciiTheme="majorHAnsi" w:eastAsiaTheme="majorEastAsia" w:hAnsiTheme="majorHAnsi" w:cstheme="majorBidi"/>
        </w:rPr>
        <w:t>6</w:t>
      </w:r>
    </w:p>
    <w:p w14:paraId="0B440F58" w14:textId="1CD9A922"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 xml:space="preserve">Education Financing, Governance, and Global Inequalities ...... </w:t>
      </w:r>
      <w:r w:rsidR="3D51D502" w:rsidRPr="50FF6E60">
        <w:rPr>
          <w:rFonts w:asciiTheme="majorHAnsi" w:eastAsiaTheme="majorEastAsia" w:hAnsiTheme="majorHAnsi" w:cstheme="majorBidi"/>
        </w:rPr>
        <w:t>6</w:t>
      </w:r>
    </w:p>
    <w:p w14:paraId="0DD07E13" w14:textId="44CA9A66"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Iraq as a Case Study: Historical and Postcolonial Context ......</w:t>
      </w:r>
      <w:r w:rsidR="495A3481" w:rsidRPr="50FF6E60">
        <w:rPr>
          <w:rFonts w:asciiTheme="majorHAnsi" w:eastAsiaTheme="majorEastAsia" w:hAnsiTheme="majorHAnsi" w:cstheme="majorBidi"/>
        </w:rPr>
        <w:t>.</w:t>
      </w:r>
      <w:r w:rsidRPr="50FF6E60">
        <w:rPr>
          <w:rFonts w:asciiTheme="majorHAnsi" w:eastAsiaTheme="majorEastAsia" w:hAnsiTheme="majorHAnsi" w:cstheme="majorBidi"/>
        </w:rPr>
        <w:t xml:space="preserve">. </w:t>
      </w:r>
      <w:r w:rsidR="4E9D60F4" w:rsidRPr="50FF6E60">
        <w:rPr>
          <w:rFonts w:asciiTheme="majorHAnsi" w:eastAsiaTheme="majorEastAsia" w:hAnsiTheme="majorHAnsi" w:cstheme="majorBidi"/>
        </w:rPr>
        <w:t>6</w:t>
      </w:r>
    </w:p>
    <w:p w14:paraId="152507CE" w14:textId="75B8BB29"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Barriers to Education in Iraq ..............................................</w:t>
      </w:r>
      <w:r w:rsidR="52A40326" w:rsidRPr="50FF6E60">
        <w:rPr>
          <w:rFonts w:asciiTheme="majorHAnsi" w:eastAsiaTheme="majorEastAsia" w:hAnsiTheme="majorHAnsi" w:cstheme="majorBidi"/>
        </w:rPr>
        <w:t>..........</w:t>
      </w:r>
      <w:r w:rsidR="7F2C9EE5" w:rsidRPr="50FF6E60">
        <w:rPr>
          <w:rFonts w:asciiTheme="majorHAnsi" w:eastAsiaTheme="majorEastAsia" w:hAnsiTheme="majorHAnsi" w:cstheme="majorBidi"/>
        </w:rPr>
        <w:t>7</w:t>
      </w:r>
    </w:p>
    <w:p w14:paraId="0809181E" w14:textId="20B40DE8"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 xml:space="preserve">Gender, Displacement, and Marginalised Children in Iraq ........ </w:t>
      </w:r>
      <w:r w:rsidR="5D0432DD" w:rsidRPr="50FF6E60">
        <w:rPr>
          <w:rFonts w:asciiTheme="majorHAnsi" w:eastAsiaTheme="majorEastAsia" w:hAnsiTheme="majorHAnsi" w:cstheme="majorBidi"/>
        </w:rPr>
        <w:t>7</w:t>
      </w:r>
    </w:p>
    <w:p w14:paraId="248570C7" w14:textId="264E12C5"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 xml:space="preserve">Role of International Organisations and Educational Aid in Iraq ............................................................................... </w:t>
      </w:r>
      <w:r w:rsidR="1A2F773B" w:rsidRPr="50FF6E60">
        <w:rPr>
          <w:rFonts w:asciiTheme="majorHAnsi" w:eastAsiaTheme="majorEastAsia" w:hAnsiTheme="majorHAnsi" w:cstheme="majorBidi"/>
        </w:rPr>
        <w:t>8</w:t>
      </w:r>
    </w:p>
    <w:p w14:paraId="69645D0C" w14:textId="77E41A94"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 xml:space="preserve">Discussion: Sustainability, Governance, and Global Responsibility ............................................................................... </w:t>
      </w:r>
      <w:r w:rsidR="24582D01" w:rsidRPr="50FF6E60">
        <w:rPr>
          <w:rFonts w:asciiTheme="majorHAnsi" w:eastAsiaTheme="majorEastAsia" w:hAnsiTheme="majorHAnsi" w:cstheme="majorBidi"/>
        </w:rPr>
        <w:t>8</w:t>
      </w:r>
    </w:p>
    <w:p w14:paraId="368B7DB2" w14:textId="4E7AECA3"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 xml:space="preserve">Conclusion and Recommendations ............................ </w:t>
      </w:r>
      <w:r w:rsidR="48B289C5" w:rsidRPr="50FF6E60">
        <w:rPr>
          <w:rFonts w:asciiTheme="majorHAnsi" w:eastAsiaTheme="majorEastAsia" w:hAnsiTheme="majorHAnsi" w:cstheme="majorBidi"/>
        </w:rPr>
        <w:t>9</w:t>
      </w:r>
    </w:p>
    <w:p w14:paraId="5D503110" w14:textId="7EEBDA91" w:rsidR="69A653A2" w:rsidRDefault="69A653A2" w:rsidP="50FF6E60">
      <w:pPr>
        <w:pStyle w:val="ListParagraph"/>
        <w:numPr>
          <w:ilvl w:val="0"/>
          <w:numId w:val="4"/>
        </w:numPr>
        <w:spacing w:before="240" w:after="240"/>
        <w:jc w:val="both"/>
        <w:rPr>
          <w:rFonts w:asciiTheme="majorHAnsi" w:eastAsiaTheme="majorEastAsia" w:hAnsiTheme="majorHAnsi" w:cstheme="majorBidi"/>
        </w:rPr>
      </w:pPr>
      <w:r w:rsidRPr="50FF6E60">
        <w:rPr>
          <w:rFonts w:asciiTheme="majorHAnsi" w:eastAsiaTheme="majorEastAsia" w:hAnsiTheme="majorHAnsi" w:cstheme="majorBidi"/>
        </w:rPr>
        <w:t>Reference List .............................................................</w:t>
      </w:r>
      <w:r w:rsidR="754AFD1B" w:rsidRPr="50FF6E60">
        <w:rPr>
          <w:rFonts w:asciiTheme="majorHAnsi" w:eastAsiaTheme="majorEastAsia" w:hAnsiTheme="majorHAnsi" w:cstheme="majorBidi"/>
        </w:rPr>
        <w:t>10</w:t>
      </w:r>
    </w:p>
    <w:p w14:paraId="0363240D" w14:textId="115619C7" w:rsidR="50FF6E60" w:rsidRDefault="50FF6E60" w:rsidP="50FF6E60">
      <w:pPr>
        <w:spacing w:after="0"/>
        <w:jc w:val="both"/>
        <w:rPr>
          <w:rFonts w:asciiTheme="majorHAnsi" w:eastAsiaTheme="majorEastAsia" w:hAnsiTheme="majorHAnsi" w:cstheme="majorBidi"/>
        </w:rPr>
      </w:pPr>
    </w:p>
    <w:p w14:paraId="152B45A6" w14:textId="0247951F" w:rsidR="50FF6E60" w:rsidRDefault="50FF6E60" w:rsidP="50FF6E60">
      <w:pPr>
        <w:spacing w:before="240" w:after="240"/>
        <w:jc w:val="both"/>
        <w:rPr>
          <w:rFonts w:ascii="Aptos Display" w:eastAsia="Aptos Display" w:hAnsi="Aptos Display" w:cs="Aptos Display"/>
        </w:rPr>
      </w:pPr>
    </w:p>
    <w:p w14:paraId="0DD862EA" w14:textId="61AAC360" w:rsidR="50FF6E60" w:rsidRDefault="50FF6E60" w:rsidP="50FF6E60">
      <w:pPr>
        <w:spacing w:before="240" w:after="240"/>
        <w:jc w:val="both"/>
        <w:rPr>
          <w:rFonts w:ascii="Aptos Display" w:eastAsia="Aptos Display" w:hAnsi="Aptos Display" w:cs="Aptos Display"/>
        </w:rPr>
      </w:pPr>
    </w:p>
    <w:p w14:paraId="55EC5955" w14:textId="2E97D2A2" w:rsidR="50FF6E60" w:rsidRDefault="50FF6E60" w:rsidP="50FF6E60">
      <w:pPr>
        <w:spacing w:before="240" w:after="240"/>
        <w:jc w:val="both"/>
        <w:rPr>
          <w:rFonts w:ascii="Aptos Display" w:eastAsia="Aptos Display" w:hAnsi="Aptos Display" w:cs="Aptos Display"/>
        </w:rPr>
      </w:pPr>
    </w:p>
    <w:p w14:paraId="431CB7F3" w14:textId="32BBE572" w:rsidR="50FF6E60" w:rsidRDefault="50FF6E60" w:rsidP="50FF6E60">
      <w:pPr>
        <w:spacing w:before="240" w:after="240"/>
        <w:jc w:val="both"/>
        <w:rPr>
          <w:rFonts w:ascii="Aptos Display" w:eastAsia="Aptos Display" w:hAnsi="Aptos Display" w:cs="Aptos Display"/>
        </w:rPr>
      </w:pPr>
    </w:p>
    <w:p w14:paraId="0DE90661" w14:textId="40D1BA4C" w:rsidR="50FF6E60" w:rsidRDefault="50FF6E60" w:rsidP="50FF6E60">
      <w:pPr>
        <w:spacing w:before="240" w:after="240"/>
        <w:jc w:val="both"/>
        <w:rPr>
          <w:rFonts w:ascii="Aptos Display" w:eastAsia="Aptos Display" w:hAnsi="Aptos Display" w:cs="Aptos Display"/>
        </w:rPr>
      </w:pPr>
    </w:p>
    <w:p w14:paraId="0936E0D5" w14:textId="6221AF8B" w:rsidR="50FF6E60" w:rsidRDefault="50FF6E60" w:rsidP="50FF6E60">
      <w:pPr>
        <w:spacing w:before="240" w:after="240"/>
        <w:jc w:val="both"/>
        <w:rPr>
          <w:rFonts w:ascii="Aptos Display" w:eastAsia="Aptos Display" w:hAnsi="Aptos Display" w:cs="Aptos Display"/>
        </w:rPr>
      </w:pPr>
    </w:p>
    <w:p w14:paraId="542361BA" w14:textId="0A46A807" w:rsidR="50FF6E60" w:rsidRDefault="50FF6E60" w:rsidP="50FF6E60">
      <w:pPr>
        <w:spacing w:before="240" w:after="240"/>
        <w:jc w:val="both"/>
        <w:rPr>
          <w:rFonts w:ascii="Aptos Display" w:eastAsia="Aptos Display" w:hAnsi="Aptos Display" w:cs="Aptos Display"/>
        </w:rPr>
      </w:pPr>
    </w:p>
    <w:p w14:paraId="1B200A7C" w14:textId="4F59B909" w:rsidR="50FF6E60" w:rsidRDefault="50FF6E60" w:rsidP="50FF6E60">
      <w:pPr>
        <w:spacing w:before="240" w:after="240"/>
        <w:jc w:val="both"/>
        <w:rPr>
          <w:rFonts w:ascii="Aptos Display" w:eastAsia="Aptos Display" w:hAnsi="Aptos Display" w:cs="Aptos Display"/>
        </w:rPr>
      </w:pPr>
    </w:p>
    <w:p w14:paraId="3901260D" w14:textId="26837CBB" w:rsidR="50FF6E60" w:rsidRDefault="50FF6E60" w:rsidP="50FF6E60">
      <w:pPr>
        <w:spacing w:before="240" w:after="240"/>
        <w:jc w:val="both"/>
        <w:rPr>
          <w:rFonts w:ascii="Aptos Display" w:eastAsia="Aptos Display" w:hAnsi="Aptos Display" w:cs="Aptos Display"/>
        </w:rPr>
      </w:pPr>
    </w:p>
    <w:p w14:paraId="2C99B68A" w14:textId="54EDB792" w:rsidR="50FF6E60" w:rsidRDefault="50FF6E60" w:rsidP="50FF6E60">
      <w:pPr>
        <w:spacing w:before="240" w:after="240"/>
        <w:jc w:val="both"/>
        <w:rPr>
          <w:rFonts w:ascii="Aptos Display" w:eastAsia="Aptos Display" w:hAnsi="Aptos Display" w:cs="Aptos Display"/>
        </w:rPr>
      </w:pPr>
    </w:p>
    <w:p w14:paraId="23277D26" w14:textId="2A1CADAF" w:rsidR="50FF6E60" w:rsidRDefault="50FF6E60" w:rsidP="50FF6E60">
      <w:pPr>
        <w:spacing w:before="240" w:after="240"/>
        <w:jc w:val="both"/>
        <w:rPr>
          <w:rFonts w:ascii="Aptos Display" w:eastAsia="Aptos Display" w:hAnsi="Aptos Display" w:cs="Aptos Display"/>
        </w:rPr>
      </w:pPr>
    </w:p>
    <w:p w14:paraId="0557DC3E" w14:textId="7D75E534" w:rsidR="50FF6E60" w:rsidRDefault="50FF6E60" w:rsidP="50FF6E60">
      <w:pPr>
        <w:spacing w:before="240" w:after="240"/>
        <w:jc w:val="both"/>
        <w:rPr>
          <w:rFonts w:ascii="Aptos Display" w:eastAsia="Aptos Display" w:hAnsi="Aptos Display" w:cs="Aptos Display"/>
        </w:rPr>
      </w:pPr>
    </w:p>
    <w:p w14:paraId="16DD92DE" w14:textId="4FBF687A" w:rsidR="6848D6EE" w:rsidRDefault="6848D6EE" w:rsidP="50FF6E60">
      <w:pPr>
        <w:spacing w:before="240" w:after="240"/>
        <w:jc w:val="both"/>
        <w:rPr>
          <w:rFonts w:ascii="Aptos Display" w:eastAsia="Aptos Display" w:hAnsi="Aptos Display" w:cs="Aptos Display"/>
        </w:rPr>
      </w:pPr>
      <w:r w:rsidRPr="50FF6E60">
        <w:rPr>
          <w:rFonts w:ascii="Aptos Display" w:eastAsia="Aptos Display" w:hAnsi="Aptos Display" w:cs="Aptos Display"/>
        </w:rPr>
        <w:t xml:space="preserve"> </w:t>
      </w:r>
    </w:p>
    <w:p w14:paraId="4A069814" w14:textId="5489D74F" w:rsidR="6848D6EE" w:rsidRDefault="6848D6EE" w:rsidP="50FF6E60">
      <w:pPr>
        <w:spacing w:before="240" w:after="240"/>
        <w:jc w:val="both"/>
      </w:pPr>
      <w:r w:rsidRPr="50FF6E60">
        <w:rPr>
          <w:rFonts w:ascii="Aptos Display" w:eastAsia="Aptos Display" w:hAnsi="Aptos Display" w:cs="Aptos Display"/>
        </w:rPr>
        <w:t xml:space="preserve">Education is a human right; every child has the right to an education, and every individual is entitled to be able to satisfy his or her learning needs through lifelong learning. Education is the foundation of developing identity, as an individual and as a society. Education is essential for sustainable development, reducing global poverty, and enabling people to live together in peace. It enables people to improve their political, social, cultural, and economic circumstances. "Everyone has the right to education. Education shall be free, at least in the elementary and fundamental stages. Elementary education shall be compulsory. Technical and professional education shall be made generally available, and higher education shall be equally accessible to all based on merit.” This statement refers to Article 26 (1) of the Universal Declaration of Human Rights. Completing basic education significantly increases the chance of political participation in society and reduces the risk of marginalisation. From a human rights perspective, a state's failure to provide universal, free, and accessible education constitutes a breach of internationally recognised obligations. The United Nations Convention on the Rights of the Child (UNCRC) further strengthens the global legal framework for education through Article 28, which obliges states to ensure free and compulsory primary education and to encourage regular attendance and reduce dropout rates, and Article 29, which defines the aims of education as developing the child’s personality, talents, mental and physical abilities, respect for human rights, and preparation for a responsible life in a free society. In the context of Iraq, ongoing conflict, displacement, overcrowded classrooms, and underinvestment undermine both articles by restricting access to education and limiting its quality and purpose. For girls, displaced children, and children with disabilities, these failures represent not only barriers to schooling but also violations of the broader educational aims outlined in Article 29, including dignity, equality, and social inclusion. </w:t>
      </w:r>
    </w:p>
    <w:p w14:paraId="0D7B2C8A" w14:textId="7084DCAB" w:rsidR="6848D6EE" w:rsidRDefault="6848D6EE" w:rsidP="50FF6E60">
      <w:pPr>
        <w:spacing w:before="240" w:after="240"/>
        <w:jc w:val="both"/>
      </w:pPr>
      <w:r w:rsidRPr="50FF6E60">
        <w:rPr>
          <w:rFonts w:ascii="Aptos Display" w:eastAsia="Aptos Display" w:hAnsi="Aptos Display" w:cs="Aptos Display"/>
        </w:rPr>
        <w:t xml:space="preserve">Education is essential for sustainable development, poverty reduction, and social harmony and peace in a globalising society. Despite global commitments to universal education, learning chances are still unequal. Globalisation has made sharing information and travelling simpler, but not everyone benefits, especially in developing countries and war zones. Poverty, gender inequality, displacement, weak governance, and insufficient finance prohibit millions of children from attending school, showing a gap between international policy aspirations and local realities. This essay critically analyses the global obstacles to educational access, with a specific focus on how gender inequality acts as a systemic barrier. It assesses the involvement of governments and international organisations in tackling these concerns via policy frameworks related to human rights, sustainability, and global development, evaluating the </w:t>
      </w:r>
      <w:r w:rsidRPr="50FF6E60">
        <w:rPr>
          <w:rFonts w:ascii="Aptos Display" w:eastAsia="Aptos Display" w:hAnsi="Aptos Display" w:cs="Aptos Display"/>
        </w:rPr>
        <w:lastRenderedPageBreak/>
        <w:t xml:space="preserve">effectiveness of their approaches. This essay examines Iraq as a case study to demonstrate how historical war, political instability, and economic limitations have compromised educational access, particularly for girls, displaced children, and other marginalised populations. The essay argues that achieving fair and sustainable global education requires more than just laws and international goals. It necessitates substantial long-term investments, governance reforms tailored to specific contexts, and the integration of social theory and empirical evidence to drive meaningful change.  </w:t>
      </w:r>
    </w:p>
    <w:p w14:paraId="732DC6EE" w14:textId="6117CB39" w:rsidR="6848D6EE" w:rsidRDefault="6848D6EE" w:rsidP="50FF6E60">
      <w:pPr>
        <w:spacing w:before="240" w:after="240"/>
        <w:jc w:val="both"/>
      </w:pPr>
      <w:r w:rsidRPr="50FF6E60">
        <w:rPr>
          <w:rFonts w:ascii="Aptos Display" w:eastAsia="Aptos Display" w:hAnsi="Aptos Display" w:cs="Aptos Display"/>
        </w:rPr>
        <w:t xml:space="preserve"> </w:t>
      </w:r>
    </w:p>
    <w:p w14:paraId="4A664B29" w14:textId="03675A1A" w:rsidR="6848D6EE" w:rsidRDefault="6848D6EE" w:rsidP="50FF6E60">
      <w:pPr>
        <w:spacing w:before="240" w:after="240"/>
        <w:jc w:val="both"/>
      </w:pPr>
      <w:r w:rsidRPr="50FF6E60">
        <w:rPr>
          <w:rFonts w:ascii="Aptos Display" w:eastAsia="Aptos Display" w:hAnsi="Aptos Display" w:cs="Aptos Display"/>
        </w:rPr>
        <w:t xml:space="preserve"> </w:t>
      </w:r>
    </w:p>
    <w:p w14:paraId="792641AE" w14:textId="43195ECA" w:rsidR="6848D6EE" w:rsidRDefault="6848D6EE" w:rsidP="50FF6E60">
      <w:pPr>
        <w:spacing w:before="240" w:after="240"/>
        <w:jc w:val="both"/>
      </w:pPr>
      <w:r w:rsidRPr="50FF6E60">
        <w:rPr>
          <w:rFonts w:ascii="Aptos Display" w:eastAsia="Aptos Display" w:hAnsi="Aptos Display" w:cs="Aptos Display"/>
        </w:rPr>
        <w:t xml:space="preserve">These encompass cultural competency, adaptation, critical thinking, and cross-cultural communication. The capability approach views education as enhancing individuals' abilities to engage fully in social, economic, and political spheres, rather than merely preparing them for employment. Regardless of whether students start on careers in business, technology, education, or international relations, the competencies acquired through global education will benefit them across all sectors (Participate Learning, 2024).  Article 22 of the Universal Declaration of Human Rights (1948) states, "Everyone, as a member of society, is entitled to the realisation of the economic, social, and cultural rights indispensable for his dignity and the free development of his personality." Globalisation is the rising interdependence of the world's economies, cultures, and demographics due to cross-border trade, technology, investment, people, and information (International Monetary Fund, 2018). For decades, countries have formed economic agreements to assist these movements. After the Cold War in the early 1990s, these cooperative agreements influenced modern life, making the phrase widespread. Globalisation, like other technical breakthroughs, has benefited society but has been criticised for apparently affecting groups and worsening inflation, supply chain problems, trade disputes, and national security concerns. </w:t>
      </w:r>
    </w:p>
    <w:p w14:paraId="586F55AB" w14:textId="44E06C99" w:rsidR="6848D6EE" w:rsidRDefault="6848D6EE" w:rsidP="50FF6E60">
      <w:pPr>
        <w:spacing w:before="240" w:after="240"/>
        <w:jc w:val="both"/>
      </w:pPr>
      <w:r w:rsidRPr="50FF6E60">
        <w:rPr>
          <w:rFonts w:ascii="Aptos Display" w:eastAsia="Aptos Display" w:hAnsi="Aptos Display" w:cs="Aptos Display"/>
        </w:rPr>
        <w:t xml:space="preserve">Childhood globalisation indicates the growing awareness and understanding of global issues, especially environmental challenges, among children worldwide. Exposure to diverse cultures, ecological issues, and social matters through media, education, and technology develops their opinions and ideals. It exemplifies how children can achieve understanding and engage as global citizens championing sustainability and equity. The term “childhood globalisation” combines "childhood", the developmental stage of life, with "globalisation", the escalating interconnectedness and interdependence of nations and cultures. Globalisation shapes children's perspectives and experiences. It has been used in research and social discussions to analyse the effects of global dynamics on children's development, education, and socialisation. While globalisation has improved knowledge and educational mobility, critics argue that it exacerbates structural inequality, particularly in conflict-affected nations like Iraq, which lack the necessary resources for equitable benefits (UNICEF, 2018). </w:t>
      </w:r>
    </w:p>
    <w:p w14:paraId="76F1C0C9" w14:textId="67E82EA8" w:rsidR="6848D6EE" w:rsidRDefault="6848D6EE" w:rsidP="50FF6E60">
      <w:pPr>
        <w:spacing w:before="240" w:after="240"/>
        <w:jc w:val="both"/>
      </w:pPr>
      <w:r w:rsidRPr="50FF6E60">
        <w:rPr>
          <w:rFonts w:ascii="Aptos Display" w:eastAsia="Aptos Display" w:hAnsi="Aptos Display" w:cs="Aptos Display"/>
        </w:rPr>
        <w:lastRenderedPageBreak/>
        <w:t xml:space="preserve">Education for Sustainable Development (ESD) originated from heightened awareness of environmental concerns in the mid-20th century and received global acknowledgement at the 1972 UN Stockholm Conference. Its objective is to provide learners with the knowledge, skills, values, and attitudes needed to tackle complex environmental, social, and economic issues for current and future generations, incorporating sustainability across all disciplines through critical thinking and participatory approaches. It addresses global challenges such as climate change, poverty, and inequality, emphasising comprehensive solutions and the empowerment of action (SEEd, n.d.). UNESCO acts as the Secretariat for the Greening Education Partnership, which seeks to enhance nations' ability to deliver effective climate change education and integrate sustainability into all facets of learning (UNESCO, 2017). The Sustainable Development Goals provide a call to action for all nations—regardless of economic status—to foster prosperity while protecting the planet. The United Nations (2015) acknowledges that combating poverty requires the execution of strategies that promote economic growth and fulfil diverse social needs, including education, health, social protection, and employment opportunities, while also tackling climate change and protecting the environment. In 2000, during the World Education Forum in Dakar, the global community adopted the Education for All Global Action Plan. The target date for reaching these goals was established as 2015, coinciding with the Millennium Development Goals initiated in that year. Despite the significant advancements achieved in several nations, the overall outcome was unsatisfactory. No EFA targets were met by 2015. The essential objective of guaranteeing that all children globally enrol in and finish primary education was not achieved. (BMZ, 2024).  </w:t>
      </w:r>
    </w:p>
    <w:p w14:paraId="4195CB4D" w14:textId="51957BCB" w:rsidR="6848D6EE" w:rsidRDefault="6848D6EE" w:rsidP="50FF6E60">
      <w:pPr>
        <w:spacing w:before="240" w:after="240"/>
        <w:jc w:val="both"/>
      </w:pPr>
      <w:r w:rsidRPr="50FF6E60">
        <w:rPr>
          <w:rFonts w:ascii="Aptos Display" w:eastAsia="Aptos Display" w:hAnsi="Aptos Display" w:cs="Aptos Display"/>
        </w:rPr>
        <w:t xml:space="preserve">Gender inequality persists as a significant obstacle to attaining universal education worldwide, especially in developing areas, where girls encounter systemic, cultural, and economic disadvantages. Barriers including poverty, early marriage, gendered work responsibilities, and unsafe school environments limit girls' access to and involvement in education, despite statutory promises of equality (Fennell &amp; Arnot, 2008). These obstacles immediately contravene the African Charter on the Rights and Welfare of the Child, which asserts every child's right to education without discrimination and mandates states to safeguard children, particularly females, from damaging social and cultural practices. Despite Iraq's non-signatory status to the African Charter on the Rights and Welfare of the Child, this Charter serves as a comparative regional framework to critically underscore how similar structural impediments, including gender discrimination and detrimental cultural practices, compromise children's right to education throughout the rest of the world. The Charter establishes a robust legal foundation; nonetheless, its implementation is frequently hindered by insufficient resources, political instability, and entrenched gender norms. Feminist theory (1984) highlights the systematic inequity in girls' education resulting from sexist societal institutions, particularly in conflict-affected cultures where traditional gender roles are reinforced. From a postcolonial feminist perspective, gender disparity in education is exacerbated by colonial legacies and externally imposed development frameworks that frequently marginalise indigenous women's perspectives and neglect the interplay of gender, culture, and historical power dynamics. The </w:t>
      </w:r>
      <w:r w:rsidRPr="50FF6E60">
        <w:rPr>
          <w:rFonts w:ascii="Aptos Display" w:eastAsia="Aptos Display" w:hAnsi="Aptos Display" w:cs="Aptos Display"/>
        </w:rPr>
        <w:lastRenderedPageBreak/>
        <w:t xml:space="preserve">disparity between policy and practice underscores how global and regional commitments to children's rights are compromised by overarching inequalities, indicating that attaining gender equality in education necessitates not only legal frameworks but also enduring social, economic, and institutional transformation. </w:t>
      </w:r>
    </w:p>
    <w:p w14:paraId="17D38C16" w14:textId="4DDEC2BF" w:rsidR="6848D6EE" w:rsidRDefault="6848D6EE" w:rsidP="50FF6E60">
      <w:pPr>
        <w:spacing w:before="240" w:after="240"/>
        <w:jc w:val="both"/>
      </w:pPr>
      <w:r w:rsidRPr="50FF6E60">
        <w:rPr>
          <w:rFonts w:ascii="Aptos Display" w:eastAsia="Aptos Display" w:hAnsi="Aptos Display" w:cs="Aptos Display"/>
        </w:rPr>
        <w:t xml:space="preserve">The second UNESCO–World Bank Education Finance Watch 2024 report emphasised that funding continues to be a significant impediment to attaining great education globally. Education constitutes less than 15% of the total spending on education and 4% of GDP in 40% of countries. The disparity is significant: low-income nations allocated $55 per student in 2022, whereas high-income countries expended $8,543. The UNESCO–World Bank report cautions about the increasing burden of debt repayments. In 2022, African countries allocated approximately equivalent funds for debt servicing and education. In 2022, education constituted 7.6% of global official development assistance, a decline from 9.3% in 2019. In 2020, the G20's continuous collaboration culminated in the inaugural cohesive framework for debt restructuring. UNESCO is advocating for nations to establish a multilateral framework to convert debt into sustainable educational funding. This technology could support nations burdened by unsustainable debt in transforming it into investments in education (UNESCO, 2024). Governance theory (2016) highlights a continual disparity between international obligations and national implementation, particularly in fragile governments where corruption, indebtedness, and political instability obstruct reform efforts. </w:t>
      </w:r>
    </w:p>
    <w:p w14:paraId="4F05D013" w14:textId="77C1ED9D" w:rsidR="6848D6EE" w:rsidRDefault="6848D6EE" w:rsidP="50FF6E60">
      <w:pPr>
        <w:spacing w:before="240" w:after="240"/>
        <w:jc w:val="both"/>
      </w:pPr>
      <w:r w:rsidRPr="50FF6E60">
        <w:rPr>
          <w:rFonts w:ascii="Aptos Display" w:eastAsia="Aptos Display" w:hAnsi="Aptos Display" w:cs="Aptos Display"/>
        </w:rPr>
        <w:t xml:space="preserve">Iraq will be used as a case study to understand the relevance of global education and the role of educational institutions and the barriers that prohibit a historical country like Iraq from growing globally in education. The rich area between the Tigris and Euphrates inspired the wheel, grain crops, and cursive lettering. Mesopotamia was the origin of civilisation, and today's Iraqis are descendants of the Sumerians, Babylonians, Assyrians, and Arabs. Arabs, Kurds, Jews, Muslims, and Christians have lived in the land since Alexander the Great, and it has been a battlefield. It was a Turkish-ruled Ottoman province when the British administration identified its promise in the late 19th century. The British saw Mesopotamia's promise as military and economic for India, their imperial frontier. British economic interests built Basra in the south as a Gulf port with shipping and commerce linkages to the Far East by 1914.  A British mandate defined Iraq's borders, governmental structure, and economic trajectory following World War I, ending centuries of Ottoman authority. British colonialism imposed a Hashemite monarchy, created a Sunni-dominated political elite, and prioritised oil extraction, which led to decades of political instability, sectarian tensions, and military power in Iraq (History and Policy, n.d.). Similarly, following the 2003 US-led invasion, external powers once again shaped Iraq’s political and institutional landscape. From a postcolonial perspective, the use of Western educational theories, which is often pushed by international reform efforts, can be seen as a type of cultural imperialism. These models typically fail to consider Iraq's unique historical, linguistic, and social-political environment. </w:t>
      </w:r>
    </w:p>
    <w:p w14:paraId="0F65D84B" w14:textId="53DB2415" w:rsidR="6848D6EE" w:rsidRDefault="6848D6EE" w:rsidP="50FF6E60">
      <w:pPr>
        <w:spacing w:before="240" w:after="240"/>
        <w:jc w:val="both"/>
      </w:pPr>
      <w:r w:rsidRPr="50FF6E60">
        <w:rPr>
          <w:rFonts w:ascii="Aptos Display" w:eastAsia="Aptos Display" w:hAnsi="Aptos Display" w:cs="Aptos Display"/>
        </w:rPr>
        <w:lastRenderedPageBreak/>
        <w:t xml:space="preserve">Prolonged conflict and inadequate funding in Iraq have decimated the previously exceptional education system in the region, severely restricting Iraqi children's access to quality education. The persistent disruption of education in Iraq threatens both individual opportunities and the nation's long-term social and economic stability. Currently, around 3.2 million school-aged children in Iraq are not enrolled in school. The situation is particularly alarming in conflict-affected governorates, such as Salah al-Din and Diyala, where over 90% of school-age children are excluded from the education system. Nearly 50% of all school-age displaced children, as well as 355,000, are not enrolled in educational institutions. The circumstances are more dire for females, who are under-represented in both primary and secondary education. Children who are not enrolled in school are more likely to experience abuse and exploitation, such as child labour, recruitment by militias, and early marriage. Children and educators went through the trauma of conflict, displacement, and the bereavement of loved ones. This trauma has a persistent psychological effect that influences teaching and learning processes and capabilities. Furthermore, the quantity and proportion of qualified teachers in Iraq have diminished throughout all educational tiers, except for pre-school. In recent years, Iraq has committed less than 6% of its national budget to the education sector, placing it at the lowest rank among Middle Eastern countries (UNICEF, 2018). The deficiency in investment has led to overcrowded classrooms, hazardous school facilities, and inadequate instructional resources. Furthermore, teachers in the Kurdistan Region of Iraq have not been getting their salary consistently since October 2023, resulting in considerable disturbances within the education system. This critical scenario has resulted in over 70,000 teachers quitting teaching and more than 700,000 students abandoning their education. </w:t>
      </w:r>
    </w:p>
    <w:p w14:paraId="7AF5F8D1" w14:textId="6AED3D38" w:rsidR="6848D6EE" w:rsidRDefault="6848D6EE" w:rsidP="50FF6E60">
      <w:pPr>
        <w:spacing w:before="240" w:after="240"/>
        <w:jc w:val="both"/>
      </w:pPr>
      <w:r w:rsidRPr="50FF6E60">
        <w:rPr>
          <w:rFonts w:ascii="Aptos Display" w:eastAsia="Aptos Display" w:hAnsi="Aptos Display" w:cs="Aptos Display"/>
        </w:rPr>
        <w:t xml:space="preserve">Millions of children are deprived of educational opportunities. At the beginning of the conflict against the Islamic State of Iraq and Syria (ISIS), a Salafi jihadist militant group fighting a U.S.-led coalition, the Iraqi government substantially reduced or eliminated support for 5.2 million children, as reported by the Norwegian Council for the Displaced. The Norwegian organisation reports that, despite Iraq's strong economic conditions, its schools function in two or three shifts. Each shift accommodates about 650 pupils. The four-year struggle led to the destruction of almost half of the educational infrastructure. In territories governed by IS, children and adolescents were instructed using the IS curriculum, which promoted IS ideology and subjected them to violent and extremist material. Numerous families in IS-controlled regions have chosen to withdraw their children from school to safeguard them from radicalisation. Furthermore, many children born or living in IS-controlled regions between 2014 and 2017 lack essential civic documentation. In 2019, over 460,000 children lacked national identity cards, which are requisite for accessing basic services. </w:t>
      </w:r>
    </w:p>
    <w:p w14:paraId="00DF66E4" w14:textId="6446D640" w:rsidR="6848D6EE" w:rsidRDefault="6848D6EE" w:rsidP="50FF6E60">
      <w:pPr>
        <w:spacing w:before="240" w:after="240"/>
        <w:jc w:val="both"/>
      </w:pPr>
      <w:r w:rsidRPr="50FF6E60">
        <w:rPr>
          <w:rFonts w:ascii="Aptos Display" w:eastAsia="Aptos Display" w:hAnsi="Aptos Display" w:cs="Aptos Display"/>
        </w:rPr>
        <w:t xml:space="preserve">Since 2023, 770,000 displaced children have resided in hazardous circumstances, frequently in improvised shelters. Conflict and instability have displaced many young people from their families, significantly undermining their access to education. Although the legal requirement exists, individuals lack access to schools, teachers, and educational resources. The Iraqi </w:t>
      </w:r>
      <w:r w:rsidRPr="50FF6E60">
        <w:rPr>
          <w:rFonts w:ascii="Aptos Display" w:eastAsia="Aptos Display" w:hAnsi="Aptos Display" w:cs="Aptos Display"/>
        </w:rPr>
        <w:lastRenderedPageBreak/>
        <w:t xml:space="preserve">government's neglect of UN recommendations has intensified the crisis. These proposals especially apply to the educational requirements of internally displaced individuals within the nation. The UN requested cash to aid the education of underprivileged children, although the Iraqi government allocated about $17.5 million of the $35 million requested. </w:t>
      </w:r>
    </w:p>
    <w:p w14:paraId="541F0C9C" w14:textId="1025077F" w:rsidR="6848D6EE" w:rsidRDefault="6848D6EE" w:rsidP="50FF6E60">
      <w:pPr>
        <w:spacing w:before="240" w:after="240"/>
        <w:jc w:val="both"/>
      </w:pPr>
      <w:r w:rsidRPr="50FF6E60">
        <w:rPr>
          <w:rFonts w:ascii="Aptos Display" w:eastAsia="Aptos Display" w:hAnsi="Aptos Display" w:cs="Aptos Display"/>
        </w:rPr>
        <w:t xml:space="preserve">Individual children who have lived through conflict and displacement have witnessed violence and potentially experienced traumatic events, whether in Syria or Iraq. For example, a mental health and psychosocial support (MHPSS) survey conducted in Kirkuk in 2019 found several signs of distress among adolescents, such as fears, worrying, depression, stress, tiredness and aggressiveness, sadness, and moodiness (Save the Children, 2019). Their parents might also display the same or additional symptoms, pointing to household-wide needs for psychosocial support in specific households (Save the Children, 2019).  Family and society dynamics, along with pre-established gender roles at the community and household level, have historically limited girls’ access to education, their perceived and actual insecurity on the way to school, and the low quality of teaching and education infrastructure, especially in remote areas (ACAPS, 2020).  </w:t>
      </w:r>
    </w:p>
    <w:p w14:paraId="4D0FCBFE" w14:textId="461B42D1" w:rsidR="6848D6EE" w:rsidRDefault="6848D6EE" w:rsidP="50FF6E60">
      <w:pPr>
        <w:spacing w:before="240" w:after="240"/>
        <w:jc w:val="both"/>
      </w:pPr>
      <w:r w:rsidRPr="50FF6E60">
        <w:rPr>
          <w:rFonts w:ascii="Aptos Display" w:eastAsia="Aptos Display" w:hAnsi="Aptos Display" w:cs="Aptos Display"/>
        </w:rPr>
        <w:t xml:space="preserve">The 2018 MICS showed a positive trend in terms of attendance, with 93% of boys compared to 90% of girls of primary school age enrolled in school. The net attendance ratio is the same for both girls and boys in lower secondary school (58%), while in the upper secondary stage slightly more girls are attending than boys (35% vs 31%) (MICS, 2019). While girls’ enrolment rates have grown, data from 2017 and 2018 show they have higher school cutoff rates compared to boys (MICS, 2019; UNICEF, 2018). Lower attendance and completion rates, especially at the primary level, have a long-term impact on girls’ access to preferred professional careers, as well as on higher wages, which are related to higher levels of education. Girls and women in Iraq are less likely to successfully make up for lost years of education with work experience compared to their male peers (UNICEF 2018). Adding to these pre-existing challenges, girls run the risk of taking on additional caregiving responsibilities during the pandemic with a subsequent reduction of time and energy spent on learning (CARE, 2020).  In addition, some family and community members believe that the education of their disabled children, especially girls, is a lower priority because there are fewer job opportunities available once they finish school. These findings might be one reason why more than half of people surveyed with disabilities over the age of 17 had not completed primary school (ACAPS, 2020).  </w:t>
      </w:r>
    </w:p>
    <w:p w14:paraId="4B60CA15" w14:textId="31E9B1C4" w:rsidR="6848D6EE" w:rsidRDefault="6848D6EE" w:rsidP="50FF6E60">
      <w:pPr>
        <w:spacing w:before="240" w:after="240"/>
        <w:jc w:val="both"/>
      </w:pPr>
      <w:r w:rsidRPr="50FF6E60">
        <w:rPr>
          <w:rFonts w:ascii="Aptos Display" w:eastAsia="Aptos Display" w:hAnsi="Aptos Display" w:cs="Aptos Display"/>
        </w:rPr>
        <w:t xml:space="preserve">Iraqi education unions have been the most vocal about the need for the government to spend more money on public education to deal with these problems. The government recently decided to hire more than 300,000 more teachers in the public sector because they continued to argue for it. In Iraq, the Go Public! Fund Education campaign officially started in September 2023. A group from Education International went to Baghdad to meet with the president and prime minister, as well as the Iraqi Teachers' Unions and EI member groups in Arab countries. On May 6 and 7, 2024, Education International, the Iraq Teachers Union (ITU), and the Kurdistan Teachers Union (KTU) held a planning session in Baghdad. The goal was to gather together </w:t>
      </w:r>
      <w:r w:rsidRPr="50FF6E60">
        <w:rPr>
          <w:rFonts w:ascii="Aptos Display" w:eastAsia="Aptos Display" w:hAnsi="Aptos Display" w:cs="Aptos Display"/>
        </w:rPr>
        <w:lastRenderedPageBreak/>
        <w:t xml:space="preserve">essential union members to come up with more plans for the Go Public! Fund Education campaign. The Go Public! Fund Education campaign from Education International pushes for policies that make sure public education around the world has enough money and resources. The campaign's goal is to create fair and democratic societies where every child has access to a good education. It does this by saying that investing in education means investing in the future. The UN High-Level Panel on the Teaching Profession also says that countries should put teachers first when it comes to spending money. This means better training for teachers, more pay, and chances for professional growth, all of which are necessary for building a good education system (Education International, 2024). </w:t>
      </w:r>
    </w:p>
    <w:p w14:paraId="610F151F" w14:textId="78114997" w:rsidR="6848D6EE" w:rsidRDefault="6848D6EE" w:rsidP="50FF6E60">
      <w:pPr>
        <w:spacing w:before="240" w:after="240"/>
        <w:jc w:val="both"/>
      </w:pPr>
      <w:r w:rsidRPr="50FF6E60">
        <w:rPr>
          <w:rFonts w:ascii="Aptos Display" w:eastAsia="Aptos Display" w:hAnsi="Aptos Display" w:cs="Aptos Display"/>
        </w:rPr>
        <w:t xml:space="preserve">With funding from the World Bank under the Iraq Emergency Operation for Development project (EODP), the Ministry of Education has rebuilt 26 schools between 2020 and 2023, providing over 10,000 children with new learning spaces. In addition, more than 5,000 teachers and counsellors have been trained in foundational literacy and numeracy skills and psycho-social support using an innovative cascade training model. As of 2023, this novel teacher training programme has been implemented in eight governorates and is being evaluated for national scale-up.  The project is also helping the Ministry of Education to set up digital infrastructure and streamline education data collection, which improves monitoring and evaluation of the education system. Overall, an estimated 135,000 students and over 5,000 educators benefited from project activities (World Bank, 2024). While international aid initiatives have contributed to rebuilding infrastructure and improving access to education in Iraq, critics argue that aid-driven reforms often prioritise donor agendas, short-term targets, and measurable outputs over locally grounded, long-term educational transformation. </w:t>
      </w:r>
    </w:p>
    <w:p w14:paraId="63D0AABE" w14:textId="005B6A25" w:rsidR="6848D6EE" w:rsidRDefault="6848D6EE" w:rsidP="50FF6E60">
      <w:pPr>
        <w:spacing w:before="240" w:after="240"/>
        <w:jc w:val="both"/>
      </w:pPr>
      <w:r w:rsidRPr="50FF6E60">
        <w:rPr>
          <w:rFonts w:ascii="Aptos Display" w:eastAsia="Aptos Display" w:hAnsi="Aptos Display" w:cs="Aptos Display"/>
        </w:rPr>
        <w:t>This essay has carefully analysed the global barriers to educational access, using Iraq as a case study, and has shown how violence, displacement, gender disparity, ineffective governance, and persistent underinvestment converge to impede children's right to decent education. The findings indicate that educational inequality in Iraq is systemic rather than coincidental, with girls, displaced children, and children with disabilities being disproportionately disadvantaged despite the presence of robust international human rights frameworks such as the UDHR, UNCRC, and the Sustainable Development Goals. The continuing disparity between global commitments and local realities highlights the shortcomings of policy frameworks lacking good governance, sufficient resources, and contextual awareness.</w:t>
      </w:r>
      <w:r>
        <w:br/>
      </w:r>
      <w:r w:rsidRPr="50FF6E60">
        <w:rPr>
          <w:rFonts w:ascii="Aptos Display" w:eastAsia="Aptos Display" w:hAnsi="Aptos Display" w:cs="Aptos Display"/>
        </w:rPr>
        <w:t xml:space="preserve"> </w:t>
      </w:r>
      <w:r>
        <w:br/>
      </w:r>
      <w:r w:rsidRPr="50FF6E60">
        <w:rPr>
          <w:rFonts w:ascii="Aptos Display" w:eastAsia="Aptos Display" w:hAnsi="Aptos Display" w:cs="Aptos Display"/>
        </w:rPr>
        <w:t xml:space="preserve">The analysis indicates that although international organisations and assistance projects have aided in reconstructing educational infrastructure and enhancing access, these efforts frequently lack longevity and are driven by funding sources, which raises issues about sustainability and national ownership. The continuous disruption of education in Iraq not only jeopardises individual opportunities but also undermines long-term social cohesion, economic progress, and peacebuilding efforts, particularly from a sustainability standpoint. This essay advocates for a shift towards long-term, rights-based, and gender-sensitive educational reform </w:t>
      </w:r>
      <w:r w:rsidRPr="50FF6E60">
        <w:rPr>
          <w:rFonts w:ascii="Aptos Display" w:eastAsia="Aptos Display" w:hAnsi="Aptos Display" w:cs="Aptos Display"/>
        </w:rPr>
        <w:lastRenderedPageBreak/>
        <w:t xml:space="preserve">that prioritises national ownership and considers local contexts to effectively address these challenges. Sustained investment in teachers, inclusive facilities, and trauma-informed pedagogy is essential for rebuilding trust in the educational system and providing effective support to vulnerable students. Moreover, incorporating Education for Sustainable Development into national curricula helps enhance resilience and foster social and environmental accountability. In conclusion, achieving fair and sustainable global education requires moving beyond legal obligations and short-term aid to implement transformative, context-specific governance and investment strategies. </w:t>
      </w:r>
    </w:p>
    <w:p w14:paraId="3C2D693D" w14:textId="12F7D166" w:rsidR="6848D6EE" w:rsidRDefault="6848D6EE" w:rsidP="50FF6E60">
      <w:pPr>
        <w:spacing w:before="240" w:after="240"/>
        <w:jc w:val="both"/>
      </w:pPr>
      <w:r w:rsidRPr="50FF6E60">
        <w:rPr>
          <w:rFonts w:ascii="Aptos Display" w:eastAsia="Aptos Display" w:hAnsi="Aptos Display" w:cs="Aptos Display"/>
        </w:rPr>
        <w:t xml:space="preserve"> </w:t>
      </w:r>
    </w:p>
    <w:p w14:paraId="64E3E2E3" w14:textId="57B79CCD" w:rsidR="6848D6EE" w:rsidRDefault="6848D6EE" w:rsidP="50FF6E60">
      <w:pPr>
        <w:spacing w:before="240" w:after="240"/>
        <w:jc w:val="both"/>
        <w:rPr>
          <w:rFonts w:ascii="Aptos Display" w:eastAsia="Aptos Display" w:hAnsi="Aptos Display" w:cs="Aptos Display"/>
          <w:b/>
          <w:bCs/>
        </w:rPr>
      </w:pPr>
      <w:r w:rsidRPr="50FF6E60">
        <w:rPr>
          <w:rFonts w:ascii="Aptos Display" w:eastAsia="Aptos Display" w:hAnsi="Aptos Display" w:cs="Aptos Display"/>
          <w:b/>
          <w:bCs/>
        </w:rPr>
        <w:t xml:space="preserve">Reference list: </w:t>
      </w:r>
    </w:p>
    <w:p w14:paraId="19DAD50D" w14:textId="36ED8B6B" w:rsidR="6848D6EE" w:rsidRDefault="6848D6EE" w:rsidP="50FF6E60">
      <w:pPr>
        <w:spacing w:before="240" w:after="240"/>
        <w:jc w:val="both"/>
      </w:pPr>
      <w:r w:rsidRPr="50FF6E60">
        <w:rPr>
          <w:rFonts w:ascii="Aptos Display" w:eastAsia="Aptos Display" w:hAnsi="Aptos Display" w:cs="Aptos Display"/>
        </w:rPr>
        <w:t xml:space="preserve">ACAPS (2020). </w:t>
      </w:r>
      <w:r w:rsidRPr="50FF6E60">
        <w:rPr>
          <w:rFonts w:ascii="Aptos Display" w:eastAsia="Aptos Display" w:hAnsi="Aptos Display" w:cs="Aptos Display"/>
          <w:i/>
          <w:iCs/>
        </w:rPr>
        <w:t>Education in Iraq: Thematic report</w:t>
      </w:r>
      <w:r w:rsidRPr="50FF6E60">
        <w:rPr>
          <w:rFonts w:ascii="Aptos Display" w:eastAsia="Aptos Display" w:hAnsi="Aptos Display" w:cs="Aptos Display"/>
        </w:rPr>
        <w:t xml:space="preserve">. Geneva: ACAPS. Available at: </w:t>
      </w:r>
      <w:hyperlink r:id="rId7">
        <w:r w:rsidRPr="50FF6E60">
          <w:rPr>
            <w:rStyle w:val="Hyperlink"/>
            <w:rFonts w:ascii="Aptos Display" w:eastAsia="Aptos Display" w:hAnsi="Aptos Display" w:cs="Aptos Display"/>
          </w:rPr>
          <w:t>https://www.acaps.org/fileadmin/Data_Product/Main_media/20201109_acaps_thematic_report_on_education_in_iraq.pdf</w:t>
        </w:r>
      </w:hyperlink>
      <w:r w:rsidRPr="50FF6E60">
        <w:rPr>
          <w:rFonts w:ascii="Aptos Display" w:eastAsia="Aptos Display" w:hAnsi="Aptos Display" w:cs="Aptos Display"/>
        </w:rPr>
        <w:t xml:space="preserve"> (Accessed: 20 January 2026). </w:t>
      </w:r>
    </w:p>
    <w:p w14:paraId="258C5A8A" w14:textId="2590B6CB" w:rsidR="6848D6EE" w:rsidRDefault="6848D6EE" w:rsidP="50FF6E60">
      <w:pPr>
        <w:spacing w:before="240" w:after="240"/>
        <w:jc w:val="both"/>
      </w:pPr>
      <w:r w:rsidRPr="50FF6E60">
        <w:rPr>
          <w:rFonts w:ascii="Aptos Display" w:eastAsia="Aptos Display" w:hAnsi="Aptos Display" w:cs="Aptos Display"/>
        </w:rPr>
        <w:t xml:space="preserve">BMZ – Federal Ministry for Economic Cooperation and Development (n.d.) </w:t>
      </w:r>
      <w:r w:rsidRPr="50FF6E60">
        <w:rPr>
          <w:rFonts w:ascii="Aptos Display" w:eastAsia="Aptos Display" w:hAnsi="Aptos Display" w:cs="Aptos Display"/>
          <w:i/>
          <w:iCs/>
        </w:rPr>
        <w:t>Education in developing countries</w:t>
      </w:r>
      <w:r w:rsidRPr="50FF6E60">
        <w:rPr>
          <w:rFonts w:ascii="Aptos Display" w:eastAsia="Aptos Display" w:hAnsi="Aptos Display" w:cs="Aptos Display"/>
        </w:rPr>
        <w:t xml:space="preserve">. Available at: </w:t>
      </w:r>
      <w:hyperlink r:id="rId8">
        <w:r w:rsidRPr="50FF6E60">
          <w:rPr>
            <w:rStyle w:val="Hyperlink"/>
            <w:rFonts w:ascii="Aptos Display" w:eastAsia="Aptos Display" w:hAnsi="Aptos Display" w:cs="Aptos Display"/>
          </w:rPr>
          <w:t>https://www.bmz.de/en/issues/education-a-human-right/education-in-developing-countries-197598</w:t>
        </w:r>
      </w:hyperlink>
      <w:r w:rsidRPr="50FF6E60">
        <w:rPr>
          <w:rFonts w:ascii="Aptos Display" w:eastAsia="Aptos Display" w:hAnsi="Aptos Display" w:cs="Aptos Display"/>
        </w:rPr>
        <w:t xml:space="preserve"> (Accessed: 20 January 2026). </w:t>
      </w:r>
    </w:p>
    <w:p w14:paraId="594CADD1" w14:textId="0D15C21E" w:rsidR="6848D6EE" w:rsidRDefault="6848D6EE" w:rsidP="50FF6E60">
      <w:pPr>
        <w:spacing w:before="240" w:after="240"/>
        <w:jc w:val="both"/>
      </w:pPr>
      <w:r w:rsidRPr="50FF6E60">
        <w:rPr>
          <w:rFonts w:ascii="Aptos Display" w:eastAsia="Aptos Display" w:hAnsi="Aptos Display" w:cs="Aptos Display"/>
        </w:rPr>
        <w:t xml:space="preserve">CARE (2020). </w:t>
      </w:r>
      <w:r w:rsidRPr="50FF6E60">
        <w:rPr>
          <w:rFonts w:ascii="Aptos Display" w:eastAsia="Aptos Display" w:hAnsi="Aptos Display" w:cs="Aptos Display"/>
          <w:i/>
          <w:iCs/>
        </w:rPr>
        <w:t>Gender and education in crisis contexts</w:t>
      </w:r>
      <w:r w:rsidRPr="50FF6E60">
        <w:rPr>
          <w:rFonts w:ascii="Aptos Display" w:eastAsia="Aptos Display" w:hAnsi="Aptos Display" w:cs="Aptos Display"/>
        </w:rPr>
        <w:t xml:space="preserve">. Available at: </w:t>
      </w:r>
      <w:hyperlink r:id="rId9">
        <w:r w:rsidRPr="50FF6E60">
          <w:rPr>
            <w:rStyle w:val="Hyperlink"/>
            <w:rFonts w:ascii="Aptos Display" w:eastAsia="Aptos Display" w:hAnsi="Aptos Display" w:cs="Aptos Display"/>
          </w:rPr>
          <w:t>https://www.care.org</w:t>
        </w:r>
      </w:hyperlink>
      <w:r w:rsidRPr="50FF6E60">
        <w:rPr>
          <w:rFonts w:ascii="Aptos Display" w:eastAsia="Aptos Display" w:hAnsi="Aptos Display" w:cs="Aptos Display"/>
        </w:rPr>
        <w:t xml:space="preserve"> (Accessed: 30 January 2026). </w:t>
      </w:r>
    </w:p>
    <w:p w14:paraId="3EB60985" w14:textId="2C905C71" w:rsidR="6848D6EE" w:rsidRDefault="6848D6EE" w:rsidP="50FF6E60">
      <w:pPr>
        <w:spacing w:before="240" w:after="240"/>
        <w:jc w:val="both"/>
      </w:pPr>
      <w:r w:rsidRPr="50FF6E60">
        <w:rPr>
          <w:rFonts w:ascii="Aptos Display" w:eastAsia="Aptos Display" w:hAnsi="Aptos Display" w:cs="Aptos Display"/>
        </w:rPr>
        <w:t xml:space="preserve">Education International (2024) </w:t>
      </w:r>
      <w:r w:rsidRPr="50FF6E60">
        <w:rPr>
          <w:rFonts w:ascii="Aptos Display" w:eastAsia="Aptos Display" w:hAnsi="Aptos Display" w:cs="Aptos Display"/>
          <w:i/>
          <w:iCs/>
        </w:rPr>
        <w:t>Go public! Strengthening Iraq’s public education system</w:t>
      </w:r>
      <w:r w:rsidRPr="50FF6E60">
        <w:rPr>
          <w:rFonts w:ascii="Aptos Display" w:eastAsia="Aptos Display" w:hAnsi="Aptos Display" w:cs="Aptos Display"/>
        </w:rPr>
        <w:t xml:space="preserve">. Available at: </w:t>
      </w:r>
      <w:hyperlink r:id="rId10">
        <w:r w:rsidRPr="50FF6E60">
          <w:rPr>
            <w:rStyle w:val="Hyperlink"/>
            <w:rFonts w:ascii="Aptos Display" w:eastAsia="Aptos Display" w:hAnsi="Aptos Display" w:cs="Aptos Display"/>
          </w:rPr>
          <w:t>https://www.ei-ie.org/en/item/28658:go-public-strengthening-iraqs-public-education-system</w:t>
        </w:r>
      </w:hyperlink>
      <w:r w:rsidRPr="50FF6E60">
        <w:rPr>
          <w:rFonts w:ascii="Aptos Display" w:eastAsia="Aptos Display" w:hAnsi="Aptos Display" w:cs="Aptos Display"/>
        </w:rPr>
        <w:t xml:space="preserve"> (Accessed: 10 January 2026). </w:t>
      </w:r>
    </w:p>
    <w:p w14:paraId="6643FE7B" w14:textId="38E55133" w:rsidR="6848D6EE" w:rsidRDefault="6848D6EE" w:rsidP="50FF6E60">
      <w:pPr>
        <w:spacing w:before="240" w:after="240"/>
        <w:jc w:val="both"/>
      </w:pPr>
      <w:r w:rsidRPr="50FF6E60">
        <w:rPr>
          <w:rFonts w:ascii="Aptos Display" w:eastAsia="Aptos Display" w:hAnsi="Aptos Display" w:cs="Aptos Display"/>
        </w:rPr>
        <w:t xml:space="preserve">Ekundayo, O. (2015) ‘Does the African Charter on the Rights and Welfare of the Child (ACRWC) only underline and repeat the Convention on the Rights of the Child (CRC)’s provisions? Examining the similarities and the differences between the ACRWC and the CRC’, </w:t>
      </w:r>
      <w:r w:rsidRPr="50FF6E60">
        <w:rPr>
          <w:rFonts w:ascii="Aptos Display" w:eastAsia="Aptos Display" w:hAnsi="Aptos Display" w:cs="Aptos Display"/>
          <w:i/>
          <w:iCs/>
        </w:rPr>
        <w:t>International Journal of Humanities and Social Science</w:t>
      </w:r>
      <w:r w:rsidRPr="50FF6E60">
        <w:rPr>
          <w:rFonts w:ascii="Aptos Display" w:eastAsia="Aptos Display" w:hAnsi="Aptos Display" w:cs="Aptos Display"/>
        </w:rPr>
        <w:t xml:space="preserve">, 5(7), pp. 125–134. Available at: </w:t>
      </w:r>
      <w:hyperlink r:id="rId11">
        <w:r w:rsidRPr="50FF6E60">
          <w:rPr>
            <w:rStyle w:val="Hyperlink"/>
            <w:rFonts w:ascii="Aptos Display" w:eastAsia="Aptos Display" w:hAnsi="Aptos Display" w:cs="Aptos Display"/>
          </w:rPr>
          <w:t>https://ijhss.thebrpi.org/journals/Vol_5_No_7_1_July_2015/17.pdf</w:t>
        </w:r>
      </w:hyperlink>
      <w:r w:rsidRPr="50FF6E60">
        <w:rPr>
          <w:rFonts w:ascii="Aptos Display" w:eastAsia="Aptos Display" w:hAnsi="Aptos Display" w:cs="Aptos Display"/>
        </w:rPr>
        <w:t xml:space="preserve"> (Accessed: 09 January 2026). </w:t>
      </w:r>
    </w:p>
    <w:p w14:paraId="42FAC591" w14:textId="0B84FFCB" w:rsidR="6848D6EE" w:rsidRDefault="6848D6EE" w:rsidP="50FF6E60">
      <w:pPr>
        <w:spacing w:before="240" w:after="240"/>
        <w:jc w:val="both"/>
      </w:pPr>
      <w:r w:rsidRPr="50FF6E60">
        <w:rPr>
          <w:rFonts w:ascii="Aptos Display" w:eastAsia="Aptos Display" w:hAnsi="Aptos Display" w:cs="Aptos Display"/>
        </w:rPr>
        <w:t xml:space="preserve">Fennell, S. and Arnot, M. (eds.) (2008) </w:t>
      </w:r>
      <w:r w:rsidRPr="50FF6E60">
        <w:rPr>
          <w:rFonts w:ascii="Aptos Display" w:eastAsia="Aptos Display" w:hAnsi="Aptos Display" w:cs="Aptos Display"/>
          <w:i/>
          <w:iCs/>
        </w:rPr>
        <w:t>Gender, education and equality in a global context</w:t>
      </w:r>
      <w:r w:rsidRPr="50FF6E60">
        <w:rPr>
          <w:rFonts w:ascii="Aptos Display" w:eastAsia="Aptos Display" w:hAnsi="Aptos Display" w:cs="Aptos Display"/>
        </w:rPr>
        <w:t xml:space="preserve">. London: Routledge. </w:t>
      </w:r>
    </w:p>
    <w:p w14:paraId="1EDDF465" w14:textId="25EF1484" w:rsidR="6848D6EE" w:rsidRDefault="6848D6EE" w:rsidP="50FF6E60">
      <w:pPr>
        <w:spacing w:before="240" w:after="240"/>
        <w:jc w:val="both"/>
      </w:pPr>
      <w:r w:rsidRPr="50FF6E60">
        <w:rPr>
          <w:rFonts w:ascii="Aptos Display" w:eastAsia="Aptos Display" w:hAnsi="Aptos Display" w:cs="Aptos Display"/>
        </w:rPr>
        <w:t xml:space="preserve">History &amp; Policy (n.d.) </w:t>
      </w:r>
      <w:r w:rsidRPr="50FF6E60">
        <w:rPr>
          <w:rFonts w:ascii="Aptos Display" w:eastAsia="Aptos Display" w:hAnsi="Aptos Display" w:cs="Aptos Display"/>
          <w:i/>
          <w:iCs/>
        </w:rPr>
        <w:t>Iraq: past, present and future – a thoroughly modern mandate</w:t>
      </w:r>
      <w:r w:rsidRPr="50FF6E60">
        <w:rPr>
          <w:rFonts w:ascii="Aptos Display" w:eastAsia="Aptos Display" w:hAnsi="Aptos Display" w:cs="Aptos Display"/>
        </w:rPr>
        <w:t xml:space="preserve">. Available at: </w:t>
      </w:r>
      <w:hyperlink r:id="rId12">
        <w:r w:rsidRPr="50FF6E60">
          <w:rPr>
            <w:rStyle w:val="Hyperlink"/>
            <w:rFonts w:ascii="Aptos Display" w:eastAsia="Aptos Display" w:hAnsi="Aptos Display" w:cs="Aptos Display"/>
          </w:rPr>
          <w:t>https://historyandpolicy.org/policy-papers/papers/iraq-past-present-and-future-a-thoroughly-modern-mandate/</w:t>
        </w:r>
      </w:hyperlink>
      <w:r w:rsidRPr="50FF6E60">
        <w:rPr>
          <w:rFonts w:ascii="Aptos Display" w:eastAsia="Aptos Display" w:hAnsi="Aptos Display" w:cs="Aptos Display"/>
        </w:rPr>
        <w:t xml:space="preserve"> (Accessed: 22 January 2026). </w:t>
      </w:r>
    </w:p>
    <w:p w14:paraId="27563732" w14:textId="4803849A" w:rsidR="6848D6EE" w:rsidRDefault="6848D6EE" w:rsidP="50FF6E60">
      <w:pPr>
        <w:spacing w:before="240" w:after="240"/>
        <w:jc w:val="both"/>
      </w:pPr>
      <w:r w:rsidRPr="50FF6E60">
        <w:rPr>
          <w:rFonts w:ascii="Aptos Display" w:eastAsia="Aptos Display" w:hAnsi="Aptos Display" w:cs="Aptos Display"/>
        </w:rPr>
        <w:lastRenderedPageBreak/>
        <w:t xml:space="preserve">International Monetary Fund (2018) </w:t>
      </w:r>
      <w:r w:rsidRPr="50FF6E60">
        <w:rPr>
          <w:rFonts w:ascii="Aptos Display" w:eastAsia="Aptos Display" w:hAnsi="Aptos Display" w:cs="Aptos Display"/>
          <w:i/>
          <w:iCs/>
        </w:rPr>
        <w:t>Globalisation: A brief overview</w:t>
      </w:r>
      <w:r w:rsidRPr="50FF6E60">
        <w:rPr>
          <w:rFonts w:ascii="Aptos Display" w:eastAsia="Aptos Display" w:hAnsi="Aptos Display" w:cs="Aptos Display"/>
        </w:rPr>
        <w:t xml:space="preserve">. Available at: </w:t>
      </w:r>
      <w:hyperlink r:id="rId13">
        <w:r w:rsidRPr="50FF6E60">
          <w:rPr>
            <w:rStyle w:val="Hyperlink"/>
            <w:rFonts w:ascii="Aptos Display" w:eastAsia="Aptos Display" w:hAnsi="Aptos Display" w:cs="Aptos Display"/>
          </w:rPr>
          <w:t>https://www.imf.org/en/Publications/fandd/issues/Series/Back-to-Basics/Globalization</w:t>
        </w:r>
      </w:hyperlink>
      <w:r w:rsidRPr="50FF6E60">
        <w:rPr>
          <w:rFonts w:ascii="Aptos Display" w:eastAsia="Aptos Display" w:hAnsi="Aptos Display" w:cs="Aptos Display"/>
        </w:rPr>
        <w:t xml:space="preserve"> (Accessed: 20 January 2026). </w:t>
      </w:r>
    </w:p>
    <w:p w14:paraId="633FE97B" w14:textId="361DDF3A" w:rsidR="6848D6EE" w:rsidRDefault="6848D6EE" w:rsidP="50FF6E60">
      <w:pPr>
        <w:spacing w:before="240" w:after="240"/>
        <w:jc w:val="both"/>
      </w:pPr>
      <w:r w:rsidRPr="50FF6E60">
        <w:rPr>
          <w:rFonts w:ascii="Aptos Display" w:eastAsia="Aptos Display" w:hAnsi="Aptos Display" w:cs="Aptos Display"/>
        </w:rPr>
        <w:t xml:space="preserve">Participate Learning (n.d.). </w:t>
      </w:r>
      <w:r w:rsidRPr="50FF6E60">
        <w:rPr>
          <w:rFonts w:ascii="Aptos Display" w:eastAsia="Aptos Display" w:hAnsi="Aptos Display" w:cs="Aptos Display"/>
          <w:i/>
          <w:iCs/>
        </w:rPr>
        <w:t>What are the benefits of global education for students?</w:t>
      </w:r>
      <w:r w:rsidRPr="50FF6E60">
        <w:rPr>
          <w:rFonts w:ascii="Aptos Display" w:eastAsia="Aptos Display" w:hAnsi="Aptos Display" w:cs="Aptos Display"/>
        </w:rPr>
        <w:t xml:space="preserve"> Available at: </w:t>
      </w:r>
      <w:hyperlink r:id="rId14">
        <w:r w:rsidRPr="50FF6E60">
          <w:rPr>
            <w:rStyle w:val="Hyperlink"/>
            <w:rFonts w:ascii="Aptos Display" w:eastAsia="Aptos Display" w:hAnsi="Aptos Display" w:cs="Aptos Display"/>
          </w:rPr>
          <w:t>https://www.participatelearning.com/blog/benefits-global-education-students/</w:t>
        </w:r>
      </w:hyperlink>
      <w:r w:rsidRPr="50FF6E60">
        <w:rPr>
          <w:rFonts w:ascii="Aptos Display" w:eastAsia="Aptos Display" w:hAnsi="Aptos Display" w:cs="Aptos Display"/>
        </w:rPr>
        <w:t xml:space="preserve"> (Accessed: 23 January 2026). </w:t>
      </w:r>
    </w:p>
    <w:p w14:paraId="1D8D01EF" w14:textId="6BBD83E6" w:rsidR="6848D6EE" w:rsidRDefault="6848D6EE" w:rsidP="50FF6E60">
      <w:pPr>
        <w:spacing w:before="240" w:after="240"/>
        <w:jc w:val="both"/>
      </w:pPr>
      <w:r w:rsidRPr="50FF6E60">
        <w:rPr>
          <w:rFonts w:ascii="Aptos Display" w:eastAsia="Aptos Display" w:hAnsi="Aptos Display" w:cs="Aptos Display"/>
        </w:rPr>
        <w:t xml:space="preserve">Peterson Institute for International Economics (n.d.). </w:t>
      </w:r>
      <w:r w:rsidRPr="50FF6E60">
        <w:rPr>
          <w:rFonts w:ascii="Aptos Display" w:eastAsia="Aptos Display" w:hAnsi="Aptos Display" w:cs="Aptos Display"/>
          <w:i/>
          <w:iCs/>
        </w:rPr>
        <w:t>What is globalisation?</w:t>
      </w:r>
      <w:r w:rsidRPr="50FF6E60">
        <w:rPr>
          <w:rFonts w:ascii="Aptos Display" w:eastAsia="Aptos Display" w:hAnsi="Aptos Display" w:cs="Aptos Display"/>
        </w:rPr>
        <w:t xml:space="preserve"> Available at: </w:t>
      </w:r>
      <w:hyperlink r:id="rId15">
        <w:r w:rsidRPr="50FF6E60">
          <w:rPr>
            <w:rStyle w:val="Hyperlink"/>
            <w:rFonts w:ascii="Aptos Display" w:eastAsia="Aptos Display" w:hAnsi="Aptos Display" w:cs="Aptos Display"/>
          </w:rPr>
          <w:t>https://www.piie.com/microsites/globalization/what-is-globalization</w:t>
        </w:r>
      </w:hyperlink>
      <w:r w:rsidRPr="50FF6E60">
        <w:rPr>
          <w:rFonts w:ascii="Aptos Display" w:eastAsia="Aptos Display" w:hAnsi="Aptos Display" w:cs="Aptos Display"/>
        </w:rPr>
        <w:t xml:space="preserve"> (Accessed: 10 January 2026). </w:t>
      </w:r>
    </w:p>
    <w:p w14:paraId="771A8658" w14:textId="72689CCB" w:rsidR="6848D6EE" w:rsidRDefault="6848D6EE" w:rsidP="50FF6E60">
      <w:pPr>
        <w:spacing w:before="240" w:after="240"/>
        <w:jc w:val="both"/>
      </w:pPr>
      <w:r w:rsidRPr="50FF6E60">
        <w:rPr>
          <w:rFonts w:ascii="Aptos Display" w:eastAsia="Aptos Display" w:hAnsi="Aptos Display" w:cs="Aptos Display"/>
        </w:rPr>
        <w:t xml:space="preserve">CARE (2020). </w:t>
      </w:r>
      <w:r w:rsidRPr="50FF6E60">
        <w:rPr>
          <w:rFonts w:ascii="Aptos Display" w:eastAsia="Aptos Display" w:hAnsi="Aptos Display" w:cs="Aptos Display"/>
          <w:i/>
          <w:iCs/>
        </w:rPr>
        <w:t>Gender and education in crisis contexts</w:t>
      </w:r>
      <w:r w:rsidRPr="50FF6E60">
        <w:rPr>
          <w:rFonts w:ascii="Aptos Display" w:eastAsia="Aptos Display" w:hAnsi="Aptos Display" w:cs="Aptos Display"/>
        </w:rPr>
        <w:t xml:space="preserve">. Available at: </w:t>
      </w:r>
      <w:hyperlink r:id="rId16">
        <w:r w:rsidRPr="50FF6E60">
          <w:rPr>
            <w:rStyle w:val="Hyperlink"/>
            <w:rFonts w:ascii="Aptos Display" w:eastAsia="Aptos Display" w:hAnsi="Aptos Display" w:cs="Aptos Display"/>
          </w:rPr>
          <w:t>https://www.care.org</w:t>
        </w:r>
      </w:hyperlink>
      <w:r w:rsidRPr="50FF6E60">
        <w:rPr>
          <w:rFonts w:ascii="Aptos Display" w:eastAsia="Aptos Display" w:hAnsi="Aptos Display" w:cs="Aptos Display"/>
        </w:rPr>
        <w:t xml:space="preserve"> (Accessed: 25 January 2026). </w:t>
      </w:r>
    </w:p>
    <w:p w14:paraId="43633EEA" w14:textId="6958E245" w:rsidR="6848D6EE" w:rsidRDefault="6848D6EE" w:rsidP="50FF6E60">
      <w:pPr>
        <w:spacing w:before="240" w:after="240"/>
        <w:jc w:val="both"/>
      </w:pPr>
      <w:r w:rsidRPr="50FF6E60">
        <w:rPr>
          <w:rFonts w:ascii="Aptos Display" w:eastAsia="Aptos Display" w:hAnsi="Aptos Display" w:cs="Aptos Display"/>
        </w:rPr>
        <w:t xml:space="preserve">SEEd (n.d.). </w:t>
      </w:r>
      <w:r w:rsidRPr="50FF6E60">
        <w:rPr>
          <w:rFonts w:ascii="Aptos Display" w:eastAsia="Aptos Display" w:hAnsi="Aptos Display" w:cs="Aptos Display"/>
          <w:i/>
          <w:iCs/>
        </w:rPr>
        <w:t>Our history</w:t>
      </w:r>
      <w:r w:rsidRPr="50FF6E60">
        <w:rPr>
          <w:rFonts w:ascii="Aptos Display" w:eastAsia="Aptos Display" w:hAnsi="Aptos Display" w:cs="Aptos Display"/>
        </w:rPr>
        <w:t xml:space="preserve">. Available at: </w:t>
      </w:r>
      <w:hyperlink r:id="rId17">
        <w:r w:rsidRPr="50FF6E60">
          <w:rPr>
            <w:rStyle w:val="Hyperlink"/>
            <w:rFonts w:ascii="Aptos Display" w:eastAsia="Aptos Display" w:hAnsi="Aptos Display" w:cs="Aptos Display"/>
          </w:rPr>
          <w:t>https://se-ed.org.uk/about-us/our-history/</w:t>
        </w:r>
      </w:hyperlink>
      <w:r w:rsidRPr="50FF6E60">
        <w:rPr>
          <w:rFonts w:ascii="Aptos Display" w:eastAsia="Aptos Display" w:hAnsi="Aptos Display" w:cs="Aptos Display"/>
        </w:rPr>
        <w:t xml:space="preserve"> (Accessed: 25 January 2026). </w:t>
      </w:r>
    </w:p>
    <w:p w14:paraId="11C196E3" w14:textId="13B1DDE6" w:rsidR="6848D6EE" w:rsidRDefault="6848D6EE" w:rsidP="50FF6E60">
      <w:pPr>
        <w:spacing w:before="240" w:after="240"/>
        <w:jc w:val="both"/>
      </w:pPr>
      <w:r w:rsidRPr="50FF6E60">
        <w:rPr>
          <w:rFonts w:ascii="Aptos Display" w:eastAsia="Aptos Display" w:hAnsi="Aptos Display" w:cs="Aptos Display"/>
        </w:rPr>
        <w:t xml:space="preserve">Sustainability Directory (n.d.). </w:t>
      </w:r>
      <w:r w:rsidRPr="50FF6E60">
        <w:rPr>
          <w:rFonts w:ascii="Aptos Display" w:eastAsia="Aptos Display" w:hAnsi="Aptos Display" w:cs="Aptos Display"/>
          <w:i/>
          <w:iCs/>
        </w:rPr>
        <w:t>Childhood globalisation</w:t>
      </w:r>
      <w:r w:rsidRPr="50FF6E60">
        <w:rPr>
          <w:rFonts w:ascii="Aptos Display" w:eastAsia="Aptos Display" w:hAnsi="Aptos Display" w:cs="Aptos Display"/>
        </w:rPr>
        <w:t xml:space="preserve">. Available at: </w:t>
      </w:r>
      <w:hyperlink r:id="rId18">
        <w:r w:rsidRPr="50FF6E60">
          <w:rPr>
            <w:rStyle w:val="Hyperlink"/>
            <w:rFonts w:ascii="Aptos Display" w:eastAsia="Aptos Display" w:hAnsi="Aptos Display" w:cs="Aptos Display"/>
          </w:rPr>
          <w:t>https://lifestyle.sustainability-directory.com/area/childhood-globalisation/</w:t>
        </w:r>
      </w:hyperlink>
      <w:r w:rsidRPr="50FF6E60">
        <w:rPr>
          <w:rFonts w:ascii="Aptos Display" w:eastAsia="Aptos Display" w:hAnsi="Aptos Display" w:cs="Aptos Display"/>
        </w:rPr>
        <w:t xml:space="preserve"> (Accessed: 09 January 2026). </w:t>
      </w:r>
    </w:p>
    <w:p w14:paraId="3293C806" w14:textId="789EF548" w:rsidR="6848D6EE" w:rsidRDefault="6848D6EE" w:rsidP="50FF6E60">
      <w:pPr>
        <w:spacing w:before="240" w:after="240"/>
        <w:jc w:val="both"/>
      </w:pPr>
      <w:r w:rsidRPr="50FF6E60">
        <w:rPr>
          <w:rFonts w:ascii="Aptos Display" w:eastAsia="Aptos Display" w:hAnsi="Aptos Display" w:cs="Aptos Display"/>
        </w:rPr>
        <w:t xml:space="preserve">Teach For Life (n.d.). </w:t>
      </w:r>
      <w:r w:rsidRPr="50FF6E60">
        <w:rPr>
          <w:rFonts w:ascii="Aptos Display" w:eastAsia="Aptos Display" w:hAnsi="Aptos Display" w:cs="Aptos Display"/>
          <w:i/>
          <w:iCs/>
        </w:rPr>
        <w:t>The importance of a global perspective in education</w:t>
      </w:r>
      <w:r w:rsidRPr="50FF6E60">
        <w:rPr>
          <w:rFonts w:ascii="Aptos Display" w:eastAsia="Aptos Display" w:hAnsi="Aptos Display" w:cs="Aptos Display"/>
        </w:rPr>
        <w:t xml:space="preserve">. Available at: </w:t>
      </w:r>
      <w:hyperlink r:id="rId19">
        <w:r w:rsidRPr="50FF6E60">
          <w:rPr>
            <w:rStyle w:val="Hyperlink"/>
            <w:rFonts w:ascii="Aptos Display" w:eastAsia="Aptos Display" w:hAnsi="Aptos Display" w:cs="Aptos Display"/>
          </w:rPr>
          <w:t>https://www.teachforlife.com/post/the-importance-of-a-global-perspective-in-education</w:t>
        </w:r>
      </w:hyperlink>
      <w:r w:rsidRPr="50FF6E60">
        <w:rPr>
          <w:rFonts w:ascii="Aptos Display" w:eastAsia="Aptos Display" w:hAnsi="Aptos Display" w:cs="Aptos Display"/>
        </w:rPr>
        <w:t xml:space="preserve"> (Accessed: 20 January 2026). </w:t>
      </w:r>
    </w:p>
    <w:p w14:paraId="5294784D" w14:textId="1CD96E83" w:rsidR="6848D6EE" w:rsidRDefault="6848D6EE" w:rsidP="50FF6E60">
      <w:pPr>
        <w:spacing w:before="240" w:after="240"/>
        <w:jc w:val="both"/>
      </w:pPr>
      <w:r w:rsidRPr="50FF6E60">
        <w:rPr>
          <w:rFonts w:ascii="Aptos Display" w:eastAsia="Aptos Display" w:hAnsi="Aptos Display" w:cs="Aptos Display"/>
        </w:rPr>
        <w:t xml:space="preserve">UNESCO (2023). </w:t>
      </w:r>
      <w:r w:rsidRPr="50FF6E60">
        <w:rPr>
          <w:rFonts w:ascii="Aptos Display" w:eastAsia="Aptos Display" w:hAnsi="Aptos Display" w:cs="Aptos Display"/>
          <w:i/>
          <w:iCs/>
        </w:rPr>
        <w:t>Equity and access</w:t>
      </w:r>
      <w:r w:rsidRPr="50FF6E60">
        <w:rPr>
          <w:rFonts w:ascii="Aptos Display" w:eastAsia="Aptos Display" w:hAnsi="Aptos Display" w:cs="Aptos Display"/>
        </w:rPr>
        <w:t xml:space="preserve">. Global Education Monitoring Report. Available at: </w:t>
      </w:r>
      <w:hyperlink r:id="rId20">
        <w:r w:rsidRPr="50FF6E60">
          <w:rPr>
            <w:rStyle w:val="Hyperlink"/>
            <w:rFonts w:ascii="Aptos Display" w:eastAsia="Aptos Display" w:hAnsi="Aptos Display" w:cs="Aptos Display"/>
          </w:rPr>
          <w:t>https://www.unesco.org/gem-report/en/publication/equity-and-access</w:t>
        </w:r>
      </w:hyperlink>
      <w:r w:rsidRPr="50FF6E60">
        <w:rPr>
          <w:rFonts w:ascii="Aptos Display" w:eastAsia="Aptos Display" w:hAnsi="Aptos Display" w:cs="Aptos Display"/>
        </w:rPr>
        <w:t xml:space="preserve"> (Accessed: 15 January 2026). </w:t>
      </w:r>
    </w:p>
    <w:p w14:paraId="189FE815" w14:textId="7B7F6A84" w:rsidR="6848D6EE" w:rsidRDefault="6848D6EE" w:rsidP="50FF6E60">
      <w:pPr>
        <w:spacing w:before="240" w:after="240"/>
        <w:jc w:val="both"/>
      </w:pPr>
      <w:r w:rsidRPr="50FF6E60">
        <w:rPr>
          <w:rFonts w:ascii="Aptos Display" w:eastAsia="Aptos Display" w:hAnsi="Aptos Display" w:cs="Aptos Display"/>
        </w:rPr>
        <w:t xml:space="preserve">UNESCO (2024) </w:t>
      </w:r>
      <w:r w:rsidRPr="50FF6E60">
        <w:rPr>
          <w:rFonts w:ascii="Aptos Display" w:eastAsia="Aptos Display" w:hAnsi="Aptos Display" w:cs="Aptos Display"/>
          <w:i/>
          <w:iCs/>
        </w:rPr>
        <w:t>251 million children and youth still out of school despite decades of progress, UNESCO report</w:t>
      </w:r>
      <w:r w:rsidRPr="50FF6E60">
        <w:rPr>
          <w:rFonts w:ascii="Aptos Display" w:eastAsia="Aptos Display" w:hAnsi="Aptos Display" w:cs="Aptos Display"/>
        </w:rPr>
        <w:t xml:space="preserve">. Available at: </w:t>
      </w:r>
      <w:hyperlink r:id="rId21">
        <w:r w:rsidRPr="50FF6E60">
          <w:rPr>
            <w:rStyle w:val="Hyperlink"/>
            <w:rFonts w:ascii="Aptos Display" w:eastAsia="Aptos Display" w:hAnsi="Aptos Display" w:cs="Aptos Display"/>
          </w:rPr>
          <w:t>https://www.unesco.org/en/articles/251m-children-and-youth-still-out-school-despite-decades-progress-unesco-report</w:t>
        </w:r>
      </w:hyperlink>
      <w:r w:rsidRPr="50FF6E60">
        <w:rPr>
          <w:rFonts w:ascii="Aptos Display" w:eastAsia="Aptos Display" w:hAnsi="Aptos Display" w:cs="Aptos Display"/>
        </w:rPr>
        <w:t xml:space="preserve"> (Accessed: 27 January 2026). </w:t>
      </w:r>
    </w:p>
    <w:p w14:paraId="03024C09" w14:textId="702D69C6" w:rsidR="6848D6EE" w:rsidRDefault="6848D6EE" w:rsidP="50FF6E60">
      <w:pPr>
        <w:spacing w:before="240" w:after="240"/>
        <w:jc w:val="both"/>
      </w:pPr>
      <w:r w:rsidRPr="50FF6E60">
        <w:rPr>
          <w:rFonts w:ascii="Aptos Display" w:eastAsia="Aptos Display" w:hAnsi="Aptos Display" w:cs="Aptos Display"/>
        </w:rPr>
        <w:t xml:space="preserve">UNESCO (2025) </w:t>
      </w:r>
      <w:r w:rsidRPr="50FF6E60">
        <w:rPr>
          <w:rFonts w:ascii="Aptos Display" w:eastAsia="Aptos Display" w:hAnsi="Aptos Display" w:cs="Aptos Display"/>
          <w:i/>
          <w:iCs/>
        </w:rPr>
        <w:t>Education for sustainable development</w:t>
      </w:r>
      <w:r w:rsidRPr="50FF6E60">
        <w:rPr>
          <w:rFonts w:ascii="Aptos Display" w:eastAsia="Aptos Display" w:hAnsi="Aptos Display" w:cs="Aptos Display"/>
        </w:rPr>
        <w:t xml:space="preserve">. Available at: </w:t>
      </w:r>
      <w:hyperlink r:id="rId22">
        <w:r w:rsidRPr="50FF6E60">
          <w:rPr>
            <w:rStyle w:val="Hyperlink"/>
            <w:rFonts w:ascii="Aptos Display" w:eastAsia="Aptos Display" w:hAnsi="Aptos Display" w:cs="Aptos Display"/>
          </w:rPr>
          <w:t>https://www.unesco.org/en/sustainable-development/education</w:t>
        </w:r>
      </w:hyperlink>
      <w:r w:rsidRPr="50FF6E60">
        <w:rPr>
          <w:rFonts w:ascii="Aptos Display" w:eastAsia="Aptos Display" w:hAnsi="Aptos Display" w:cs="Aptos Display"/>
        </w:rPr>
        <w:t xml:space="preserve"> (Accessed: 23 January 2026). </w:t>
      </w:r>
    </w:p>
    <w:p w14:paraId="6A9AAD5A" w14:textId="3C755B39" w:rsidR="6848D6EE" w:rsidRDefault="6848D6EE" w:rsidP="50FF6E60">
      <w:pPr>
        <w:spacing w:before="240" w:after="240"/>
        <w:jc w:val="both"/>
      </w:pPr>
      <w:r w:rsidRPr="50FF6E60">
        <w:rPr>
          <w:rFonts w:ascii="Aptos Display" w:eastAsia="Aptos Display" w:hAnsi="Aptos Display" w:cs="Aptos Display"/>
        </w:rPr>
        <w:t xml:space="preserve">UNICEF (2018). </w:t>
      </w:r>
      <w:r w:rsidRPr="50FF6E60">
        <w:rPr>
          <w:rFonts w:ascii="Aptos Display" w:eastAsia="Aptos Display" w:hAnsi="Aptos Display" w:cs="Aptos Display"/>
          <w:i/>
          <w:iCs/>
        </w:rPr>
        <w:t>Education</w:t>
      </w:r>
      <w:r w:rsidRPr="50FF6E60">
        <w:rPr>
          <w:rFonts w:ascii="Aptos Display" w:eastAsia="Aptos Display" w:hAnsi="Aptos Display" w:cs="Aptos Display"/>
        </w:rPr>
        <w:t xml:space="preserve">. UNICEF Iraq. Available at: </w:t>
      </w:r>
      <w:hyperlink r:id="rId23">
        <w:r w:rsidRPr="50FF6E60">
          <w:rPr>
            <w:rStyle w:val="Hyperlink"/>
            <w:rFonts w:ascii="Aptos Display" w:eastAsia="Aptos Display" w:hAnsi="Aptos Display" w:cs="Aptos Display"/>
          </w:rPr>
          <w:t>https://www.unicef.org/iraq/what-we-do/education</w:t>
        </w:r>
      </w:hyperlink>
      <w:r w:rsidRPr="50FF6E60">
        <w:rPr>
          <w:rFonts w:ascii="Aptos Display" w:eastAsia="Aptos Display" w:hAnsi="Aptos Display" w:cs="Aptos Display"/>
        </w:rPr>
        <w:t xml:space="preserve"> (Accessed: 21 January 2026). </w:t>
      </w:r>
    </w:p>
    <w:p w14:paraId="38C67A8F" w14:textId="4B4C46B0" w:rsidR="6848D6EE" w:rsidRDefault="6848D6EE" w:rsidP="50FF6E60">
      <w:pPr>
        <w:spacing w:before="240" w:after="240"/>
        <w:jc w:val="both"/>
      </w:pPr>
      <w:r w:rsidRPr="50FF6E60">
        <w:rPr>
          <w:rFonts w:ascii="Aptos Display" w:eastAsia="Aptos Display" w:hAnsi="Aptos Display" w:cs="Aptos Display"/>
        </w:rPr>
        <w:t xml:space="preserve">UNICEF (2019) </w:t>
      </w:r>
      <w:r w:rsidRPr="50FF6E60">
        <w:rPr>
          <w:rFonts w:ascii="Aptos Display" w:eastAsia="Aptos Display" w:hAnsi="Aptos Display" w:cs="Aptos Display"/>
          <w:i/>
          <w:iCs/>
        </w:rPr>
        <w:t>Multiple Indicator Cluster Survey (MICS): Iraq</w:t>
      </w:r>
      <w:r w:rsidRPr="50FF6E60">
        <w:rPr>
          <w:rFonts w:ascii="Aptos Display" w:eastAsia="Aptos Display" w:hAnsi="Aptos Display" w:cs="Aptos Display"/>
        </w:rPr>
        <w:t xml:space="preserve">. Available at: </w:t>
      </w:r>
      <w:hyperlink r:id="rId24">
        <w:r w:rsidRPr="50FF6E60">
          <w:rPr>
            <w:rStyle w:val="Hyperlink"/>
            <w:rFonts w:ascii="Aptos Display" w:eastAsia="Aptos Display" w:hAnsi="Aptos Display" w:cs="Aptos Display"/>
          </w:rPr>
          <w:t>https://mics.unicef.org/surveys</w:t>
        </w:r>
      </w:hyperlink>
      <w:r w:rsidRPr="50FF6E60">
        <w:rPr>
          <w:rFonts w:ascii="Aptos Display" w:eastAsia="Aptos Display" w:hAnsi="Aptos Display" w:cs="Aptos Display"/>
        </w:rPr>
        <w:t xml:space="preserve"> (Accessed: 05 February 2026). </w:t>
      </w:r>
    </w:p>
    <w:p w14:paraId="3D78C368" w14:textId="562CD502" w:rsidR="6848D6EE" w:rsidRDefault="6848D6EE" w:rsidP="50FF6E60">
      <w:pPr>
        <w:spacing w:before="240" w:after="240"/>
        <w:jc w:val="both"/>
      </w:pPr>
      <w:r w:rsidRPr="50FF6E60">
        <w:rPr>
          <w:rFonts w:ascii="Aptos Display" w:eastAsia="Aptos Display" w:hAnsi="Aptos Display" w:cs="Aptos Display"/>
        </w:rPr>
        <w:lastRenderedPageBreak/>
        <w:t xml:space="preserve">United Nations (1948) </w:t>
      </w:r>
      <w:r w:rsidRPr="50FF6E60">
        <w:rPr>
          <w:rFonts w:ascii="Aptos Display" w:eastAsia="Aptos Display" w:hAnsi="Aptos Display" w:cs="Aptos Display"/>
          <w:i/>
          <w:iCs/>
        </w:rPr>
        <w:t>Universal Declaration of Human Rights</w:t>
      </w:r>
      <w:r w:rsidRPr="50FF6E60">
        <w:rPr>
          <w:rFonts w:ascii="Aptos Display" w:eastAsia="Aptos Display" w:hAnsi="Aptos Display" w:cs="Aptos Display"/>
        </w:rPr>
        <w:t xml:space="preserve">. Available at: </w:t>
      </w:r>
      <w:hyperlink r:id="rId25">
        <w:r w:rsidRPr="50FF6E60">
          <w:rPr>
            <w:rStyle w:val="Hyperlink"/>
            <w:rFonts w:ascii="Aptos Display" w:eastAsia="Aptos Display" w:hAnsi="Aptos Display" w:cs="Aptos Display"/>
          </w:rPr>
          <w:t>https://www.un.org/en/about-us/universal-declaration-of-human-rights</w:t>
        </w:r>
      </w:hyperlink>
      <w:r w:rsidRPr="50FF6E60">
        <w:rPr>
          <w:rFonts w:ascii="Aptos Display" w:eastAsia="Aptos Display" w:hAnsi="Aptos Display" w:cs="Aptos Display"/>
        </w:rPr>
        <w:t xml:space="preserve"> (Accessed </w:t>
      </w:r>
    </w:p>
    <w:p w14:paraId="1D789A54" w14:textId="1C0E405B" w:rsidR="6848D6EE" w:rsidRDefault="6848D6EE" w:rsidP="50FF6E60">
      <w:pPr>
        <w:spacing w:before="240" w:after="240"/>
        <w:jc w:val="both"/>
      </w:pPr>
      <w:r w:rsidRPr="50FF6E60">
        <w:rPr>
          <w:rFonts w:ascii="Aptos Display" w:eastAsia="Aptos Display" w:hAnsi="Aptos Display" w:cs="Aptos Display"/>
        </w:rPr>
        <w:t xml:space="preserve">United Nations (n.d.). </w:t>
      </w:r>
      <w:r w:rsidRPr="50FF6E60">
        <w:rPr>
          <w:rFonts w:ascii="Aptos Display" w:eastAsia="Aptos Display" w:hAnsi="Aptos Display" w:cs="Aptos Display"/>
          <w:i/>
          <w:iCs/>
        </w:rPr>
        <w:t>Education</w:t>
      </w:r>
      <w:r w:rsidRPr="50FF6E60">
        <w:rPr>
          <w:rFonts w:ascii="Aptos Display" w:eastAsia="Aptos Display" w:hAnsi="Aptos Display" w:cs="Aptos Display"/>
        </w:rPr>
        <w:t xml:space="preserve">. Sustainable Development Goals. Available at: </w:t>
      </w:r>
      <w:hyperlink r:id="rId26">
        <w:r w:rsidRPr="50FF6E60">
          <w:rPr>
            <w:rStyle w:val="Hyperlink"/>
            <w:rFonts w:ascii="Aptos Display" w:eastAsia="Aptos Display" w:hAnsi="Aptos Display" w:cs="Aptos Display"/>
          </w:rPr>
          <w:t>https://www.un.org/sustainabledevelopment/education/</w:t>
        </w:r>
      </w:hyperlink>
      <w:r w:rsidRPr="50FF6E60">
        <w:rPr>
          <w:rFonts w:ascii="Aptos Display" w:eastAsia="Aptos Display" w:hAnsi="Aptos Display" w:cs="Aptos Display"/>
        </w:rPr>
        <w:t xml:space="preserve"> (Accessed: 30 January 2026). </w:t>
      </w:r>
    </w:p>
    <w:p w14:paraId="049CDC25" w14:textId="1ED190D8" w:rsidR="6848D6EE" w:rsidRDefault="6848D6EE" w:rsidP="50FF6E60">
      <w:pPr>
        <w:spacing w:before="240" w:after="240"/>
        <w:jc w:val="both"/>
      </w:pPr>
      <w:r w:rsidRPr="50FF6E60">
        <w:rPr>
          <w:rFonts w:ascii="Aptos Display" w:eastAsia="Aptos Display" w:hAnsi="Aptos Display" w:cs="Aptos Display"/>
        </w:rPr>
        <w:t xml:space="preserve">United Nations (n.d.). </w:t>
      </w:r>
      <w:r w:rsidRPr="50FF6E60">
        <w:rPr>
          <w:rFonts w:ascii="Aptos Display" w:eastAsia="Aptos Display" w:hAnsi="Aptos Display" w:cs="Aptos Display"/>
          <w:i/>
          <w:iCs/>
        </w:rPr>
        <w:t>Sustainable development</w:t>
      </w:r>
      <w:r w:rsidRPr="50FF6E60">
        <w:rPr>
          <w:rFonts w:ascii="Aptos Display" w:eastAsia="Aptos Display" w:hAnsi="Aptos Display" w:cs="Aptos Display"/>
        </w:rPr>
        <w:t xml:space="preserve">. Available at: </w:t>
      </w:r>
      <w:hyperlink r:id="rId27">
        <w:r w:rsidRPr="50FF6E60">
          <w:rPr>
            <w:rStyle w:val="Hyperlink"/>
            <w:rFonts w:ascii="Aptos Display" w:eastAsia="Aptos Display" w:hAnsi="Aptos Display" w:cs="Aptos Display"/>
          </w:rPr>
          <w:t>https://www.un.org/sustainabledevelopment/</w:t>
        </w:r>
      </w:hyperlink>
      <w:r w:rsidRPr="50FF6E60">
        <w:rPr>
          <w:rFonts w:ascii="Aptos Display" w:eastAsia="Aptos Display" w:hAnsi="Aptos Display" w:cs="Aptos Display"/>
        </w:rPr>
        <w:t xml:space="preserve"> (Accessed: 25 January 2026). </w:t>
      </w:r>
    </w:p>
    <w:p w14:paraId="0F25D0CC" w14:textId="2C5BD5BE" w:rsidR="6848D6EE" w:rsidRDefault="6848D6EE" w:rsidP="50FF6E60">
      <w:pPr>
        <w:spacing w:before="240" w:after="240"/>
        <w:jc w:val="both"/>
      </w:pPr>
      <w:r w:rsidRPr="50FF6E60">
        <w:rPr>
          <w:rFonts w:ascii="Aptos Display" w:eastAsia="Aptos Display" w:hAnsi="Aptos Display" w:cs="Aptos Display"/>
        </w:rPr>
        <w:t xml:space="preserve">University of Sussex (n.d.). </w:t>
      </w:r>
      <w:r w:rsidRPr="50FF6E60">
        <w:rPr>
          <w:rFonts w:ascii="Aptos Display" w:eastAsia="Aptos Display" w:hAnsi="Aptos Display" w:cs="Aptos Display"/>
          <w:i/>
          <w:iCs/>
        </w:rPr>
        <w:t>Education for sustainable development</w:t>
      </w:r>
      <w:r w:rsidRPr="50FF6E60">
        <w:rPr>
          <w:rFonts w:ascii="Aptos Display" w:eastAsia="Aptos Display" w:hAnsi="Aptos Display" w:cs="Aptos Display"/>
        </w:rPr>
        <w:t xml:space="preserve">. Available at: </w:t>
      </w:r>
      <w:hyperlink r:id="rId28">
        <w:r w:rsidRPr="50FF6E60">
          <w:rPr>
            <w:rStyle w:val="Hyperlink"/>
            <w:rFonts w:ascii="Aptos Display" w:eastAsia="Aptos Display" w:hAnsi="Aptos Display" w:cs="Aptos Display"/>
          </w:rPr>
          <w:t>https://staff.sussex.ac.uk/teaching/enhancement/support/curriculum/sustainable-development</w:t>
        </w:r>
      </w:hyperlink>
      <w:r w:rsidRPr="50FF6E60">
        <w:rPr>
          <w:rFonts w:ascii="Aptos Display" w:eastAsia="Aptos Display" w:hAnsi="Aptos Display" w:cs="Aptos Display"/>
        </w:rPr>
        <w:t xml:space="preserve"> (Accessed: 22 January 2026). </w:t>
      </w:r>
    </w:p>
    <w:p w14:paraId="4D4DA115" w14:textId="0BE85C74" w:rsidR="6848D6EE" w:rsidRDefault="6848D6EE" w:rsidP="50FF6E60">
      <w:pPr>
        <w:spacing w:before="240" w:after="240"/>
        <w:jc w:val="both"/>
      </w:pPr>
      <w:r w:rsidRPr="50FF6E60">
        <w:rPr>
          <w:rFonts w:ascii="Aptos Display" w:eastAsia="Aptos Display" w:hAnsi="Aptos Display" w:cs="Aptos Display"/>
        </w:rPr>
        <w:t xml:space="preserve">World Bank (2024). </w:t>
      </w:r>
      <w:r w:rsidRPr="50FF6E60">
        <w:rPr>
          <w:rFonts w:ascii="Aptos Display" w:eastAsia="Aptos Display" w:hAnsi="Aptos Display" w:cs="Aptos Display"/>
          <w:i/>
          <w:iCs/>
        </w:rPr>
        <w:t>Iraq: Improving quality of education and access to enable all students to learn</w:t>
      </w:r>
      <w:r w:rsidRPr="50FF6E60">
        <w:rPr>
          <w:rFonts w:ascii="Aptos Display" w:eastAsia="Aptos Display" w:hAnsi="Aptos Display" w:cs="Aptos Display"/>
        </w:rPr>
        <w:t xml:space="preserve">. Available at: </w:t>
      </w:r>
      <w:hyperlink r:id="rId29">
        <w:r w:rsidRPr="50FF6E60">
          <w:rPr>
            <w:rStyle w:val="Hyperlink"/>
            <w:rFonts w:ascii="Aptos Display" w:eastAsia="Aptos Display" w:hAnsi="Aptos Display" w:cs="Aptos Display"/>
          </w:rPr>
          <w:t>https://www.worldbank.org/en/results/2024/10/29/iraq-improving-quality-of-education-and-access-to-enable-all-students-to-learn</w:t>
        </w:r>
      </w:hyperlink>
      <w:r w:rsidRPr="50FF6E60">
        <w:rPr>
          <w:rFonts w:ascii="Aptos Display" w:eastAsia="Aptos Display" w:hAnsi="Aptos Display" w:cs="Aptos Display"/>
        </w:rPr>
        <w:t xml:space="preserve"> (Accessed: 21 January 2026). </w:t>
      </w:r>
    </w:p>
    <w:p w14:paraId="039D03D6" w14:textId="7FB2B89C" w:rsidR="6848D6EE" w:rsidRDefault="6848D6EE" w:rsidP="50FF6E60">
      <w:pPr>
        <w:spacing w:before="240" w:after="240"/>
        <w:jc w:val="both"/>
      </w:pPr>
      <w:r w:rsidRPr="50FF6E60">
        <w:rPr>
          <w:rFonts w:ascii="Aptos Display" w:eastAsia="Aptos Display" w:hAnsi="Aptos Display" w:cs="Aptos Display"/>
        </w:rPr>
        <w:t xml:space="preserve"> </w:t>
      </w:r>
    </w:p>
    <w:p w14:paraId="66C3A0B1" w14:textId="35711032" w:rsidR="6848D6EE" w:rsidRDefault="6848D6EE" w:rsidP="50FF6E60">
      <w:pPr>
        <w:spacing w:before="240" w:after="240"/>
        <w:jc w:val="both"/>
      </w:pPr>
      <w:r w:rsidRPr="50FF6E60">
        <w:rPr>
          <w:rFonts w:ascii="Aptos Display" w:eastAsia="Aptos Display" w:hAnsi="Aptos Display" w:cs="Aptos Display"/>
        </w:rPr>
        <w:t xml:space="preserve"> </w:t>
      </w:r>
    </w:p>
    <w:p w14:paraId="04F86B0A" w14:textId="24222DCE" w:rsidR="6848D6EE" w:rsidRDefault="6848D6EE" w:rsidP="50FF6E60">
      <w:pPr>
        <w:spacing w:before="240" w:after="240"/>
        <w:jc w:val="both"/>
      </w:pPr>
      <w:r w:rsidRPr="50FF6E60">
        <w:rPr>
          <w:rFonts w:ascii="Aptos Display" w:eastAsia="Aptos Display" w:hAnsi="Aptos Display" w:cs="Aptos Display"/>
        </w:rPr>
        <w:t xml:space="preserve"> </w:t>
      </w:r>
    </w:p>
    <w:p w14:paraId="1DCCD8E2" w14:textId="3D4A23DF" w:rsidR="6848D6EE" w:rsidRDefault="6848D6EE" w:rsidP="50FF6E60">
      <w:pPr>
        <w:spacing w:before="240" w:after="240"/>
        <w:jc w:val="both"/>
      </w:pPr>
      <w:r w:rsidRPr="50FF6E60">
        <w:rPr>
          <w:rFonts w:ascii="Aptos Display" w:eastAsia="Aptos Display" w:hAnsi="Aptos Display" w:cs="Aptos Display"/>
        </w:rPr>
        <w:t xml:space="preserve"> </w:t>
      </w:r>
    </w:p>
    <w:p w14:paraId="1164D4D7" w14:textId="1BE7D2AD" w:rsidR="6848D6EE" w:rsidRDefault="6848D6EE" w:rsidP="50FF6E60">
      <w:pPr>
        <w:spacing w:before="240" w:after="240"/>
        <w:jc w:val="both"/>
      </w:pPr>
      <w:r w:rsidRPr="50FF6E60">
        <w:rPr>
          <w:rFonts w:ascii="Aptos Display" w:eastAsia="Aptos Display" w:hAnsi="Aptos Display" w:cs="Aptos Display"/>
        </w:rPr>
        <w:t xml:space="preserve"> </w:t>
      </w:r>
    </w:p>
    <w:p w14:paraId="0A3AFCFF" w14:textId="4AA2E704" w:rsidR="6848D6EE" w:rsidRDefault="6848D6EE" w:rsidP="50FF6E60">
      <w:pPr>
        <w:spacing w:before="240" w:after="240"/>
        <w:jc w:val="both"/>
      </w:pPr>
      <w:r w:rsidRPr="50FF6E60">
        <w:rPr>
          <w:rFonts w:ascii="Aptos Display" w:eastAsia="Aptos Display" w:hAnsi="Aptos Display" w:cs="Aptos Display"/>
        </w:rPr>
        <w:t xml:space="preserve"> </w:t>
      </w:r>
    </w:p>
    <w:p w14:paraId="277F8632" w14:textId="43CC01E0" w:rsidR="6848D6EE" w:rsidRDefault="6848D6EE" w:rsidP="50FF6E60">
      <w:pPr>
        <w:spacing w:before="240" w:after="240"/>
        <w:jc w:val="both"/>
      </w:pPr>
      <w:r w:rsidRPr="50FF6E60">
        <w:rPr>
          <w:rFonts w:ascii="Aptos Display" w:eastAsia="Aptos Display" w:hAnsi="Aptos Display" w:cs="Aptos Display"/>
        </w:rPr>
        <w:t xml:space="preserve"> </w:t>
      </w:r>
    </w:p>
    <w:p w14:paraId="18CC769C" w14:textId="5A5EC5BE" w:rsidR="50FF6E60" w:rsidRDefault="50FF6E60" w:rsidP="50FF6E60">
      <w:pPr>
        <w:spacing w:before="240" w:after="240"/>
        <w:jc w:val="both"/>
        <w:rPr>
          <w:rFonts w:ascii="Aptos Display" w:eastAsia="Aptos Display" w:hAnsi="Aptos Display" w:cs="Aptos Display"/>
        </w:rPr>
      </w:pPr>
    </w:p>
    <w:p w14:paraId="6B1A8EE0" w14:textId="0492E4EF" w:rsidR="50FF6E60" w:rsidRDefault="50FF6E60" w:rsidP="50FF6E60">
      <w:pPr>
        <w:jc w:val="both"/>
        <w:rPr>
          <w:rFonts w:asciiTheme="majorHAnsi" w:eastAsiaTheme="majorEastAsia" w:hAnsiTheme="majorHAnsi" w:cstheme="majorBidi"/>
        </w:rPr>
      </w:pPr>
    </w:p>
    <w:sectPr w:rsidR="50FF6E60">
      <w:headerReference w:type="default" r:id="rId30"/>
      <w:footerReference w:type="default" r:id="rId3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8F2687" w14:textId="77777777" w:rsidR="00844F72" w:rsidRDefault="00844F72">
      <w:pPr>
        <w:spacing w:after="0" w:line="240" w:lineRule="auto"/>
      </w:pPr>
      <w:r>
        <w:separator/>
      </w:r>
    </w:p>
  </w:endnote>
  <w:endnote w:type="continuationSeparator" w:id="0">
    <w:p w14:paraId="3FB4F440" w14:textId="77777777" w:rsidR="00844F72" w:rsidRDefault="00844F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2FA8C483" w14:paraId="6BF11B3E" w14:textId="77777777" w:rsidTr="4209D382">
      <w:trPr>
        <w:trHeight w:val="300"/>
      </w:trPr>
      <w:tc>
        <w:tcPr>
          <w:tcW w:w="3005" w:type="dxa"/>
        </w:tcPr>
        <w:p w14:paraId="2CF0D526" w14:textId="7D429374" w:rsidR="2FA8C483" w:rsidRDefault="2FA8C483" w:rsidP="2FA8C483">
          <w:pPr>
            <w:pStyle w:val="Header"/>
            <w:ind w:left="-115"/>
          </w:pPr>
        </w:p>
      </w:tc>
      <w:tc>
        <w:tcPr>
          <w:tcW w:w="3005" w:type="dxa"/>
        </w:tcPr>
        <w:p w14:paraId="6B0BE31C" w14:textId="6D337B3C" w:rsidR="2FA8C483" w:rsidRDefault="2FA8C483" w:rsidP="2FA8C483">
          <w:pPr>
            <w:pStyle w:val="Header"/>
            <w:jc w:val="center"/>
          </w:pPr>
        </w:p>
      </w:tc>
      <w:tc>
        <w:tcPr>
          <w:tcW w:w="3005" w:type="dxa"/>
        </w:tcPr>
        <w:p w14:paraId="3253F67B" w14:textId="446E75CF" w:rsidR="2FA8C483" w:rsidRDefault="2FA8C483" w:rsidP="2FA8C483">
          <w:pPr>
            <w:pStyle w:val="Header"/>
            <w:ind w:right="-115"/>
            <w:jc w:val="right"/>
          </w:pPr>
          <w:r>
            <w:fldChar w:fldCharType="begin"/>
          </w:r>
          <w:r>
            <w:instrText>PAGE</w:instrText>
          </w:r>
          <w:r>
            <w:fldChar w:fldCharType="separate"/>
          </w:r>
          <w:r w:rsidR="00070653">
            <w:rPr>
              <w:noProof/>
            </w:rPr>
            <w:t>1</w:t>
          </w:r>
          <w:r>
            <w:fldChar w:fldCharType="end"/>
          </w:r>
        </w:p>
      </w:tc>
    </w:tr>
  </w:tbl>
  <w:p w14:paraId="7AD148E5" w14:textId="475169DB" w:rsidR="2FA8C483" w:rsidRDefault="2FA8C483" w:rsidP="2FA8C4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41F22" w14:textId="77777777" w:rsidR="00844F72" w:rsidRDefault="00844F72">
      <w:pPr>
        <w:spacing w:after="0" w:line="240" w:lineRule="auto"/>
      </w:pPr>
      <w:r>
        <w:separator/>
      </w:r>
    </w:p>
  </w:footnote>
  <w:footnote w:type="continuationSeparator" w:id="0">
    <w:p w14:paraId="1895781D" w14:textId="77777777" w:rsidR="00844F72" w:rsidRDefault="00844F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50FF6E60" w14:paraId="23D62814" w14:textId="77777777" w:rsidTr="50FF6E60">
      <w:trPr>
        <w:trHeight w:val="300"/>
      </w:trPr>
      <w:tc>
        <w:tcPr>
          <w:tcW w:w="3005" w:type="dxa"/>
        </w:tcPr>
        <w:p w14:paraId="49C2A32B" w14:textId="440840BC" w:rsidR="50FF6E60" w:rsidRDefault="50FF6E60" w:rsidP="50FF6E60">
          <w:pPr>
            <w:pStyle w:val="Header"/>
            <w:ind w:left="-115"/>
          </w:pPr>
        </w:p>
      </w:tc>
      <w:tc>
        <w:tcPr>
          <w:tcW w:w="3005" w:type="dxa"/>
        </w:tcPr>
        <w:p w14:paraId="6921DEB7" w14:textId="06421439" w:rsidR="50FF6E60" w:rsidRDefault="50FF6E60" w:rsidP="50FF6E60">
          <w:pPr>
            <w:pStyle w:val="Header"/>
            <w:jc w:val="center"/>
          </w:pPr>
        </w:p>
      </w:tc>
      <w:tc>
        <w:tcPr>
          <w:tcW w:w="3005" w:type="dxa"/>
        </w:tcPr>
        <w:p w14:paraId="2FBCC8F6" w14:textId="78B9F8C8" w:rsidR="50FF6E60" w:rsidRDefault="50FF6E60" w:rsidP="50FF6E60">
          <w:pPr>
            <w:pStyle w:val="Header"/>
            <w:ind w:right="-115"/>
            <w:jc w:val="right"/>
          </w:pPr>
        </w:p>
      </w:tc>
    </w:tr>
  </w:tbl>
  <w:p w14:paraId="322C566A" w14:textId="1EA5E016" w:rsidR="50FF6E60" w:rsidRDefault="50FF6E60" w:rsidP="50FF6E60">
    <w:pPr>
      <w:pStyle w:val="Header"/>
    </w:pPr>
  </w:p>
</w:hdr>
</file>

<file path=word/intelligence2.xml><?xml version="1.0" encoding="utf-8"?>
<int2:intelligence xmlns:int2="http://schemas.microsoft.com/office/intelligence/2020/intelligence" xmlns:oel="http://schemas.microsoft.com/office/2019/extlst">
  <int2:observations>
    <int2:textHash int2:hashCode="knE9Rwk3cRHPMf" int2:id="bO54mtJx">
      <int2:state int2:value="Rejected" int2:type="spell"/>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09E237"/>
    <w:multiLevelType w:val="hybridMultilevel"/>
    <w:tmpl w:val="B510D2A0"/>
    <w:lvl w:ilvl="0" w:tplc="CF662ED8">
      <w:start w:val="1"/>
      <w:numFmt w:val="bullet"/>
      <w:lvlText w:val=""/>
      <w:lvlJc w:val="left"/>
      <w:pPr>
        <w:ind w:left="720" w:hanging="360"/>
      </w:pPr>
      <w:rPr>
        <w:rFonts w:ascii="Symbol" w:hAnsi="Symbol" w:hint="default"/>
      </w:rPr>
    </w:lvl>
    <w:lvl w:ilvl="1" w:tplc="A1689772">
      <w:start w:val="1"/>
      <w:numFmt w:val="bullet"/>
      <w:lvlText w:val="o"/>
      <w:lvlJc w:val="left"/>
      <w:pPr>
        <w:ind w:left="1440" w:hanging="360"/>
      </w:pPr>
      <w:rPr>
        <w:rFonts w:ascii="Courier New" w:hAnsi="Courier New" w:hint="default"/>
      </w:rPr>
    </w:lvl>
    <w:lvl w:ilvl="2" w:tplc="88E89F08">
      <w:start w:val="1"/>
      <w:numFmt w:val="bullet"/>
      <w:lvlText w:val=""/>
      <w:lvlJc w:val="left"/>
      <w:pPr>
        <w:ind w:left="2160" w:hanging="360"/>
      </w:pPr>
      <w:rPr>
        <w:rFonts w:ascii="Wingdings" w:hAnsi="Wingdings" w:hint="default"/>
      </w:rPr>
    </w:lvl>
    <w:lvl w:ilvl="3" w:tplc="60D2F00E">
      <w:start w:val="1"/>
      <w:numFmt w:val="bullet"/>
      <w:lvlText w:val=""/>
      <w:lvlJc w:val="left"/>
      <w:pPr>
        <w:ind w:left="2880" w:hanging="360"/>
      </w:pPr>
      <w:rPr>
        <w:rFonts w:ascii="Symbol" w:hAnsi="Symbol" w:hint="default"/>
      </w:rPr>
    </w:lvl>
    <w:lvl w:ilvl="4" w:tplc="D0B0A1B2">
      <w:start w:val="1"/>
      <w:numFmt w:val="bullet"/>
      <w:lvlText w:val="o"/>
      <w:lvlJc w:val="left"/>
      <w:pPr>
        <w:ind w:left="3600" w:hanging="360"/>
      </w:pPr>
      <w:rPr>
        <w:rFonts w:ascii="Courier New" w:hAnsi="Courier New" w:hint="default"/>
      </w:rPr>
    </w:lvl>
    <w:lvl w:ilvl="5" w:tplc="C922AEA4">
      <w:start w:val="1"/>
      <w:numFmt w:val="bullet"/>
      <w:lvlText w:val=""/>
      <w:lvlJc w:val="left"/>
      <w:pPr>
        <w:ind w:left="4320" w:hanging="360"/>
      </w:pPr>
      <w:rPr>
        <w:rFonts w:ascii="Wingdings" w:hAnsi="Wingdings" w:hint="default"/>
      </w:rPr>
    </w:lvl>
    <w:lvl w:ilvl="6" w:tplc="3470FE4C">
      <w:start w:val="1"/>
      <w:numFmt w:val="bullet"/>
      <w:lvlText w:val=""/>
      <w:lvlJc w:val="left"/>
      <w:pPr>
        <w:ind w:left="5040" w:hanging="360"/>
      </w:pPr>
      <w:rPr>
        <w:rFonts w:ascii="Symbol" w:hAnsi="Symbol" w:hint="default"/>
      </w:rPr>
    </w:lvl>
    <w:lvl w:ilvl="7" w:tplc="63DC6AE0">
      <w:start w:val="1"/>
      <w:numFmt w:val="bullet"/>
      <w:lvlText w:val="o"/>
      <w:lvlJc w:val="left"/>
      <w:pPr>
        <w:ind w:left="5760" w:hanging="360"/>
      </w:pPr>
      <w:rPr>
        <w:rFonts w:ascii="Courier New" w:hAnsi="Courier New" w:hint="default"/>
      </w:rPr>
    </w:lvl>
    <w:lvl w:ilvl="8" w:tplc="92D6922A">
      <w:start w:val="1"/>
      <w:numFmt w:val="bullet"/>
      <w:lvlText w:val=""/>
      <w:lvlJc w:val="left"/>
      <w:pPr>
        <w:ind w:left="6480" w:hanging="360"/>
      </w:pPr>
      <w:rPr>
        <w:rFonts w:ascii="Wingdings" w:hAnsi="Wingdings" w:hint="default"/>
      </w:rPr>
    </w:lvl>
  </w:abstractNum>
  <w:abstractNum w:abstractNumId="1" w15:restartNumberingAfterBreak="0">
    <w:nsid w:val="180AD2CD"/>
    <w:multiLevelType w:val="hybridMultilevel"/>
    <w:tmpl w:val="4EEC413C"/>
    <w:lvl w:ilvl="0" w:tplc="0B3A1D1C">
      <w:start w:val="1"/>
      <w:numFmt w:val="decimal"/>
      <w:lvlText w:val="%1."/>
      <w:lvlJc w:val="left"/>
      <w:pPr>
        <w:ind w:left="720" w:hanging="360"/>
      </w:pPr>
    </w:lvl>
    <w:lvl w:ilvl="1" w:tplc="0BD095BA">
      <w:start w:val="1"/>
      <w:numFmt w:val="lowerLetter"/>
      <w:lvlText w:val="%2."/>
      <w:lvlJc w:val="left"/>
      <w:pPr>
        <w:ind w:left="1440" w:hanging="360"/>
      </w:pPr>
    </w:lvl>
    <w:lvl w:ilvl="2" w:tplc="93BAD786">
      <w:start w:val="1"/>
      <w:numFmt w:val="lowerRoman"/>
      <w:lvlText w:val="%3."/>
      <w:lvlJc w:val="right"/>
      <w:pPr>
        <w:ind w:left="2160" w:hanging="180"/>
      </w:pPr>
    </w:lvl>
    <w:lvl w:ilvl="3" w:tplc="B1A24AFC">
      <w:start w:val="1"/>
      <w:numFmt w:val="decimal"/>
      <w:lvlText w:val="%4."/>
      <w:lvlJc w:val="left"/>
      <w:pPr>
        <w:ind w:left="2880" w:hanging="360"/>
      </w:pPr>
    </w:lvl>
    <w:lvl w:ilvl="4" w:tplc="03B20710">
      <w:start w:val="1"/>
      <w:numFmt w:val="lowerLetter"/>
      <w:lvlText w:val="%5."/>
      <w:lvlJc w:val="left"/>
      <w:pPr>
        <w:ind w:left="3600" w:hanging="360"/>
      </w:pPr>
    </w:lvl>
    <w:lvl w:ilvl="5" w:tplc="4C40ACC6">
      <w:start w:val="1"/>
      <w:numFmt w:val="lowerRoman"/>
      <w:lvlText w:val="%6."/>
      <w:lvlJc w:val="right"/>
      <w:pPr>
        <w:ind w:left="4320" w:hanging="180"/>
      </w:pPr>
    </w:lvl>
    <w:lvl w:ilvl="6" w:tplc="ACFE233C">
      <w:start w:val="1"/>
      <w:numFmt w:val="decimal"/>
      <w:lvlText w:val="%7."/>
      <w:lvlJc w:val="left"/>
      <w:pPr>
        <w:ind w:left="5040" w:hanging="360"/>
      </w:pPr>
    </w:lvl>
    <w:lvl w:ilvl="7" w:tplc="36968018">
      <w:start w:val="1"/>
      <w:numFmt w:val="lowerLetter"/>
      <w:lvlText w:val="%8."/>
      <w:lvlJc w:val="left"/>
      <w:pPr>
        <w:ind w:left="5760" w:hanging="360"/>
      </w:pPr>
    </w:lvl>
    <w:lvl w:ilvl="8" w:tplc="8CB44062">
      <w:start w:val="1"/>
      <w:numFmt w:val="lowerRoman"/>
      <w:lvlText w:val="%9."/>
      <w:lvlJc w:val="right"/>
      <w:pPr>
        <w:ind w:left="6480" w:hanging="180"/>
      </w:pPr>
    </w:lvl>
  </w:abstractNum>
  <w:abstractNum w:abstractNumId="2" w15:restartNumberingAfterBreak="0">
    <w:nsid w:val="361D8D69"/>
    <w:multiLevelType w:val="hybridMultilevel"/>
    <w:tmpl w:val="5A22627E"/>
    <w:lvl w:ilvl="0" w:tplc="E5EA0258">
      <w:start w:val="1"/>
      <w:numFmt w:val="decimal"/>
      <w:lvlText w:val="•"/>
      <w:lvlJc w:val="left"/>
      <w:pPr>
        <w:ind w:left="720" w:hanging="360"/>
      </w:pPr>
    </w:lvl>
    <w:lvl w:ilvl="1" w:tplc="51D0EA26">
      <w:start w:val="1"/>
      <w:numFmt w:val="lowerLetter"/>
      <w:lvlText w:val="%2."/>
      <w:lvlJc w:val="left"/>
      <w:pPr>
        <w:ind w:left="1440" w:hanging="360"/>
      </w:pPr>
    </w:lvl>
    <w:lvl w:ilvl="2" w:tplc="3CF03B86">
      <w:start w:val="1"/>
      <w:numFmt w:val="lowerRoman"/>
      <w:lvlText w:val="%3."/>
      <w:lvlJc w:val="right"/>
      <w:pPr>
        <w:ind w:left="2160" w:hanging="180"/>
      </w:pPr>
    </w:lvl>
    <w:lvl w:ilvl="3" w:tplc="F7BA424A">
      <w:start w:val="1"/>
      <w:numFmt w:val="decimal"/>
      <w:lvlText w:val="%4."/>
      <w:lvlJc w:val="left"/>
      <w:pPr>
        <w:ind w:left="2880" w:hanging="360"/>
      </w:pPr>
    </w:lvl>
    <w:lvl w:ilvl="4" w:tplc="6E8086A8">
      <w:start w:val="1"/>
      <w:numFmt w:val="lowerLetter"/>
      <w:lvlText w:val="%5."/>
      <w:lvlJc w:val="left"/>
      <w:pPr>
        <w:ind w:left="3600" w:hanging="360"/>
      </w:pPr>
    </w:lvl>
    <w:lvl w:ilvl="5" w:tplc="60B8FA40">
      <w:start w:val="1"/>
      <w:numFmt w:val="lowerRoman"/>
      <w:lvlText w:val="%6."/>
      <w:lvlJc w:val="right"/>
      <w:pPr>
        <w:ind w:left="4320" w:hanging="180"/>
      </w:pPr>
    </w:lvl>
    <w:lvl w:ilvl="6" w:tplc="04941382">
      <w:start w:val="1"/>
      <w:numFmt w:val="decimal"/>
      <w:lvlText w:val="%7."/>
      <w:lvlJc w:val="left"/>
      <w:pPr>
        <w:ind w:left="5040" w:hanging="360"/>
      </w:pPr>
    </w:lvl>
    <w:lvl w:ilvl="7" w:tplc="C28857B8">
      <w:start w:val="1"/>
      <w:numFmt w:val="lowerLetter"/>
      <w:lvlText w:val="%8."/>
      <w:lvlJc w:val="left"/>
      <w:pPr>
        <w:ind w:left="5760" w:hanging="360"/>
      </w:pPr>
    </w:lvl>
    <w:lvl w:ilvl="8" w:tplc="844837D8">
      <w:start w:val="1"/>
      <w:numFmt w:val="lowerRoman"/>
      <w:lvlText w:val="%9."/>
      <w:lvlJc w:val="right"/>
      <w:pPr>
        <w:ind w:left="6480" w:hanging="180"/>
      </w:pPr>
    </w:lvl>
  </w:abstractNum>
  <w:abstractNum w:abstractNumId="3" w15:restartNumberingAfterBreak="0">
    <w:nsid w:val="461660B3"/>
    <w:multiLevelType w:val="hybridMultilevel"/>
    <w:tmpl w:val="492CB076"/>
    <w:lvl w:ilvl="0" w:tplc="42E6D160">
      <w:start w:val="1"/>
      <w:numFmt w:val="bullet"/>
      <w:lvlText w:val=""/>
      <w:lvlJc w:val="left"/>
      <w:pPr>
        <w:ind w:left="720" w:hanging="360"/>
      </w:pPr>
      <w:rPr>
        <w:rFonts w:ascii="Symbol" w:hAnsi="Symbol" w:hint="default"/>
      </w:rPr>
    </w:lvl>
    <w:lvl w:ilvl="1" w:tplc="EB2CB4F8">
      <w:start w:val="1"/>
      <w:numFmt w:val="bullet"/>
      <w:lvlText w:val="o"/>
      <w:lvlJc w:val="left"/>
      <w:pPr>
        <w:ind w:left="1440" w:hanging="360"/>
      </w:pPr>
      <w:rPr>
        <w:rFonts w:ascii="Courier New" w:hAnsi="Courier New" w:hint="default"/>
      </w:rPr>
    </w:lvl>
    <w:lvl w:ilvl="2" w:tplc="3FFE56C4">
      <w:start w:val="1"/>
      <w:numFmt w:val="bullet"/>
      <w:lvlText w:val=""/>
      <w:lvlJc w:val="left"/>
      <w:pPr>
        <w:ind w:left="2160" w:hanging="360"/>
      </w:pPr>
      <w:rPr>
        <w:rFonts w:ascii="Wingdings" w:hAnsi="Wingdings" w:hint="default"/>
      </w:rPr>
    </w:lvl>
    <w:lvl w:ilvl="3" w:tplc="1DB65454">
      <w:start w:val="1"/>
      <w:numFmt w:val="bullet"/>
      <w:lvlText w:val=""/>
      <w:lvlJc w:val="left"/>
      <w:pPr>
        <w:ind w:left="2880" w:hanging="360"/>
      </w:pPr>
      <w:rPr>
        <w:rFonts w:ascii="Symbol" w:hAnsi="Symbol" w:hint="default"/>
      </w:rPr>
    </w:lvl>
    <w:lvl w:ilvl="4" w:tplc="869C8592">
      <w:start w:val="1"/>
      <w:numFmt w:val="bullet"/>
      <w:lvlText w:val="o"/>
      <w:lvlJc w:val="left"/>
      <w:pPr>
        <w:ind w:left="3600" w:hanging="360"/>
      </w:pPr>
      <w:rPr>
        <w:rFonts w:ascii="Courier New" w:hAnsi="Courier New" w:hint="default"/>
      </w:rPr>
    </w:lvl>
    <w:lvl w:ilvl="5" w:tplc="A5A0906C">
      <w:start w:val="1"/>
      <w:numFmt w:val="bullet"/>
      <w:lvlText w:val=""/>
      <w:lvlJc w:val="left"/>
      <w:pPr>
        <w:ind w:left="4320" w:hanging="360"/>
      </w:pPr>
      <w:rPr>
        <w:rFonts w:ascii="Wingdings" w:hAnsi="Wingdings" w:hint="default"/>
      </w:rPr>
    </w:lvl>
    <w:lvl w:ilvl="6" w:tplc="17660F22">
      <w:start w:val="1"/>
      <w:numFmt w:val="bullet"/>
      <w:lvlText w:val=""/>
      <w:lvlJc w:val="left"/>
      <w:pPr>
        <w:ind w:left="5040" w:hanging="360"/>
      </w:pPr>
      <w:rPr>
        <w:rFonts w:ascii="Symbol" w:hAnsi="Symbol" w:hint="default"/>
      </w:rPr>
    </w:lvl>
    <w:lvl w:ilvl="7" w:tplc="D2EE93B0">
      <w:start w:val="1"/>
      <w:numFmt w:val="bullet"/>
      <w:lvlText w:val="o"/>
      <w:lvlJc w:val="left"/>
      <w:pPr>
        <w:ind w:left="5760" w:hanging="360"/>
      </w:pPr>
      <w:rPr>
        <w:rFonts w:ascii="Courier New" w:hAnsi="Courier New" w:hint="default"/>
      </w:rPr>
    </w:lvl>
    <w:lvl w:ilvl="8" w:tplc="6C00BEB6">
      <w:start w:val="1"/>
      <w:numFmt w:val="bullet"/>
      <w:lvlText w:val=""/>
      <w:lvlJc w:val="left"/>
      <w:pPr>
        <w:ind w:left="6480" w:hanging="360"/>
      </w:pPr>
      <w:rPr>
        <w:rFonts w:ascii="Wingdings" w:hAnsi="Wingdings" w:hint="default"/>
      </w:rPr>
    </w:lvl>
  </w:abstractNum>
  <w:abstractNum w:abstractNumId="4" w15:restartNumberingAfterBreak="0">
    <w:nsid w:val="4810B122"/>
    <w:multiLevelType w:val="hybridMultilevel"/>
    <w:tmpl w:val="FA66C560"/>
    <w:lvl w:ilvl="0" w:tplc="89249EC6">
      <w:start w:val="1"/>
      <w:numFmt w:val="bullet"/>
      <w:lvlText w:val=""/>
      <w:lvlJc w:val="left"/>
      <w:pPr>
        <w:ind w:left="720" w:hanging="360"/>
      </w:pPr>
      <w:rPr>
        <w:rFonts w:ascii="Symbol" w:hAnsi="Symbol" w:hint="default"/>
      </w:rPr>
    </w:lvl>
    <w:lvl w:ilvl="1" w:tplc="C3369B0A">
      <w:start w:val="1"/>
      <w:numFmt w:val="bullet"/>
      <w:lvlText w:val="o"/>
      <w:lvlJc w:val="left"/>
      <w:pPr>
        <w:ind w:left="1440" w:hanging="360"/>
      </w:pPr>
      <w:rPr>
        <w:rFonts w:ascii="Courier New" w:hAnsi="Courier New" w:hint="default"/>
      </w:rPr>
    </w:lvl>
    <w:lvl w:ilvl="2" w:tplc="39221F12">
      <w:start w:val="1"/>
      <w:numFmt w:val="bullet"/>
      <w:lvlText w:val=""/>
      <w:lvlJc w:val="left"/>
      <w:pPr>
        <w:ind w:left="2160" w:hanging="360"/>
      </w:pPr>
      <w:rPr>
        <w:rFonts w:ascii="Wingdings" w:hAnsi="Wingdings" w:hint="default"/>
      </w:rPr>
    </w:lvl>
    <w:lvl w:ilvl="3" w:tplc="77A80856">
      <w:start w:val="1"/>
      <w:numFmt w:val="bullet"/>
      <w:lvlText w:val=""/>
      <w:lvlJc w:val="left"/>
      <w:pPr>
        <w:ind w:left="2880" w:hanging="360"/>
      </w:pPr>
      <w:rPr>
        <w:rFonts w:ascii="Symbol" w:hAnsi="Symbol" w:hint="default"/>
      </w:rPr>
    </w:lvl>
    <w:lvl w:ilvl="4" w:tplc="178A6A0E">
      <w:start w:val="1"/>
      <w:numFmt w:val="bullet"/>
      <w:lvlText w:val="o"/>
      <w:lvlJc w:val="left"/>
      <w:pPr>
        <w:ind w:left="3600" w:hanging="360"/>
      </w:pPr>
      <w:rPr>
        <w:rFonts w:ascii="Courier New" w:hAnsi="Courier New" w:hint="default"/>
      </w:rPr>
    </w:lvl>
    <w:lvl w:ilvl="5" w:tplc="1228D92C">
      <w:start w:val="1"/>
      <w:numFmt w:val="bullet"/>
      <w:lvlText w:val=""/>
      <w:lvlJc w:val="left"/>
      <w:pPr>
        <w:ind w:left="4320" w:hanging="360"/>
      </w:pPr>
      <w:rPr>
        <w:rFonts w:ascii="Wingdings" w:hAnsi="Wingdings" w:hint="default"/>
      </w:rPr>
    </w:lvl>
    <w:lvl w:ilvl="6" w:tplc="FA7048FA">
      <w:start w:val="1"/>
      <w:numFmt w:val="bullet"/>
      <w:lvlText w:val=""/>
      <w:lvlJc w:val="left"/>
      <w:pPr>
        <w:ind w:left="5040" w:hanging="360"/>
      </w:pPr>
      <w:rPr>
        <w:rFonts w:ascii="Symbol" w:hAnsi="Symbol" w:hint="default"/>
      </w:rPr>
    </w:lvl>
    <w:lvl w:ilvl="7" w:tplc="12BE4D1C">
      <w:start w:val="1"/>
      <w:numFmt w:val="bullet"/>
      <w:lvlText w:val="o"/>
      <w:lvlJc w:val="left"/>
      <w:pPr>
        <w:ind w:left="5760" w:hanging="360"/>
      </w:pPr>
      <w:rPr>
        <w:rFonts w:ascii="Courier New" w:hAnsi="Courier New" w:hint="default"/>
      </w:rPr>
    </w:lvl>
    <w:lvl w:ilvl="8" w:tplc="903E370E">
      <w:start w:val="1"/>
      <w:numFmt w:val="bullet"/>
      <w:lvlText w:val=""/>
      <w:lvlJc w:val="left"/>
      <w:pPr>
        <w:ind w:left="6480" w:hanging="360"/>
      </w:pPr>
      <w:rPr>
        <w:rFonts w:ascii="Wingdings" w:hAnsi="Wingdings" w:hint="default"/>
      </w:rPr>
    </w:lvl>
  </w:abstractNum>
  <w:abstractNum w:abstractNumId="5" w15:restartNumberingAfterBreak="0">
    <w:nsid w:val="4A1AD267"/>
    <w:multiLevelType w:val="hybridMultilevel"/>
    <w:tmpl w:val="0A22059A"/>
    <w:lvl w:ilvl="0" w:tplc="52E8DE3A">
      <w:start w:val="1"/>
      <w:numFmt w:val="bullet"/>
      <w:lvlText w:val=""/>
      <w:lvlJc w:val="left"/>
      <w:pPr>
        <w:ind w:left="720" w:hanging="360"/>
      </w:pPr>
      <w:rPr>
        <w:rFonts w:ascii="Symbol" w:hAnsi="Symbol" w:hint="default"/>
      </w:rPr>
    </w:lvl>
    <w:lvl w:ilvl="1" w:tplc="DCF2CAF0">
      <w:start w:val="1"/>
      <w:numFmt w:val="bullet"/>
      <w:lvlText w:val="o"/>
      <w:lvlJc w:val="left"/>
      <w:pPr>
        <w:ind w:left="1440" w:hanging="360"/>
      </w:pPr>
      <w:rPr>
        <w:rFonts w:ascii="Courier New" w:hAnsi="Courier New" w:hint="default"/>
      </w:rPr>
    </w:lvl>
    <w:lvl w:ilvl="2" w:tplc="FEE07C5C">
      <w:start w:val="1"/>
      <w:numFmt w:val="bullet"/>
      <w:lvlText w:val=""/>
      <w:lvlJc w:val="left"/>
      <w:pPr>
        <w:ind w:left="2160" w:hanging="360"/>
      </w:pPr>
      <w:rPr>
        <w:rFonts w:ascii="Wingdings" w:hAnsi="Wingdings" w:hint="default"/>
      </w:rPr>
    </w:lvl>
    <w:lvl w:ilvl="3" w:tplc="5680DC1C">
      <w:start w:val="1"/>
      <w:numFmt w:val="bullet"/>
      <w:lvlText w:val=""/>
      <w:lvlJc w:val="left"/>
      <w:pPr>
        <w:ind w:left="2880" w:hanging="360"/>
      </w:pPr>
      <w:rPr>
        <w:rFonts w:ascii="Symbol" w:hAnsi="Symbol" w:hint="default"/>
      </w:rPr>
    </w:lvl>
    <w:lvl w:ilvl="4" w:tplc="9C8A07F6">
      <w:start w:val="1"/>
      <w:numFmt w:val="bullet"/>
      <w:lvlText w:val="o"/>
      <w:lvlJc w:val="left"/>
      <w:pPr>
        <w:ind w:left="3600" w:hanging="360"/>
      </w:pPr>
      <w:rPr>
        <w:rFonts w:ascii="Courier New" w:hAnsi="Courier New" w:hint="default"/>
      </w:rPr>
    </w:lvl>
    <w:lvl w:ilvl="5" w:tplc="AED013B4">
      <w:start w:val="1"/>
      <w:numFmt w:val="bullet"/>
      <w:lvlText w:val=""/>
      <w:lvlJc w:val="left"/>
      <w:pPr>
        <w:ind w:left="4320" w:hanging="360"/>
      </w:pPr>
      <w:rPr>
        <w:rFonts w:ascii="Wingdings" w:hAnsi="Wingdings" w:hint="default"/>
      </w:rPr>
    </w:lvl>
    <w:lvl w:ilvl="6" w:tplc="5CB60756">
      <w:start w:val="1"/>
      <w:numFmt w:val="bullet"/>
      <w:lvlText w:val=""/>
      <w:lvlJc w:val="left"/>
      <w:pPr>
        <w:ind w:left="5040" w:hanging="360"/>
      </w:pPr>
      <w:rPr>
        <w:rFonts w:ascii="Symbol" w:hAnsi="Symbol" w:hint="default"/>
      </w:rPr>
    </w:lvl>
    <w:lvl w:ilvl="7" w:tplc="BABC51F8">
      <w:start w:val="1"/>
      <w:numFmt w:val="bullet"/>
      <w:lvlText w:val="o"/>
      <w:lvlJc w:val="left"/>
      <w:pPr>
        <w:ind w:left="5760" w:hanging="360"/>
      </w:pPr>
      <w:rPr>
        <w:rFonts w:ascii="Courier New" w:hAnsi="Courier New" w:hint="default"/>
      </w:rPr>
    </w:lvl>
    <w:lvl w:ilvl="8" w:tplc="27BE19CC">
      <w:start w:val="1"/>
      <w:numFmt w:val="bullet"/>
      <w:lvlText w:val=""/>
      <w:lvlJc w:val="left"/>
      <w:pPr>
        <w:ind w:left="6480" w:hanging="360"/>
      </w:pPr>
      <w:rPr>
        <w:rFonts w:ascii="Wingdings" w:hAnsi="Wingdings" w:hint="default"/>
      </w:rPr>
    </w:lvl>
  </w:abstractNum>
  <w:abstractNum w:abstractNumId="6" w15:restartNumberingAfterBreak="0">
    <w:nsid w:val="4D28828F"/>
    <w:multiLevelType w:val="hybridMultilevel"/>
    <w:tmpl w:val="B6D0BB94"/>
    <w:lvl w:ilvl="0" w:tplc="C80E35FC">
      <w:start w:val="1"/>
      <w:numFmt w:val="bullet"/>
      <w:lvlText w:val=""/>
      <w:lvlJc w:val="left"/>
      <w:pPr>
        <w:ind w:left="720" w:hanging="360"/>
      </w:pPr>
      <w:rPr>
        <w:rFonts w:ascii="Symbol" w:hAnsi="Symbol" w:hint="default"/>
      </w:rPr>
    </w:lvl>
    <w:lvl w:ilvl="1" w:tplc="58FC21FC">
      <w:start w:val="1"/>
      <w:numFmt w:val="bullet"/>
      <w:lvlText w:val="o"/>
      <w:lvlJc w:val="left"/>
      <w:pPr>
        <w:ind w:left="1440" w:hanging="360"/>
      </w:pPr>
      <w:rPr>
        <w:rFonts w:ascii="Courier New" w:hAnsi="Courier New" w:hint="default"/>
      </w:rPr>
    </w:lvl>
    <w:lvl w:ilvl="2" w:tplc="12521DA2">
      <w:start w:val="1"/>
      <w:numFmt w:val="bullet"/>
      <w:lvlText w:val=""/>
      <w:lvlJc w:val="left"/>
      <w:pPr>
        <w:ind w:left="2160" w:hanging="360"/>
      </w:pPr>
      <w:rPr>
        <w:rFonts w:ascii="Wingdings" w:hAnsi="Wingdings" w:hint="default"/>
      </w:rPr>
    </w:lvl>
    <w:lvl w:ilvl="3" w:tplc="1E60901A">
      <w:start w:val="1"/>
      <w:numFmt w:val="bullet"/>
      <w:lvlText w:val=""/>
      <w:lvlJc w:val="left"/>
      <w:pPr>
        <w:ind w:left="2880" w:hanging="360"/>
      </w:pPr>
      <w:rPr>
        <w:rFonts w:ascii="Symbol" w:hAnsi="Symbol" w:hint="default"/>
      </w:rPr>
    </w:lvl>
    <w:lvl w:ilvl="4" w:tplc="C316E040">
      <w:start w:val="1"/>
      <w:numFmt w:val="bullet"/>
      <w:lvlText w:val="o"/>
      <w:lvlJc w:val="left"/>
      <w:pPr>
        <w:ind w:left="3600" w:hanging="360"/>
      </w:pPr>
      <w:rPr>
        <w:rFonts w:ascii="Courier New" w:hAnsi="Courier New" w:hint="default"/>
      </w:rPr>
    </w:lvl>
    <w:lvl w:ilvl="5" w:tplc="73EC8584">
      <w:start w:val="1"/>
      <w:numFmt w:val="bullet"/>
      <w:lvlText w:val=""/>
      <w:lvlJc w:val="left"/>
      <w:pPr>
        <w:ind w:left="4320" w:hanging="360"/>
      </w:pPr>
      <w:rPr>
        <w:rFonts w:ascii="Wingdings" w:hAnsi="Wingdings" w:hint="default"/>
      </w:rPr>
    </w:lvl>
    <w:lvl w:ilvl="6" w:tplc="7E006AE6">
      <w:start w:val="1"/>
      <w:numFmt w:val="bullet"/>
      <w:lvlText w:val=""/>
      <w:lvlJc w:val="left"/>
      <w:pPr>
        <w:ind w:left="5040" w:hanging="360"/>
      </w:pPr>
      <w:rPr>
        <w:rFonts w:ascii="Symbol" w:hAnsi="Symbol" w:hint="default"/>
      </w:rPr>
    </w:lvl>
    <w:lvl w:ilvl="7" w:tplc="8EBE9DFA">
      <w:start w:val="1"/>
      <w:numFmt w:val="bullet"/>
      <w:lvlText w:val="o"/>
      <w:lvlJc w:val="left"/>
      <w:pPr>
        <w:ind w:left="5760" w:hanging="360"/>
      </w:pPr>
      <w:rPr>
        <w:rFonts w:ascii="Courier New" w:hAnsi="Courier New" w:hint="default"/>
      </w:rPr>
    </w:lvl>
    <w:lvl w:ilvl="8" w:tplc="FAF670B4">
      <w:start w:val="1"/>
      <w:numFmt w:val="bullet"/>
      <w:lvlText w:val=""/>
      <w:lvlJc w:val="left"/>
      <w:pPr>
        <w:ind w:left="6480" w:hanging="360"/>
      </w:pPr>
      <w:rPr>
        <w:rFonts w:ascii="Wingdings" w:hAnsi="Wingdings" w:hint="default"/>
      </w:rPr>
    </w:lvl>
  </w:abstractNum>
  <w:abstractNum w:abstractNumId="7" w15:restartNumberingAfterBreak="0">
    <w:nsid w:val="5A28C24F"/>
    <w:multiLevelType w:val="hybridMultilevel"/>
    <w:tmpl w:val="904E8138"/>
    <w:lvl w:ilvl="0" w:tplc="D4D6BB6C">
      <w:start w:val="1"/>
      <w:numFmt w:val="bullet"/>
      <w:lvlText w:val=""/>
      <w:lvlJc w:val="left"/>
      <w:pPr>
        <w:ind w:left="720" w:hanging="360"/>
      </w:pPr>
      <w:rPr>
        <w:rFonts w:ascii="Symbol" w:hAnsi="Symbol" w:hint="default"/>
      </w:rPr>
    </w:lvl>
    <w:lvl w:ilvl="1" w:tplc="D53278EA">
      <w:start w:val="1"/>
      <w:numFmt w:val="bullet"/>
      <w:lvlText w:val="o"/>
      <w:lvlJc w:val="left"/>
      <w:pPr>
        <w:ind w:left="1440" w:hanging="360"/>
      </w:pPr>
      <w:rPr>
        <w:rFonts w:ascii="Courier New" w:hAnsi="Courier New" w:hint="default"/>
      </w:rPr>
    </w:lvl>
    <w:lvl w:ilvl="2" w:tplc="133C3748">
      <w:start w:val="1"/>
      <w:numFmt w:val="bullet"/>
      <w:lvlText w:val=""/>
      <w:lvlJc w:val="left"/>
      <w:pPr>
        <w:ind w:left="2160" w:hanging="360"/>
      </w:pPr>
      <w:rPr>
        <w:rFonts w:ascii="Wingdings" w:hAnsi="Wingdings" w:hint="default"/>
      </w:rPr>
    </w:lvl>
    <w:lvl w:ilvl="3" w:tplc="35740094">
      <w:start w:val="1"/>
      <w:numFmt w:val="bullet"/>
      <w:lvlText w:val=""/>
      <w:lvlJc w:val="left"/>
      <w:pPr>
        <w:ind w:left="2880" w:hanging="360"/>
      </w:pPr>
      <w:rPr>
        <w:rFonts w:ascii="Symbol" w:hAnsi="Symbol" w:hint="default"/>
      </w:rPr>
    </w:lvl>
    <w:lvl w:ilvl="4" w:tplc="7070D0D2">
      <w:start w:val="1"/>
      <w:numFmt w:val="bullet"/>
      <w:lvlText w:val="o"/>
      <w:lvlJc w:val="left"/>
      <w:pPr>
        <w:ind w:left="3600" w:hanging="360"/>
      </w:pPr>
      <w:rPr>
        <w:rFonts w:ascii="Courier New" w:hAnsi="Courier New" w:hint="default"/>
      </w:rPr>
    </w:lvl>
    <w:lvl w:ilvl="5" w:tplc="7F462514">
      <w:start w:val="1"/>
      <w:numFmt w:val="bullet"/>
      <w:lvlText w:val=""/>
      <w:lvlJc w:val="left"/>
      <w:pPr>
        <w:ind w:left="4320" w:hanging="360"/>
      </w:pPr>
      <w:rPr>
        <w:rFonts w:ascii="Wingdings" w:hAnsi="Wingdings" w:hint="default"/>
      </w:rPr>
    </w:lvl>
    <w:lvl w:ilvl="6" w:tplc="BFAA56E4">
      <w:start w:val="1"/>
      <w:numFmt w:val="bullet"/>
      <w:lvlText w:val=""/>
      <w:lvlJc w:val="left"/>
      <w:pPr>
        <w:ind w:left="5040" w:hanging="360"/>
      </w:pPr>
      <w:rPr>
        <w:rFonts w:ascii="Symbol" w:hAnsi="Symbol" w:hint="default"/>
      </w:rPr>
    </w:lvl>
    <w:lvl w:ilvl="7" w:tplc="E69EFA46">
      <w:start w:val="1"/>
      <w:numFmt w:val="bullet"/>
      <w:lvlText w:val="o"/>
      <w:lvlJc w:val="left"/>
      <w:pPr>
        <w:ind w:left="5760" w:hanging="360"/>
      </w:pPr>
      <w:rPr>
        <w:rFonts w:ascii="Courier New" w:hAnsi="Courier New" w:hint="default"/>
      </w:rPr>
    </w:lvl>
    <w:lvl w:ilvl="8" w:tplc="DFE60388">
      <w:start w:val="1"/>
      <w:numFmt w:val="bullet"/>
      <w:lvlText w:val=""/>
      <w:lvlJc w:val="left"/>
      <w:pPr>
        <w:ind w:left="6480" w:hanging="360"/>
      </w:pPr>
      <w:rPr>
        <w:rFonts w:ascii="Wingdings" w:hAnsi="Wingdings" w:hint="default"/>
      </w:rPr>
    </w:lvl>
  </w:abstractNum>
  <w:abstractNum w:abstractNumId="8" w15:restartNumberingAfterBreak="0">
    <w:nsid w:val="5E899583"/>
    <w:multiLevelType w:val="hybridMultilevel"/>
    <w:tmpl w:val="CBAAB8DA"/>
    <w:lvl w:ilvl="0" w:tplc="F1E0A60E">
      <w:start w:val="1"/>
      <w:numFmt w:val="decimal"/>
      <w:lvlText w:val="%1."/>
      <w:lvlJc w:val="left"/>
      <w:pPr>
        <w:ind w:left="720" w:hanging="360"/>
      </w:pPr>
    </w:lvl>
    <w:lvl w:ilvl="1" w:tplc="DFE4E20E">
      <w:start w:val="1"/>
      <w:numFmt w:val="lowerLetter"/>
      <w:lvlText w:val="%2."/>
      <w:lvlJc w:val="left"/>
      <w:pPr>
        <w:ind w:left="1440" w:hanging="360"/>
      </w:pPr>
    </w:lvl>
    <w:lvl w:ilvl="2" w:tplc="EDB6F816">
      <w:start w:val="1"/>
      <w:numFmt w:val="lowerRoman"/>
      <w:lvlText w:val="%3."/>
      <w:lvlJc w:val="right"/>
      <w:pPr>
        <w:ind w:left="2160" w:hanging="180"/>
      </w:pPr>
    </w:lvl>
    <w:lvl w:ilvl="3" w:tplc="002A9BEC">
      <w:start w:val="1"/>
      <w:numFmt w:val="decimal"/>
      <w:lvlText w:val="%4."/>
      <w:lvlJc w:val="left"/>
      <w:pPr>
        <w:ind w:left="2880" w:hanging="360"/>
      </w:pPr>
    </w:lvl>
    <w:lvl w:ilvl="4" w:tplc="26DE57F8">
      <w:start w:val="1"/>
      <w:numFmt w:val="lowerLetter"/>
      <w:lvlText w:val="%5."/>
      <w:lvlJc w:val="left"/>
      <w:pPr>
        <w:ind w:left="3600" w:hanging="360"/>
      </w:pPr>
    </w:lvl>
    <w:lvl w:ilvl="5" w:tplc="20223E78">
      <w:start w:val="1"/>
      <w:numFmt w:val="lowerRoman"/>
      <w:lvlText w:val="%6."/>
      <w:lvlJc w:val="right"/>
      <w:pPr>
        <w:ind w:left="4320" w:hanging="180"/>
      </w:pPr>
    </w:lvl>
    <w:lvl w:ilvl="6" w:tplc="D8D4E426">
      <w:start w:val="1"/>
      <w:numFmt w:val="decimal"/>
      <w:lvlText w:val="%7."/>
      <w:lvlJc w:val="left"/>
      <w:pPr>
        <w:ind w:left="5040" w:hanging="360"/>
      </w:pPr>
    </w:lvl>
    <w:lvl w:ilvl="7" w:tplc="088C2772">
      <w:start w:val="1"/>
      <w:numFmt w:val="lowerLetter"/>
      <w:lvlText w:val="%8."/>
      <w:lvlJc w:val="left"/>
      <w:pPr>
        <w:ind w:left="5760" w:hanging="360"/>
      </w:pPr>
    </w:lvl>
    <w:lvl w:ilvl="8" w:tplc="B1D4AA8E">
      <w:start w:val="1"/>
      <w:numFmt w:val="lowerRoman"/>
      <w:lvlText w:val="%9."/>
      <w:lvlJc w:val="right"/>
      <w:pPr>
        <w:ind w:left="6480" w:hanging="180"/>
      </w:pPr>
    </w:lvl>
  </w:abstractNum>
  <w:abstractNum w:abstractNumId="9" w15:restartNumberingAfterBreak="0">
    <w:nsid w:val="6A6738B9"/>
    <w:multiLevelType w:val="hybridMultilevel"/>
    <w:tmpl w:val="7E86430E"/>
    <w:lvl w:ilvl="0" w:tplc="CFFA5DF4">
      <w:start w:val="1"/>
      <w:numFmt w:val="bullet"/>
      <w:lvlText w:val="·"/>
      <w:lvlJc w:val="left"/>
      <w:pPr>
        <w:ind w:left="720" w:hanging="360"/>
      </w:pPr>
      <w:rPr>
        <w:rFonts w:ascii="Symbol" w:hAnsi="Symbol" w:hint="default"/>
      </w:rPr>
    </w:lvl>
    <w:lvl w:ilvl="1" w:tplc="CD664286">
      <w:start w:val="1"/>
      <w:numFmt w:val="bullet"/>
      <w:lvlText w:val="o"/>
      <w:lvlJc w:val="left"/>
      <w:pPr>
        <w:ind w:left="1440" w:hanging="360"/>
      </w:pPr>
      <w:rPr>
        <w:rFonts w:ascii="Courier New" w:hAnsi="Courier New" w:hint="default"/>
      </w:rPr>
    </w:lvl>
    <w:lvl w:ilvl="2" w:tplc="6BE49E90">
      <w:start w:val="1"/>
      <w:numFmt w:val="bullet"/>
      <w:lvlText w:val=""/>
      <w:lvlJc w:val="left"/>
      <w:pPr>
        <w:ind w:left="2160" w:hanging="360"/>
      </w:pPr>
      <w:rPr>
        <w:rFonts w:ascii="Wingdings" w:hAnsi="Wingdings" w:hint="default"/>
      </w:rPr>
    </w:lvl>
    <w:lvl w:ilvl="3" w:tplc="7F28999E">
      <w:start w:val="1"/>
      <w:numFmt w:val="bullet"/>
      <w:lvlText w:val=""/>
      <w:lvlJc w:val="left"/>
      <w:pPr>
        <w:ind w:left="2880" w:hanging="360"/>
      </w:pPr>
      <w:rPr>
        <w:rFonts w:ascii="Symbol" w:hAnsi="Symbol" w:hint="default"/>
      </w:rPr>
    </w:lvl>
    <w:lvl w:ilvl="4" w:tplc="E77ABE90">
      <w:start w:val="1"/>
      <w:numFmt w:val="bullet"/>
      <w:lvlText w:val="o"/>
      <w:lvlJc w:val="left"/>
      <w:pPr>
        <w:ind w:left="3600" w:hanging="360"/>
      </w:pPr>
      <w:rPr>
        <w:rFonts w:ascii="Courier New" w:hAnsi="Courier New" w:hint="default"/>
      </w:rPr>
    </w:lvl>
    <w:lvl w:ilvl="5" w:tplc="34D67544">
      <w:start w:val="1"/>
      <w:numFmt w:val="bullet"/>
      <w:lvlText w:val=""/>
      <w:lvlJc w:val="left"/>
      <w:pPr>
        <w:ind w:left="4320" w:hanging="360"/>
      </w:pPr>
      <w:rPr>
        <w:rFonts w:ascii="Wingdings" w:hAnsi="Wingdings" w:hint="default"/>
      </w:rPr>
    </w:lvl>
    <w:lvl w:ilvl="6" w:tplc="35DA4EA6">
      <w:start w:val="1"/>
      <w:numFmt w:val="bullet"/>
      <w:lvlText w:val=""/>
      <w:lvlJc w:val="left"/>
      <w:pPr>
        <w:ind w:left="5040" w:hanging="360"/>
      </w:pPr>
      <w:rPr>
        <w:rFonts w:ascii="Symbol" w:hAnsi="Symbol" w:hint="default"/>
      </w:rPr>
    </w:lvl>
    <w:lvl w:ilvl="7" w:tplc="9FF2A4CE">
      <w:start w:val="1"/>
      <w:numFmt w:val="bullet"/>
      <w:lvlText w:val="o"/>
      <w:lvlJc w:val="left"/>
      <w:pPr>
        <w:ind w:left="5760" w:hanging="360"/>
      </w:pPr>
      <w:rPr>
        <w:rFonts w:ascii="Courier New" w:hAnsi="Courier New" w:hint="default"/>
      </w:rPr>
    </w:lvl>
    <w:lvl w:ilvl="8" w:tplc="13562670">
      <w:start w:val="1"/>
      <w:numFmt w:val="bullet"/>
      <w:lvlText w:val=""/>
      <w:lvlJc w:val="left"/>
      <w:pPr>
        <w:ind w:left="6480" w:hanging="360"/>
      </w:pPr>
      <w:rPr>
        <w:rFonts w:ascii="Wingdings" w:hAnsi="Wingdings" w:hint="default"/>
      </w:rPr>
    </w:lvl>
  </w:abstractNum>
  <w:abstractNum w:abstractNumId="10" w15:restartNumberingAfterBreak="0">
    <w:nsid w:val="6F6A2521"/>
    <w:multiLevelType w:val="hybridMultilevel"/>
    <w:tmpl w:val="4D263844"/>
    <w:lvl w:ilvl="0" w:tplc="1728D642">
      <w:start w:val="1"/>
      <w:numFmt w:val="bullet"/>
      <w:lvlText w:val="·"/>
      <w:lvlJc w:val="left"/>
      <w:pPr>
        <w:ind w:left="720" w:hanging="360"/>
      </w:pPr>
      <w:rPr>
        <w:rFonts w:ascii="Symbol" w:hAnsi="Symbol" w:hint="default"/>
      </w:rPr>
    </w:lvl>
    <w:lvl w:ilvl="1" w:tplc="37702770">
      <w:start w:val="1"/>
      <w:numFmt w:val="bullet"/>
      <w:lvlText w:val="o"/>
      <w:lvlJc w:val="left"/>
      <w:pPr>
        <w:ind w:left="1440" w:hanging="360"/>
      </w:pPr>
      <w:rPr>
        <w:rFonts w:ascii="Courier New" w:hAnsi="Courier New" w:hint="default"/>
      </w:rPr>
    </w:lvl>
    <w:lvl w:ilvl="2" w:tplc="43AC902E">
      <w:start w:val="1"/>
      <w:numFmt w:val="bullet"/>
      <w:lvlText w:val=""/>
      <w:lvlJc w:val="left"/>
      <w:pPr>
        <w:ind w:left="2160" w:hanging="360"/>
      </w:pPr>
      <w:rPr>
        <w:rFonts w:ascii="Wingdings" w:hAnsi="Wingdings" w:hint="default"/>
      </w:rPr>
    </w:lvl>
    <w:lvl w:ilvl="3" w:tplc="D662E6B2">
      <w:start w:val="1"/>
      <w:numFmt w:val="bullet"/>
      <w:lvlText w:val=""/>
      <w:lvlJc w:val="left"/>
      <w:pPr>
        <w:ind w:left="2880" w:hanging="360"/>
      </w:pPr>
      <w:rPr>
        <w:rFonts w:ascii="Symbol" w:hAnsi="Symbol" w:hint="default"/>
      </w:rPr>
    </w:lvl>
    <w:lvl w:ilvl="4" w:tplc="BD924482">
      <w:start w:val="1"/>
      <w:numFmt w:val="bullet"/>
      <w:lvlText w:val="o"/>
      <w:lvlJc w:val="left"/>
      <w:pPr>
        <w:ind w:left="3600" w:hanging="360"/>
      </w:pPr>
      <w:rPr>
        <w:rFonts w:ascii="Courier New" w:hAnsi="Courier New" w:hint="default"/>
      </w:rPr>
    </w:lvl>
    <w:lvl w:ilvl="5" w:tplc="BBAA08E2">
      <w:start w:val="1"/>
      <w:numFmt w:val="bullet"/>
      <w:lvlText w:val=""/>
      <w:lvlJc w:val="left"/>
      <w:pPr>
        <w:ind w:left="4320" w:hanging="360"/>
      </w:pPr>
      <w:rPr>
        <w:rFonts w:ascii="Wingdings" w:hAnsi="Wingdings" w:hint="default"/>
      </w:rPr>
    </w:lvl>
    <w:lvl w:ilvl="6" w:tplc="06100F9E">
      <w:start w:val="1"/>
      <w:numFmt w:val="bullet"/>
      <w:lvlText w:val=""/>
      <w:lvlJc w:val="left"/>
      <w:pPr>
        <w:ind w:left="5040" w:hanging="360"/>
      </w:pPr>
      <w:rPr>
        <w:rFonts w:ascii="Symbol" w:hAnsi="Symbol" w:hint="default"/>
      </w:rPr>
    </w:lvl>
    <w:lvl w:ilvl="7" w:tplc="7A12992E">
      <w:start w:val="1"/>
      <w:numFmt w:val="bullet"/>
      <w:lvlText w:val="o"/>
      <w:lvlJc w:val="left"/>
      <w:pPr>
        <w:ind w:left="5760" w:hanging="360"/>
      </w:pPr>
      <w:rPr>
        <w:rFonts w:ascii="Courier New" w:hAnsi="Courier New" w:hint="default"/>
      </w:rPr>
    </w:lvl>
    <w:lvl w:ilvl="8" w:tplc="2272CE32">
      <w:start w:val="1"/>
      <w:numFmt w:val="bullet"/>
      <w:lvlText w:val=""/>
      <w:lvlJc w:val="left"/>
      <w:pPr>
        <w:ind w:left="6480" w:hanging="360"/>
      </w:pPr>
      <w:rPr>
        <w:rFonts w:ascii="Wingdings" w:hAnsi="Wingdings" w:hint="default"/>
      </w:rPr>
    </w:lvl>
  </w:abstractNum>
  <w:abstractNum w:abstractNumId="11" w15:restartNumberingAfterBreak="0">
    <w:nsid w:val="776BF032"/>
    <w:multiLevelType w:val="hybridMultilevel"/>
    <w:tmpl w:val="D9DA1174"/>
    <w:lvl w:ilvl="0" w:tplc="E1BA2D86">
      <w:start w:val="1"/>
      <w:numFmt w:val="bullet"/>
      <w:lvlText w:val=""/>
      <w:lvlJc w:val="left"/>
      <w:pPr>
        <w:ind w:left="720" w:hanging="360"/>
      </w:pPr>
      <w:rPr>
        <w:rFonts w:ascii="Symbol" w:hAnsi="Symbol" w:hint="default"/>
      </w:rPr>
    </w:lvl>
    <w:lvl w:ilvl="1" w:tplc="D10C6BC8">
      <w:start w:val="1"/>
      <w:numFmt w:val="bullet"/>
      <w:lvlText w:val="o"/>
      <w:lvlJc w:val="left"/>
      <w:pPr>
        <w:ind w:left="1440" w:hanging="360"/>
      </w:pPr>
      <w:rPr>
        <w:rFonts w:ascii="Courier New" w:hAnsi="Courier New" w:hint="default"/>
      </w:rPr>
    </w:lvl>
    <w:lvl w:ilvl="2" w:tplc="52C0E63E">
      <w:start w:val="1"/>
      <w:numFmt w:val="bullet"/>
      <w:lvlText w:val=""/>
      <w:lvlJc w:val="left"/>
      <w:pPr>
        <w:ind w:left="2160" w:hanging="360"/>
      </w:pPr>
      <w:rPr>
        <w:rFonts w:ascii="Wingdings" w:hAnsi="Wingdings" w:hint="default"/>
      </w:rPr>
    </w:lvl>
    <w:lvl w:ilvl="3" w:tplc="9E0A7E50">
      <w:start w:val="1"/>
      <w:numFmt w:val="bullet"/>
      <w:lvlText w:val=""/>
      <w:lvlJc w:val="left"/>
      <w:pPr>
        <w:ind w:left="2880" w:hanging="360"/>
      </w:pPr>
      <w:rPr>
        <w:rFonts w:ascii="Symbol" w:hAnsi="Symbol" w:hint="default"/>
      </w:rPr>
    </w:lvl>
    <w:lvl w:ilvl="4" w:tplc="5CDAAE10">
      <w:start w:val="1"/>
      <w:numFmt w:val="bullet"/>
      <w:lvlText w:val="o"/>
      <w:lvlJc w:val="left"/>
      <w:pPr>
        <w:ind w:left="3600" w:hanging="360"/>
      </w:pPr>
      <w:rPr>
        <w:rFonts w:ascii="Courier New" w:hAnsi="Courier New" w:hint="default"/>
      </w:rPr>
    </w:lvl>
    <w:lvl w:ilvl="5" w:tplc="13F4BD06">
      <w:start w:val="1"/>
      <w:numFmt w:val="bullet"/>
      <w:lvlText w:val=""/>
      <w:lvlJc w:val="left"/>
      <w:pPr>
        <w:ind w:left="4320" w:hanging="360"/>
      </w:pPr>
      <w:rPr>
        <w:rFonts w:ascii="Wingdings" w:hAnsi="Wingdings" w:hint="default"/>
      </w:rPr>
    </w:lvl>
    <w:lvl w:ilvl="6" w:tplc="29724882">
      <w:start w:val="1"/>
      <w:numFmt w:val="bullet"/>
      <w:lvlText w:val=""/>
      <w:lvlJc w:val="left"/>
      <w:pPr>
        <w:ind w:left="5040" w:hanging="360"/>
      </w:pPr>
      <w:rPr>
        <w:rFonts w:ascii="Symbol" w:hAnsi="Symbol" w:hint="default"/>
      </w:rPr>
    </w:lvl>
    <w:lvl w:ilvl="7" w:tplc="0FF6B4AA">
      <w:start w:val="1"/>
      <w:numFmt w:val="bullet"/>
      <w:lvlText w:val="o"/>
      <w:lvlJc w:val="left"/>
      <w:pPr>
        <w:ind w:left="5760" w:hanging="360"/>
      </w:pPr>
      <w:rPr>
        <w:rFonts w:ascii="Courier New" w:hAnsi="Courier New" w:hint="default"/>
      </w:rPr>
    </w:lvl>
    <w:lvl w:ilvl="8" w:tplc="6570D3A4">
      <w:start w:val="1"/>
      <w:numFmt w:val="bullet"/>
      <w:lvlText w:val=""/>
      <w:lvlJc w:val="left"/>
      <w:pPr>
        <w:ind w:left="6480" w:hanging="360"/>
      </w:pPr>
      <w:rPr>
        <w:rFonts w:ascii="Wingdings" w:hAnsi="Wingdings" w:hint="default"/>
      </w:rPr>
    </w:lvl>
  </w:abstractNum>
  <w:num w:numId="1" w16cid:durableId="465389150">
    <w:abstractNumId w:val="3"/>
  </w:num>
  <w:num w:numId="2" w16cid:durableId="451247089">
    <w:abstractNumId w:val="7"/>
  </w:num>
  <w:num w:numId="3" w16cid:durableId="1350109057">
    <w:abstractNumId w:val="6"/>
  </w:num>
  <w:num w:numId="4" w16cid:durableId="236520286">
    <w:abstractNumId w:val="1"/>
  </w:num>
  <w:num w:numId="5" w16cid:durableId="1306162033">
    <w:abstractNumId w:val="8"/>
  </w:num>
  <w:num w:numId="6" w16cid:durableId="990333605">
    <w:abstractNumId w:val="5"/>
  </w:num>
  <w:num w:numId="7" w16cid:durableId="1847287926">
    <w:abstractNumId w:val="0"/>
  </w:num>
  <w:num w:numId="8" w16cid:durableId="1729067305">
    <w:abstractNumId w:val="4"/>
  </w:num>
  <w:num w:numId="9" w16cid:durableId="243299095">
    <w:abstractNumId w:val="11"/>
  </w:num>
  <w:num w:numId="10" w16cid:durableId="471101315">
    <w:abstractNumId w:val="9"/>
  </w:num>
  <w:num w:numId="11" w16cid:durableId="1679700135">
    <w:abstractNumId w:val="10"/>
  </w:num>
  <w:num w:numId="12" w16cid:durableId="72884800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6493E67"/>
    <w:rsid w:val="00070653"/>
    <w:rsid w:val="00182586"/>
    <w:rsid w:val="001A4A79"/>
    <w:rsid w:val="001D3CBB"/>
    <w:rsid w:val="0073D456"/>
    <w:rsid w:val="007F2BB4"/>
    <w:rsid w:val="00844F72"/>
    <w:rsid w:val="00A1C5B4"/>
    <w:rsid w:val="00AED93A"/>
    <w:rsid w:val="01142CC3"/>
    <w:rsid w:val="014AB9B2"/>
    <w:rsid w:val="017A4EA4"/>
    <w:rsid w:val="01C34203"/>
    <w:rsid w:val="01C7F67B"/>
    <w:rsid w:val="01ECB7F7"/>
    <w:rsid w:val="02AECB7F"/>
    <w:rsid w:val="02F30375"/>
    <w:rsid w:val="0319B3C7"/>
    <w:rsid w:val="03600A0F"/>
    <w:rsid w:val="03E857DD"/>
    <w:rsid w:val="0439C290"/>
    <w:rsid w:val="048F9D60"/>
    <w:rsid w:val="04B5B3A2"/>
    <w:rsid w:val="04CF4B3A"/>
    <w:rsid w:val="04D973E4"/>
    <w:rsid w:val="04E00440"/>
    <w:rsid w:val="0505035F"/>
    <w:rsid w:val="05151512"/>
    <w:rsid w:val="05579074"/>
    <w:rsid w:val="056CA05A"/>
    <w:rsid w:val="05929BA4"/>
    <w:rsid w:val="05D66DCE"/>
    <w:rsid w:val="05EA0B0F"/>
    <w:rsid w:val="063CCA65"/>
    <w:rsid w:val="065BABD8"/>
    <w:rsid w:val="0662FBC2"/>
    <w:rsid w:val="0687F134"/>
    <w:rsid w:val="06992658"/>
    <w:rsid w:val="069E14CE"/>
    <w:rsid w:val="06B574EE"/>
    <w:rsid w:val="06E8D2DC"/>
    <w:rsid w:val="071EA009"/>
    <w:rsid w:val="078EA553"/>
    <w:rsid w:val="07FA04DD"/>
    <w:rsid w:val="07FE11EA"/>
    <w:rsid w:val="084F6564"/>
    <w:rsid w:val="08654C15"/>
    <w:rsid w:val="08721681"/>
    <w:rsid w:val="091CFFA0"/>
    <w:rsid w:val="094D8B97"/>
    <w:rsid w:val="098BD16D"/>
    <w:rsid w:val="09F581BA"/>
    <w:rsid w:val="0A3EF5FE"/>
    <w:rsid w:val="0A8E7982"/>
    <w:rsid w:val="0CB0495B"/>
    <w:rsid w:val="0CB8423A"/>
    <w:rsid w:val="0CDEAE21"/>
    <w:rsid w:val="0D0F6033"/>
    <w:rsid w:val="0DB86D5E"/>
    <w:rsid w:val="0F2F1D50"/>
    <w:rsid w:val="0F654E92"/>
    <w:rsid w:val="0F7D2541"/>
    <w:rsid w:val="0F9DE9F8"/>
    <w:rsid w:val="0FE9E1B9"/>
    <w:rsid w:val="112B5771"/>
    <w:rsid w:val="1159384C"/>
    <w:rsid w:val="1196BC95"/>
    <w:rsid w:val="11F08466"/>
    <w:rsid w:val="1269B338"/>
    <w:rsid w:val="12927CF1"/>
    <w:rsid w:val="12AB1CDC"/>
    <w:rsid w:val="132D54C6"/>
    <w:rsid w:val="13326734"/>
    <w:rsid w:val="1364CF65"/>
    <w:rsid w:val="1380988E"/>
    <w:rsid w:val="13D1E7AA"/>
    <w:rsid w:val="13D279E9"/>
    <w:rsid w:val="13D7FA35"/>
    <w:rsid w:val="13FE132E"/>
    <w:rsid w:val="14245CD8"/>
    <w:rsid w:val="145130E3"/>
    <w:rsid w:val="14C74D40"/>
    <w:rsid w:val="14D54A2D"/>
    <w:rsid w:val="14FDDD64"/>
    <w:rsid w:val="1530D7C7"/>
    <w:rsid w:val="15EE6F33"/>
    <w:rsid w:val="15F6DC3C"/>
    <w:rsid w:val="16493E67"/>
    <w:rsid w:val="1659231B"/>
    <w:rsid w:val="16A7407D"/>
    <w:rsid w:val="172A939F"/>
    <w:rsid w:val="173C80F6"/>
    <w:rsid w:val="17DFD692"/>
    <w:rsid w:val="17F7FE3F"/>
    <w:rsid w:val="18617133"/>
    <w:rsid w:val="186CBC17"/>
    <w:rsid w:val="18A801E8"/>
    <w:rsid w:val="18DC1FC9"/>
    <w:rsid w:val="18F34858"/>
    <w:rsid w:val="1933A169"/>
    <w:rsid w:val="19862717"/>
    <w:rsid w:val="199EC239"/>
    <w:rsid w:val="19D7D1E2"/>
    <w:rsid w:val="1A1BC768"/>
    <w:rsid w:val="1A2F773B"/>
    <w:rsid w:val="1A327EEC"/>
    <w:rsid w:val="1A8994A7"/>
    <w:rsid w:val="1A8F8D79"/>
    <w:rsid w:val="1ABAAE20"/>
    <w:rsid w:val="1AE31767"/>
    <w:rsid w:val="1AE7396D"/>
    <w:rsid w:val="1B5591B0"/>
    <w:rsid w:val="1B96D678"/>
    <w:rsid w:val="1BD917CB"/>
    <w:rsid w:val="1C4275B9"/>
    <w:rsid w:val="1C4C8FCD"/>
    <w:rsid w:val="1CDF2174"/>
    <w:rsid w:val="1D2134CA"/>
    <w:rsid w:val="1D9F342C"/>
    <w:rsid w:val="1DB8C08B"/>
    <w:rsid w:val="1DCEC6E3"/>
    <w:rsid w:val="1DE25859"/>
    <w:rsid w:val="1E7D1FF5"/>
    <w:rsid w:val="1E8CB2D9"/>
    <w:rsid w:val="1EDC43AF"/>
    <w:rsid w:val="1F69531C"/>
    <w:rsid w:val="1F7EFAF6"/>
    <w:rsid w:val="1F863CBF"/>
    <w:rsid w:val="1FBE12ED"/>
    <w:rsid w:val="203F64B8"/>
    <w:rsid w:val="2041823E"/>
    <w:rsid w:val="206B0B87"/>
    <w:rsid w:val="214D9016"/>
    <w:rsid w:val="218D42F9"/>
    <w:rsid w:val="21B6D44D"/>
    <w:rsid w:val="21F227B0"/>
    <w:rsid w:val="22151BB3"/>
    <w:rsid w:val="22A3CD15"/>
    <w:rsid w:val="22C11E1F"/>
    <w:rsid w:val="2308B2A8"/>
    <w:rsid w:val="230EE810"/>
    <w:rsid w:val="231C55DE"/>
    <w:rsid w:val="24010475"/>
    <w:rsid w:val="24582D01"/>
    <w:rsid w:val="2467145F"/>
    <w:rsid w:val="249524B1"/>
    <w:rsid w:val="25420991"/>
    <w:rsid w:val="254F1B3F"/>
    <w:rsid w:val="25B60609"/>
    <w:rsid w:val="25E9913B"/>
    <w:rsid w:val="2607D9F1"/>
    <w:rsid w:val="2612D0F0"/>
    <w:rsid w:val="2620784A"/>
    <w:rsid w:val="262108B4"/>
    <w:rsid w:val="263E434D"/>
    <w:rsid w:val="2664D2DF"/>
    <w:rsid w:val="2689EF63"/>
    <w:rsid w:val="268E8AD7"/>
    <w:rsid w:val="28195F99"/>
    <w:rsid w:val="28435480"/>
    <w:rsid w:val="284F51EB"/>
    <w:rsid w:val="28C5E76A"/>
    <w:rsid w:val="29E81B11"/>
    <w:rsid w:val="29F05794"/>
    <w:rsid w:val="2A14BAFE"/>
    <w:rsid w:val="2A84C80A"/>
    <w:rsid w:val="2A9E9037"/>
    <w:rsid w:val="2AA7C977"/>
    <w:rsid w:val="2AA99886"/>
    <w:rsid w:val="2AD0A798"/>
    <w:rsid w:val="2B109D1C"/>
    <w:rsid w:val="2B4598D0"/>
    <w:rsid w:val="2B4BCD52"/>
    <w:rsid w:val="2B5A7CB7"/>
    <w:rsid w:val="2B85ABF8"/>
    <w:rsid w:val="2BB1FBBB"/>
    <w:rsid w:val="2BE4AC45"/>
    <w:rsid w:val="2C0130CF"/>
    <w:rsid w:val="2C4C9B46"/>
    <w:rsid w:val="2C55394F"/>
    <w:rsid w:val="2C58A584"/>
    <w:rsid w:val="2C7C48D9"/>
    <w:rsid w:val="2CAC8DF0"/>
    <w:rsid w:val="2D1B0918"/>
    <w:rsid w:val="2D275816"/>
    <w:rsid w:val="2D3FAEF9"/>
    <w:rsid w:val="2D8075E2"/>
    <w:rsid w:val="2D9DF9FA"/>
    <w:rsid w:val="2DE987F4"/>
    <w:rsid w:val="2DEA0BEB"/>
    <w:rsid w:val="2E06E392"/>
    <w:rsid w:val="2E3158B7"/>
    <w:rsid w:val="2E4B2C62"/>
    <w:rsid w:val="2E501108"/>
    <w:rsid w:val="2E72D0C6"/>
    <w:rsid w:val="2F13C2CA"/>
    <w:rsid w:val="2F8DD783"/>
    <w:rsid w:val="2FA0CBEF"/>
    <w:rsid w:val="2FA8C483"/>
    <w:rsid w:val="3031CA4E"/>
    <w:rsid w:val="30617824"/>
    <w:rsid w:val="30C4DFCF"/>
    <w:rsid w:val="30C6ACCF"/>
    <w:rsid w:val="313AB0BE"/>
    <w:rsid w:val="316ED38A"/>
    <w:rsid w:val="319AC8B3"/>
    <w:rsid w:val="32297CD0"/>
    <w:rsid w:val="329C95AE"/>
    <w:rsid w:val="32CA0354"/>
    <w:rsid w:val="332CDAB2"/>
    <w:rsid w:val="337D2ABA"/>
    <w:rsid w:val="33BBBEE3"/>
    <w:rsid w:val="33E3319B"/>
    <w:rsid w:val="33E4A9DB"/>
    <w:rsid w:val="3406FDC9"/>
    <w:rsid w:val="34101886"/>
    <w:rsid w:val="343C9E21"/>
    <w:rsid w:val="343E780F"/>
    <w:rsid w:val="346D726B"/>
    <w:rsid w:val="348148C2"/>
    <w:rsid w:val="34E95E40"/>
    <w:rsid w:val="34F8AE15"/>
    <w:rsid w:val="34F9FC53"/>
    <w:rsid w:val="34FB5B3F"/>
    <w:rsid w:val="3507309E"/>
    <w:rsid w:val="35216887"/>
    <w:rsid w:val="357B0903"/>
    <w:rsid w:val="3631276A"/>
    <w:rsid w:val="3633F230"/>
    <w:rsid w:val="36633CDA"/>
    <w:rsid w:val="3667109B"/>
    <w:rsid w:val="36F9E8EB"/>
    <w:rsid w:val="372620ED"/>
    <w:rsid w:val="3739AE59"/>
    <w:rsid w:val="3756D630"/>
    <w:rsid w:val="375CE09E"/>
    <w:rsid w:val="37B0246B"/>
    <w:rsid w:val="37DD53D1"/>
    <w:rsid w:val="3820B63A"/>
    <w:rsid w:val="39323D49"/>
    <w:rsid w:val="3A735D9A"/>
    <w:rsid w:val="3A88FD17"/>
    <w:rsid w:val="3AA525C8"/>
    <w:rsid w:val="3AE8E08D"/>
    <w:rsid w:val="3B0A3FCF"/>
    <w:rsid w:val="3B256FA2"/>
    <w:rsid w:val="3B3FE639"/>
    <w:rsid w:val="3BEC7870"/>
    <w:rsid w:val="3C0DBDF1"/>
    <w:rsid w:val="3C61C0DB"/>
    <w:rsid w:val="3C75664F"/>
    <w:rsid w:val="3CB14E05"/>
    <w:rsid w:val="3CB2E4CD"/>
    <w:rsid w:val="3CCADD28"/>
    <w:rsid w:val="3CFAE5A7"/>
    <w:rsid w:val="3CFC9675"/>
    <w:rsid w:val="3D32B821"/>
    <w:rsid w:val="3D51D502"/>
    <w:rsid w:val="3D701302"/>
    <w:rsid w:val="3D8BF8CF"/>
    <w:rsid w:val="3D96DDB2"/>
    <w:rsid w:val="3DAE2ED7"/>
    <w:rsid w:val="3DB554FE"/>
    <w:rsid w:val="3DC9B9EA"/>
    <w:rsid w:val="3DE45A61"/>
    <w:rsid w:val="3E24040B"/>
    <w:rsid w:val="3E37E56D"/>
    <w:rsid w:val="3E38371F"/>
    <w:rsid w:val="3E86BCFA"/>
    <w:rsid w:val="3ED209FA"/>
    <w:rsid w:val="3F0E8D0E"/>
    <w:rsid w:val="3F638729"/>
    <w:rsid w:val="3FC14509"/>
    <w:rsid w:val="3FED48E0"/>
    <w:rsid w:val="40C02BDC"/>
    <w:rsid w:val="40C5698C"/>
    <w:rsid w:val="40E011F2"/>
    <w:rsid w:val="40E65EBB"/>
    <w:rsid w:val="41001AB2"/>
    <w:rsid w:val="4106E273"/>
    <w:rsid w:val="41090B9B"/>
    <w:rsid w:val="412FEF86"/>
    <w:rsid w:val="41B08D7D"/>
    <w:rsid w:val="41CB64F7"/>
    <w:rsid w:val="4209D382"/>
    <w:rsid w:val="42874166"/>
    <w:rsid w:val="43DDBAA6"/>
    <w:rsid w:val="43E72260"/>
    <w:rsid w:val="43F282EB"/>
    <w:rsid w:val="44365C9D"/>
    <w:rsid w:val="4466C4F6"/>
    <w:rsid w:val="44FAC921"/>
    <w:rsid w:val="454EB82D"/>
    <w:rsid w:val="45C866A0"/>
    <w:rsid w:val="45C948EF"/>
    <w:rsid w:val="461011B4"/>
    <w:rsid w:val="462E39EF"/>
    <w:rsid w:val="4637F339"/>
    <w:rsid w:val="46633801"/>
    <w:rsid w:val="46828E88"/>
    <w:rsid w:val="469C0770"/>
    <w:rsid w:val="46B8C602"/>
    <w:rsid w:val="46C080A1"/>
    <w:rsid w:val="471F70B4"/>
    <w:rsid w:val="47EBF53E"/>
    <w:rsid w:val="4801AD79"/>
    <w:rsid w:val="4824782E"/>
    <w:rsid w:val="4841D3D1"/>
    <w:rsid w:val="48A45AE9"/>
    <w:rsid w:val="48B21338"/>
    <w:rsid w:val="48B289C5"/>
    <w:rsid w:val="490721D9"/>
    <w:rsid w:val="493665A3"/>
    <w:rsid w:val="495A3481"/>
    <w:rsid w:val="4A3AC65B"/>
    <w:rsid w:val="4A597131"/>
    <w:rsid w:val="4AAF8B21"/>
    <w:rsid w:val="4B0F0D4E"/>
    <w:rsid w:val="4B21EA02"/>
    <w:rsid w:val="4B240416"/>
    <w:rsid w:val="4B2DD91A"/>
    <w:rsid w:val="4B531857"/>
    <w:rsid w:val="4B731EC7"/>
    <w:rsid w:val="4BAEC2BC"/>
    <w:rsid w:val="4BBA683E"/>
    <w:rsid w:val="4C24C092"/>
    <w:rsid w:val="4C547BB5"/>
    <w:rsid w:val="4C7B147D"/>
    <w:rsid w:val="4CA7F87E"/>
    <w:rsid w:val="4CC08A50"/>
    <w:rsid w:val="4CE2CAB4"/>
    <w:rsid w:val="4D1069A0"/>
    <w:rsid w:val="4D6643F5"/>
    <w:rsid w:val="4D6AB5D3"/>
    <w:rsid w:val="4E20A2DD"/>
    <w:rsid w:val="4E3300D6"/>
    <w:rsid w:val="4E85DB36"/>
    <w:rsid w:val="4E896CD2"/>
    <w:rsid w:val="4E9D60F4"/>
    <w:rsid w:val="4EA947EA"/>
    <w:rsid w:val="4ED2064C"/>
    <w:rsid w:val="4F793A5D"/>
    <w:rsid w:val="4F9A90E6"/>
    <w:rsid w:val="4FE54135"/>
    <w:rsid w:val="50537F06"/>
    <w:rsid w:val="5074E856"/>
    <w:rsid w:val="50B51836"/>
    <w:rsid w:val="50D89DDF"/>
    <w:rsid w:val="50FF6E60"/>
    <w:rsid w:val="50FFE7ED"/>
    <w:rsid w:val="510CCC7F"/>
    <w:rsid w:val="51324285"/>
    <w:rsid w:val="513BD263"/>
    <w:rsid w:val="51750CBF"/>
    <w:rsid w:val="519155F2"/>
    <w:rsid w:val="51A2DB14"/>
    <w:rsid w:val="51F8AC13"/>
    <w:rsid w:val="521D0623"/>
    <w:rsid w:val="52458633"/>
    <w:rsid w:val="5264EF52"/>
    <w:rsid w:val="529930DC"/>
    <w:rsid w:val="529B7E23"/>
    <w:rsid w:val="52A40326"/>
    <w:rsid w:val="52C3344A"/>
    <w:rsid w:val="530EE7D3"/>
    <w:rsid w:val="53A87E6E"/>
    <w:rsid w:val="53E1AAA3"/>
    <w:rsid w:val="53EE0DFE"/>
    <w:rsid w:val="558B6A15"/>
    <w:rsid w:val="559A0B6B"/>
    <w:rsid w:val="55DA78A2"/>
    <w:rsid w:val="55E6F60E"/>
    <w:rsid w:val="55EFD4B0"/>
    <w:rsid w:val="563D43F9"/>
    <w:rsid w:val="566DB8B5"/>
    <w:rsid w:val="56A11BA2"/>
    <w:rsid w:val="56E19A1A"/>
    <w:rsid w:val="57A4D18A"/>
    <w:rsid w:val="57D2021F"/>
    <w:rsid w:val="58059B96"/>
    <w:rsid w:val="58083EAF"/>
    <w:rsid w:val="5811D02F"/>
    <w:rsid w:val="5825388E"/>
    <w:rsid w:val="5827770C"/>
    <w:rsid w:val="5837D303"/>
    <w:rsid w:val="585D5121"/>
    <w:rsid w:val="58902A45"/>
    <w:rsid w:val="58DA8D7B"/>
    <w:rsid w:val="58ED86E4"/>
    <w:rsid w:val="590945AA"/>
    <w:rsid w:val="5915C6A7"/>
    <w:rsid w:val="59B200B3"/>
    <w:rsid w:val="59BEA6C0"/>
    <w:rsid w:val="59F09EDE"/>
    <w:rsid w:val="5A11F02F"/>
    <w:rsid w:val="5A47503F"/>
    <w:rsid w:val="5AE76DA8"/>
    <w:rsid w:val="5AE8F95B"/>
    <w:rsid w:val="5AF53F9F"/>
    <w:rsid w:val="5B6D8AEB"/>
    <w:rsid w:val="5BCD1A5B"/>
    <w:rsid w:val="5CA589A9"/>
    <w:rsid w:val="5D0432DD"/>
    <w:rsid w:val="5D1F821B"/>
    <w:rsid w:val="5D257B85"/>
    <w:rsid w:val="5D48A899"/>
    <w:rsid w:val="5D89D8CC"/>
    <w:rsid w:val="5DCF576B"/>
    <w:rsid w:val="5DE70BCF"/>
    <w:rsid w:val="5DF5FEBF"/>
    <w:rsid w:val="5E13C9B6"/>
    <w:rsid w:val="5E5EFBD9"/>
    <w:rsid w:val="5E76407B"/>
    <w:rsid w:val="5EE92E41"/>
    <w:rsid w:val="5F962334"/>
    <w:rsid w:val="6061DEE0"/>
    <w:rsid w:val="60944171"/>
    <w:rsid w:val="60DF3964"/>
    <w:rsid w:val="614A2DB4"/>
    <w:rsid w:val="615ACA4E"/>
    <w:rsid w:val="616071E9"/>
    <w:rsid w:val="618C5059"/>
    <w:rsid w:val="61B1E5EE"/>
    <w:rsid w:val="61BD7EB9"/>
    <w:rsid w:val="61F43215"/>
    <w:rsid w:val="63021C79"/>
    <w:rsid w:val="632BFF78"/>
    <w:rsid w:val="63442148"/>
    <w:rsid w:val="634AF522"/>
    <w:rsid w:val="63CFC326"/>
    <w:rsid w:val="6472FAAC"/>
    <w:rsid w:val="64ACD198"/>
    <w:rsid w:val="64FDC2F4"/>
    <w:rsid w:val="650F6CAC"/>
    <w:rsid w:val="653193B3"/>
    <w:rsid w:val="65D897B0"/>
    <w:rsid w:val="65F57589"/>
    <w:rsid w:val="66BE931B"/>
    <w:rsid w:val="66C7F47A"/>
    <w:rsid w:val="66D08D74"/>
    <w:rsid w:val="66D17237"/>
    <w:rsid w:val="672189AB"/>
    <w:rsid w:val="6793A311"/>
    <w:rsid w:val="6848D6EE"/>
    <w:rsid w:val="687066E6"/>
    <w:rsid w:val="689F4628"/>
    <w:rsid w:val="697F2F87"/>
    <w:rsid w:val="69903F5B"/>
    <w:rsid w:val="699D44A2"/>
    <w:rsid w:val="69A653A2"/>
    <w:rsid w:val="69C7753C"/>
    <w:rsid w:val="6A070AFA"/>
    <w:rsid w:val="6A8D04E7"/>
    <w:rsid w:val="6AA2EF8D"/>
    <w:rsid w:val="6AA3FAF1"/>
    <w:rsid w:val="6AB88DEB"/>
    <w:rsid w:val="6ABBA594"/>
    <w:rsid w:val="6ACD621B"/>
    <w:rsid w:val="6B033A54"/>
    <w:rsid w:val="6B1F8BB5"/>
    <w:rsid w:val="6B5D99B6"/>
    <w:rsid w:val="6B68FEB2"/>
    <w:rsid w:val="6B6BCE79"/>
    <w:rsid w:val="6B6E102A"/>
    <w:rsid w:val="6B90AC46"/>
    <w:rsid w:val="6BBF6618"/>
    <w:rsid w:val="6C76BBF4"/>
    <w:rsid w:val="6D20A8A9"/>
    <w:rsid w:val="6D33662E"/>
    <w:rsid w:val="6DF29777"/>
    <w:rsid w:val="6DF5C72C"/>
    <w:rsid w:val="6E006E8A"/>
    <w:rsid w:val="6E34E5E9"/>
    <w:rsid w:val="6E3E7BBD"/>
    <w:rsid w:val="6E42A795"/>
    <w:rsid w:val="6E60D432"/>
    <w:rsid w:val="6E6E711E"/>
    <w:rsid w:val="6EBB86D7"/>
    <w:rsid w:val="6EBFAC85"/>
    <w:rsid w:val="6ECF3F83"/>
    <w:rsid w:val="6F1AA68E"/>
    <w:rsid w:val="6F435EA7"/>
    <w:rsid w:val="6F5EEDF3"/>
    <w:rsid w:val="6FA1B446"/>
    <w:rsid w:val="700A81B1"/>
    <w:rsid w:val="70733F10"/>
    <w:rsid w:val="71510EB7"/>
    <w:rsid w:val="71F4EAAB"/>
    <w:rsid w:val="71FF65CB"/>
    <w:rsid w:val="7205C4F7"/>
    <w:rsid w:val="72615CA1"/>
    <w:rsid w:val="726885B0"/>
    <w:rsid w:val="726C2CDF"/>
    <w:rsid w:val="72A429AA"/>
    <w:rsid w:val="72CFB727"/>
    <w:rsid w:val="730794F2"/>
    <w:rsid w:val="730BB67D"/>
    <w:rsid w:val="73199FC5"/>
    <w:rsid w:val="7329E73D"/>
    <w:rsid w:val="732C8921"/>
    <w:rsid w:val="732D1A56"/>
    <w:rsid w:val="73732303"/>
    <w:rsid w:val="73BD790A"/>
    <w:rsid w:val="73C2AF90"/>
    <w:rsid w:val="74BE87E7"/>
    <w:rsid w:val="74E75458"/>
    <w:rsid w:val="75045B2E"/>
    <w:rsid w:val="754AFD1B"/>
    <w:rsid w:val="757D1643"/>
    <w:rsid w:val="758AEA27"/>
    <w:rsid w:val="75959CBF"/>
    <w:rsid w:val="759833F1"/>
    <w:rsid w:val="75A122ED"/>
    <w:rsid w:val="75C5E799"/>
    <w:rsid w:val="75F7EE3D"/>
    <w:rsid w:val="7615690A"/>
    <w:rsid w:val="779DFE0D"/>
    <w:rsid w:val="77C5F6A4"/>
    <w:rsid w:val="77F6C275"/>
    <w:rsid w:val="78CF98B7"/>
    <w:rsid w:val="790FDBBF"/>
    <w:rsid w:val="79204F13"/>
    <w:rsid w:val="79618681"/>
    <w:rsid w:val="796885B0"/>
    <w:rsid w:val="79FF67A8"/>
    <w:rsid w:val="7A0B326F"/>
    <w:rsid w:val="7A1A21B5"/>
    <w:rsid w:val="7A6448B0"/>
    <w:rsid w:val="7A724049"/>
    <w:rsid w:val="7AC976D7"/>
    <w:rsid w:val="7B65E647"/>
    <w:rsid w:val="7B8F9D1C"/>
    <w:rsid w:val="7B9D0252"/>
    <w:rsid w:val="7BBA4595"/>
    <w:rsid w:val="7C02AE8C"/>
    <w:rsid w:val="7C0531DE"/>
    <w:rsid w:val="7CBC1FDD"/>
    <w:rsid w:val="7D1542DB"/>
    <w:rsid w:val="7D222D9A"/>
    <w:rsid w:val="7D39492A"/>
    <w:rsid w:val="7D699132"/>
    <w:rsid w:val="7DEBBDA0"/>
    <w:rsid w:val="7E065887"/>
    <w:rsid w:val="7E564387"/>
    <w:rsid w:val="7EFC7D15"/>
    <w:rsid w:val="7F13E59F"/>
    <w:rsid w:val="7F2C9EE5"/>
    <w:rsid w:val="7F8790B9"/>
    <w:rsid w:val="7FBCB4B9"/>
    <w:rsid w:val="7FFB88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93E67"/>
  <w15:chartTrackingRefBased/>
  <w15:docId w15:val="{D2E2FF71-567E-4CEC-9057-218ADD856C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4209D38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2FA8C4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uiPriority w:val="9"/>
    <w:unhideWhenUsed/>
    <w:qFormat/>
    <w:rsid w:val="2FA8C483"/>
    <w:pPr>
      <w:keepNext/>
      <w:keepLines/>
      <w:spacing w:before="160" w:after="80"/>
      <w:outlineLvl w:val="2"/>
    </w:pPr>
    <w:rPr>
      <w:rFonts w:eastAsiaTheme="majorEastAsia" w:cstheme="majorBidi"/>
      <w:color w:val="0F4761" w:themeColor="accent1" w:themeShade="BF"/>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uiPriority w:val="99"/>
    <w:unhideWhenUsed/>
    <w:rsid w:val="2FA8C483"/>
    <w:pPr>
      <w:tabs>
        <w:tab w:val="center" w:pos="4680"/>
        <w:tab w:val="right" w:pos="9360"/>
      </w:tabs>
      <w:spacing w:after="0" w:line="240" w:lineRule="auto"/>
    </w:pPr>
  </w:style>
  <w:style w:type="paragraph" w:styleId="Footer">
    <w:name w:val="footer"/>
    <w:basedOn w:val="Normal"/>
    <w:uiPriority w:val="99"/>
    <w:unhideWhenUsed/>
    <w:rsid w:val="2FA8C483"/>
    <w:pPr>
      <w:tabs>
        <w:tab w:val="center" w:pos="4680"/>
        <w:tab w:val="right" w:pos="9360"/>
      </w:tabs>
      <w:spacing w:after="0" w:line="240" w:lineRule="auto"/>
    </w:pPr>
  </w:style>
  <w:style w:type="paragraph" w:styleId="ListParagraph">
    <w:name w:val="List Paragraph"/>
    <w:basedOn w:val="Normal"/>
    <w:uiPriority w:val="34"/>
    <w:qFormat/>
    <w:rsid w:val="2FA8C483"/>
    <w:pPr>
      <w:ind w:left="720"/>
      <w:contextualSpacing/>
    </w:pPr>
  </w:style>
  <w:style w:type="character" w:styleId="Hyperlink">
    <w:name w:val="Hyperlink"/>
    <w:basedOn w:val="DefaultParagraphFont"/>
    <w:uiPriority w:val="99"/>
    <w:unhideWhenUsed/>
    <w:rsid w:val="2FA8C483"/>
    <w:rPr>
      <w:color w:val="467886"/>
      <w:u w:val="single"/>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imf.org/en/Publications/fandd/issues/Series/Back-to-Basics/Globalization" TargetMode="External"/><Relationship Id="rId18" Type="http://schemas.openxmlformats.org/officeDocument/2006/relationships/hyperlink" Target="https://lifestyle.sustainability-directory.com/area/childhood-globalisation/" TargetMode="External"/><Relationship Id="rId26" Type="http://schemas.openxmlformats.org/officeDocument/2006/relationships/hyperlink" Target="https://www.un.org/sustainabledevelopment/education/" TargetMode="External"/><Relationship Id="rId3" Type="http://schemas.openxmlformats.org/officeDocument/2006/relationships/settings" Target="settings.xml"/><Relationship Id="rId21" Type="http://schemas.openxmlformats.org/officeDocument/2006/relationships/hyperlink" Target="https://www.unesco.org/en/articles/251m-children-and-youth-still-out-school-despite-decades-progress-unesco-report" TargetMode="External"/><Relationship Id="rId34" Type="http://schemas.microsoft.com/office/2020/10/relationships/intelligence" Target="intelligence2.xml"/><Relationship Id="rId7" Type="http://schemas.openxmlformats.org/officeDocument/2006/relationships/hyperlink" Target="https://www.acaps.org/fileadmin/Data_Product/Main_media/20201109_acaps_thematic_report_on_education_in_iraq.pdf" TargetMode="External"/><Relationship Id="rId12" Type="http://schemas.openxmlformats.org/officeDocument/2006/relationships/hyperlink" Target="https://historyandpolicy.org/policy-papers/papers/iraq-past-present-and-future-a-thoroughly-modern-mandate/" TargetMode="External"/><Relationship Id="rId17" Type="http://schemas.openxmlformats.org/officeDocument/2006/relationships/hyperlink" Target="https://se-ed.org.uk/about-us/our-history/" TargetMode="External"/><Relationship Id="rId25" Type="http://schemas.openxmlformats.org/officeDocument/2006/relationships/hyperlink" Target="https://www.un.org/en/about-us/universal-declaration-of-human-rights"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are.org/" TargetMode="External"/><Relationship Id="rId20" Type="http://schemas.openxmlformats.org/officeDocument/2006/relationships/hyperlink" Target="https://www.unesco.org/gem-report/en/publication/equity-and-access" TargetMode="External"/><Relationship Id="rId29" Type="http://schemas.openxmlformats.org/officeDocument/2006/relationships/hyperlink" Target="https://www.worldbank.org/en/results/2024/10/29/iraq-improving-quality-of-education-and-access-to-enable-all-students-to-learn"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jhss.thebrpi.org/journals/Vol_5_No_7_1_July_2015/17.pdf" TargetMode="External"/><Relationship Id="rId24" Type="http://schemas.openxmlformats.org/officeDocument/2006/relationships/hyperlink" Target="https://mics.unicef.org/surveys"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piie.com/microsites/globalization/what-is-globalization" TargetMode="External"/><Relationship Id="rId23" Type="http://schemas.openxmlformats.org/officeDocument/2006/relationships/hyperlink" Target="https://www.unicef.org/iraq/what-we-do/education" TargetMode="External"/><Relationship Id="rId28" Type="http://schemas.openxmlformats.org/officeDocument/2006/relationships/hyperlink" Target="https://staff.sussex.ac.uk/teaching/enhancement/support/curriculum/sustainable-development" TargetMode="External"/><Relationship Id="rId10" Type="http://schemas.openxmlformats.org/officeDocument/2006/relationships/hyperlink" Target="https://www.ei-ie.org/en/item/28658:go-public-strengthening-iraqs-public-education-system" TargetMode="External"/><Relationship Id="rId19" Type="http://schemas.openxmlformats.org/officeDocument/2006/relationships/hyperlink" Target="https://www.teachforlife.com/post/the-importance-of-a-global-perspective-in-education"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care.org/" TargetMode="External"/><Relationship Id="rId14" Type="http://schemas.openxmlformats.org/officeDocument/2006/relationships/hyperlink" Target="https://www.participatelearning.com/blog/benefits-global-education-students/" TargetMode="External"/><Relationship Id="rId22" Type="http://schemas.openxmlformats.org/officeDocument/2006/relationships/hyperlink" Target="https://www.unesco.org/en/sustainable-development/education" TargetMode="External"/><Relationship Id="rId27" Type="http://schemas.openxmlformats.org/officeDocument/2006/relationships/hyperlink" Target="https://www.un.org/sustainabledevelopment/" TargetMode="External"/><Relationship Id="rId30" Type="http://schemas.openxmlformats.org/officeDocument/2006/relationships/header" Target="header1.xml"/><Relationship Id="rId8" Type="http://schemas.openxmlformats.org/officeDocument/2006/relationships/hyperlink" Target="https://www.bmz.de/en/issues/education-a-human-right/education-in-developing-countries-1975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4821</Words>
  <Characters>27483</Characters>
  <Application>Microsoft Office Word</Application>
  <DocSecurity>0</DocSecurity>
  <Lines>229</Lines>
  <Paragraphs>64</Paragraphs>
  <ScaleCrop>false</ScaleCrop>
  <Company/>
  <LinksUpToDate>false</LinksUpToDate>
  <CharactersWithSpaces>32240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Nour Al-Geboory (1709546)</dc:creator>
  <cp:keywords/>
  <dc:description/>
  <cp:lastModifiedBy>ABB23877763 (Nasma Abbas)</cp:lastModifiedBy>
  <cp:revision>7</cp:revision>
  <dcterms:created xsi:type="dcterms:W3CDTF">2026-01-12T09:50:00Z</dcterms:created>
  <dcterms:modified xsi:type="dcterms:W3CDTF">2026-02-26T12:18:00Z</dcterms:modified>
</cp:coreProperties>
</file>