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0B4464" w14:textId="76177E17" w:rsidR="005B544D" w:rsidRPr="003F16CF" w:rsidRDefault="003F16CF">
      <w:pPr>
        <w:rPr>
          <w:b/>
          <w:bCs/>
          <w:sz w:val="44"/>
          <w:szCs w:val="44"/>
          <w:u w:val="single"/>
        </w:rPr>
      </w:pPr>
      <w:r w:rsidRPr="003F16CF">
        <w:rPr>
          <w:b/>
          <w:bCs/>
          <w:sz w:val="44"/>
          <w:szCs w:val="44"/>
          <w:u w:val="single"/>
        </w:rPr>
        <w:t>Art 267 Questions</w:t>
      </w:r>
    </w:p>
    <w:p w14:paraId="7E4D1F61" w14:textId="6FB9C326" w:rsidR="003F16CF" w:rsidRPr="003F16CF" w:rsidRDefault="003F16CF">
      <w:pPr>
        <w:rPr>
          <w:sz w:val="36"/>
          <w:szCs w:val="36"/>
        </w:rPr>
      </w:pPr>
    </w:p>
    <w:p w14:paraId="44806CD6" w14:textId="01735FD5" w:rsidR="003F16CF" w:rsidRPr="003F16CF" w:rsidRDefault="003F16CF" w:rsidP="003F16CF">
      <w:pPr>
        <w:pStyle w:val="ListParagraph"/>
        <w:numPr>
          <w:ilvl w:val="0"/>
          <w:numId w:val="1"/>
        </w:numPr>
        <w:rPr>
          <w:sz w:val="36"/>
          <w:szCs w:val="36"/>
        </w:rPr>
      </w:pPr>
      <w:r w:rsidRPr="003F16CF">
        <w:rPr>
          <w:sz w:val="36"/>
          <w:szCs w:val="36"/>
        </w:rPr>
        <w:t xml:space="preserve">What is an </w:t>
      </w:r>
      <w:r w:rsidRPr="003F16CF">
        <w:rPr>
          <w:b/>
          <w:bCs/>
          <w:sz w:val="36"/>
          <w:szCs w:val="36"/>
        </w:rPr>
        <w:t xml:space="preserve">Art 267(2) TFEU </w:t>
      </w:r>
      <w:r w:rsidRPr="003F16CF">
        <w:rPr>
          <w:sz w:val="36"/>
          <w:szCs w:val="36"/>
        </w:rPr>
        <w:t>court?</w:t>
      </w:r>
    </w:p>
    <w:p w14:paraId="42301651" w14:textId="77777777" w:rsidR="003F16CF" w:rsidRPr="003F16CF" w:rsidRDefault="003F16CF" w:rsidP="003F16CF">
      <w:pPr>
        <w:pStyle w:val="ListParagraph"/>
        <w:rPr>
          <w:sz w:val="36"/>
          <w:szCs w:val="36"/>
        </w:rPr>
      </w:pPr>
    </w:p>
    <w:p w14:paraId="09C325E8" w14:textId="49D4F426" w:rsidR="003F16CF" w:rsidRPr="003F16CF" w:rsidRDefault="003F16CF" w:rsidP="003F16CF">
      <w:pPr>
        <w:pStyle w:val="ListParagraph"/>
        <w:numPr>
          <w:ilvl w:val="0"/>
          <w:numId w:val="1"/>
        </w:numPr>
        <w:rPr>
          <w:sz w:val="36"/>
          <w:szCs w:val="36"/>
        </w:rPr>
      </w:pPr>
      <w:r w:rsidRPr="003F16CF">
        <w:rPr>
          <w:sz w:val="36"/>
          <w:szCs w:val="36"/>
        </w:rPr>
        <w:t xml:space="preserve">What is an </w:t>
      </w:r>
      <w:r w:rsidRPr="003F16CF">
        <w:rPr>
          <w:b/>
          <w:bCs/>
          <w:sz w:val="36"/>
          <w:szCs w:val="36"/>
        </w:rPr>
        <w:t xml:space="preserve">Art 267(3) TFEU </w:t>
      </w:r>
      <w:r w:rsidRPr="003F16CF">
        <w:rPr>
          <w:sz w:val="36"/>
          <w:szCs w:val="36"/>
        </w:rPr>
        <w:t>court?</w:t>
      </w:r>
    </w:p>
    <w:p w14:paraId="09A72921" w14:textId="77777777" w:rsidR="003F16CF" w:rsidRPr="003F16CF" w:rsidRDefault="003F16CF" w:rsidP="003F16CF">
      <w:pPr>
        <w:rPr>
          <w:sz w:val="36"/>
          <w:szCs w:val="36"/>
        </w:rPr>
      </w:pPr>
    </w:p>
    <w:p w14:paraId="3F4A85A2" w14:textId="723C49F6" w:rsidR="003F16CF" w:rsidRPr="003F16CF" w:rsidRDefault="003F16CF" w:rsidP="003F16CF">
      <w:pPr>
        <w:pStyle w:val="ListParagraph"/>
        <w:numPr>
          <w:ilvl w:val="0"/>
          <w:numId w:val="1"/>
        </w:numPr>
        <w:rPr>
          <w:sz w:val="36"/>
          <w:szCs w:val="36"/>
        </w:rPr>
      </w:pPr>
      <w:r w:rsidRPr="003F16CF">
        <w:rPr>
          <w:sz w:val="36"/>
          <w:szCs w:val="36"/>
        </w:rPr>
        <w:t xml:space="preserve">When is something </w:t>
      </w:r>
      <w:proofErr w:type="spellStart"/>
      <w:r w:rsidRPr="003F16CF">
        <w:rPr>
          <w:i/>
          <w:iCs/>
          <w:sz w:val="36"/>
          <w:szCs w:val="36"/>
        </w:rPr>
        <w:t>acte</w:t>
      </w:r>
      <w:proofErr w:type="spellEnd"/>
      <w:r w:rsidRPr="003F16CF">
        <w:rPr>
          <w:i/>
          <w:iCs/>
          <w:sz w:val="36"/>
          <w:szCs w:val="36"/>
        </w:rPr>
        <w:t xml:space="preserve"> </w:t>
      </w:r>
      <w:proofErr w:type="spellStart"/>
      <w:r w:rsidRPr="003F16CF">
        <w:rPr>
          <w:i/>
          <w:iCs/>
          <w:sz w:val="36"/>
          <w:szCs w:val="36"/>
        </w:rPr>
        <w:t>clair</w:t>
      </w:r>
      <w:proofErr w:type="spellEnd"/>
      <w:r w:rsidRPr="003F16CF">
        <w:rPr>
          <w:sz w:val="36"/>
          <w:szCs w:val="36"/>
        </w:rPr>
        <w:t>?</w:t>
      </w:r>
    </w:p>
    <w:p w14:paraId="0DEE4C3F" w14:textId="77777777" w:rsidR="003F16CF" w:rsidRPr="003F16CF" w:rsidRDefault="003F16CF" w:rsidP="003F16CF">
      <w:pPr>
        <w:rPr>
          <w:sz w:val="36"/>
          <w:szCs w:val="36"/>
        </w:rPr>
      </w:pPr>
    </w:p>
    <w:p w14:paraId="41BCEFE6" w14:textId="39E7147C" w:rsidR="003F16CF" w:rsidRDefault="003F16CF" w:rsidP="003F16CF">
      <w:pPr>
        <w:pStyle w:val="ListParagraph"/>
        <w:numPr>
          <w:ilvl w:val="0"/>
          <w:numId w:val="1"/>
        </w:numPr>
        <w:rPr>
          <w:sz w:val="36"/>
          <w:szCs w:val="36"/>
        </w:rPr>
      </w:pPr>
      <w:r w:rsidRPr="003F16CF">
        <w:rPr>
          <w:sz w:val="36"/>
          <w:szCs w:val="36"/>
        </w:rPr>
        <w:t xml:space="preserve">When is something </w:t>
      </w:r>
      <w:proofErr w:type="spellStart"/>
      <w:r w:rsidRPr="003F16CF">
        <w:rPr>
          <w:i/>
          <w:iCs/>
          <w:sz w:val="36"/>
          <w:szCs w:val="36"/>
        </w:rPr>
        <w:t>acte</w:t>
      </w:r>
      <w:proofErr w:type="spellEnd"/>
      <w:r w:rsidRPr="003F16CF">
        <w:rPr>
          <w:i/>
          <w:iCs/>
          <w:sz w:val="36"/>
          <w:szCs w:val="36"/>
        </w:rPr>
        <w:t xml:space="preserve"> </w:t>
      </w:r>
      <w:proofErr w:type="spellStart"/>
      <w:r w:rsidRPr="003F16CF">
        <w:rPr>
          <w:i/>
          <w:iCs/>
          <w:sz w:val="36"/>
          <w:szCs w:val="36"/>
        </w:rPr>
        <w:t>eclaire</w:t>
      </w:r>
      <w:proofErr w:type="spellEnd"/>
      <w:r w:rsidRPr="003F16CF">
        <w:rPr>
          <w:sz w:val="36"/>
          <w:szCs w:val="36"/>
        </w:rPr>
        <w:t>?</w:t>
      </w:r>
    </w:p>
    <w:p w14:paraId="689327CA" w14:textId="55AFC337" w:rsidR="00003A8E" w:rsidRDefault="00003A8E" w:rsidP="00003A8E">
      <w:pPr>
        <w:rPr>
          <w:sz w:val="36"/>
          <w:szCs w:val="36"/>
        </w:rPr>
      </w:pPr>
    </w:p>
    <w:p w14:paraId="52E0EF6B" w14:textId="007E0EFA" w:rsidR="00003A8E" w:rsidRDefault="00003A8E" w:rsidP="00003A8E">
      <w:pPr>
        <w:rPr>
          <w:sz w:val="36"/>
          <w:szCs w:val="36"/>
        </w:rPr>
      </w:pPr>
      <w:r>
        <w:rPr>
          <w:sz w:val="36"/>
          <w:szCs w:val="36"/>
        </w:rPr>
        <w:t>Answers</w:t>
      </w:r>
    </w:p>
    <w:p w14:paraId="7F112C96" w14:textId="50E8774B" w:rsidR="00003A8E" w:rsidRDefault="00003A8E" w:rsidP="00003A8E">
      <w:pPr>
        <w:rPr>
          <w:sz w:val="36"/>
          <w:szCs w:val="36"/>
        </w:rPr>
      </w:pPr>
    </w:p>
    <w:p w14:paraId="013566EB" w14:textId="28B6092C" w:rsidR="00003A8E" w:rsidRDefault="00003A8E" w:rsidP="00003A8E">
      <w:pPr>
        <w:pStyle w:val="ListParagraph"/>
        <w:numPr>
          <w:ilvl w:val="0"/>
          <w:numId w:val="2"/>
        </w:numPr>
        <w:rPr>
          <w:sz w:val="36"/>
          <w:szCs w:val="36"/>
        </w:rPr>
      </w:pPr>
      <w:r>
        <w:rPr>
          <w:sz w:val="36"/>
          <w:szCs w:val="36"/>
        </w:rPr>
        <w:t>Art 267 (2) courts are those which have a power (</w:t>
      </w:r>
      <w:proofErr w:type="spellStart"/>
      <w:r>
        <w:rPr>
          <w:sz w:val="36"/>
          <w:szCs w:val="36"/>
        </w:rPr>
        <w:t>ie</w:t>
      </w:r>
      <w:proofErr w:type="spellEnd"/>
      <w:r>
        <w:rPr>
          <w:sz w:val="36"/>
          <w:szCs w:val="36"/>
        </w:rPr>
        <w:t xml:space="preserve"> a discretion) to refer a question on the interpretation or validity of EU law to the CJ.  It is any “court or tribunal” of a Member State.</w:t>
      </w:r>
    </w:p>
    <w:p w14:paraId="6A8A98B3" w14:textId="77777777" w:rsidR="00003A8E" w:rsidRDefault="00003A8E" w:rsidP="00003A8E">
      <w:pPr>
        <w:pStyle w:val="ListParagraph"/>
        <w:rPr>
          <w:sz w:val="36"/>
          <w:szCs w:val="36"/>
        </w:rPr>
      </w:pPr>
    </w:p>
    <w:p w14:paraId="6604655B" w14:textId="62110250" w:rsidR="00003A8E" w:rsidRDefault="00003A8E" w:rsidP="00003A8E">
      <w:pPr>
        <w:pStyle w:val="ListParagraph"/>
        <w:numPr>
          <w:ilvl w:val="0"/>
          <w:numId w:val="2"/>
        </w:numPr>
        <w:rPr>
          <w:sz w:val="36"/>
          <w:szCs w:val="36"/>
        </w:rPr>
      </w:pPr>
      <w:r>
        <w:rPr>
          <w:sz w:val="36"/>
          <w:szCs w:val="36"/>
        </w:rPr>
        <w:t>Art 267(3) courts are courts or tribunals of a Member State against whose decisions there is no judicial remedy under EU law and which are obliged to make a preliminary reference on a question relating to the interpretation or validity of EU law.</w:t>
      </w:r>
    </w:p>
    <w:p w14:paraId="2FCAB436" w14:textId="77777777" w:rsidR="00003A8E" w:rsidRPr="00003A8E" w:rsidRDefault="00003A8E" w:rsidP="00003A8E">
      <w:pPr>
        <w:pStyle w:val="ListParagraph"/>
        <w:rPr>
          <w:sz w:val="36"/>
          <w:szCs w:val="36"/>
        </w:rPr>
      </w:pPr>
    </w:p>
    <w:p w14:paraId="4192977F" w14:textId="77777777" w:rsidR="00003A8E" w:rsidRDefault="00003A8E" w:rsidP="00003A8E">
      <w:pPr>
        <w:pStyle w:val="ListParagraph"/>
        <w:rPr>
          <w:sz w:val="36"/>
          <w:szCs w:val="36"/>
        </w:rPr>
      </w:pPr>
    </w:p>
    <w:p w14:paraId="570BB887" w14:textId="0EB8CBEA" w:rsidR="00003A8E" w:rsidRDefault="00003A8E" w:rsidP="00003A8E">
      <w:pPr>
        <w:pStyle w:val="ListParagraph"/>
        <w:numPr>
          <w:ilvl w:val="0"/>
          <w:numId w:val="2"/>
        </w:numPr>
        <w:rPr>
          <w:sz w:val="36"/>
          <w:szCs w:val="36"/>
        </w:rPr>
      </w:pPr>
      <w:r>
        <w:rPr>
          <w:sz w:val="36"/>
          <w:szCs w:val="36"/>
        </w:rPr>
        <w:t xml:space="preserve">Something is </w:t>
      </w:r>
      <w:proofErr w:type="spellStart"/>
      <w:r w:rsidRPr="00003A8E">
        <w:rPr>
          <w:i/>
          <w:iCs/>
          <w:sz w:val="36"/>
          <w:szCs w:val="36"/>
        </w:rPr>
        <w:t>acte</w:t>
      </w:r>
      <w:proofErr w:type="spellEnd"/>
      <w:r w:rsidRPr="00003A8E">
        <w:rPr>
          <w:i/>
          <w:iCs/>
          <w:sz w:val="36"/>
          <w:szCs w:val="36"/>
        </w:rPr>
        <w:t xml:space="preserve"> </w:t>
      </w:r>
      <w:proofErr w:type="spellStart"/>
      <w:r w:rsidRPr="00003A8E">
        <w:rPr>
          <w:i/>
          <w:iCs/>
          <w:sz w:val="36"/>
          <w:szCs w:val="36"/>
        </w:rPr>
        <w:t>clair</w:t>
      </w:r>
      <w:proofErr w:type="spellEnd"/>
      <w:r>
        <w:rPr>
          <w:sz w:val="36"/>
          <w:szCs w:val="36"/>
        </w:rPr>
        <w:t xml:space="preserve"> where the answer to the question is so obvious that it is free from doubt.  In these circumstances, an Art 267(3) TFEU court is not obliged to refer.  However, the factors that a national court must take into account in deciding if something is </w:t>
      </w:r>
      <w:proofErr w:type="spellStart"/>
      <w:r w:rsidRPr="00003A8E">
        <w:rPr>
          <w:i/>
          <w:iCs/>
          <w:sz w:val="36"/>
          <w:szCs w:val="36"/>
        </w:rPr>
        <w:t>acte</w:t>
      </w:r>
      <w:proofErr w:type="spellEnd"/>
      <w:r w:rsidRPr="00003A8E">
        <w:rPr>
          <w:i/>
          <w:iCs/>
          <w:sz w:val="36"/>
          <w:szCs w:val="36"/>
        </w:rPr>
        <w:t xml:space="preserve"> </w:t>
      </w:r>
      <w:proofErr w:type="spellStart"/>
      <w:r w:rsidRPr="00003A8E">
        <w:rPr>
          <w:i/>
          <w:iCs/>
          <w:sz w:val="36"/>
          <w:szCs w:val="36"/>
        </w:rPr>
        <w:t>clair</w:t>
      </w:r>
      <w:proofErr w:type="spellEnd"/>
      <w:r>
        <w:rPr>
          <w:sz w:val="36"/>
          <w:szCs w:val="36"/>
        </w:rPr>
        <w:t xml:space="preserve"> are so stringent that it can only be invoked in very exceptional circumstances.</w:t>
      </w:r>
    </w:p>
    <w:p w14:paraId="389F9B26" w14:textId="0A7AEBD5" w:rsidR="00003A8E" w:rsidRPr="00003A8E" w:rsidRDefault="00003A8E" w:rsidP="00003A8E">
      <w:pPr>
        <w:pStyle w:val="ListParagraph"/>
        <w:numPr>
          <w:ilvl w:val="0"/>
          <w:numId w:val="2"/>
        </w:numPr>
        <w:rPr>
          <w:sz w:val="36"/>
          <w:szCs w:val="36"/>
        </w:rPr>
      </w:pPr>
      <w:proofErr w:type="spellStart"/>
      <w:r w:rsidRPr="00003A8E">
        <w:rPr>
          <w:i/>
          <w:iCs/>
          <w:sz w:val="36"/>
          <w:szCs w:val="36"/>
        </w:rPr>
        <w:lastRenderedPageBreak/>
        <w:t>Acte</w:t>
      </w:r>
      <w:proofErr w:type="spellEnd"/>
      <w:r w:rsidRPr="00003A8E">
        <w:rPr>
          <w:i/>
          <w:iCs/>
          <w:sz w:val="36"/>
          <w:szCs w:val="36"/>
        </w:rPr>
        <w:t xml:space="preserve"> </w:t>
      </w:r>
      <w:proofErr w:type="spellStart"/>
      <w:r w:rsidRPr="00003A8E">
        <w:rPr>
          <w:i/>
          <w:iCs/>
          <w:sz w:val="36"/>
          <w:szCs w:val="36"/>
        </w:rPr>
        <w:t>eclaire</w:t>
      </w:r>
      <w:proofErr w:type="spellEnd"/>
      <w:r>
        <w:rPr>
          <w:sz w:val="36"/>
          <w:szCs w:val="36"/>
        </w:rPr>
        <w:t xml:space="preserve"> is where the CJ has already decided the issue so an Art 267(3) TFEU court is not obliged to refer.</w:t>
      </w:r>
    </w:p>
    <w:sectPr w:rsidR="00003A8E" w:rsidRPr="00003A8E" w:rsidSect="005C6E8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D158CF"/>
    <w:multiLevelType w:val="hybridMultilevel"/>
    <w:tmpl w:val="8C2870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A371E4"/>
    <w:multiLevelType w:val="hybridMultilevel"/>
    <w:tmpl w:val="C330C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6CF"/>
    <w:rsid w:val="00003A8E"/>
    <w:rsid w:val="003F16CF"/>
    <w:rsid w:val="005C6E88"/>
    <w:rsid w:val="00804729"/>
    <w:rsid w:val="00880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E01CE"/>
  <w15:chartTrackingRefBased/>
  <w15:docId w15:val="{7E7279C8-C131-F547-A7E3-EEE9E95B6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6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160</Words>
  <Characters>915</Characters>
  <Application>Microsoft Office Word</Application>
  <DocSecurity>0</DocSecurity>
  <Lines>7</Lines>
  <Paragraphs>2</Paragraphs>
  <ScaleCrop>false</ScaleCrop>
  <Company/>
  <LinksUpToDate>false</LinksUpToDate>
  <CharactersWithSpaces>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H15HolmesT</dc:creator>
  <cp:keywords/>
  <dc:description/>
  <cp:lastModifiedBy>Louise Holmes</cp:lastModifiedBy>
  <cp:revision>2</cp:revision>
  <dcterms:created xsi:type="dcterms:W3CDTF">2021-02-22T11:36:00Z</dcterms:created>
  <dcterms:modified xsi:type="dcterms:W3CDTF">2021-02-22T11:36:00Z</dcterms:modified>
</cp:coreProperties>
</file>