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8CE824" w14:textId="77777777" w:rsidR="00986D20" w:rsidRDefault="00986D20" w:rsidP="00986D20">
      <w:pPr>
        <w:jc w:val="center"/>
      </w:pPr>
      <w:r>
        <w:rPr>
          <w:noProof/>
        </w:rPr>
        <w:drawing>
          <wp:inline distT="0" distB="0" distL="0" distR="0" wp14:anchorId="4E04C3C7" wp14:editId="27D78289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295C1" w14:textId="77777777" w:rsidR="00986D20" w:rsidRPr="000641FB" w:rsidRDefault="00986D20" w:rsidP="00986D20">
      <w:pPr>
        <w:jc w:val="center"/>
        <w:rPr>
          <w:rFonts w:ascii="Arial Nova" w:eastAsia="Arial Nova" w:hAnsi="Arial Nova" w:cs="Arial Nova"/>
          <w:sz w:val="48"/>
          <w:szCs w:val="48"/>
        </w:rPr>
      </w:pPr>
    </w:p>
    <w:p w14:paraId="0727DD71" w14:textId="77777777" w:rsidR="00986D20" w:rsidRPr="000641FB" w:rsidRDefault="00986D20" w:rsidP="00986D20">
      <w:pPr>
        <w:jc w:val="center"/>
        <w:rPr>
          <w:rFonts w:ascii="Arial" w:eastAsia="Arial Nova" w:hAnsi="Arial" w:cs="Arial"/>
          <w:sz w:val="48"/>
          <w:szCs w:val="48"/>
        </w:rPr>
      </w:pPr>
      <w:r w:rsidRPr="000641FB">
        <w:rPr>
          <w:rFonts w:ascii="Arial" w:eastAsia="Arial Nova" w:hAnsi="Arial" w:cs="Arial"/>
          <w:sz w:val="48"/>
          <w:szCs w:val="48"/>
        </w:rPr>
        <w:t>Student ID: Tasnim Khanom</w:t>
      </w:r>
    </w:p>
    <w:p w14:paraId="1F66E0BD" w14:textId="77777777" w:rsidR="00986D20" w:rsidRPr="000641FB" w:rsidRDefault="00986D20" w:rsidP="00986D20">
      <w:pPr>
        <w:jc w:val="center"/>
        <w:rPr>
          <w:rFonts w:ascii="Arial" w:eastAsia="Arial Nova" w:hAnsi="Arial" w:cs="Arial"/>
          <w:sz w:val="48"/>
          <w:szCs w:val="48"/>
        </w:rPr>
      </w:pPr>
      <w:r w:rsidRPr="000641FB">
        <w:rPr>
          <w:rFonts w:ascii="Arial" w:eastAsia="Arial Nova" w:hAnsi="Arial" w:cs="Arial"/>
          <w:sz w:val="48"/>
          <w:szCs w:val="48"/>
        </w:rPr>
        <w:t>Student No: 2431177</w:t>
      </w:r>
    </w:p>
    <w:p w14:paraId="48C87E56" w14:textId="08113A71" w:rsidR="00986D20" w:rsidRPr="000641FB" w:rsidRDefault="00986D20" w:rsidP="00986D20">
      <w:pPr>
        <w:jc w:val="center"/>
        <w:rPr>
          <w:rFonts w:ascii="Arial" w:eastAsia="Arial Nova" w:hAnsi="Arial" w:cs="Arial"/>
          <w:sz w:val="48"/>
          <w:szCs w:val="48"/>
        </w:rPr>
      </w:pPr>
      <w:r w:rsidRPr="000641FB">
        <w:rPr>
          <w:rFonts w:ascii="Arial" w:eastAsia="Arial Nova" w:hAnsi="Arial" w:cs="Arial"/>
          <w:sz w:val="48"/>
          <w:szCs w:val="48"/>
        </w:rPr>
        <w:t xml:space="preserve">Module: </w:t>
      </w:r>
      <w:r>
        <w:rPr>
          <w:rFonts w:ascii="Arial" w:eastAsia="Arial Nova" w:hAnsi="Arial" w:cs="Arial"/>
          <w:sz w:val="48"/>
          <w:szCs w:val="48"/>
        </w:rPr>
        <w:t>Protecting and Supporting Families in Health and Social Care</w:t>
      </w:r>
    </w:p>
    <w:p w14:paraId="4EA3949D" w14:textId="782EF146" w:rsidR="00986D20" w:rsidRPr="000641FB" w:rsidRDefault="00986D20" w:rsidP="00986D20">
      <w:pPr>
        <w:jc w:val="center"/>
        <w:rPr>
          <w:rFonts w:ascii="Arial" w:eastAsia="Arial Nova" w:hAnsi="Arial" w:cs="Arial"/>
          <w:sz w:val="48"/>
          <w:szCs w:val="48"/>
        </w:rPr>
      </w:pPr>
      <w:r w:rsidRPr="000641FB">
        <w:rPr>
          <w:rFonts w:ascii="Arial" w:eastAsia="Arial Nova" w:hAnsi="Arial" w:cs="Arial"/>
          <w:sz w:val="48"/>
          <w:szCs w:val="48"/>
        </w:rPr>
        <w:t>Module Code: BMHP50</w:t>
      </w:r>
      <w:r>
        <w:rPr>
          <w:rFonts w:ascii="Arial" w:eastAsia="Arial Nova" w:hAnsi="Arial" w:cs="Arial"/>
          <w:sz w:val="48"/>
          <w:szCs w:val="48"/>
        </w:rPr>
        <w:t>21</w:t>
      </w:r>
    </w:p>
    <w:p w14:paraId="74893009" w14:textId="6158FC6D" w:rsidR="00986D20" w:rsidRDefault="00986D20" w:rsidP="00986D20">
      <w:pPr>
        <w:jc w:val="center"/>
        <w:rPr>
          <w:rFonts w:ascii="Arial" w:eastAsia="Arial Nova" w:hAnsi="Arial" w:cs="Arial"/>
          <w:sz w:val="48"/>
          <w:szCs w:val="48"/>
        </w:rPr>
      </w:pPr>
      <w:r w:rsidRPr="000641FB">
        <w:rPr>
          <w:rFonts w:ascii="Arial" w:eastAsia="Arial Nova" w:hAnsi="Arial" w:cs="Arial"/>
          <w:sz w:val="48"/>
          <w:szCs w:val="48"/>
        </w:rPr>
        <w:t xml:space="preserve">Lecturer: </w:t>
      </w:r>
      <w:r>
        <w:rPr>
          <w:rFonts w:ascii="Arial" w:eastAsia="Arial Nova" w:hAnsi="Arial" w:cs="Arial"/>
          <w:sz w:val="48"/>
          <w:szCs w:val="48"/>
        </w:rPr>
        <w:t>Kennedy Obohwemu</w:t>
      </w:r>
    </w:p>
    <w:p w14:paraId="71338B7B" w14:textId="1E954A78" w:rsidR="00986D20" w:rsidRDefault="00986D20" w:rsidP="00986D20">
      <w:pPr>
        <w:jc w:val="center"/>
        <w:rPr>
          <w:rFonts w:ascii="Arial" w:eastAsia="Arial Nova" w:hAnsi="Arial" w:cs="Arial"/>
          <w:sz w:val="48"/>
          <w:szCs w:val="48"/>
        </w:rPr>
      </w:pPr>
      <w:r>
        <w:rPr>
          <w:rFonts w:ascii="Arial" w:eastAsia="Arial Nova" w:hAnsi="Arial" w:cs="Arial"/>
          <w:sz w:val="48"/>
          <w:szCs w:val="48"/>
        </w:rPr>
        <w:t>Title: Child HN’s panel discussion</w:t>
      </w:r>
    </w:p>
    <w:p w14:paraId="78358119" w14:textId="185AD188" w:rsidR="00986D20" w:rsidRDefault="00986D20" w:rsidP="00986D20">
      <w:pPr>
        <w:jc w:val="center"/>
        <w:rPr>
          <w:rFonts w:ascii="Arial" w:eastAsia="Arial Nova" w:hAnsi="Arial" w:cs="Arial"/>
          <w:sz w:val="48"/>
          <w:szCs w:val="48"/>
        </w:rPr>
      </w:pPr>
    </w:p>
    <w:p w14:paraId="6F251DC1" w14:textId="77777777" w:rsidR="00986D20" w:rsidRDefault="00986D20">
      <w:pPr>
        <w:spacing w:line="278" w:lineRule="auto"/>
        <w:rPr>
          <w:rFonts w:ascii="Arial" w:eastAsia="Arial Nova" w:hAnsi="Arial" w:cs="Arial"/>
          <w:sz w:val="48"/>
          <w:szCs w:val="48"/>
        </w:rPr>
      </w:pPr>
      <w:r>
        <w:rPr>
          <w:rFonts w:ascii="Arial" w:eastAsia="Arial Nova" w:hAnsi="Arial" w:cs="Arial"/>
          <w:sz w:val="48"/>
          <w:szCs w:val="48"/>
        </w:rPr>
        <w:br w:type="page"/>
      </w:r>
    </w:p>
    <w:p w14:paraId="7B49E3E0" w14:textId="77777777" w:rsidR="00986D20" w:rsidRPr="00E33D02" w:rsidRDefault="00986D20" w:rsidP="00986D20">
      <w:pPr>
        <w:pStyle w:val="Heading1"/>
        <w:rPr>
          <w:b/>
          <w:bCs/>
          <w:lang w:val="en-GB"/>
        </w:rPr>
      </w:pPr>
      <w:r w:rsidRPr="00E33D02">
        <w:rPr>
          <w:b/>
          <w:bCs/>
          <w:lang w:val="en-GB"/>
        </w:rPr>
        <w:lastRenderedPageBreak/>
        <w:t>References</w:t>
      </w:r>
    </w:p>
    <w:p w14:paraId="5CB7FD7D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Department for Education (2023) </w:t>
      </w:r>
      <w:r w:rsidRPr="00E33D02">
        <w:rPr>
          <w:i/>
          <w:iCs/>
          <w:sz w:val="22"/>
          <w:lang w:val="en-GB"/>
        </w:rPr>
        <w:t>Working together to safeguard children 2023: statutory guidance</w:t>
      </w:r>
      <w:r w:rsidRPr="00E33D02">
        <w:rPr>
          <w:sz w:val="22"/>
          <w:lang w:val="en-GB"/>
        </w:rPr>
        <w:t xml:space="preserve">. London: Department for Education. Available at: </w:t>
      </w:r>
      <w:hyperlink r:id="rId5" w:history="1">
        <w:r w:rsidRPr="00E33D02">
          <w:rPr>
            <w:rStyle w:val="Hyperlink"/>
            <w:sz w:val="22"/>
            <w:lang w:val="en-GB"/>
          </w:rPr>
          <w:t>https://www.gov.uk/government/publications/working-together-to-safeguard-children--2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19848632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Department for Education (2024) </w:t>
      </w:r>
      <w:r w:rsidRPr="00E33D02">
        <w:rPr>
          <w:i/>
          <w:iCs/>
          <w:sz w:val="22"/>
          <w:lang w:val="en-GB"/>
        </w:rPr>
        <w:t>Information sharing: advice for practitioners providing safeguarding services</w:t>
      </w:r>
      <w:r w:rsidRPr="00E33D02">
        <w:rPr>
          <w:sz w:val="22"/>
          <w:lang w:val="en-GB"/>
        </w:rPr>
        <w:t xml:space="preserve">. London: Department for Education. Available at: </w:t>
      </w:r>
      <w:hyperlink r:id="rId6" w:history="1">
        <w:r w:rsidRPr="00E33D02">
          <w:rPr>
            <w:rStyle w:val="Hyperlink"/>
            <w:sz w:val="22"/>
            <w:lang w:val="en-GB"/>
          </w:rPr>
          <w:t>https://www.gov.uk/government/publications/safeguarding-practitioners-information-sharing-advice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0C1CE137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Holtom, S. (2024) </w:t>
      </w:r>
      <w:r w:rsidRPr="00E33D02">
        <w:rPr>
          <w:i/>
          <w:iCs/>
          <w:sz w:val="22"/>
          <w:lang w:val="en-GB"/>
        </w:rPr>
        <w:t>Local child safeguarding practice review: Child HN</w:t>
      </w:r>
      <w:r w:rsidRPr="00E33D02">
        <w:rPr>
          <w:sz w:val="22"/>
          <w:lang w:val="en-GB"/>
        </w:rPr>
        <w:t>. Herefordshire: Herefordshire Safeguarding Children Partnership.</w:t>
      </w:r>
    </w:p>
    <w:p w14:paraId="4AF8C589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Home Office (2023) </w:t>
      </w:r>
      <w:r w:rsidRPr="00E33D02">
        <w:rPr>
          <w:i/>
          <w:iCs/>
          <w:sz w:val="22"/>
          <w:lang w:val="en-GB"/>
        </w:rPr>
        <w:t>Domestic abuse: statutory guidance</w:t>
      </w:r>
      <w:r w:rsidRPr="00E33D02">
        <w:rPr>
          <w:sz w:val="22"/>
          <w:lang w:val="en-GB"/>
        </w:rPr>
        <w:t xml:space="preserve">. Available at: </w:t>
      </w:r>
      <w:hyperlink r:id="rId7" w:history="1">
        <w:r w:rsidRPr="00E33D02">
          <w:rPr>
            <w:rStyle w:val="Hyperlink"/>
            <w:sz w:val="22"/>
            <w:lang w:val="en-GB"/>
          </w:rPr>
          <w:t>https://www.gov.uk/government/publications/domestic-abuse-act-2021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44BEE858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National Institute for Health and Care Excellence (NICE) (2015, updated 2023) </w:t>
      </w:r>
      <w:r w:rsidRPr="00E33D02">
        <w:rPr>
          <w:i/>
          <w:iCs/>
          <w:sz w:val="22"/>
          <w:lang w:val="en-GB"/>
        </w:rPr>
        <w:t>Diabetes (type 1 and type 2) in children and young people: diagnosis and management</w:t>
      </w:r>
      <w:r w:rsidRPr="00E33D02">
        <w:rPr>
          <w:sz w:val="22"/>
          <w:lang w:val="en-GB"/>
        </w:rPr>
        <w:t xml:space="preserve">. NICE guideline NG18. Available at: </w:t>
      </w:r>
      <w:hyperlink r:id="rId8" w:history="1">
        <w:r w:rsidRPr="00E33D02">
          <w:rPr>
            <w:rStyle w:val="Hyperlink"/>
            <w:sz w:val="22"/>
            <w:lang w:val="en-GB"/>
          </w:rPr>
          <w:t>https://www.nice.org.uk/guidance/ng18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6AE44E0F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National Institute for Health and Care Excellence (NICE) (2017) </w:t>
      </w:r>
      <w:r w:rsidRPr="00E33D02">
        <w:rPr>
          <w:i/>
          <w:iCs/>
          <w:sz w:val="22"/>
          <w:lang w:val="en-GB"/>
        </w:rPr>
        <w:t>Child abuse and neglect</w:t>
      </w:r>
      <w:r w:rsidRPr="00E33D02">
        <w:rPr>
          <w:sz w:val="22"/>
          <w:lang w:val="en-GB"/>
        </w:rPr>
        <w:t xml:space="preserve">. NICE guideline NG76. Available at: </w:t>
      </w:r>
      <w:hyperlink r:id="rId9" w:history="1">
        <w:r w:rsidRPr="00E33D02">
          <w:rPr>
            <w:rStyle w:val="Hyperlink"/>
            <w:sz w:val="22"/>
            <w:lang w:val="en-GB"/>
          </w:rPr>
          <w:t>https://www.nice.org.uk/guidance/ng76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53938A56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NHS England (2022) </w:t>
      </w:r>
      <w:r w:rsidRPr="00E33D02">
        <w:rPr>
          <w:i/>
          <w:iCs/>
          <w:sz w:val="22"/>
          <w:lang w:val="en-GB"/>
        </w:rPr>
        <w:t>Safeguarding children, young people and adults at risk in the NHS: safeguarding accountability and assurance framework</w:t>
      </w:r>
      <w:r w:rsidRPr="00E33D02">
        <w:rPr>
          <w:sz w:val="22"/>
          <w:lang w:val="en-GB"/>
        </w:rPr>
        <w:t xml:space="preserve">. Version 3. Available at: </w:t>
      </w:r>
      <w:hyperlink r:id="rId10" w:history="1">
        <w:r w:rsidRPr="00E33D02">
          <w:rPr>
            <w:rStyle w:val="Hyperlink"/>
            <w:sz w:val="22"/>
            <w:lang w:val="en-GB"/>
          </w:rPr>
          <w:t>https://www.england.nhs.uk/wp-content/uploads/2015/07/B0818_Safeguarding-children-young-people-and-adults-at-risk-in-the-NHS-Safeguarding-accountability-and-assuran.pdf</w:t>
        </w:r>
      </w:hyperlink>
    </w:p>
    <w:p w14:paraId="5E2EECDE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UK Government (1989) </w:t>
      </w:r>
      <w:r w:rsidRPr="00E33D02">
        <w:rPr>
          <w:i/>
          <w:iCs/>
          <w:sz w:val="22"/>
          <w:lang w:val="en-GB"/>
        </w:rPr>
        <w:t>Children Act 1989</w:t>
      </w:r>
      <w:r w:rsidRPr="00E33D02">
        <w:rPr>
          <w:sz w:val="22"/>
          <w:lang w:val="en-GB"/>
        </w:rPr>
        <w:t xml:space="preserve">. Available at: </w:t>
      </w:r>
      <w:hyperlink r:id="rId11" w:history="1">
        <w:r w:rsidRPr="00E33D02">
          <w:rPr>
            <w:rStyle w:val="Hyperlink"/>
            <w:sz w:val="22"/>
            <w:lang w:val="en-GB"/>
          </w:rPr>
          <w:t>https://www.legislation.gov.uk/ukpga/1989/41/contents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4941E281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UK Government (2004) </w:t>
      </w:r>
      <w:r w:rsidRPr="00E33D02">
        <w:rPr>
          <w:i/>
          <w:iCs/>
          <w:sz w:val="22"/>
          <w:lang w:val="en-GB"/>
        </w:rPr>
        <w:t>Children Act 2004</w:t>
      </w:r>
      <w:r w:rsidRPr="00E33D02">
        <w:rPr>
          <w:sz w:val="22"/>
          <w:lang w:val="en-GB"/>
        </w:rPr>
        <w:t xml:space="preserve">. Available at: </w:t>
      </w:r>
      <w:hyperlink r:id="rId12" w:history="1">
        <w:r w:rsidRPr="00E33D02">
          <w:rPr>
            <w:rStyle w:val="Hyperlink"/>
            <w:sz w:val="22"/>
            <w:lang w:val="en-GB"/>
          </w:rPr>
          <w:t>https://www.legislation.gov.uk/ukpga/2004/31/contents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7F9B513E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UK Government (2010) </w:t>
      </w:r>
      <w:r w:rsidRPr="00E33D02">
        <w:rPr>
          <w:i/>
          <w:iCs/>
          <w:sz w:val="22"/>
          <w:lang w:val="en-GB"/>
        </w:rPr>
        <w:t>Equality Act 2010</w:t>
      </w:r>
      <w:r w:rsidRPr="00E33D02">
        <w:rPr>
          <w:sz w:val="22"/>
          <w:lang w:val="en-GB"/>
        </w:rPr>
        <w:t xml:space="preserve">. Available at: </w:t>
      </w:r>
      <w:hyperlink r:id="rId13" w:history="1">
        <w:r w:rsidRPr="00E33D02">
          <w:rPr>
            <w:rStyle w:val="Hyperlink"/>
            <w:sz w:val="22"/>
            <w:lang w:val="en-GB"/>
          </w:rPr>
          <w:t>https://www.legislation.gov.uk/ukpga/2010/15/contents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0488A453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UK Government (2021) </w:t>
      </w:r>
      <w:r w:rsidRPr="00E33D02">
        <w:rPr>
          <w:i/>
          <w:iCs/>
          <w:sz w:val="22"/>
          <w:lang w:val="en-GB"/>
        </w:rPr>
        <w:t>Domestic Abuse Act 2021</w:t>
      </w:r>
      <w:r w:rsidRPr="00E33D02">
        <w:rPr>
          <w:sz w:val="22"/>
          <w:lang w:val="en-GB"/>
        </w:rPr>
        <w:t xml:space="preserve">. Available at: </w:t>
      </w:r>
      <w:hyperlink r:id="rId14" w:history="1">
        <w:r w:rsidRPr="00E33D02">
          <w:rPr>
            <w:rStyle w:val="Hyperlink"/>
            <w:sz w:val="22"/>
            <w:lang w:val="en-GB"/>
          </w:rPr>
          <w:t>https://www.legislation.gov.uk/ukpga/2021/17/contents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0914ADBE" w14:textId="77777777" w:rsidR="00986D20" w:rsidRPr="00E33D02" w:rsidRDefault="00986D20" w:rsidP="00986D20">
      <w:pPr>
        <w:spacing w:line="276" w:lineRule="auto"/>
        <w:rPr>
          <w:sz w:val="22"/>
          <w:lang w:val="en-GB"/>
        </w:rPr>
      </w:pPr>
      <w:r w:rsidRPr="00E33D02">
        <w:rPr>
          <w:sz w:val="22"/>
          <w:lang w:val="en-GB"/>
        </w:rPr>
        <w:t xml:space="preserve">United Nations (1989) </w:t>
      </w:r>
      <w:r w:rsidRPr="00E33D02">
        <w:rPr>
          <w:i/>
          <w:iCs/>
          <w:sz w:val="22"/>
          <w:lang w:val="en-GB"/>
        </w:rPr>
        <w:t>Convention on the Rights of the Child</w:t>
      </w:r>
      <w:r w:rsidRPr="00E33D02">
        <w:rPr>
          <w:sz w:val="22"/>
          <w:lang w:val="en-GB"/>
        </w:rPr>
        <w:t xml:space="preserve">. Available at: </w:t>
      </w:r>
      <w:hyperlink r:id="rId15" w:history="1">
        <w:r w:rsidRPr="00E33D02">
          <w:rPr>
            <w:rStyle w:val="Hyperlink"/>
            <w:sz w:val="22"/>
            <w:lang w:val="en-GB"/>
          </w:rPr>
          <w:t>https://www.unicef.org/child-rights-convention/convention-text</w:t>
        </w:r>
      </w:hyperlink>
      <w:r w:rsidRPr="00E33D02">
        <w:rPr>
          <w:sz w:val="22"/>
          <w:lang w:val="en-GB"/>
        </w:rPr>
        <w:t xml:space="preserve"> (Accessed: 12 October 2026).</w:t>
      </w:r>
    </w:p>
    <w:p w14:paraId="0DEEAC76" w14:textId="77777777" w:rsidR="00986D20" w:rsidRPr="000641FB" w:rsidRDefault="00986D20" w:rsidP="00986D20">
      <w:pPr>
        <w:jc w:val="center"/>
        <w:rPr>
          <w:rFonts w:ascii="Arial" w:eastAsia="Arial Nova" w:hAnsi="Arial" w:cs="Arial"/>
          <w:sz w:val="48"/>
          <w:szCs w:val="48"/>
        </w:rPr>
      </w:pPr>
    </w:p>
    <w:p w14:paraId="39333D24" w14:textId="77777777" w:rsidR="007A0B3A" w:rsidRDefault="007A0B3A"/>
    <w:sectPr w:rsidR="007A0B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D20"/>
    <w:rsid w:val="007A0B3A"/>
    <w:rsid w:val="00907291"/>
    <w:rsid w:val="00986D20"/>
    <w:rsid w:val="00C47459"/>
    <w:rsid w:val="00F76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DB766"/>
  <w15:chartTrackingRefBased/>
  <w15:docId w15:val="{35170671-412B-4D7C-AC05-FA9C230A5A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6D20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86D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6D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6D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6D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6D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6D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6D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6D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6D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6D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6D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6D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6D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6D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6D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6D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6D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6D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6D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6D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6D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6D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6D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6D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6D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6D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6D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6D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6D2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86D20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18" TargetMode="External"/><Relationship Id="rId13" Type="http://schemas.openxmlformats.org/officeDocument/2006/relationships/hyperlink" Target="https://www.legislation.gov.uk/ukpga/2010/15/conten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domestic-abuse-act-2021" TargetMode="External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safeguarding-practitioners-information-sharing-advice" TargetMode="External"/><Relationship Id="rId11" Type="http://schemas.openxmlformats.org/officeDocument/2006/relationships/hyperlink" Target="https://www.legislation.gov.uk/ukpga/1989/41/contents" TargetMode="External"/><Relationship Id="rId5" Type="http://schemas.openxmlformats.org/officeDocument/2006/relationships/hyperlink" Target="https://www.gov.uk/government/publications/working-together-to-safeguard-children--2" TargetMode="External"/><Relationship Id="rId15" Type="http://schemas.openxmlformats.org/officeDocument/2006/relationships/hyperlink" Target="https://www.unicef.org/child-rights-convention/convention-text" TargetMode="External"/><Relationship Id="rId10" Type="http://schemas.openxmlformats.org/officeDocument/2006/relationships/hyperlink" Target="https://www.england.nhs.uk/wp-content/uploads/2015/07/B0818_Safeguarding-children-young-people-and-adults-at-risk-in-the-NHS-Safeguarding-accountability-and-assuran.pdf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nice.org.uk/guidance/ng76" TargetMode="External"/><Relationship Id="rId14" Type="http://schemas.openxmlformats.org/officeDocument/2006/relationships/hyperlink" Target="https://www.legislation.gov.uk/ukpga/2021/17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523</Words>
  <Characters>2986</Characters>
  <Application>Microsoft Office Word</Application>
  <DocSecurity>0</DocSecurity>
  <Lines>24</Lines>
  <Paragraphs>7</Paragraphs>
  <ScaleCrop>false</ScaleCrop>
  <Company/>
  <LinksUpToDate>false</LinksUpToDate>
  <CharactersWithSpaces>3502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tasnim khanom</dc:creator>
  <cp:keywords/>
  <dc:description/>
  <cp:lastModifiedBy>tasnim khanom</cp:lastModifiedBy>
  <cp:revision>2</cp:revision>
  <dcterms:created xsi:type="dcterms:W3CDTF">2026-10-14T16:20:00Z</dcterms:created>
  <dcterms:modified xsi:type="dcterms:W3CDTF">2026-10-14T16:20:00Z</dcterms:modified>
</cp:coreProperties>
</file>