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AA77A" w14:textId="77777777" w:rsidR="00085369" w:rsidRDefault="006A24C3">
      <w:pPr>
        <w:spacing w:before="1440" w:after="400"/>
        <w:jc w:val="center"/>
        <w:rPr>
          <w:b/>
          <w:bCs/>
          <w:sz w:val="40"/>
          <w:szCs w:val="40"/>
          <w:u w:val="single"/>
        </w:rPr>
      </w:pPr>
      <w:r w:rsidRPr="00F36FE0">
        <w:rPr>
          <w:b/>
          <w:bCs/>
          <w:sz w:val="40"/>
          <w:szCs w:val="40"/>
          <w:u w:val="single"/>
        </w:rPr>
        <w:t>BMHP6030 – Assignment 2</w:t>
      </w:r>
    </w:p>
    <w:p w14:paraId="1345F385" w14:textId="77777777" w:rsidR="00F36FE0" w:rsidRPr="00F36FE0" w:rsidRDefault="00F36FE0">
      <w:pPr>
        <w:spacing w:before="1440" w:after="400"/>
        <w:jc w:val="center"/>
        <w:rPr>
          <w:sz w:val="32"/>
          <w:szCs w:val="32"/>
          <w:u w:val="single"/>
        </w:rPr>
      </w:pPr>
    </w:p>
    <w:p w14:paraId="7337D82C" w14:textId="6CECF840" w:rsidR="00085369" w:rsidRPr="00F36FE0" w:rsidRDefault="006A24C3" w:rsidP="00002784">
      <w:pPr>
        <w:spacing w:after="200"/>
        <w:jc w:val="center"/>
        <w:rPr>
          <w:b/>
          <w:bCs/>
          <w:sz w:val="36"/>
          <w:szCs w:val="36"/>
        </w:rPr>
      </w:pPr>
      <w:r w:rsidRPr="00F36FE0">
        <w:rPr>
          <w:b/>
          <w:bCs/>
          <w:sz w:val="36"/>
          <w:szCs w:val="36"/>
        </w:rPr>
        <w:t>A Critical Examination of Health, Wellbeing, and Sustainability Policies:</w:t>
      </w:r>
    </w:p>
    <w:p w14:paraId="0EEDD706" w14:textId="77777777" w:rsidR="00002784" w:rsidRPr="00F36FE0" w:rsidRDefault="00002784">
      <w:pPr>
        <w:spacing w:after="200"/>
        <w:jc w:val="center"/>
        <w:rPr>
          <w:sz w:val="32"/>
          <w:szCs w:val="32"/>
        </w:rPr>
      </w:pPr>
    </w:p>
    <w:p w14:paraId="406CFC8E" w14:textId="77777777" w:rsidR="00085369" w:rsidRPr="00F36FE0" w:rsidRDefault="006A24C3">
      <w:pPr>
        <w:spacing w:after="400"/>
        <w:jc w:val="center"/>
        <w:rPr>
          <w:b/>
          <w:bCs/>
          <w:sz w:val="36"/>
          <w:szCs w:val="36"/>
        </w:rPr>
      </w:pPr>
      <w:r w:rsidRPr="00F36FE0">
        <w:rPr>
          <w:b/>
          <w:bCs/>
          <w:sz w:val="36"/>
          <w:szCs w:val="36"/>
        </w:rPr>
        <w:t>SDG 3 (Good Health and Wellbeing) and SDG 10 (Reduced Inequalities)</w:t>
      </w:r>
    </w:p>
    <w:p w14:paraId="2F7BA93A" w14:textId="77777777" w:rsidR="00002784" w:rsidRDefault="00002784">
      <w:pPr>
        <w:spacing w:after="400"/>
        <w:jc w:val="center"/>
        <w:rPr>
          <w:sz w:val="24"/>
          <w:szCs w:val="24"/>
        </w:rPr>
      </w:pPr>
    </w:p>
    <w:p w14:paraId="6197A168" w14:textId="77777777" w:rsidR="00F36FE0" w:rsidRPr="00BD63A5" w:rsidRDefault="00F36FE0">
      <w:pPr>
        <w:spacing w:after="400"/>
        <w:jc w:val="center"/>
        <w:rPr>
          <w:sz w:val="24"/>
          <w:szCs w:val="24"/>
        </w:rPr>
      </w:pPr>
    </w:p>
    <w:p w14:paraId="72B0614D" w14:textId="48CBE11B" w:rsidR="00085369" w:rsidRPr="00F36FE0" w:rsidRDefault="006A24C3" w:rsidP="00002784">
      <w:pPr>
        <w:spacing w:after="200"/>
        <w:jc w:val="center"/>
        <w:rPr>
          <w:b/>
          <w:bCs/>
          <w:sz w:val="32"/>
          <w:szCs w:val="32"/>
        </w:rPr>
      </w:pPr>
      <w:r w:rsidRPr="00F36FE0">
        <w:rPr>
          <w:b/>
          <w:bCs/>
          <w:sz w:val="32"/>
          <w:szCs w:val="32"/>
        </w:rPr>
        <w:t xml:space="preserve">Student Name: </w:t>
      </w:r>
      <w:r w:rsidR="005709EE" w:rsidRPr="00F36FE0">
        <w:rPr>
          <w:b/>
          <w:bCs/>
          <w:sz w:val="32"/>
          <w:szCs w:val="32"/>
        </w:rPr>
        <w:t>Ondrej Dzobak</w:t>
      </w:r>
    </w:p>
    <w:p w14:paraId="10B7E632" w14:textId="77777777" w:rsidR="00002784" w:rsidRPr="00F36FE0" w:rsidRDefault="00002784" w:rsidP="00002784">
      <w:pPr>
        <w:spacing w:after="200"/>
        <w:jc w:val="center"/>
        <w:rPr>
          <w:b/>
          <w:bCs/>
          <w:sz w:val="32"/>
          <w:szCs w:val="32"/>
        </w:rPr>
      </w:pPr>
    </w:p>
    <w:p w14:paraId="7391BB69" w14:textId="6C90521A" w:rsidR="00085369" w:rsidRPr="00F36FE0" w:rsidRDefault="006A24C3">
      <w:pPr>
        <w:spacing w:after="200"/>
        <w:jc w:val="center"/>
        <w:rPr>
          <w:b/>
          <w:bCs/>
          <w:sz w:val="32"/>
          <w:szCs w:val="32"/>
        </w:rPr>
      </w:pPr>
      <w:r w:rsidRPr="00F36FE0">
        <w:rPr>
          <w:b/>
          <w:bCs/>
          <w:sz w:val="32"/>
          <w:szCs w:val="32"/>
        </w:rPr>
        <w:t xml:space="preserve">Student Number: </w:t>
      </w:r>
      <w:r w:rsidR="005709EE" w:rsidRPr="00F36FE0">
        <w:rPr>
          <w:b/>
          <w:bCs/>
          <w:sz w:val="32"/>
          <w:szCs w:val="32"/>
        </w:rPr>
        <w:t>2313079</w:t>
      </w:r>
    </w:p>
    <w:p w14:paraId="6F129256" w14:textId="77777777" w:rsidR="00002784" w:rsidRPr="00F36FE0" w:rsidRDefault="00002784">
      <w:pPr>
        <w:spacing w:after="200"/>
        <w:jc w:val="center"/>
        <w:rPr>
          <w:b/>
          <w:bCs/>
          <w:sz w:val="32"/>
          <w:szCs w:val="32"/>
        </w:rPr>
      </w:pPr>
    </w:p>
    <w:p w14:paraId="38CF8F79" w14:textId="43125191" w:rsidR="00085369" w:rsidRPr="00002784" w:rsidRDefault="006A24C3">
      <w:pPr>
        <w:spacing w:after="200"/>
        <w:jc w:val="center"/>
        <w:rPr>
          <w:b/>
          <w:bCs/>
          <w:sz w:val="28"/>
          <w:szCs w:val="28"/>
        </w:rPr>
      </w:pPr>
      <w:r w:rsidRPr="00F36FE0">
        <w:rPr>
          <w:b/>
          <w:bCs/>
          <w:sz w:val="32"/>
          <w:szCs w:val="32"/>
        </w:rPr>
        <w:t xml:space="preserve">Lecturer: </w:t>
      </w:r>
      <w:r w:rsidR="00002784" w:rsidRPr="00F36FE0">
        <w:rPr>
          <w:b/>
          <w:bCs/>
          <w:sz w:val="32"/>
          <w:szCs w:val="32"/>
        </w:rPr>
        <w:t>Philip Jones</w:t>
      </w:r>
    </w:p>
    <w:p w14:paraId="324FF73E" w14:textId="77777777" w:rsidR="00F36FE0" w:rsidRDefault="00F36FE0">
      <w:pPr>
        <w:pStyle w:val="Heading1"/>
        <w:rPr>
          <w:color w:val="000000" w:themeColor="text1"/>
          <w:sz w:val="24"/>
          <w:szCs w:val="24"/>
        </w:rPr>
      </w:pPr>
    </w:p>
    <w:p w14:paraId="0C5D1E96" w14:textId="77777777" w:rsidR="00F36FE0" w:rsidRDefault="00F36FE0">
      <w:pPr>
        <w:pStyle w:val="Heading1"/>
        <w:rPr>
          <w:color w:val="000000" w:themeColor="text1"/>
          <w:sz w:val="24"/>
          <w:szCs w:val="24"/>
        </w:rPr>
      </w:pPr>
    </w:p>
    <w:p w14:paraId="041DF776" w14:textId="77777777" w:rsidR="00F36FE0" w:rsidRDefault="00F36FE0">
      <w:pPr>
        <w:pStyle w:val="Heading1"/>
        <w:rPr>
          <w:color w:val="000000" w:themeColor="text1"/>
          <w:sz w:val="24"/>
          <w:szCs w:val="24"/>
        </w:rPr>
      </w:pPr>
    </w:p>
    <w:p w14:paraId="1C99FEBF" w14:textId="77777777" w:rsidR="00F36FE0" w:rsidRDefault="00F36FE0">
      <w:pPr>
        <w:pStyle w:val="Heading1"/>
        <w:rPr>
          <w:color w:val="000000" w:themeColor="text1"/>
          <w:sz w:val="24"/>
          <w:szCs w:val="24"/>
        </w:rPr>
      </w:pPr>
    </w:p>
    <w:p w14:paraId="436660F9" w14:textId="77777777" w:rsidR="00F36FE0" w:rsidRDefault="00F36FE0">
      <w:pPr>
        <w:pStyle w:val="Heading1"/>
        <w:rPr>
          <w:color w:val="000000" w:themeColor="text1"/>
          <w:sz w:val="24"/>
          <w:szCs w:val="24"/>
        </w:rPr>
      </w:pPr>
    </w:p>
    <w:p w14:paraId="39D5FACD" w14:textId="5ACE9CE8" w:rsidR="00085369" w:rsidRPr="006D1FB9" w:rsidRDefault="006A24C3" w:rsidP="006D1FB9">
      <w:pPr>
        <w:pStyle w:val="Heading1"/>
        <w:spacing w:line="360" w:lineRule="auto"/>
        <w:rPr>
          <w:rFonts w:ascii="Arial Nova" w:hAnsi="Arial Nova"/>
          <w:color w:val="000000" w:themeColor="text1"/>
          <w:sz w:val="22"/>
          <w:szCs w:val="22"/>
        </w:rPr>
      </w:pPr>
      <w:r w:rsidRPr="006D1FB9">
        <w:rPr>
          <w:rFonts w:ascii="Arial Nova" w:hAnsi="Arial Nova"/>
          <w:color w:val="000000" w:themeColor="text1"/>
          <w:sz w:val="22"/>
          <w:szCs w:val="22"/>
        </w:rPr>
        <w:lastRenderedPageBreak/>
        <w:t>Introduction</w:t>
      </w:r>
    </w:p>
    <w:p w14:paraId="4FCB5336" w14:textId="77777777" w:rsidR="00366781" w:rsidRPr="006D1FB9" w:rsidRDefault="00366781" w:rsidP="006D1FB9">
      <w:pPr>
        <w:spacing w:after="80" w:line="360" w:lineRule="auto"/>
        <w:rPr>
          <w:rFonts w:ascii="Arial Nova" w:hAnsi="Arial Nova"/>
        </w:rPr>
      </w:pPr>
      <w:r w:rsidRPr="006D1FB9">
        <w:rPr>
          <w:rFonts w:ascii="Arial Nova" w:hAnsi="Arial Nova"/>
        </w:rPr>
        <w:t>The United Nations' 2030 Agenda for Sustainable Development is a framework of 17 Sustainable Development Goals (SDGs) that aim to address the major challenges that threaten humanity today (United Nations, 2015). These 17 goals are interconnected and can only be achieved if the other goals are also achieved. This report will focus on two of these Sustainable Development Goals: SDG 3 (Good Health and Wellbeing) and SDG 10 (Reduced Inequalities). These two goals are intrinsically linked as research into health disparities indicates that the most significant factor in the health outcomes of an individual is their socioeconomic status (Marmot et al., 2020). Those with lower socioeconomic statuses experience poorer health outcomes in almost all areas of their health. The report will critically analyse the policies and initiatives that aim to achieve these two goals on a global, national, and local level in England and Wales.</w:t>
      </w:r>
    </w:p>
    <w:p w14:paraId="4644226C" w14:textId="77777777" w:rsidR="00366781" w:rsidRPr="006D1FB9" w:rsidRDefault="00366781" w:rsidP="006D1FB9">
      <w:pPr>
        <w:spacing w:after="80" w:line="360" w:lineRule="auto"/>
        <w:rPr>
          <w:rFonts w:ascii="Arial Nova" w:hAnsi="Arial Nova"/>
        </w:rPr>
      </w:pPr>
      <w:r w:rsidRPr="006D1FB9">
        <w:rPr>
          <w:rFonts w:ascii="Arial Nova" w:hAnsi="Arial Nova"/>
        </w:rPr>
        <w:t>The report will critically evaluate the policies related to goal 3 in section 1 and the policies related to goal 10 in section 2. The conclusion will draw out the relationship between these two Sustainable Development Goals and the implications of this relationship for health policy in the United Kingdom.</w:t>
      </w:r>
    </w:p>
    <w:p w14:paraId="6EA72B77" w14:textId="77777777" w:rsidR="00085369" w:rsidRPr="006D1FB9" w:rsidRDefault="00085369" w:rsidP="006D1FB9">
      <w:pPr>
        <w:spacing w:after="80" w:line="360" w:lineRule="auto"/>
        <w:rPr>
          <w:rFonts w:ascii="Arial Nova" w:hAnsi="Arial Nova"/>
        </w:rPr>
      </w:pPr>
    </w:p>
    <w:p w14:paraId="1E3B5F88" w14:textId="77777777" w:rsidR="00085369" w:rsidRPr="006D1FB9" w:rsidRDefault="006A24C3" w:rsidP="006D1FB9">
      <w:pPr>
        <w:pStyle w:val="Heading1"/>
        <w:spacing w:line="360" w:lineRule="auto"/>
        <w:rPr>
          <w:rFonts w:ascii="Arial Nova" w:hAnsi="Arial Nova"/>
          <w:color w:val="000000" w:themeColor="text1"/>
          <w:sz w:val="22"/>
          <w:szCs w:val="22"/>
        </w:rPr>
      </w:pPr>
      <w:r w:rsidRPr="006D1FB9">
        <w:rPr>
          <w:rFonts w:ascii="Arial Nova" w:hAnsi="Arial Nova"/>
          <w:color w:val="000000" w:themeColor="text1"/>
          <w:sz w:val="22"/>
          <w:szCs w:val="22"/>
        </w:rPr>
        <w:t>Section 1: SDG 3 – Good Health and Wellbeing</w:t>
      </w:r>
    </w:p>
    <w:p w14:paraId="2CEE94E6" w14:textId="00E43822" w:rsidR="002C23C7"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Overview of SDG 3</w:t>
      </w:r>
    </w:p>
    <w:p w14:paraId="6ECDC0E2" w14:textId="01576DBF" w:rsidR="00D53B32" w:rsidRPr="006D1FB9" w:rsidRDefault="00D53B32" w:rsidP="006D1FB9">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SDG 3 aims to ensure that all individuals at all ages have healthy lives (United Nations, 2015). There are several aims for the goal, including the reduction in the mortality rates of mothers and infants, the reduction in the transmission of communicable and non-communicable diseases, the improvement in the mental health of the population, and the achievement of universal health coverage (UHC) for all individuals. Despite the international efforts made to achieve these aims, there has been slow progress towards the goals due to the global impact of the COVID-19 pandemic (World Health Organization</w:t>
      </w:r>
      <w:r w:rsidR="009F7368">
        <w:rPr>
          <w:rFonts w:ascii="Arial Nova" w:hAnsi="Arial Nova"/>
          <w:b w:val="0"/>
          <w:bCs w:val="0"/>
          <w:color w:val="auto"/>
          <w:sz w:val="22"/>
          <w:szCs w:val="22"/>
        </w:rPr>
        <w:t>,</w:t>
      </w:r>
      <w:r w:rsidRPr="006D1FB9">
        <w:rPr>
          <w:rFonts w:ascii="Arial Nova" w:hAnsi="Arial Nova"/>
          <w:b w:val="0"/>
          <w:bCs w:val="0"/>
          <w:color w:val="auto"/>
          <w:sz w:val="22"/>
          <w:szCs w:val="22"/>
        </w:rPr>
        <w:t xml:space="preserve"> 2023).</w:t>
      </w:r>
    </w:p>
    <w:p w14:paraId="0430FC06" w14:textId="3E0C4CD2" w:rsidR="00D53B32" w:rsidRPr="006D1FB9" w:rsidRDefault="008D39D2" w:rsidP="008D39D2">
      <w:pPr>
        <w:pStyle w:val="Heading2"/>
        <w:spacing w:line="360" w:lineRule="auto"/>
        <w:rPr>
          <w:rFonts w:ascii="Arial Nova" w:hAnsi="Arial Nova"/>
          <w:color w:val="000000" w:themeColor="text1"/>
          <w:sz w:val="22"/>
          <w:szCs w:val="22"/>
          <w:u w:val="single"/>
        </w:rPr>
      </w:pPr>
      <w:r w:rsidRPr="008D39D2">
        <w:rPr>
          <w:rFonts w:ascii="Arial Nova" w:hAnsi="Arial Nova"/>
          <w:b w:val="0"/>
          <w:bCs w:val="0"/>
          <w:color w:val="auto"/>
          <w:sz w:val="22"/>
          <w:szCs w:val="22"/>
        </w:rPr>
        <w:t xml:space="preserve">The World Health Organization (WHO) has made significant efforts to achieve the goals outlined in SDG 3 through its Triple Billion initiative. The initiative aims to ensure that one billion more people have access to universal health coverage, one billion more people are better protected against health emergencies, and one billion more people enjoy improved health and wellbeing (World Health Organization, 2020). However, the WHO has reported in </w:t>
      </w:r>
      <w:r w:rsidRPr="008D39D2">
        <w:rPr>
          <w:rFonts w:ascii="Arial Nova" w:hAnsi="Arial Nova"/>
          <w:b w:val="0"/>
          <w:bCs w:val="0"/>
          <w:color w:val="auto"/>
          <w:sz w:val="22"/>
          <w:szCs w:val="22"/>
        </w:rPr>
        <w:lastRenderedPageBreak/>
        <w:t>2023 that the world is currently not on track to achieve SDG 3 by the year 2030. The challenges are most significant in countries with lower income, where universal health coverage is not yet accessible to a substantial number of the population (World Health Organization, 2023).</w:t>
      </w:r>
    </w:p>
    <w:p w14:paraId="2ECC4E5F" w14:textId="5A943E90"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National and Local Policies in England and Wales</w:t>
      </w:r>
    </w:p>
    <w:p w14:paraId="55EF19CB" w14:textId="7F558BAE" w:rsidR="00C114C4" w:rsidRPr="006D1FB9" w:rsidRDefault="00C114C4" w:rsidP="006D1FB9">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The health policies in England are laid out in the NHS Long Term Plan, which was introduced in 2019 and aims to achieve various aims within the health system of England (NHS England, 2019). Policies such as the Health and Care Act 2022 established Integrated Care Systems (ICSs) that integrate health, social care, and local government services in England (Department of Health and Social Care, 2022). While these systems are seen as significant improvements in the integration of services for the public, there is yet to be a significant achievement in the integration of these services across the country, particularly in relation to public health funding in local government areas (The King's Fund, 2023).</w:t>
      </w:r>
    </w:p>
    <w:p w14:paraId="20B9C885" w14:textId="0A603C7A" w:rsidR="00C114C4" w:rsidRPr="006D1FB9" w:rsidRDefault="00C114C4" w:rsidP="00E97ED5">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 xml:space="preserve">One of the most significant issues with the health of the UK population is mental health. The Mental Health Five Year Forward View (NHS England, 2016) introduced policies that aimed to provide improved access to mental health services for the population. The report published by McManus et al. (2016) indicated that poor mental health accounted for nearly a quarter of the total disease burden in the United Kingdom. Some of the Mental Health Trusts in the country have begun to integrate services in their communities. However, like the physical health services provided by the NHS, the mental health services provided by the country suffer from underfunding, lack of staff, and the effects of the COVID-19 pandemic on the nation </w:t>
      </w:r>
      <w:r w:rsidR="00E97ED5" w:rsidRPr="00E97ED5">
        <w:rPr>
          <w:rFonts w:ascii="Arial Nova" w:hAnsi="Arial Nova"/>
          <w:b w:val="0"/>
          <w:bCs w:val="0"/>
          <w:color w:val="auto"/>
          <w:sz w:val="22"/>
          <w:szCs w:val="22"/>
        </w:rPr>
        <w:t>(World Health Organization, 2023)</w:t>
      </w:r>
      <w:r w:rsidRPr="006D1FB9">
        <w:rPr>
          <w:rFonts w:ascii="Arial Nova" w:hAnsi="Arial Nova"/>
          <w:b w:val="0"/>
          <w:bCs w:val="0"/>
          <w:color w:val="auto"/>
          <w:sz w:val="22"/>
          <w:szCs w:val="22"/>
        </w:rPr>
        <w:t>.</w:t>
      </w:r>
    </w:p>
    <w:p w14:paraId="5E29861D" w14:textId="40CD581B"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Theoretical Framework</w:t>
      </w:r>
    </w:p>
    <w:p w14:paraId="5EE3147B" w14:textId="48AD2711" w:rsidR="0025115A" w:rsidRPr="006D1FB9" w:rsidRDefault="0025115A" w:rsidP="006D1FB9">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 xml:space="preserve">The policies and initiatives aiming to achieve SDG 3 can be analysed using theoretical frameworks such as the Health Belief Model (Rosenstock, 1966) and Social Cognitive Theory (Bandura, 1986). The Health Belief Model suggests that for individuals to change their health behaviour, they must have certain beliefs about the health of themselves and of others. Policies such as NHS Health Checks aim to educate the population on the risks of poor health and encourages the adoption of healthier behaviours by the individual and their communities (Robson et al., 2021). However, there is evidence that these individuals are more likely to be from deprived communities and from ethnic minority populations (Robson et al., 2021). Social Cognitive Theory emphasizes the development of self-efficacy in </w:t>
      </w:r>
      <w:r w:rsidRPr="006D1FB9">
        <w:rPr>
          <w:rFonts w:ascii="Arial Nova" w:hAnsi="Arial Nova"/>
          <w:b w:val="0"/>
          <w:bCs w:val="0"/>
          <w:color w:val="auto"/>
          <w:sz w:val="22"/>
          <w:szCs w:val="22"/>
        </w:rPr>
        <w:lastRenderedPageBreak/>
        <w:t xml:space="preserve">individuals for health behaviour change. While it is difficult to apply this theory to the health policies implemented by the NHS, local authorities have developed health champion initiatives in deprived communities to encourage those individuals to change their health behaviours </w:t>
      </w:r>
      <w:r w:rsidR="00FE253F">
        <w:rPr>
          <w:rFonts w:ascii="Arial Nova" w:hAnsi="Arial Nova"/>
          <w:b w:val="0"/>
          <w:bCs w:val="0"/>
          <w:color w:val="auto"/>
          <w:sz w:val="22"/>
          <w:szCs w:val="22"/>
        </w:rPr>
        <w:t>(</w:t>
      </w:r>
      <w:r w:rsidRPr="006D1FB9">
        <w:rPr>
          <w:rFonts w:ascii="Arial Nova" w:hAnsi="Arial Nova"/>
          <w:b w:val="0"/>
          <w:bCs w:val="0"/>
          <w:color w:val="auto"/>
          <w:sz w:val="22"/>
          <w:szCs w:val="22"/>
        </w:rPr>
        <w:t>Public Health England</w:t>
      </w:r>
      <w:r w:rsidR="00E25B53">
        <w:rPr>
          <w:rFonts w:ascii="Arial Nova" w:hAnsi="Arial Nova"/>
          <w:b w:val="0"/>
          <w:bCs w:val="0"/>
          <w:color w:val="auto"/>
          <w:sz w:val="22"/>
          <w:szCs w:val="22"/>
        </w:rPr>
        <w:t>,</w:t>
      </w:r>
      <w:r w:rsidRPr="006D1FB9">
        <w:rPr>
          <w:rFonts w:ascii="Arial Nova" w:hAnsi="Arial Nova"/>
          <w:b w:val="0"/>
          <w:bCs w:val="0"/>
          <w:color w:val="auto"/>
          <w:sz w:val="22"/>
          <w:szCs w:val="22"/>
        </w:rPr>
        <w:t xml:space="preserve"> 2020</w:t>
      </w:r>
      <w:r w:rsidR="008655AF">
        <w:rPr>
          <w:rFonts w:ascii="Arial Nova" w:hAnsi="Arial Nova"/>
          <w:b w:val="0"/>
          <w:bCs w:val="0"/>
          <w:color w:val="auto"/>
          <w:sz w:val="22"/>
          <w:szCs w:val="22"/>
        </w:rPr>
        <w:t>a</w:t>
      </w:r>
      <w:r w:rsidRPr="006D1FB9">
        <w:rPr>
          <w:rFonts w:ascii="Arial Nova" w:hAnsi="Arial Nova"/>
          <w:b w:val="0"/>
          <w:bCs w:val="0"/>
          <w:color w:val="auto"/>
          <w:sz w:val="22"/>
          <w:szCs w:val="22"/>
        </w:rPr>
        <w:t>).</w:t>
      </w:r>
    </w:p>
    <w:p w14:paraId="114E1205" w14:textId="77777777"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Critical Evaluation and Recommendations</w:t>
      </w:r>
    </w:p>
    <w:p w14:paraId="79443581" w14:textId="486C0766" w:rsidR="00171C8A" w:rsidRPr="006D1FB9" w:rsidRDefault="00171C8A" w:rsidP="00F95BD1">
      <w:pPr>
        <w:spacing w:after="80" w:line="360" w:lineRule="auto"/>
        <w:rPr>
          <w:rFonts w:ascii="Arial Nova" w:hAnsi="Arial Nova"/>
        </w:rPr>
      </w:pPr>
      <w:r w:rsidRPr="006D1FB9">
        <w:rPr>
          <w:rFonts w:ascii="Arial Nova" w:hAnsi="Arial Nova"/>
        </w:rPr>
        <w:t>While there are policies in place to address SDG 3 in England, they are not without their limitations. Firstly, the health and social care services in the UK are not integrated into a cohesive system due to the fragmented nature of health funding in England (The King's Fund, 2023). Secondly, the local authorities of England lost their public health funding when these responsibilities were transferred from the government to local government areas in 2013 (Local Government Association, 2022). Th</w:t>
      </w:r>
      <w:r w:rsidR="008D790E">
        <w:rPr>
          <w:rFonts w:ascii="Arial Nova" w:hAnsi="Arial Nova"/>
        </w:rPr>
        <w:t>ese</w:t>
      </w:r>
      <w:r w:rsidRPr="006D1FB9">
        <w:rPr>
          <w:rFonts w:ascii="Arial Nova" w:hAnsi="Arial Nova"/>
        </w:rPr>
        <w:t xml:space="preserve"> funding cuts have significantly reduced the capacity of these local government areas to achieve the health goals of their populations, as many studies have shown that the poor health of the population is related to the social determinants of health of those populations (Marmot et al., 2020). Thirdly, the health inequalities of England remain significant and reflect the inequalities in society in the country </w:t>
      </w:r>
      <w:r w:rsidR="00E25B53">
        <w:rPr>
          <w:rFonts w:ascii="Arial Nova" w:hAnsi="Arial Nova"/>
        </w:rPr>
        <w:t>(</w:t>
      </w:r>
      <w:r w:rsidRPr="006D1FB9">
        <w:rPr>
          <w:rFonts w:ascii="Arial Nova" w:hAnsi="Arial Nova"/>
        </w:rPr>
        <w:t>Public Health England</w:t>
      </w:r>
      <w:r w:rsidR="00E25B53">
        <w:rPr>
          <w:rFonts w:ascii="Arial Nova" w:hAnsi="Arial Nova"/>
        </w:rPr>
        <w:t>,</w:t>
      </w:r>
      <w:r w:rsidRPr="006D1FB9">
        <w:rPr>
          <w:rFonts w:ascii="Arial Nova" w:hAnsi="Arial Nova"/>
        </w:rPr>
        <w:t xml:space="preserve"> 2020</w:t>
      </w:r>
      <w:r w:rsidR="00AD1BC5">
        <w:rPr>
          <w:rFonts w:ascii="Arial Nova" w:hAnsi="Arial Nova"/>
        </w:rPr>
        <w:t>a</w:t>
      </w:r>
      <w:r w:rsidRPr="006D1FB9">
        <w:rPr>
          <w:rFonts w:ascii="Arial Nova" w:hAnsi="Arial Nova"/>
        </w:rPr>
        <w:t xml:space="preserve">). </w:t>
      </w:r>
      <w:r w:rsidR="00F95BD1" w:rsidRPr="00F95BD1">
        <w:rPr>
          <w:rFonts w:ascii="Arial Nova" w:hAnsi="Arial Nova"/>
        </w:rPr>
        <w:t>The pandemic also exposed and widened existing health inequalities across the United Kingdom, particularly among disadvantaged communities</w:t>
      </w:r>
      <w:r w:rsidR="00F95BD1">
        <w:rPr>
          <w:rFonts w:ascii="Arial Nova" w:hAnsi="Arial Nova"/>
        </w:rPr>
        <w:t xml:space="preserve">  </w:t>
      </w:r>
      <w:r w:rsidR="00AB7FCF">
        <w:rPr>
          <w:rFonts w:ascii="Arial Nova" w:hAnsi="Arial Nova"/>
        </w:rPr>
        <w:t>(</w:t>
      </w:r>
      <w:r w:rsidR="00F95BD1">
        <w:rPr>
          <w:rFonts w:ascii="Arial Nova" w:hAnsi="Arial Nova"/>
        </w:rPr>
        <w:t xml:space="preserve">Bambra </w:t>
      </w:r>
      <w:r w:rsidR="00C931EB">
        <w:rPr>
          <w:rFonts w:ascii="Arial Nova" w:hAnsi="Arial Nova"/>
        </w:rPr>
        <w:t>e</w:t>
      </w:r>
      <w:r w:rsidR="00206588">
        <w:rPr>
          <w:rFonts w:ascii="Arial Nova" w:hAnsi="Arial Nova"/>
        </w:rPr>
        <w:t>t</w:t>
      </w:r>
      <w:r w:rsidR="00C931EB">
        <w:rPr>
          <w:rFonts w:ascii="Arial Nova" w:hAnsi="Arial Nova"/>
        </w:rPr>
        <w:t xml:space="preserve"> al., 2020).</w:t>
      </w:r>
      <w:r w:rsidR="00F95BD1">
        <w:rPr>
          <w:rFonts w:ascii="Arial Nova" w:hAnsi="Arial Nova"/>
        </w:rPr>
        <w:t xml:space="preserve"> </w:t>
      </w:r>
      <w:r w:rsidRPr="006D1FB9">
        <w:rPr>
          <w:rFonts w:ascii="Arial Nova" w:hAnsi="Arial Nova"/>
        </w:rPr>
        <w:t>In addition to these critical issues with SDG 3 policies, the implementation of health policies in England should focus on promoting the health of the population through promoting healthy lifestyles and reducing the health inequalities of the population. Furthermore, there should be better integration of health and local government services, along with increased funding for public health initiatives within the local government areas of England.</w:t>
      </w:r>
    </w:p>
    <w:p w14:paraId="3783267C" w14:textId="77777777" w:rsidR="00085369" w:rsidRPr="006D1FB9" w:rsidRDefault="00085369" w:rsidP="006D1FB9">
      <w:pPr>
        <w:spacing w:after="80" w:line="360" w:lineRule="auto"/>
        <w:rPr>
          <w:rFonts w:ascii="Arial Nova" w:hAnsi="Arial Nova"/>
        </w:rPr>
      </w:pPr>
    </w:p>
    <w:p w14:paraId="62B48E40" w14:textId="77777777" w:rsidR="00696357" w:rsidRDefault="00696357" w:rsidP="006D1FB9">
      <w:pPr>
        <w:pStyle w:val="Heading1"/>
        <w:spacing w:line="360" w:lineRule="auto"/>
        <w:rPr>
          <w:rFonts w:ascii="Arial Nova" w:hAnsi="Arial Nova"/>
          <w:color w:val="000000" w:themeColor="text1"/>
          <w:sz w:val="22"/>
          <w:szCs w:val="22"/>
        </w:rPr>
      </w:pPr>
    </w:p>
    <w:p w14:paraId="60BFCA26" w14:textId="77777777" w:rsidR="00696357" w:rsidRDefault="00696357" w:rsidP="006D1FB9">
      <w:pPr>
        <w:pStyle w:val="Heading1"/>
        <w:spacing w:line="360" w:lineRule="auto"/>
        <w:rPr>
          <w:rFonts w:ascii="Arial Nova" w:hAnsi="Arial Nova"/>
          <w:color w:val="000000" w:themeColor="text1"/>
          <w:sz w:val="22"/>
          <w:szCs w:val="22"/>
        </w:rPr>
      </w:pPr>
    </w:p>
    <w:p w14:paraId="1BD3704E" w14:textId="77777777" w:rsidR="00E97ED5" w:rsidRDefault="00E97ED5" w:rsidP="006D1FB9">
      <w:pPr>
        <w:pStyle w:val="Heading1"/>
        <w:spacing w:line="360" w:lineRule="auto"/>
        <w:rPr>
          <w:rFonts w:ascii="Arial Nova" w:hAnsi="Arial Nova"/>
          <w:color w:val="000000" w:themeColor="text1"/>
          <w:sz w:val="22"/>
          <w:szCs w:val="22"/>
        </w:rPr>
      </w:pPr>
    </w:p>
    <w:p w14:paraId="164CEEA4" w14:textId="77777777" w:rsidR="00E97ED5" w:rsidRDefault="00E97ED5" w:rsidP="006D1FB9">
      <w:pPr>
        <w:pStyle w:val="Heading1"/>
        <w:spacing w:line="360" w:lineRule="auto"/>
        <w:rPr>
          <w:rFonts w:ascii="Arial Nova" w:hAnsi="Arial Nova"/>
          <w:color w:val="000000" w:themeColor="text1"/>
          <w:sz w:val="22"/>
          <w:szCs w:val="22"/>
        </w:rPr>
      </w:pPr>
    </w:p>
    <w:p w14:paraId="16C10011" w14:textId="77777777" w:rsidR="00803981" w:rsidRDefault="00803981" w:rsidP="006D1FB9">
      <w:pPr>
        <w:pStyle w:val="Heading1"/>
        <w:spacing w:line="360" w:lineRule="auto"/>
        <w:rPr>
          <w:rFonts w:ascii="Arial Nova" w:hAnsi="Arial Nova"/>
          <w:color w:val="000000" w:themeColor="text1"/>
          <w:sz w:val="22"/>
          <w:szCs w:val="22"/>
        </w:rPr>
      </w:pPr>
    </w:p>
    <w:p w14:paraId="3D68461A" w14:textId="0543D7F8" w:rsidR="00085369" w:rsidRPr="006D1FB9" w:rsidRDefault="006A24C3" w:rsidP="006D1FB9">
      <w:pPr>
        <w:pStyle w:val="Heading1"/>
        <w:spacing w:line="360" w:lineRule="auto"/>
        <w:rPr>
          <w:rFonts w:ascii="Arial Nova" w:hAnsi="Arial Nova"/>
          <w:color w:val="000000" w:themeColor="text1"/>
          <w:sz w:val="22"/>
          <w:szCs w:val="22"/>
        </w:rPr>
      </w:pPr>
      <w:r w:rsidRPr="006D1FB9">
        <w:rPr>
          <w:rFonts w:ascii="Arial Nova" w:hAnsi="Arial Nova"/>
          <w:color w:val="000000" w:themeColor="text1"/>
          <w:sz w:val="22"/>
          <w:szCs w:val="22"/>
        </w:rPr>
        <w:lastRenderedPageBreak/>
        <w:t>Section 2: SDG 10 – Reduced Inequalities</w:t>
      </w:r>
    </w:p>
    <w:p w14:paraId="6456323A" w14:textId="77777777"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Overview of SDG 10</w:t>
      </w:r>
    </w:p>
    <w:p w14:paraId="539A506F" w14:textId="77777777" w:rsidR="00241235" w:rsidRPr="006D1FB9" w:rsidRDefault="00241235" w:rsidP="006D1FB9">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SDG 10 aims to reduce the inequalities within countries and between countries (United Nations, 2015). The goal includes the promotion of income for the bottom 40% of the population of each country, the promotion of the social, economic, and political inclusion of all individuals regardless of their status, and the achievement of equal opportunities for all individuals to develop their capabilities. These inequalities are considered the major drivers of all the other goals of the UN Agenda 2030. According to the latest UN report on the achievement of the SDGs, inequality in the world has worsened during the COVID-19 pandemic and the previous decade's gains in reducing inequalities have been reversed in many parts of the world (United Nations, 2023).</w:t>
      </w:r>
    </w:p>
    <w:p w14:paraId="620C8B90" w14:textId="77777777" w:rsidR="00241235" w:rsidRPr="006D1FB9" w:rsidRDefault="00241235" w:rsidP="006D1FB9">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The relationship between inequality and health is well-established. Studies published by Wilkinson and Pickett (2009) found a direct relationship between the inequalities within a country and the health and social outcomes of the populations of those countries. More unequal societies tend to experience poorer health outcomes, regardless of the level of income of the population. Furthermore, the research indicated that inequality in the world is a factor in the health of individuals regardless of their socioeconomic status.</w:t>
      </w:r>
    </w:p>
    <w:p w14:paraId="3814D369" w14:textId="77777777"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National and Local Policies in England and Wales</w:t>
      </w:r>
    </w:p>
    <w:p w14:paraId="102E12C0" w14:textId="214599DA" w:rsidR="00E97ED5" w:rsidRDefault="00E50F03" w:rsidP="00DB791D">
      <w:pPr>
        <w:pStyle w:val="Heading2"/>
        <w:spacing w:line="360" w:lineRule="auto"/>
        <w:rPr>
          <w:rFonts w:ascii="Arial Nova" w:hAnsi="Arial Nova"/>
          <w:b w:val="0"/>
          <w:bCs w:val="0"/>
          <w:color w:val="auto"/>
          <w:sz w:val="22"/>
          <w:szCs w:val="22"/>
        </w:rPr>
      </w:pPr>
      <w:r w:rsidRPr="006D1FB9">
        <w:rPr>
          <w:rFonts w:ascii="Arial Nova" w:hAnsi="Arial Nova"/>
          <w:b w:val="0"/>
          <w:bCs w:val="0"/>
          <w:color w:val="auto"/>
          <w:sz w:val="22"/>
          <w:szCs w:val="22"/>
        </w:rPr>
        <w:t xml:space="preserve">In England, there are various policies implemented to reduce the inequalities experienced by individuals within the country. Such policies include the Equality Act of 2010 (UK Parliament, 2010), which aims to prohibit discrimination against individuals with certain protected characteristics within the country. The UK Shared Prosperity Fund (UKSPF) was established after the departure of the UK from the European Union as a replacement for the European Structural and Investment Funds that were allocated to the various regions of the United Kingdom according to need. </w:t>
      </w:r>
      <w:r w:rsidR="00150A2F" w:rsidRPr="00150A2F">
        <w:rPr>
          <w:rFonts w:ascii="Arial Nova" w:hAnsi="Arial Nova"/>
          <w:b w:val="0"/>
          <w:bCs w:val="0"/>
          <w:color w:val="auto"/>
          <w:sz w:val="22"/>
          <w:szCs w:val="22"/>
        </w:rPr>
        <w:t>The Levelling Up White Paper identified regional inequalities in health, education and economic opportunity as major barriers to national development (DHSC and DLUHC, 2022)</w:t>
      </w:r>
      <w:r w:rsidRPr="006D1FB9">
        <w:rPr>
          <w:rFonts w:ascii="Arial Nova" w:hAnsi="Arial Nova"/>
          <w:b w:val="0"/>
          <w:bCs w:val="0"/>
          <w:color w:val="auto"/>
          <w:sz w:val="22"/>
          <w:szCs w:val="22"/>
        </w:rPr>
        <w:t xml:space="preserve">. The agenda includes the establishment of a range of initiatives that aim to reduce the inequalities between the various regions of England. However, critics of this agenda argue that the government has provided insufficient funds to achieve these goals, and that the agenda does not acknowledge the reasons behind the inequalities in the country (Bambra et al., 2021). </w:t>
      </w:r>
      <w:r w:rsidR="00431DFD" w:rsidRPr="00431DFD">
        <w:rPr>
          <w:rFonts w:ascii="Arial Nova" w:hAnsi="Arial Nova"/>
          <w:b w:val="0"/>
          <w:bCs w:val="0"/>
          <w:color w:val="auto"/>
          <w:sz w:val="22"/>
          <w:szCs w:val="22"/>
        </w:rPr>
        <w:t xml:space="preserve">Progress towards the objectives of the Act is monitored </w:t>
      </w:r>
      <w:r w:rsidR="00431DFD" w:rsidRPr="00431DFD">
        <w:rPr>
          <w:rFonts w:ascii="Arial Nova" w:hAnsi="Arial Nova"/>
          <w:b w:val="0"/>
          <w:bCs w:val="0"/>
          <w:color w:val="auto"/>
          <w:sz w:val="22"/>
          <w:szCs w:val="22"/>
        </w:rPr>
        <w:lastRenderedPageBreak/>
        <w:t>through national wellbeing assessments and reporting mechanisms (Future Generations Commissioner for Wales, 2020).</w:t>
      </w:r>
    </w:p>
    <w:p w14:paraId="4716D3CB" w14:textId="77777777" w:rsidR="00E97ED5" w:rsidRDefault="00E97ED5" w:rsidP="00E97ED5">
      <w:pPr>
        <w:pStyle w:val="Heading2"/>
        <w:spacing w:line="360" w:lineRule="auto"/>
        <w:rPr>
          <w:rFonts w:ascii="Arial Nova" w:hAnsi="Arial Nova"/>
          <w:b w:val="0"/>
          <w:bCs w:val="0"/>
          <w:color w:val="auto"/>
          <w:sz w:val="22"/>
          <w:szCs w:val="22"/>
        </w:rPr>
      </w:pPr>
    </w:p>
    <w:p w14:paraId="6B4F4E91" w14:textId="529206AC" w:rsidR="00085369" w:rsidRPr="00E97ED5" w:rsidRDefault="006A24C3" w:rsidP="00E97ED5">
      <w:pPr>
        <w:pStyle w:val="Heading2"/>
        <w:spacing w:line="360" w:lineRule="auto"/>
        <w:rPr>
          <w:rFonts w:ascii="Arial Nova" w:hAnsi="Arial Nova"/>
          <w:b w:val="0"/>
          <w:bCs w:val="0"/>
          <w:color w:val="auto"/>
          <w:sz w:val="22"/>
          <w:szCs w:val="22"/>
        </w:rPr>
      </w:pPr>
      <w:r w:rsidRPr="006D1FB9">
        <w:rPr>
          <w:rFonts w:ascii="Arial Nova" w:hAnsi="Arial Nova"/>
          <w:color w:val="000000" w:themeColor="text1"/>
          <w:sz w:val="22"/>
          <w:szCs w:val="22"/>
          <w:u w:val="single"/>
        </w:rPr>
        <w:t>Theoretical Framework</w:t>
      </w:r>
    </w:p>
    <w:p w14:paraId="417D5607" w14:textId="0A0FABF7" w:rsidR="00270EEC" w:rsidRPr="006D1FB9" w:rsidRDefault="00270EEC" w:rsidP="006D1FB9">
      <w:pPr>
        <w:pStyle w:val="Heading2"/>
        <w:spacing w:line="360" w:lineRule="auto"/>
        <w:rPr>
          <w:rFonts w:ascii="Arial Nova" w:hAnsi="Arial Nova"/>
          <w:sz w:val="22"/>
          <w:szCs w:val="22"/>
        </w:rPr>
      </w:pPr>
      <w:r w:rsidRPr="006D1FB9">
        <w:rPr>
          <w:rFonts w:ascii="Arial Nova" w:hAnsi="Arial Nova"/>
          <w:b w:val="0"/>
          <w:bCs w:val="0"/>
          <w:color w:val="auto"/>
          <w:sz w:val="22"/>
          <w:szCs w:val="22"/>
        </w:rPr>
        <w:t>The inequalities in the country can be understood using Social Cognitive Theory (Bandura, 1986) and the concepts introduced by</w:t>
      </w:r>
      <w:r w:rsidR="00FE0722">
        <w:rPr>
          <w:rFonts w:ascii="Arial Nova" w:hAnsi="Arial Nova"/>
          <w:b w:val="0"/>
          <w:bCs w:val="0"/>
          <w:color w:val="auto"/>
          <w:sz w:val="22"/>
          <w:szCs w:val="22"/>
        </w:rPr>
        <w:t xml:space="preserve"> </w:t>
      </w:r>
      <w:r w:rsidRPr="006D1FB9">
        <w:rPr>
          <w:rFonts w:ascii="Arial Nova" w:hAnsi="Arial Nova"/>
          <w:b w:val="0"/>
          <w:bCs w:val="0"/>
          <w:color w:val="auto"/>
          <w:sz w:val="22"/>
          <w:szCs w:val="22"/>
        </w:rPr>
        <w:t xml:space="preserve">Marmot et al. </w:t>
      </w:r>
      <w:r w:rsidR="00EE4BFE">
        <w:rPr>
          <w:rFonts w:ascii="Arial Nova" w:hAnsi="Arial Nova"/>
          <w:b w:val="0"/>
          <w:bCs w:val="0"/>
          <w:color w:val="auto"/>
          <w:sz w:val="22"/>
          <w:szCs w:val="22"/>
        </w:rPr>
        <w:t>(</w:t>
      </w:r>
      <w:r w:rsidRPr="006D1FB9">
        <w:rPr>
          <w:rFonts w:ascii="Arial Nova" w:hAnsi="Arial Nova"/>
          <w:b w:val="0"/>
          <w:bCs w:val="0"/>
          <w:color w:val="auto"/>
          <w:sz w:val="22"/>
          <w:szCs w:val="22"/>
        </w:rPr>
        <w:t xml:space="preserve">2020). According to Social Cognitive Theory, the inequality in the country has a significant impact upon the self-efficacy of the population within the country. Those with lower socioeconomic statuses have less self-efficacy in their ability to improve their socioeconomic status and health status due to the structural inequalities within their communities (Marmot et al., 2020). </w:t>
      </w:r>
      <w:r w:rsidR="00FE0722">
        <w:rPr>
          <w:rFonts w:ascii="Arial Nova" w:hAnsi="Arial Nova"/>
          <w:b w:val="0"/>
          <w:bCs w:val="0"/>
          <w:color w:val="auto"/>
          <w:sz w:val="22"/>
          <w:szCs w:val="22"/>
        </w:rPr>
        <w:t>T</w:t>
      </w:r>
      <w:r w:rsidRPr="006D1FB9">
        <w:rPr>
          <w:rFonts w:ascii="Arial Nova" w:hAnsi="Arial Nova"/>
          <w:b w:val="0"/>
          <w:bCs w:val="0"/>
          <w:color w:val="auto"/>
          <w:sz w:val="22"/>
          <w:szCs w:val="22"/>
        </w:rPr>
        <w:t>he concept of the social gradient of health that was developed by Marmot et al. in their study of the health of England indicates a relationship between socioeconomic status and the health of the population (Marmot et al., 2020). The study indicated that the most deprived individuals in society experienced poorer health outcomes with the austerity measures of 2010, and that their life expectancy also fell. These health outcomes are indicators of the inequalities in the United Kingdom and their impact upon the population of the country</w:t>
      </w:r>
      <w:r w:rsidRPr="006D1FB9">
        <w:rPr>
          <w:rFonts w:ascii="Arial Nova" w:hAnsi="Arial Nova"/>
          <w:sz w:val="22"/>
          <w:szCs w:val="22"/>
        </w:rPr>
        <w:t>.</w:t>
      </w:r>
    </w:p>
    <w:p w14:paraId="1BC71625" w14:textId="77777777" w:rsidR="00085369" w:rsidRPr="006D1FB9" w:rsidRDefault="006A24C3" w:rsidP="006D1FB9">
      <w:pPr>
        <w:pStyle w:val="Heading2"/>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Critical Evaluation and Recommendations</w:t>
      </w:r>
    </w:p>
    <w:p w14:paraId="27EE8859" w14:textId="77777777" w:rsidR="003A0558" w:rsidRPr="006D1FB9" w:rsidRDefault="003A0558" w:rsidP="006D1FB9">
      <w:pPr>
        <w:spacing w:after="80" w:line="360" w:lineRule="auto"/>
        <w:rPr>
          <w:rFonts w:ascii="Arial Nova" w:hAnsi="Arial Nova"/>
        </w:rPr>
      </w:pPr>
      <w:r w:rsidRPr="006D1FB9">
        <w:rPr>
          <w:rFonts w:ascii="Arial Nova" w:hAnsi="Arial Nova"/>
        </w:rPr>
        <w:t>While the health policy of England aims to promote good health and reduce inequalities, there are limitations to the implemented policies. Firstly, the health and social care services in England have not been integrated into a cohesive system, which results in the inefficiencies within the country's health services (The King's Fund, 2023). Furthermore, the local government areas of England have lost the funding that was allocated to health initiatives after 2013 (Local Government Association, 2022). Finally, like the health policies of England, the health of the individuals in the country is still significantly influenced by their socioeconomic status and that of their communities (Public Health England, 2020a). The introduction of the Levelling Up agenda in the country aims to promote health equity, but it is unlikely to result in any significant improvements to the health of the population due to its lack of funding and its focus on individual health rather than the structural factors that affect the health of individuals and communities. Wales has begun to implement policies to address health outcomes through the Well-being of Future Generations Act of 2015 (Welsh Government, 2015), but the implementation of these policies has been hindered by a lack of funding for the initiatives that they established.</w:t>
      </w:r>
    </w:p>
    <w:p w14:paraId="04F17B07" w14:textId="77777777" w:rsidR="003A0558" w:rsidRPr="006D1FB9" w:rsidRDefault="003A0558" w:rsidP="006D1FB9">
      <w:pPr>
        <w:spacing w:after="80" w:line="360" w:lineRule="auto"/>
        <w:rPr>
          <w:rFonts w:ascii="Arial Nova" w:hAnsi="Arial Nova"/>
        </w:rPr>
      </w:pPr>
      <w:r w:rsidRPr="006D1FB9">
        <w:rPr>
          <w:rFonts w:ascii="Arial Nova" w:hAnsi="Arial Nova"/>
        </w:rPr>
        <w:lastRenderedPageBreak/>
        <w:t>In order to achieve the aims of SDG 10 in England, the health policy of the country should consider health inequalities in relation to the socioeconomic status, ethnicity, gender, and disability of the population of the country. Furthermore, there should be a focus on implementing health policies that integrate the health and local government services of England, as well as funding for programs that promote the health and wellbeing of the population in England.</w:t>
      </w:r>
    </w:p>
    <w:p w14:paraId="0CF15140" w14:textId="77777777" w:rsidR="00085369" w:rsidRPr="006D1FB9" w:rsidRDefault="00085369" w:rsidP="006D1FB9">
      <w:pPr>
        <w:spacing w:after="80" w:line="360" w:lineRule="auto"/>
        <w:rPr>
          <w:rFonts w:ascii="Arial Nova" w:hAnsi="Arial Nova"/>
        </w:rPr>
      </w:pPr>
    </w:p>
    <w:p w14:paraId="20C6BDB9" w14:textId="77777777" w:rsidR="00085369" w:rsidRPr="006D1FB9" w:rsidRDefault="006A24C3" w:rsidP="006D1FB9">
      <w:pPr>
        <w:pStyle w:val="Heading1"/>
        <w:spacing w:line="360" w:lineRule="auto"/>
        <w:rPr>
          <w:rFonts w:ascii="Arial Nova" w:hAnsi="Arial Nova"/>
          <w:color w:val="000000" w:themeColor="text1"/>
          <w:sz w:val="22"/>
          <w:szCs w:val="22"/>
          <w:u w:val="single"/>
        </w:rPr>
      </w:pPr>
      <w:r w:rsidRPr="006D1FB9">
        <w:rPr>
          <w:rFonts w:ascii="Arial Nova" w:hAnsi="Arial Nova"/>
          <w:color w:val="000000" w:themeColor="text1"/>
          <w:sz w:val="22"/>
          <w:szCs w:val="22"/>
          <w:u w:val="single"/>
        </w:rPr>
        <w:t>Conclusion</w:t>
      </w:r>
    </w:p>
    <w:p w14:paraId="0A874D22" w14:textId="77777777" w:rsidR="00FF1974" w:rsidRPr="006D1FB9" w:rsidRDefault="00FF1974" w:rsidP="006D1FB9">
      <w:pPr>
        <w:spacing w:after="80" w:line="360" w:lineRule="auto"/>
        <w:rPr>
          <w:rFonts w:ascii="Arial Nova" w:hAnsi="Arial Nova"/>
        </w:rPr>
      </w:pPr>
      <w:r w:rsidRPr="006D1FB9">
        <w:rPr>
          <w:rFonts w:ascii="Arial Nova" w:hAnsi="Arial Nova"/>
        </w:rPr>
        <w:t>The goals of SDG 3 (Good Health and Wellbeing) and SDG 10 (Reduced Inequalities) are both significant goals of the United Nations and the 2030 Agenda for Sustainable Development (United Nations, 2015). However, the two goals are intrinsically linked due to the relationship between the health of the population and their socioeconomic status (Marmot et al., 2020). The health policy of England reflects a commitment to achieving SDG 3 through its health services and programs. However, there remain significant limitations within the health policy of England to achieving these goals, including the health inequalities that exist within the population of the country and the lack of funding for the health services and programs that are implemented by the local government areas of England. Furthermore, although there are policies that aim to achieve SDG 10 in England, these policies have also experienced significant limitations in the past and in the present. In order to achieve these Sustainable Development Goals, it is imperative that England enacts health policies that focus on the health and wellbeing of its population through reducing the inequalities that exist within the country. This focus on the health and wellbeing of the population will allow for the reduction of health inequalities, thus allowing for the achievement of SDG 3 and 10 for England and its people (Marmot et al., 2020).</w:t>
      </w:r>
    </w:p>
    <w:p w14:paraId="2CFF7112" w14:textId="77777777" w:rsidR="00085369" w:rsidRDefault="00085369">
      <w:pPr>
        <w:spacing w:after="80"/>
      </w:pPr>
    </w:p>
    <w:p w14:paraId="289FF6F8" w14:textId="77777777" w:rsidR="00BD63A5" w:rsidRDefault="00BD63A5">
      <w:pPr>
        <w:pStyle w:val="Heading1"/>
        <w:rPr>
          <w:sz w:val="24"/>
          <w:szCs w:val="24"/>
        </w:rPr>
      </w:pPr>
    </w:p>
    <w:p w14:paraId="6E26E079" w14:textId="77777777" w:rsidR="00BD63A5" w:rsidRDefault="00BD63A5">
      <w:pPr>
        <w:pStyle w:val="Heading1"/>
        <w:rPr>
          <w:sz w:val="24"/>
          <w:szCs w:val="24"/>
        </w:rPr>
      </w:pPr>
    </w:p>
    <w:p w14:paraId="60C4F9B6" w14:textId="77777777" w:rsidR="00BD63A5" w:rsidRDefault="00BD63A5">
      <w:pPr>
        <w:pStyle w:val="Heading1"/>
        <w:rPr>
          <w:sz w:val="24"/>
          <w:szCs w:val="24"/>
        </w:rPr>
      </w:pPr>
    </w:p>
    <w:p w14:paraId="05530B7D" w14:textId="77777777" w:rsidR="00A56AD8" w:rsidRDefault="00A56AD8" w:rsidP="007E2B87">
      <w:pPr>
        <w:pStyle w:val="Heading1"/>
        <w:rPr>
          <w:sz w:val="24"/>
          <w:szCs w:val="24"/>
        </w:rPr>
      </w:pPr>
    </w:p>
    <w:p w14:paraId="5400E5C5" w14:textId="77777777" w:rsidR="004E0AC0" w:rsidRDefault="004E0AC0" w:rsidP="00A56AD8">
      <w:pPr>
        <w:pStyle w:val="Heading1"/>
        <w:jc w:val="center"/>
        <w:rPr>
          <w:color w:val="auto"/>
          <w:sz w:val="44"/>
          <w:szCs w:val="44"/>
          <w:u w:val="single"/>
        </w:rPr>
      </w:pPr>
    </w:p>
    <w:p w14:paraId="5EA18CB7" w14:textId="13C6FDBD" w:rsidR="00085369" w:rsidRDefault="006A24C3" w:rsidP="00A56AD8">
      <w:pPr>
        <w:pStyle w:val="Heading1"/>
        <w:jc w:val="center"/>
        <w:rPr>
          <w:color w:val="auto"/>
          <w:sz w:val="44"/>
          <w:szCs w:val="44"/>
          <w:u w:val="single"/>
        </w:rPr>
      </w:pPr>
      <w:r w:rsidRPr="002773D8">
        <w:rPr>
          <w:color w:val="auto"/>
          <w:sz w:val="44"/>
          <w:szCs w:val="44"/>
          <w:u w:val="single"/>
        </w:rPr>
        <w:lastRenderedPageBreak/>
        <w:t>Reference List</w:t>
      </w:r>
    </w:p>
    <w:p w14:paraId="091CEEFD" w14:textId="77777777" w:rsidR="002773D8" w:rsidRPr="002773D8" w:rsidRDefault="002773D8" w:rsidP="002773D8">
      <w:pPr>
        <w:pStyle w:val="Heading1"/>
        <w:jc w:val="center"/>
        <w:rPr>
          <w:color w:val="auto"/>
          <w:sz w:val="44"/>
          <w:szCs w:val="44"/>
          <w:u w:val="single"/>
        </w:rPr>
      </w:pPr>
    </w:p>
    <w:p w14:paraId="775B0989" w14:textId="2C12E358" w:rsidR="00302238" w:rsidRPr="00E76445" w:rsidRDefault="00302238" w:rsidP="00E76445">
      <w:pPr>
        <w:pStyle w:val="NoSpacing"/>
        <w:spacing w:line="360" w:lineRule="auto"/>
        <w:rPr>
          <w:rFonts w:ascii="Arial Nova" w:hAnsi="Arial Nova"/>
        </w:rPr>
      </w:pPr>
      <w:r w:rsidRPr="00E76445">
        <w:rPr>
          <w:rFonts w:ascii="Arial Nova" w:hAnsi="Arial Nova"/>
        </w:rPr>
        <w:t xml:space="preserve">Bambra, C., Riordan, R., Ford, J. and Matthews, F. (2020) ‘The COVID-19 pandemic and health inequalities’, Journal of Epidemiology and Community Health, 74(11), pp. 964–968. Available at: </w:t>
      </w:r>
      <w:hyperlink r:id="rId5" w:history="1">
        <w:r w:rsidRPr="00E76445">
          <w:rPr>
            <w:rStyle w:val="Hyperlink"/>
            <w:rFonts w:ascii="Arial Nova" w:hAnsi="Arial Nova"/>
          </w:rPr>
          <w:t>https://jech.bmj.com/content/74/11/964</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263B92AD" w14:textId="77777777" w:rsidR="00126C5C" w:rsidRPr="00E76445" w:rsidRDefault="00126C5C" w:rsidP="00E76445">
      <w:pPr>
        <w:pStyle w:val="NoSpacing"/>
        <w:spacing w:line="360" w:lineRule="auto"/>
        <w:rPr>
          <w:rFonts w:ascii="Arial Nova" w:hAnsi="Arial Nova"/>
        </w:rPr>
      </w:pPr>
    </w:p>
    <w:p w14:paraId="7A89CCBE" w14:textId="77777777" w:rsidR="00302238" w:rsidRPr="00E76445" w:rsidRDefault="00302238" w:rsidP="00E76445">
      <w:pPr>
        <w:pStyle w:val="NoSpacing"/>
        <w:spacing w:line="360" w:lineRule="auto"/>
        <w:rPr>
          <w:rFonts w:ascii="Arial Nova" w:hAnsi="Arial Nova"/>
        </w:rPr>
      </w:pPr>
      <w:r w:rsidRPr="00E76445">
        <w:rPr>
          <w:rFonts w:ascii="Arial Nova" w:hAnsi="Arial Nova"/>
        </w:rPr>
        <w:t xml:space="preserve">Bambra, C., Lynch, J. and Smith, K.E. (2021) </w:t>
      </w:r>
      <w:r w:rsidRPr="00E76445">
        <w:rPr>
          <w:rFonts w:ascii="Arial Nova" w:hAnsi="Arial Nova"/>
          <w:i/>
          <w:iCs/>
        </w:rPr>
        <w:t>The Unequal Pandemic: COVID-19 and Health Inequalities</w:t>
      </w:r>
      <w:r w:rsidRPr="00E76445">
        <w:rPr>
          <w:rFonts w:ascii="Arial Nova" w:hAnsi="Arial Nova"/>
        </w:rPr>
        <w:t>. Bristol: Policy Press.</w:t>
      </w:r>
    </w:p>
    <w:p w14:paraId="242B8466" w14:textId="77777777" w:rsidR="00126C5C" w:rsidRPr="00E76445" w:rsidRDefault="00126C5C" w:rsidP="00E76445">
      <w:pPr>
        <w:pStyle w:val="NoSpacing"/>
        <w:spacing w:line="360" w:lineRule="auto"/>
        <w:rPr>
          <w:rFonts w:ascii="Arial Nova" w:hAnsi="Arial Nova"/>
        </w:rPr>
      </w:pPr>
    </w:p>
    <w:p w14:paraId="13809E85" w14:textId="77777777" w:rsidR="00302238" w:rsidRPr="00E76445" w:rsidRDefault="00302238" w:rsidP="00E76445">
      <w:pPr>
        <w:pStyle w:val="NoSpacing"/>
        <w:spacing w:line="360" w:lineRule="auto"/>
        <w:rPr>
          <w:rFonts w:ascii="Arial Nova" w:hAnsi="Arial Nova"/>
        </w:rPr>
      </w:pPr>
      <w:r w:rsidRPr="00E76445">
        <w:rPr>
          <w:rFonts w:ascii="Arial Nova" w:hAnsi="Arial Nova"/>
        </w:rPr>
        <w:t xml:space="preserve">Bandura, A. (1986) </w:t>
      </w:r>
      <w:r w:rsidRPr="00E76445">
        <w:rPr>
          <w:rFonts w:ascii="Arial Nova" w:hAnsi="Arial Nova"/>
          <w:i/>
          <w:iCs/>
        </w:rPr>
        <w:t>Social Foundations of Thought and Action: A Social Cognitive Theory</w:t>
      </w:r>
      <w:r w:rsidRPr="00E76445">
        <w:rPr>
          <w:rFonts w:ascii="Arial Nova" w:hAnsi="Arial Nova"/>
        </w:rPr>
        <w:t>. Englewood Cliffs, NJ: Prentice-Hall.</w:t>
      </w:r>
    </w:p>
    <w:p w14:paraId="2368887F" w14:textId="77777777" w:rsidR="00126C5C" w:rsidRPr="00E76445" w:rsidRDefault="00126C5C" w:rsidP="00E76445">
      <w:pPr>
        <w:pStyle w:val="NoSpacing"/>
        <w:spacing w:line="360" w:lineRule="auto"/>
        <w:rPr>
          <w:rFonts w:ascii="Arial Nova" w:hAnsi="Arial Nova"/>
        </w:rPr>
      </w:pPr>
    </w:p>
    <w:p w14:paraId="1EC81A1D" w14:textId="4B84F440" w:rsidR="00126C5C" w:rsidRDefault="00271A4B" w:rsidP="00271A4B">
      <w:pPr>
        <w:pStyle w:val="NoSpacing"/>
        <w:spacing w:line="360" w:lineRule="auto"/>
        <w:rPr>
          <w:rFonts w:ascii="Arial Nova" w:hAnsi="Arial Nova"/>
        </w:rPr>
      </w:pPr>
      <w:r w:rsidRPr="00271A4B">
        <w:rPr>
          <w:rFonts w:ascii="Arial Nova" w:hAnsi="Arial Nova"/>
        </w:rPr>
        <w:t xml:space="preserve">Department of Health and Social Care (2022) </w:t>
      </w:r>
      <w:r w:rsidRPr="00271A4B">
        <w:rPr>
          <w:rFonts w:ascii="Arial Nova" w:hAnsi="Arial Nova"/>
          <w:i/>
          <w:iCs/>
        </w:rPr>
        <w:t>Health and Care Act 2022</w:t>
      </w:r>
      <w:r w:rsidRPr="00271A4B">
        <w:rPr>
          <w:rFonts w:ascii="Arial Nova" w:hAnsi="Arial Nova"/>
        </w:rPr>
        <w:t xml:space="preserve">. London: The Stationery Office. Available at: </w:t>
      </w:r>
      <w:hyperlink r:id="rId6" w:tgtFrame="_new" w:history="1">
        <w:r w:rsidRPr="00271A4B">
          <w:rPr>
            <w:rStyle w:val="Hyperlink"/>
            <w:rFonts w:ascii="Arial Nova" w:hAnsi="Arial Nova"/>
          </w:rPr>
          <w:t>https://www.gov.uk/government/collections/health-and-care-act-2022</w:t>
        </w:r>
      </w:hyperlink>
      <w:r w:rsidRPr="00271A4B">
        <w:rPr>
          <w:rFonts w:ascii="Arial Nova" w:hAnsi="Arial Nova"/>
        </w:rPr>
        <w:t xml:space="preserve"> (Accessed: 14 June 2026).</w:t>
      </w:r>
    </w:p>
    <w:p w14:paraId="4EE3F045" w14:textId="77777777" w:rsidR="00271A4B" w:rsidRPr="00E76445" w:rsidRDefault="00271A4B" w:rsidP="00271A4B">
      <w:pPr>
        <w:pStyle w:val="NoSpacing"/>
        <w:spacing w:line="360" w:lineRule="auto"/>
        <w:rPr>
          <w:rFonts w:ascii="Arial Nova" w:hAnsi="Arial Nova"/>
        </w:rPr>
      </w:pPr>
    </w:p>
    <w:p w14:paraId="7659B3B9" w14:textId="272F8B19" w:rsidR="00302238" w:rsidRPr="00E76445" w:rsidRDefault="00302238" w:rsidP="00E76445">
      <w:pPr>
        <w:pStyle w:val="NoSpacing"/>
        <w:spacing w:line="360" w:lineRule="auto"/>
        <w:rPr>
          <w:rFonts w:ascii="Arial Nova" w:hAnsi="Arial Nova"/>
        </w:rPr>
      </w:pPr>
      <w:r w:rsidRPr="00E76445">
        <w:rPr>
          <w:rFonts w:ascii="Arial Nova" w:hAnsi="Arial Nova"/>
        </w:rPr>
        <w:t xml:space="preserve">Department of Health and Social Care and Department for Levelling Up, Housing and Communities (2022) </w:t>
      </w:r>
      <w:r w:rsidRPr="00E76445">
        <w:rPr>
          <w:rFonts w:ascii="Arial Nova" w:hAnsi="Arial Nova"/>
          <w:i/>
          <w:iCs/>
        </w:rPr>
        <w:t>Levelling Up the United Kingdom: White Paper</w:t>
      </w:r>
      <w:r w:rsidRPr="00E76445">
        <w:rPr>
          <w:rFonts w:ascii="Arial Nova" w:hAnsi="Arial Nova"/>
        </w:rPr>
        <w:t xml:space="preserve">. Available at: </w:t>
      </w:r>
      <w:hyperlink r:id="rId7" w:history="1">
        <w:r w:rsidRPr="00E76445">
          <w:rPr>
            <w:rStyle w:val="Hyperlink"/>
            <w:rFonts w:ascii="Arial Nova" w:hAnsi="Arial Nova"/>
          </w:rPr>
          <w:t>https://www.gov.uk/government/publications/levelling-up-the-united-kingdom</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449FC766" w14:textId="77777777" w:rsidR="00126C5C" w:rsidRPr="00E76445" w:rsidRDefault="00126C5C" w:rsidP="00E76445">
      <w:pPr>
        <w:pStyle w:val="NoSpacing"/>
        <w:spacing w:line="360" w:lineRule="auto"/>
        <w:rPr>
          <w:rFonts w:ascii="Arial Nova" w:hAnsi="Arial Nova"/>
        </w:rPr>
      </w:pPr>
    </w:p>
    <w:p w14:paraId="6A50B8C4" w14:textId="22B55006" w:rsidR="00302238" w:rsidRPr="00E76445" w:rsidRDefault="00302238" w:rsidP="00E76445">
      <w:pPr>
        <w:pStyle w:val="NoSpacing"/>
        <w:spacing w:line="360" w:lineRule="auto"/>
        <w:rPr>
          <w:rFonts w:ascii="Arial Nova" w:hAnsi="Arial Nova"/>
        </w:rPr>
      </w:pPr>
      <w:r w:rsidRPr="00E76445">
        <w:rPr>
          <w:rFonts w:ascii="Arial Nova" w:hAnsi="Arial Nova"/>
        </w:rPr>
        <w:t xml:space="preserve">Future Generations Commissioner for Wales (2020) </w:t>
      </w:r>
      <w:r w:rsidRPr="00E76445">
        <w:rPr>
          <w:rFonts w:ascii="Arial Nova" w:hAnsi="Arial Nova"/>
          <w:i/>
          <w:iCs/>
        </w:rPr>
        <w:t>The Future Generations Report 2020</w:t>
      </w:r>
      <w:r w:rsidRPr="00E76445">
        <w:rPr>
          <w:rFonts w:ascii="Arial Nova" w:hAnsi="Arial Nova"/>
        </w:rPr>
        <w:t xml:space="preserve">. Cardiff: Future Generations Commissioner for Wales. Available at: </w:t>
      </w:r>
      <w:hyperlink r:id="rId8" w:history="1">
        <w:r w:rsidRPr="00E76445">
          <w:rPr>
            <w:rStyle w:val="Hyperlink"/>
            <w:rFonts w:ascii="Arial Nova" w:hAnsi="Arial Nova"/>
          </w:rPr>
          <w:t>https://www.futuregenerations.wales/publications/future-generations-report-2020/</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72F12EEE" w14:textId="77777777" w:rsidR="00126C5C" w:rsidRPr="00E76445" w:rsidRDefault="00126C5C" w:rsidP="00E76445">
      <w:pPr>
        <w:pStyle w:val="NoSpacing"/>
        <w:spacing w:line="360" w:lineRule="auto"/>
        <w:rPr>
          <w:rFonts w:ascii="Arial Nova" w:hAnsi="Arial Nova"/>
        </w:rPr>
      </w:pPr>
    </w:p>
    <w:p w14:paraId="510D9D6C" w14:textId="6A7252FC" w:rsidR="00126C5C" w:rsidRPr="00E76445" w:rsidRDefault="007D3727" w:rsidP="007D3727">
      <w:pPr>
        <w:pStyle w:val="NoSpacing"/>
        <w:spacing w:line="360" w:lineRule="auto"/>
        <w:rPr>
          <w:rFonts w:ascii="Arial Nova" w:hAnsi="Arial Nova"/>
        </w:rPr>
      </w:pPr>
      <w:r w:rsidRPr="007D3727">
        <w:rPr>
          <w:rFonts w:ascii="Arial Nova" w:hAnsi="Arial Nova"/>
        </w:rPr>
        <w:t xml:space="preserve">The King's Fund (2023) </w:t>
      </w:r>
      <w:r w:rsidRPr="007D3727">
        <w:rPr>
          <w:rFonts w:ascii="Arial Nova" w:hAnsi="Arial Nova"/>
          <w:i/>
          <w:iCs/>
        </w:rPr>
        <w:t>NHS: Key Facts and Figures</w:t>
      </w:r>
      <w:r w:rsidRPr="007D3727">
        <w:rPr>
          <w:rFonts w:ascii="Arial Nova" w:hAnsi="Arial Nova"/>
        </w:rPr>
        <w:t xml:space="preserve">. London: The King's Fund. Available at: </w:t>
      </w:r>
      <w:hyperlink r:id="rId9" w:tgtFrame="_new" w:history="1">
        <w:r w:rsidRPr="007D3727">
          <w:rPr>
            <w:rStyle w:val="Hyperlink"/>
            <w:rFonts w:ascii="Arial Nova" w:hAnsi="Arial Nova"/>
          </w:rPr>
          <w:t>https://www.kingsfund.org.uk/insight-and-analysis/data-and-charts/key-facts-figures-nhs</w:t>
        </w:r>
      </w:hyperlink>
      <w:r w:rsidRPr="007D3727">
        <w:rPr>
          <w:rFonts w:ascii="Arial Nova" w:hAnsi="Arial Nova"/>
        </w:rPr>
        <w:t xml:space="preserve"> (Accessed: 14 June 2026).</w:t>
      </w:r>
    </w:p>
    <w:p w14:paraId="77489EBB" w14:textId="77777777" w:rsidR="00F30C96" w:rsidRDefault="00F30C96" w:rsidP="00E76445">
      <w:pPr>
        <w:pStyle w:val="NoSpacing"/>
        <w:spacing w:line="360" w:lineRule="auto"/>
        <w:rPr>
          <w:rFonts w:ascii="Arial Nova" w:hAnsi="Arial Nova"/>
        </w:rPr>
      </w:pPr>
    </w:p>
    <w:p w14:paraId="32C737A8" w14:textId="77777777" w:rsidR="00F30C96" w:rsidRDefault="00F30C96" w:rsidP="00E76445">
      <w:pPr>
        <w:pStyle w:val="NoSpacing"/>
        <w:spacing w:line="360" w:lineRule="auto"/>
        <w:rPr>
          <w:rFonts w:ascii="Arial Nova" w:hAnsi="Arial Nova"/>
        </w:rPr>
      </w:pPr>
    </w:p>
    <w:p w14:paraId="141FDA55" w14:textId="77777777" w:rsidR="00B74544" w:rsidRDefault="00B74544" w:rsidP="00E76445">
      <w:pPr>
        <w:pStyle w:val="NoSpacing"/>
        <w:spacing w:line="360" w:lineRule="auto"/>
        <w:rPr>
          <w:rFonts w:ascii="Arial Nova" w:hAnsi="Arial Nova"/>
        </w:rPr>
      </w:pPr>
    </w:p>
    <w:p w14:paraId="1894D357" w14:textId="12564EF5" w:rsidR="00302238" w:rsidRDefault="00302238" w:rsidP="00E76445">
      <w:pPr>
        <w:pStyle w:val="NoSpacing"/>
        <w:spacing w:line="360" w:lineRule="auto"/>
        <w:rPr>
          <w:rFonts w:ascii="Arial Nova" w:hAnsi="Arial Nova"/>
        </w:rPr>
      </w:pPr>
      <w:r w:rsidRPr="00E76445">
        <w:rPr>
          <w:rFonts w:ascii="Arial Nova" w:hAnsi="Arial Nova"/>
        </w:rPr>
        <w:lastRenderedPageBreak/>
        <w:t xml:space="preserve">Local Government Association (2022) </w:t>
      </w:r>
      <w:r w:rsidRPr="00E76445">
        <w:rPr>
          <w:rFonts w:ascii="Arial Nova" w:hAnsi="Arial Nova"/>
          <w:i/>
          <w:iCs/>
        </w:rPr>
        <w:t>Public Health Funding: The Impact of Cuts on Local Services</w:t>
      </w:r>
      <w:r w:rsidRPr="00E76445">
        <w:rPr>
          <w:rFonts w:ascii="Arial Nova" w:hAnsi="Arial Nova"/>
        </w:rPr>
        <w:t xml:space="preserve">. London: Local Government Association. Available at: </w:t>
      </w:r>
      <w:hyperlink r:id="rId10" w:history="1">
        <w:r w:rsidRPr="00E76445">
          <w:rPr>
            <w:rStyle w:val="Hyperlink"/>
            <w:rFonts w:ascii="Arial Nova" w:hAnsi="Arial Nova"/>
          </w:rPr>
          <w:t>https://www.local.gov.uk/topics/social-care-health-and-integration/public-health</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407BDB08" w14:textId="77777777" w:rsidR="00CB7177" w:rsidRPr="00E76445" w:rsidRDefault="00CB7177" w:rsidP="00E76445">
      <w:pPr>
        <w:pStyle w:val="NoSpacing"/>
        <w:spacing w:line="360" w:lineRule="auto"/>
        <w:rPr>
          <w:rFonts w:ascii="Arial Nova" w:hAnsi="Arial Nova"/>
        </w:rPr>
      </w:pPr>
    </w:p>
    <w:p w14:paraId="207C7ADD" w14:textId="6179C2DE" w:rsidR="00302238" w:rsidRPr="00E76445" w:rsidRDefault="00302238" w:rsidP="00E76445">
      <w:pPr>
        <w:pStyle w:val="NoSpacing"/>
        <w:spacing w:line="360" w:lineRule="auto"/>
        <w:rPr>
          <w:rFonts w:ascii="Arial Nova" w:hAnsi="Arial Nova"/>
        </w:rPr>
      </w:pPr>
      <w:r w:rsidRPr="00E76445">
        <w:rPr>
          <w:rFonts w:ascii="Arial Nova" w:hAnsi="Arial Nova"/>
        </w:rPr>
        <w:t xml:space="preserve">McManus, S., Bebbington, P., Jenkins, R. and Brugha, T. (eds.) (2016) </w:t>
      </w:r>
      <w:r w:rsidRPr="00E76445">
        <w:rPr>
          <w:rFonts w:ascii="Arial Nova" w:hAnsi="Arial Nova"/>
          <w:i/>
          <w:iCs/>
        </w:rPr>
        <w:t>Adult Psychiatric Morbidity Survey: Survey of Mental Health and Wellbeing, England, 2014</w:t>
      </w:r>
      <w:r w:rsidRPr="00E76445">
        <w:rPr>
          <w:rFonts w:ascii="Arial Nova" w:hAnsi="Arial Nova"/>
        </w:rPr>
        <w:t xml:space="preserve">. Leeds: NHS Digital. Available at: </w:t>
      </w:r>
      <w:hyperlink r:id="rId11" w:history="1">
        <w:r w:rsidRPr="00E76445">
          <w:rPr>
            <w:rStyle w:val="Hyperlink"/>
            <w:rFonts w:ascii="Arial Nova" w:hAnsi="Arial Nova"/>
          </w:rPr>
          <w:t>https://digital.nhs.uk/data-and-information/publications/statistical/adult-psychiatric-morbidity-survey/adult-psychiatric-morbidity-survey-survey-of-mental-health-and-wellbeing-england-2014</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1B316A8C" w14:textId="77777777" w:rsidR="00126C5C" w:rsidRPr="00E76445" w:rsidRDefault="00126C5C" w:rsidP="00E76445">
      <w:pPr>
        <w:pStyle w:val="NoSpacing"/>
        <w:spacing w:line="360" w:lineRule="auto"/>
        <w:rPr>
          <w:rFonts w:ascii="Arial Nova" w:hAnsi="Arial Nova"/>
        </w:rPr>
      </w:pPr>
    </w:p>
    <w:p w14:paraId="628223FC" w14:textId="1FA15398" w:rsidR="00302238" w:rsidRPr="00E76445" w:rsidRDefault="00302238" w:rsidP="00E76445">
      <w:pPr>
        <w:pStyle w:val="NoSpacing"/>
        <w:spacing w:line="360" w:lineRule="auto"/>
        <w:rPr>
          <w:rFonts w:ascii="Arial Nova" w:hAnsi="Arial Nova"/>
        </w:rPr>
      </w:pPr>
      <w:r w:rsidRPr="00E76445">
        <w:rPr>
          <w:rFonts w:ascii="Arial Nova" w:hAnsi="Arial Nova"/>
        </w:rPr>
        <w:t xml:space="preserve">Marmot, M., Allen, J., Boyce, T., Goldblatt, P. and Morrison, J. (2020) </w:t>
      </w:r>
      <w:r w:rsidRPr="00E76445">
        <w:rPr>
          <w:rFonts w:ascii="Arial Nova" w:hAnsi="Arial Nova"/>
          <w:i/>
          <w:iCs/>
        </w:rPr>
        <w:t>Health Equity in England: The Marmot Review 10 Years On</w:t>
      </w:r>
      <w:r w:rsidRPr="00E76445">
        <w:rPr>
          <w:rFonts w:ascii="Arial Nova" w:hAnsi="Arial Nova"/>
        </w:rPr>
        <w:t xml:space="preserve">. London: Institute of Health Equity. Available at: </w:t>
      </w:r>
      <w:hyperlink r:id="rId12" w:history="1">
        <w:r w:rsidRPr="00E76445">
          <w:rPr>
            <w:rStyle w:val="Hyperlink"/>
            <w:rFonts w:ascii="Arial Nova" w:hAnsi="Arial Nova"/>
          </w:rPr>
          <w:t>https://www.health.org.uk/publications/reports/the-marmot-review-10-years-on</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61A83FDE" w14:textId="77777777" w:rsidR="00126C5C" w:rsidRPr="00E76445" w:rsidRDefault="00126C5C" w:rsidP="00E76445">
      <w:pPr>
        <w:pStyle w:val="NoSpacing"/>
        <w:spacing w:line="360" w:lineRule="auto"/>
        <w:rPr>
          <w:rFonts w:ascii="Arial Nova" w:hAnsi="Arial Nova"/>
        </w:rPr>
      </w:pPr>
    </w:p>
    <w:p w14:paraId="35AB6120" w14:textId="15692189" w:rsidR="00302238" w:rsidRPr="00E76445" w:rsidRDefault="00302238" w:rsidP="00E76445">
      <w:pPr>
        <w:pStyle w:val="NoSpacing"/>
        <w:spacing w:line="360" w:lineRule="auto"/>
        <w:rPr>
          <w:rFonts w:ascii="Arial Nova" w:hAnsi="Arial Nova"/>
        </w:rPr>
      </w:pPr>
      <w:r w:rsidRPr="00E76445">
        <w:rPr>
          <w:rFonts w:ascii="Arial Nova" w:hAnsi="Arial Nova"/>
        </w:rPr>
        <w:t xml:space="preserve">NHS England (2016) </w:t>
      </w:r>
      <w:r w:rsidRPr="00E76445">
        <w:rPr>
          <w:rFonts w:ascii="Arial Nova" w:hAnsi="Arial Nova"/>
          <w:i/>
          <w:iCs/>
        </w:rPr>
        <w:t>Five Year Forward View for Mental Health</w:t>
      </w:r>
      <w:r w:rsidRPr="00E76445">
        <w:rPr>
          <w:rFonts w:ascii="Arial Nova" w:hAnsi="Arial Nova"/>
        </w:rPr>
        <w:t xml:space="preserve">. London: NHS England. Available at: </w:t>
      </w:r>
      <w:hyperlink r:id="rId13" w:history="1">
        <w:r w:rsidRPr="00E76445">
          <w:rPr>
            <w:rStyle w:val="Hyperlink"/>
            <w:rFonts w:ascii="Arial Nova" w:hAnsi="Arial Nova"/>
          </w:rPr>
          <w:t>https://www.england.nhs.uk/publication/five-year-forward-view-for-mental-health/</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3C889530" w14:textId="77777777" w:rsidR="00126C5C" w:rsidRPr="00E76445" w:rsidRDefault="00126C5C" w:rsidP="00E76445">
      <w:pPr>
        <w:pStyle w:val="NoSpacing"/>
        <w:spacing w:line="360" w:lineRule="auto"/>
        <w:rPr>
          <w:rFonts w:ascii="Arial Nova" w:hAnsi="Arial Nova"/>
        </w:rPr>
      </w:pPr>
    </w:p>
    <w:p w14:paraId="0AB9D5A8" w14:textId="4735C7DB" w:rsidR="00302238" w:rsidRPr="00E76445" w:rsidRDefault="00302238" w:rsidP="00E76445">
      <w:pPr>
        <w:pStyle w:val="NoSpacing"/>
        <w:spacing w:line="360" w:lineRule="auto"/>
        <w:rPr>
          <w:rFonts w:ascii="Arial Nova" w:hAnsi="Arial Nova"/>
        </w:rPr>
      </w:pPr>
      <w:r w:rsidRPr="00E76445">
        <w:rPr>
          <w:rFonts w:ascii="Arial Nova" w:hAnsi="Arial Nova"/>
        </w:rPr>
        <w:t xml:space="preserve">NHS England (2019) </w:t>
      </w:r>
      <w:r w:rsidRPr="00E76445">
        <w:rPr>
          <w:rFonts w:ascii="Arial Nova" w:hAnsi="Arial Nova"/>
          <w:i/>
          <w:iCs/>
        </w:rPr>
        <w:t>The NHS Long Term Plan</w:t>
      </w:r>
      <w:r w:rsidRPr="00E76445">
        <w:rPr>
          <w:rFonts w:ascii="Arial Nova" w:hAnsi="Arial Nova"/>
        </w:rPr>
        <w:t xml:space="preserve">. Available at: </w:t>
      </w:r>
      <w:hyperlink r:id="rId14" w:history="1">
        <w:r w:rsidRPr="00E76445">
          <w:rPr>
            <w:rStyle w:val="Hyperlink"/>
            <w:rFonts w:ascii="Arial Nova" w:hAnsi="Arial Nova"/>
          </w:rPr>
          <w:t>https://www.longtermplan.nhs.uk/</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738D0DF8" w14:textId="77777777" w:rsidR="00126C5C" w:rsidRPr="00E76445" w:rsidRDefault="00126C5C" w:rsidP="00E76445">
      <w:pPr>
        <w:pStyle w:val="NoSpacing"/>
        <w:spacing w:line="360" w:lineRule="auto"/>
        <w:rPr>
          <w:rFonts w:ascii="Arial Nova" w:hAnsi="Arial Nova"/>
        </w:rPr>
      </w:pPr>
    </w:p>
    <w:p w14:paraId="16463705" w14:textId="64B9B62C" w:rsidR="00302238" w:rsidRPr="00E76445" w:rsidRDefault="00302238" w:rsidP="00E76445">
      <w:pPr>
        <w:pStyle w:val="NoSpacing"/>
        <w:spacing w:line="360" w:lineRule="auto"/>
        <w:rPr>
          <w:rFonts w:ascii="Arial Nova" w:hAnsi="Arial Nova"/>
        </w:rPr>
      </w:pPr>
      <w:r w:rsidRPr="00E76445">
        <w:rPr>
          <w:rFonts w:ascii="Arial Nova" w:hAnsi="Arial Nova"/>
        </w:rPr>
        <w:t xml:space="preserve">Public Health England (2020a) </w:t>
      </w:r>
      <w:r w:rsidRPr="00E76445">
        <w:rPr>
          <w:rFonts w:ascii="Arial Nova" w:hAnsi="Arial Nova"/>
          <w:i/>
          <w:iCs/>
        </w:rPr>
        <w:t>Disparities in the Risk and Outcomes of COVID-19</w:t>
      </w:r>
      <w:r w:rsidRPr="00E76445">
        <w:rPr>
          <w:rFonts w:ascii="Arial Nova" w:hAnsi="Arial Nova"/>
        </w:rPr>
        <w:t xml:space="preserve">. London: Public Health England. Available at: </w:t>
      </w:r>
      <w:hyperlink r:id="rId15" w:history="1">
        <w:r w:rsidRPr="00E76445">
          <w:rPr>
            <w:rStyle w:val="Hyperlink"/>
            <w:rFonts w:ascii="Arial Nova" w:hAnsi="Arial Nova"/>
          </w:rPr>
          <w:t>https://www.gov.uk/government/publications/covid-19-review-of-disparities-in-risks-and-outcomes</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7E670675" w14:textId="77777777" w:rsidR="00126C5C" w:rsidRPr="00E76445" w:rsidRDefault="00126C5C" w:rsidP="00E76445">
      <w:pPr>
        <w:pStyle w:val="NoSpacing"/>
        <w:spacing w:line="360" w:lineRule="auto"/>
        <w:rPr>
          <w:rFonts w:ascii="Arial Nova" w:hAnsi="Arial Nova"/>
        </w:rPr>
      </w:pPr>
    </w:p>
    <w:p w14:paraId="46A4255C" w14:textId="108AB5AB" w:rsidR="00126C5C" w:rsidRDefault="00B24F59" w:rsidP="00B24F59">
      <w:pPr>
        <w:pStyle w:val="NoSpacing"/>
        <w:spacing w:line="360" w:lineRule="auto"/>
        <w:rPr>
          <w:rFonts w:ascii="Arial Nova" w:hAnsi="Arial Nova"/>
        </w:rPr>
      </w:pPr>
      <w:r w:rsidRPr="00B24F59">
        <w:rPr>
          <w:rFonts w:ascii="Arial Nova" w:hAnsi="Arial Nova"/>
        </w:rPr>
        <w:t xml:space="preserve">Robson, J., Garriga, C., Coupland, C. and Hippisley-Cox, J. (2021) 'NHS Health Checks: an observational study of equity and outcomes 2009–2017', </w:t>
      </w:r>
      <w:r w:rsidRPr="00B24F59">
        <w:rPr>
          <w:rFonts w:ascii="Arial Nova" w:hAnsi="Arial Nova"/>
          <w:i/>
          <w:iCs/>
        </w:rPr>
        <w:t>British Journal of General Practice</w:t>
      </w:r>
      <w:r w:rsidRPr="00B24F59">
        <w:rPr>
          <w:rFonts w:ascii="Arial Nova" w:hAnsi="Arial Nova"/>
        </w:rPr>
        <w:t xml:space="preserve">, 71(710), pp. e701–e710. Available at: </w:t>
      </w:r>
      <w:hyperlink r:id="rId16" w:tgtFrame="_new" w:history="1">
        <w:r w:rsidRPr="00B24F59">
          <w:rPr>
            <w:rStyle w:val="Hyperlink"/>
            <w:rFonts w:ascii="Arial Nova" w:hAnsi="Arial Nova"/>
          </w:rPr>
          <w:t>https://bjgp.org/content/71/710/e701</w:t>
        </w:r>
      </w:hyperlink>
      <w:r w:rsidRPr="00B24F59">
        <w:rPr>
          <w:rFonts w:ascii="Arial Nova" w:hAnsi="Arial Nova"/>
        </w:rPr>
        <w:t xml:space="preserve"> (Accessed: 14 June 2026).</w:t>
      </w:r>
    </w:p>
    <w:p w14:paraId="649B56EE" w14:textId="77777777" w:rsidR="00B24F59" w:rsidRDefault="00B24F59" w:rsidP="00B24F59">
      <w:pPr>
        <w:pStyle w:val="NoSpacing"/>
        <w:spacing w:line="360" w:lineRule="auto"/>
        <w:rPr>
          <w:rFonts w:ascii="Arial Nova" w:hAnsi="Arial Nova"/>
        </w:rPr>
      </w:pPr>
    </w:p>
    <w:p w14:paraId="09D286F6" w14:textId="77777777" w:rsidR="00B24F59" w:rsidRDefault="00B24F59" w:rsidP="00B24F59">
      <w:pPr>
        <w:pStyle w:val="NoSpacing"/>
        <w:spacing w:line="360" w:lineRule="auto"/>
        <w:rPr>
          <w:rFonts w:ascii="Arial Nova" w:hAnsi="Arial Nova"/>
        </w:rPr>
      </w:pPr>
    </w:p>
    <w:p w14:paraId="75FB484D" w14:textId="77777777" w:rsidR="00B24F59" w:rsidRPr="00E76445" w:rsidRDefault="00B24F59" w:rsidP="00B24F59">
      <w:pPr>
        <w:pStyle w:val="NoSpacing"/>
        <w:spacing w:line="360" w:lineRule="auto"/>
        <w:rPr>
          <w:rFonts w:ascii="Arial Nova" w:hAnsi="Arial Nova"/>
        </w:rPr>
      </w:pPr>
    </w:p>
    <w:p w14:paraId="4CD70D40" w14:textId="77777777" w:rsidR="00302238" w:rsidRPr="00E76445" w:rsidRDefault="00302238" w:rsidP="00E76445">
      <w:pPr>
        <w:pStyle w:val="NoSpacing"/>
        <w:spacing w:line="360" w:lineRule="auto"/>
        <w:rPr>
          <w:rFonts w:ascii="Arial Nova" w:hAnsi="Arial Nova"/>
        </w:rPr>
      </w:pPr>
      <w:r w:rsidRPr="00E76445">
        <w:rPr>
          <w:rFonts w:ascii="Arial Nova" w:hAnsi="Arial Nova"/>
        </w:rPr>
        <w:lastRenderedPageBreak/>
        <w:t>Rosenstock, I.M. (1966) ‘Why people use health services’, Milbank Memorial Fund Quarterly, 44(3), pp. 94–127.</w:t>
      </w:r>
    </w:p>
    <w:p w14:paraId="4F4464DE" w14:textId="77777777" w:rsidR="00E76445" w:rsidRPr="00E76445" w:rsidRDefault="00E76445" w:rsidP="00E76445">
      <w:pPr>
        <w:pStyle w:val="NoSpacing"/>
        <w:spacing w:line="360" w:lineRule="auto"/>
        <w:rPr>
          <w:rFonts w:ascii="Arial Nova" w:hAnsi="Arial Nova"/>
        </w:rPr>
      </w:pPr>
    </w:p>
    <w:p w14:paraId="712436C0" w14:textId="38AE93FF" w:rsidR="00302238" w:rsidRPr="00E76445" w:rsidRDefault="00302238" w:rsidP="00E76445">
      <w:pPr>
        <w:pStyle w:val="NoSpacing"/>
        <w:spacing w:line="360" w:lineRule="auto"/>
        <w:rPr>
          <w:rFonts w:ascii="Arial Nova" w:hAnsi="Arial Nova"/>
        </w:rPr>
      </w:pPr>
      <w:r w:rsidRPr="00E76445">
        <w:rPr>
          <w:rFonts w:ascii="Arial Nova" w:hAnsi="Arial Nova"/>
        </w:rPr>
        <w:t xml:space="preserve">UK Government (2022) </w:t>
      </w:r>
      <w:r w:rsidRPr="00E76445">
        <w:rPr>
          <w:rFonts w:ascii="Arial Nova" w:hAnsi="Arial Nova"/>
          <w:i/>
          <w:iCs/>
        </w:rPr>
        <w:t>UK Shared Prosperity Fund: Prospectus</w:t>
      </w:r>
      <w:r w:rsidRPr="00E76445">
        <w:rPr>
          <w:rFonts w:ascii="Arial Nova" w:hAnsi="Arial Nova"/>
        </w:rPr>
        <w:t xml:space="preserve">. London: Department for Levelling Up, Housing and Communities. Available at: </w:t>
      </w:r>
      <w:hyperlink r:id="rId17" w:history="1">
        <w:r w:rsidRPr="00E76445">
          <w:rPr>
            <w:rStyle w:val="Hyperlink"/>
            <w:rFonts w:ascii="Arial Nova" w:hAnsi="Arial Nova"/>
          </w:rPr>
          <w:t>https://www.gov.uk/government/publications/uk-shared-prosperity-fund-prospectus</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2A3CB2B0" w14:textId="77777777" w:rsidR="00E76445" w:rsidRPr="00E76445" w:rsidRDefault="00E76445" w:rsidP="00E76445">
      <w:pPr>
        <w:pStyle w:val="NoSpacing"/>
        <w:spacing w:line="360" w:lineRule="auto"/>
        <w:rPr>
          <w:rFonts w:ascii="Arial Nova" w:hAnsi="Arial Nova"/>
        </w:rPr>
      </w:pPr>
    </w:p>
    <w:p w14:paraId="1555502D" w14:textId="0AFB4A50" w:rsidR="00302238" w:rsidRDefault="00302238" w:rsidP="00E76445">
      <w:pPr>
        <w:pStyle w:val="NoSpacing"/>
        <w:spacing w:line="360" w:lineRule="auto"/>
        <w:rPr>
          <w:rFonts w:ascii="Arial Nova" w:hAnsi="Arial Nova"/>
        </w:rPr>
      </w:pPr>
      <w:r w:rsidRPr="00E76445">
        <w:rPr>
          <w:rFonts w:ascii="Arial Nova" w:hAnsi="Arial Nova"/>
        </w:rPr>
        <w:t xml:space="preserve">UK Parliament (2010) </w:t>
      </w:r>
      <w:r w:rsidRPr="00E76445">
        <w:rPr>
          <w:rFonts w:ascii="Arial Nova" w:hAnsi="Arial Nova"/>
          <w:i/>
          <w:iCs/>
        </w:rPr>
        <w:t>Equality Act 2010</w:t>
      </w:r>
      <w:r w:rsidRPr="00E76445">
        <w:rPr>
          <w:rFonts w:ascii="Arial Nova" w:hAnsi="Arial Nova"/>
        </w:rPr>
        <w:t xml:space="preserve">. London: The Stationery Office. Available at: </w:t>
      </w:r>
      <w:hyperlink r:id="rId18" w:history="1">
        <w:r w:rsidRPr="00E76445">
          <w:rPr>
            <w:rStyle w:val="Hyperlink"/>
            <w:rFonts w:ascii="Arial Nova" w:hAnsi="Arial Nova"/>
          </w:rPr>
          <w:t>https://www.legislation.gov.uk/ukpga/2010/15/contents</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37B9A1F1" w14:textId="77777777" w:rsidR="00D96C50" w:rsidRPr="00E76445" w:rsidRDefault="00D96C50" w:rsidP="00E76445">
      <w:pPr>
        <w:pStyle w:val="NoSpacing"/>
        <w:spacing w:line="360" w:lineRule="auto"/>
        <w:rPr>
          <w:rFonts w:ascii="Arial Nova" w:hAnsi="Arial Nova"/>
        </w:rPr>
      </w:pPr>
    </w:p>
    <w:p w14:paraId="04F17B89" w14:textId="0C1C3B41" w:rsidR="00302238" w:rsidRPr="00E76445" w:rsidRDefault="00302238" w:rsidP="00E76445">
      <w:pPr>
        <w:pStyle w:val="NoSpacing"/>
        <w:spacing w:line="360" w:lineRule="auto"/>
        <w:rPr>
          <w:rFonts w:ascii="Arial Nova" w:hAnsi="Arial Nova"/>
        </w:rPr>
      </w:pPr>
      <w:r w:rsidRPr="00E76445">
        <w:rPr>
          <w:rFonts w:ascii="Arial Nova" w:hAnsi="Arial Nova"/>
        </w:rPr>
        <w:t xml:space="preserve">United Nations (2015) </w:t>
      </w:r>
      <w:r w:rsidRPr="00E76445">
        <w:rPr>
          <w:rFonts w:ascii="Arial Nova" w:hAnsi="Arial Nova"/>
          <w:i/>
          <w:iCs/>
        </w:rPr>
        <w:t>Transforming Our World: The 2030 Agenda for Sustainable Development</w:t>
      </w:r>
      <w:r w:rsidRPr="00E76445">
        <w:rPr>
          <w:rFonts w:ascii="Arial Nova" w:hAnsi="Arial Nova"/>
        </w:rPr>
        <w:t xml:space="preserve">. New York: United Nations. Available at: </w:t>
      </w:r>
      <w:hyperlink r:id="rId19" w:history="1">
        <w:r w:rsidRPr="00E76445">
          <w:rPr>
            <w:rStyle w:val="Hyperlink"/>
            <w:rFonts w:ascii="Arial Nova" w:hAnsi="Arial Nova"/>
          </w:rPr>
          <w:t>https://sdgs.un.org/2030agenda</w:t>
        </w:r>
      </w:hyperlink>
      <w:r w:rsidRPr="00E76445">
        <w:rPr>
          <w:rFonts w:ascii="Arial Nova" w:hAnsi="Arial Nova"/>
        </w:rPr>
        <w:t xml:space="preserve"> (Accessed: </w:t>
      </w:r>
      <w:r w:rsidR="004210D8">
        <w:rPr>
          <w:rFonts w:ascii="Arial Nova" w:hAnsi="Arial Nova"/>
        </w:rPr>
        <w:t>14</w:t>
      </w:r>
      <w:r w:rsidRPr="00E76445">
        <w:rPr>
          <w:rFonts w:ascii="Arial Nova" w:hAnsi="Arial Nova"/>
        </w:rPr>
        <w:t xml:space="preserve"> June 2026).</w:t>
      </w:r>
    </w:p>
    <w:p w14:paraId="0E20C6F0" w14:textId="77777777" w:rsidR="00E76445" w:rsidRPr="00E76445" w:rsidRDefault="00E76445" w:rsidP="00E76445">
      <w:pPr>
        <w:pStyle w:val="NoSpacing"/>
        <w:spacing w:line="360" w:lineRule="auto"/>
        <w:rPr>
          <w:rFonts w:ascii="Arial Nova" w:hAnsi="Arial Nova"/>
        </w:rPr>
      </w:pPr>
    </w:p>
    <w:p w14:paraId="3F1CD830" w14:textId="27D9B2F4" w:rsidR="00302238" w:rsidRPr="00E76445" w:rsidRDefault="00302238" w:rsidP="00E76445">
      <w:pPr>
        <w:pStyle w:val="NoSpacing"/>
        <w:spacing w:line="360" w:lineRule="auto"/>
        <w:rPr>
          <w:rFonts w:ascii="Arial Nova" w:hAnsi="Arial Nova"/>
        </w:rPr>
      </w:pPr>
      <w:r w:rsidRPr="00E76445">
        <w:rPr>
          <w:rFonts w:ascii="Arial Nova" w:hAnsi="Arial Nova"/>
        </w:rPr>
        <w:t xml:space="preserve">United Nations (2023) </w:t>
      </w:r>
      <w:r w:rsidRPr="00E76445">
        <w:rPr>
          <w:rFonts w:ascii="Arial Nova" w:hAnsi="Arial Nova"/>
          <w:i/>
          <w:iCs/>
        </w:rPr>
        <w:t>The Sustainable Development Goals Report 2023</w:t>
      </w:r>
      <w:r w:rsidRPr="00E76445">
        <w:rPr>
          <w:rFonts w:ascii="Arial Nova" w:hAnsi="Arial Nova"/>
        </w:rPr>
        <w:t xml:space="preserve">. New York: United Nations. Available at: </w:t>
      </w:r>
      <w:hyperlink r:id="rId20" w:history="1">
        <w:r w:rsidRPr="00E76445">
          <w:rPr>
            <w:rStyle w:val="Hyperlink"/>
            <w:rFonts w:ascii="Arial Nova" w:hAnsi="Arial Nova"/>
          </w:rPr>
          <w:t>https://unstats.un.org/sdgs/report/2023/</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3BF0614A" w14:textId="77777777" w:rsidR="00E76445" w:rsidRPr="00E76445" w:rsidRDefault="00E76445" w:rsidP="00E76445">
      <w:pPr>
        <w:pStyle w:val="NoSpacing"/>
        <w:spacing w:line="360" w:lineRule="auto"/>
        <w:rPr>
          <w:rFonts w:ascii="Arial Nova" w:hAnsi="Arial Nova"/>
        </w:rPr>
      </w:pPr>
    </w:p>
    <w:p w14:paraId="509E83BA" w14:textId="526779F2" w:rsidR="00302238" w:rsidRPr="00E76445" w:rsidRDefault="00302238" w:rsidP="00E76445">
      <w:pPr>
        <w:pStyle w:val="NoSpacing"/>
        <w:spacing w:line="360" w:lineRule="auto"/>
        <w:rPr>
          <w:rFonts w:ascii="Arial Nova" w:hAnsi="Arial Nova"/>
        </w:rPr>
      </w:pPr>
      <w:r w:rsidRPr="00E76445">
        <w:rPr>
          <w:rFonts w:ascii="Arial Nova" w:hAnsi="Arial Nova"/>
        </w:rPr>
        <w:t xml:space="preserve">Welsh Government (2015) </w:t>
      </w:r>
      <w:r w:rsidRPr="00E76445">
        <w:rPr>
          <w:rFonts w:ascii="Arial Nova" w:hAnsi="Arial Nova"/>
          <w:i/>
          <w:iCs/>
        </w:rPr>
        <w:t>Well-being of Future Generations (Wales) Act 2015</w:t>
      </w:r>
      <w:r w:rsidRPr="00E76445">
        <w:rPr>
          <w:rFonts w:ascii="Arial Nova" w:hAnsi="Arial Nova"/>
        </w:rPr>
        <w:t xml:space="preserve">. Cardiff: Welsh Government. Available at: </w:t>
      </w:r>
      <w:hyperlink r:id="rId21" w:history="1">
        <w:r w:rsidRPr="00E76445">
          <w:rPr>
            <w:rStyle w:val="Hyperlink"/>
            <w:rFonts w:ascii="Arial Nova" w:hAnsi="Arial Nova"/>
          </w:rPr>
          <w:t>https://www.legislation.gov.uk/anaw/2015/2/contents/enacted</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64B1BC73" w14:textId="77777777" w:rsidR="00E76445" w:rsidRPr="00E76445" w:rsidRDefault="00E76445" w:rsidP="00E76445">
      <w:pPr>
        <w:pStyle w:val="NoSpacing"/>
        <w:spacing w:line="360" w:lineRule="auto"/>
        <w:rPr>
          <w:rFonts w:ascii="Arial Nova" w:hAnsi="Arial Nova"/>
        </w:rPr>
      </w:pPr>
    </w:p>
    <w:p w14:paraId="6C304BB0" w14:textId="77777777" w:rsidR="00302238" w:rsidRPr="00E76445" w:rsidRDefault="00302238" w:rsidP="00E76445">
      <w:pPr>
        <w:pStyle w:val="NoSpacing"/>
        <w:spacing w:line="360" w:lineRule="auto"/>
        <w:rPr>
          <w:rFonts w:ascii="Arial Nova" w:hAnsi="Arial Nova"/>
        </w:rPr>
      </w:pPr>
      <w:r w:rsidRPr="00E76445">
        <w:rPr>
          <w:rFonts w:ascii="Arial Nova" w:hAnsi="Arial Nova"/>
        </w:rPr>
        <w:t xml:space="preserve">Wilkinson, R. and Pickett, K. (2009) </w:t>
      </w:r>
      <w:r w:rsidRPr="00E76445">
        <w:rPr>
          <w:rFonts w:ascii="Arial Nova" w:hAnsi="Arial Nova"/>
          <w:i/>
          <w:iCs/>
        </w:rPr>
        <w:t>The Spirit Level: Why More Equal Societies Almost Always Do Better</w:t>
      </w:r>
      <w:r w:rsidRPr="00E76445">
        <w:rPr>
          <w:rFonts w:ascii="Arial Nova" w:hAnsi="Arial Nova"/>
        </w:rPr>
        <w:t>. London: Allen Lane.</w:t>
      </w:r>
    </w:p>
    <w:p w14:paraId="79D321AF" w14:textId="77777777" w:rsidR="00E76445" w:rsidRPr="00E76445" w:rsidRDefault="00E76445" w:rsidP="00E76445">
      <w:pPr>
        <w:pStyle w:val="NoSpacing"/>
        <w:spacing w:line="360" w:lineRule="auto"/>
        <w:rPr>
          <w:rFonts w:ascii="Arial Nova" w:hAnsi="Arial Nova"/>
        </w:rPr>
      </w:pPr>
    </w:p>
    <w:p w14:paraId="706F7D1F" w14:textId="0027F69B" w:rsidR="00E76445" w:rsidRDefault="00503580" w:rsidP="00503580">
      <w:pPr>
        <w:pStyle w:val="NoSpacing"/>
        <w:spacing w:line="360" w:lineRule="auto"/>
        <w:rPr>
          <w:rFonts w:ascii="Arial Nova" w:hAnsi="Arial Nova"/>
        </w:rPr>
      </w:pPr>
      <w:r w:rsidRPr="00503580">
        <w:rPr>
          <w:rFonts w:ascii="Arial Nova" w:hAnsi="Arial Nova"/>
        </w:rPr>
        <w:t xml:space="preserve">World Health Organization (2020) </w:t>
      </w:r>
      <w:r w:rsidRPr="00503580">
        <w:rPr>
          <w:rFonts w:ascii="Arial Nova" w:hAnsi="Arial Nova"/>
          <w:i/>
          <w:iCs/>
        </w:rPr>
        <w:t>The Triple Billion Targets: A Visual Summary of Methods to Deliver the 13th General Programme of Work</w:t>
      </w:r>
      <w:r w:rsidRPr="00503580">
        <w:rPr>
          <w:rFonts w:ascii="Arial Nova" w:hAnsi="Arial Nova"/>
        </w:rPr>
        <w:t xml:space="preserve">. Geneva: World Health Organization. Available at: </w:t>
      </w:r>
      <w:hyperlink r:id="rId22" w:tgtFrame="_new" w:history="1">
        <w:r w:rsidRPr="00503580">
          <w:rPr>
            <w:rStyle w:val="Hyperlink"/>
            <w:rFonts w:ascii="Arial Nova" w:hAnsi="Arial Nova"/>
          </w:rPr>
          <w:t>https://www.who.int/data/stories/the-triple-billion-targets-a-visual-summary-of-methods-to-deliver-impact</w:t>
        </w:r>
      </w:hyperlink>
      <w:r w:rsidRPr="00503580">
        <w:rPr>
          <w:rFonts w:ascii="Arial Nova" w:hAnsi="Arial Nova"/>
        </w:rPr>
        <w:t xml:space="preserve"> (Accessed: 14 June 2026).</w:t>
      </w:r>
    </w:p>
    <w:p w14:paraId="147C97C2" w14:textId="77777777" w:rsidR="00503580" w:rsidRPr="00E76445" w:rsidRDefault="00503580" w:rsidP="00503580">
      <w:pPr>
        <w:pStyle w:val="NoSpacing"/>
        <w:spacing w:line="360" w:lineRule="auto"/>
        <w:rPr>
          <w:rFonts w:ascii="Arial Nova" w:hAnsi="Arial Nova"/>
        </w:rPr>
      </w:pPr>
    </w:p>
    <w:p w14:paraId="5B242547" w14:textId="4B59A89F" w:rsidR="00302238" w:rsidRPr="00E76445" w:rsidRDefault="00302238" w:rsidP="00E76445">
      <w:pPr>
        <w:pStyle w:val="NoSpacing"/>
        <w:spacing w:line="360" w:lineRule="auto"/>
        <w:rPr>
          <w:rFonts w:ascii="Arial Nova" w:hAnsi="Arial Nova"/>
        </w:rPr>
      </w:pPr>
      <w:r w:rsidRPr="00E76445">
        <w:rPr>
          <w:rFonts w:ascii="Arial Nova" w:hAnsi="Arial Nova"/>
        </w:rPr>
        <w:t xml:space="preserve">World Health Organization (2023) </w:t>
      </w:r>
      <w:r w:rsidRPr="00E76445">
        <w:rPr>
          <w:rFonts w:ascii="Arial Nova" w:hAnsi="Arial Nova"/>
          <w:i/>
          <w:iCs/>
        </w:rPr>
        <w:t>World Health Statistics 2023: Monitoring Health for the SDGs</w:t>
      </w:r>
      <w:r w:rsidRPr="00E76445">
        <w:rPr>
          <w:rFonts w:ascii="Arial Nova" w:hAnsi="Arial Nova"/>
        </w:rPr>
        <w:t xml:space="preserve">. Geneva: World Health Organization. Available at: </w:t>
      </w:r>
      <w:hyperlink r:id="rId23" w:history="1">
        <w:r w:rsidRPr="00E76445">
          <w:rPr>
            <w:rStyle w:val="Hyperlink"/>
            <w:rFonts w:ascii="Arial Nova" w:hAnsi="Arial Nova"/>
          </w:rPr>
          <w:t>https://www.who.int/publications/i/item/9789240074323</w:t>
        </w:r>
      </w:hyperlink>
      <w:r w:rsidRPr="00E76445">
        <w:rPr>
          <w:rFonts w:ascii="Arial Nova" w:hAnsi="Arial Nova"/>
        </w:rPr>
        <w:t xml:space="preserve"> (Accessed: </w:t>
      </w:r>
      <w:r w:rsidR="00F30C96">
        <w:rPr>
          <w:rFonts w:ascii="Arial Nova" w:hAnsi="Arial Nova"/>
        </w:rPr>
        <w:t>14</w:t>
      </w:r>
      <w:r w:rsidRPr="00E76445">
        <w:rPr>
          <w:rFonts w:ascii="Arial Nova" w:hAnsi="Arial Nova"/>
        </w:rPr>
        <w:t xml:space="preserve"> June 2026).</w:t>
      </w:r>
    </w:p>
    <w:p w14:paraId="3B125D8B" w14:textId="77777777" w:rsidR="0000426A" w:rsidRPr="00EE45E0" w:rsidRDefault="0000426A" w:rsidP="00CE0D34"/>
    <w:p w14:paraId="77916B5E" w14:textId="12491CBC" w:rsidR="00D45205" w:rsidRDefault="00D45205" w:rsidP="00D45205">
      <w:pPr>
        <w:spacing w:after="160" w:line="360" w:lineRule="auto"/>
        <w:jc w:val="both"/>
      </w:pPr>
    </w:p>
    <w:p w14:paraId="639BDCFE" w14:textId="77777777" w:rsidR="00D45205" w:rsidRPr="00D45205" w:rsidRDefault="00D45205" w:rsidP="00D45205">
      <w:pPr>
        <w:spacing w:after="160" w:line="360" w:lineRule="auto"/>
        <w:jc w:val="both"/>
      </w:pPr>
    </w:p>
    <w:p w14:paraId="288CBBAB" w14:textId="77777777" w:rsidR="00A02A69" w:rsidRPr="00060E62" w:rsidRDefault="00A02A69" w:rsidP="00A02A69">
      <w:pPr>
        <w:spacing w:after="160" w:line="360" w:lineRule="auto"/>
        <w:jc w:val="both"/>
      </w:pPr>
    </w:p>
    <w:p w14:paraId="053666EE" w14:textId="3ED02D85" w:rsidR="0006023E" w:rsidRPr="0006023E" w:rsidRDefault="0006023E" w:rsidP="0006023E">
      <w:pPr>
        <w:spacing w:after="160" w:line="360" w:lineRule="auto"/>
        <w:jc w:val="both"/>
      </w:pPr>
    </w:p>
    <w:p w14:paraId="10021615" w14:textId="12B77643" w:rsidR="00395403" w:rsidRPr="00395403" w:rsidRDefault="00395403" w:rsidP="0006023E">
      <w:pPr>
        <w:spacing w:after="160" w:line="360" w:lineRule="auto"/>
        <w:jc w:val="both"/>
      </w:pPr>
    </w:p>
    <w:p w14:paraId="0E00A0A6" w14:textId="25401185" w:rsidR="00085369" w:rsidRDefault="00085369" w:rsidP="00A56AD8">
      <w:pPr>
        <w:spacing w:after="160" w:line="360" w:lineRule="auto"/>
        <w:jc w:val="both"/>
      </w:pPr>
    </w:p>
    <w:sectPr w:rsidR="0008536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876BE"/>
    <w:multiLevelType w:val="hybridMultilevel"/>
    <w:tmpl w:val="4420D656"/>
    <w:lvl w:ilvl="0" w:tplc="1C86B07A">
      <w:start w:val="1"/>
      <w:numFmt w:val="bullet"/>
      <w:lvlText w:val="●"/>
      <w:lvlJc w:val="left"/>
      <w:pPr>
        <w:ind w:left="720" w:hanging="360"/>
      </w:pPr>
    </w:lvl>
    <w:lvl w:ilvl="1" w:tplc="CE762C46">
      <w:start w:val="1"/>
      <w:numFmt w:val="bullet"/>
      <w:lvlText w:val="○"/>
      <w:lvlJc w:val="left"/>
      <w:pPr>
        <w:ind w:left="1440" w:hanging="360"/>
      </w:pPr>
    </w:lvl>
    <w:lvl w:ilvl="2" w:tplc="D812EDDA">
      <w:start w:val="1"/>
      <w:numFmt w:val="bullet"/>
      <w:lvlText w:val="■"/>
      <w:lvlJc w:val="left"/>
      <w:pPr>
        <w:ind w:left="2160" w:hanging="360"/>
      </w:pPr>
    </w:lvl>
    <w:lvl w:ilvl="3" w:tplc="5054414C">
      <w:start w:val="1"/>
      <w:numFmt w:val="bullet"/>
      <w:lvlText w:val="●"/>
      <w:lvlJc w:val="left"/>
      <w:pPr>
        <w:ind w:left="2880" w:hanging="360"/>
      </w:pPr>
    </w:lvl>
    <w:lvl w:ilvl="4" w:tplc="91D62792">
      <w:start w:val="1"/>
      <w:numFmt w:val="bullet"/>
      <w:lvlText w:val="○"/>
      <w:lvlJc w:val="left"/>
      <w:pPr>
        <w:ind w:left="3600" w:hanging="360"/>
      </w:pPr>
    </w:lvl>
    <w:lvl w:ilvl="5" w:tplc="958ECC9E">
      <w:start w:val="1"/>
      <w:numFmt w:val="bullet"/>
      <w:lvlText w:val="■"/>
      <w:lvlJc w:val="left"/>
      <w:pPr>
        <w:ind w:left="4320" w:hanging="360"/>
      </w:pPr>
    </w:lvl>
    <w:lvl w:ilvl="6" w:tplc="72C46A32">
      <w:start w:val="1"/>
      <w:numFmt w:val="bullet"/>
      <w:lvlText w:val="●"/>
      <w:lvlJc w:val="left"/>
      <w:pPr>
        <w:ind w:left="5040" w:hanging="360"/>
      </w:pPr>
    </w:lvl>
    <w:lvl w:ilvl="7" w:tplc="82DA6D8A">
      <w:start w:val="1"/>
      <w:numFmt w:val="bullet"/>
      <w:lvlText w:val="●"/>
      <w:lvlJc w:val="left"/>
      <w:pPr>
        <w:ind w:left="5760" w:hanging="360"/>
      </w:pPr>
    </w:lvl>
    <w:lvl w:ilvl="8" w:tplc="B35E93DE">
      <w:start w:val="1"/>
      <w:numFmt w:val="bullet"/>
      <w:lvlText w:val="●"/>
      <w:lvlJc w:val="left"/>
      <w:pPr>
        <w:ind w:left="6480" w:hanging="360"/>
      </w:pPr>
    </w:lvl>
  </w:abstractNum>
  <w:num w:numId="1" w16cid:durableId="65676846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369"/>
    <w:rsid w:val="00002784"/>
    <w:rsid w:val="0000426A"/>
    <w:rsid w:val="00030C2E"/>
    <w:rsid w:val="0006023E"/>
    <w:rsid w:val="00060E62"/>
    <w:rsid w:val="00085369"/>
    <w:rsid w:val="000B2D1C"/>
    <w:rsid w:val="001026D2"/>
    <w:rsid w:val="00126C5C"/>
    <w:rsid w:val="00150A2F"/>
    <w:rsid w:val="00171C8A"/>
    <w:rsid w:val="00177941"/>
    <w:rsid w:val="001A62E4"/>
    <w:rsid w:val="001A6525"/>
    <w:rsid w:val="001D7E2C"/>
    <w:rsid w:val="00206588"/>
    <w:rsid w:val="00211B2A"/>
    <w:rsid w:val="00241235"/>
    <w:rsid w:val="0025115A"/>
    <w:rsid w:val="00270EEC"/>
    <w:rsid w:val="00271A4B"/>
    <w:rsid w:val="002773D8"/>
    <w:rsid w:val="002841B7"/>
    <w:rsid w:val="002C23C7"/>
    <w:rsid w:val="002C6454"/>
    <w:rsid w:val="002E188B"/>
    <w:rsid w:val="00302238"/>
    <w:rsid w:val="00363DB1"/>
    <w:rsid w:val="00366781"/>
    <w:rsid w:val="003820D0"/>
    <w:rsid w:val="00395403"/>
    <w:rsid w:val="003A0558"/>
    <w:rsid w:val="003B69F1"/>
    <w:rsid w:val="003C23EA"/>
    <w:rsid w:val="003D32AE"/>
    <w:rsid w:val="003E6782"/>
    <w:rsid w:val="003F46A2"/>
    <w:rsid w:val="004210D8"/>
    <w:rsid w:val="00431DFD"/>
    <w:rsid w:val="004471E8"/>
    <w:rsid w:val="004E0AC0"/>
    <w:rsid w:val="00503580"/>
    <w:rsid w:val="005236A8"/>
    <w:rsid w:val="005709EE"/>
    <w:rsid w:val="00584FAE"/>
    <w:rsid w:val="00596C62"/>
    <w:rsid w:val="005D5294"/>
    <w:rsid w:val="005F7AAE"/>
    <w:rsid w:val="006132E4"/>
    <w:rsid w:val="00683237"/>
    <w:rsid w:val="00696357"/>
    <w:rsid w:val="006A24C3"/>
    <w:rsid w:val="006D1FB9"/>
    <w:rsid w:val="006E7699"/>
    <w:rsid w:val="006F27EB"/>
    <w:rsid w:val="006F5BD1"/>
    <w:rsid w:val="00752E70"/>
    <w:rsid w:val="0075328E"/>
    <w:rsid w:val="007D3727"/>
    <w:rsid w:val="007E2B87"/>
    <w:rsid w:val="007E505C"/>
    <w:rsid w:val="00803981"/>
    <w:rsid w:val="0083552C"/>
    <w:rsid w:val="00837700"/>
    <w:rsid w:val="00841FCE"/>
    <w:rsid w:val="008655AF"/>
    <w:rsid w:val="00876AA2"/>
    <w:rsid w:val="00896EA8"/>
    <w:rsid w:val="008A0858"/>
    <w:rsid w:val="008B06BA"/>
    <w:rsid w:val="008C1465"/>
    <w:rsid w:val="008D39D2"/>
    <w:rsid w:val="008D790E"/>
    <w:rsid w:val="00953AF5"/>
    <w:rsid w:val="00962E95"/>
    <w:rsid w:val="009D0CB6"/>
    <w:rsid w:val="009E3904"/>
    <w:rsid w:val="009F7368"/>
    <w:rsid w:val="00A02A69"/>
    <w:rsid w:val="00A51CDC"/>
    <w:rsid w:val="00A555F4"/>
    <w:rsid w:val="00A56AD8"/>
    <w:rsid w:val="00A7233F"/>
    <w:rsid w:val="00AA5F78"/>
    <w:rsid w:val="00AB7FCF"/>
    <w:rsid w:val="00AD1BC5"/>
    <w:rsid w:val="00B2261C"/>
    <w:rsid w:val="00B24F59"/>
    <w:rsid w:val="00B56B41"/>
    <w:rsid w:val="00B74544"/>
    <w:rsid w:val="00B8360B"/>
    <w:rsid w:val="00BA133E"/>
    <w:rsid w:val="00BD0F76"/>
    <w:rsid w:val="00BD63A5"/>
    <w:rsid w:val="00BF0BBD"/>
    <w:rsid w:val="00C114C4"/>
    <w:rsid w:val="00C379E9"/>
    <w:rsid w:val="00C53CA9"/>
    <w:rsid w:val="00C931EB"/>
    <w:rsid w:val="00CB7177"/>
    <w:rsid w:val="00CE0D34"/>
    <w:rsid w:val="00CE34D7"/>
    <w:rsid w:val="00D40D9A"/>
    <w:rsid w:val="00D41F72"/>
    <w:rsid w:val="00D45205"/>
    <w:rsid w:val="00D53B32"/>
    <w:rsid w:val="00D96C50"/>
    <w:rsid w:val="00DB791D"/>
    <w:rsid w:val="00DC1FD5"/>
    <w:rsid w:val="00DC633F"/>
    <w:rsid w:val="00E25B53"/>
    <w:rsid w:val="00E35BB7"/>
    <w:rsid w:val="00E50F03"/>
    <w:rsid w:val="00E76445"/>
    <w:rsid w:val="00E97ED5"/>
    <w:rsid w:val="00EC76B2"/>
    <w:rsid w:val="00ED01B4"/>
    <w:rsid w:val="00EE45E0"/>
    <w:rsid w:val="00EE4BFE"/>
    <w:rsid w:val="00EE7C86"/>
    <w:rsid w:val="00F30C96"/>
    <w:rsid w:val="00F3427F"/>
    <w:rsid w:val="00F36FE0"/>
    <w:rsid w:val="00F7722B"/>
    <w:rsid w:val="00F95BD1"/>
    <w:rsid w:val="00FA3EB0"/>
    <w:rsid w:val="00FD23F7"/>
    <w:rsid w:val="00FD5A9A"/>
    <w:rsid w:val="00FE0722"/>
    <w:rsid w:val="00FE253F"/>
    <w:rsid w:val="00FE74BC"/>
    <w:rsid w:val="00FF1974"/>
    <w:rsid w:val="00FF6A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2571"/>
  <w15:docId w15:val="{CAF94750-8212-40ED-9BFB-71011172B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3864"/>
      <w:sz w:val="26"/>
      <w:szCs w:val="26"/>
    </w:rPr>
  </w:style>
  <w:style w:type="paragraph" w:styleId="Heading2">
    <w:name w:val="heading 2"/>
    <w:uiPriority w:val="9"/>
    <w:unhideWhenUsed/>
    <w:qFormat/>
    <w:pPr>
      <w:spacing w:before="240" w:after="120"/>
      <w:outlineLvl w:val="1"/>
    </w:pPr>
    <w:rPr>
      <w:b/>
      <w:bCs/>
      <w:color w:val="2E5496"/>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3F46A2"/>
    <w:rPr>
      <w:color w:val="605E5C"/>
      <w:shd w:val="clear" w:color="auto" w:fill="E1DFDD"/>
    </w:rPr>
  </w:style>
  <w:style w:type="character" w:styleId="FollowedHyperlink">
    <w:name w:val="FollowedHyperlink"/>
    <w:basedOn w:val="DefaultParagraphFont"/>
    <w:uiPriority w:val="99"/>
    <w:semiHidden/>
    <w:unhideWhenUsed/>
    <w:rsid w:val="00A555F4"/>
    <w:rPr>
      <w:color w:val="96607D" w:themeColor="followedHyperlink"/>
      <w:u w:val="single"/>
    </w:rPr>
  </w:style>
  <w:style w:type="paragraph" w:styleId="NoSpacing">
    <w:name w:val="No Spacing"/>
    <w:uiPriority w:val="1"/>
    <w:qFormat/>
    <w:rsid w:val="00CE0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publications/future-generations-report-2020/" TargetMode="External"/><Relationship Id="rId13" Type="http://schemas.openxmlformats.org/officeDocument/2006/relationships/hyperlink" Target="https://www.england.nhs.uk/publication/five-year-forward-view-for-mental-health/" TargetMode="External"/><Relationship Id="rId18" Type="http://schemas.openxmlformats.org/officeDocument/2006/relationships/hyperlink" Target="https://www.legislation.gov.uk/ukpga/2010/15/contents" TargetMode="External"/><Relationship Id="rId3" Type="http://schemas.openxmlformats.org/officeDocument/2006/relationships/settings" Target="settings.xml"/><Relationship Id="rId21" Type="http://schemas.openxmlformats.org/officeDocument/2006/relationships/hyperlink" Target="https://www.legislation.gov.uk/anaw/2015/2/contents/enacted" TargetMode="External"/><Relationship Id="rId7" Type="http://schemas.openxmlformats.org/officeDocument/2006/relationships/hyperlink" Target="https://www.gov.uk/government/publications/levelling-up-the-united-kingdom" TargetMode="External"/><Relationship Id="rId12" Type="http://schemas.openxmlformats.org/officeDocument/2006/relationships/hyperlink" Target="https://www.health.org.uk/publications/reports/the-marmot-review-10-years-on" TargetMode="External"/><Relationship Id="rId17" Type="http://schemas.openxmlformats.org/officeDocument/2006/relationships/hyperlink" Target="https://www.gov.uk/government/publications/uk-shared-prosperity-fund-prospectu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jgp.org/content/71/710/e701" TargetMode="External"/><Relationship Id="rId20" Type="http://schemas.openxmlformats.org/officeDocument/2006/relationships/hyperlink" Target="https://unstats.un.org/sdgs/report/2023/" TargetMode="External"/><Relationship Id="rId1" Type="http://schemas.openxmlformats.org/officeDocument/2006/relationships/numbering" Target="numbering.xml"/><Relationship Id="rId6" Type="http://schemas.openxmlformats.org/officeDocument/2006/relationships/hyperlink" Target="https://www.gov.uk/government/collections/health-and-care-act-2022" TargetMode="External"/><Relationship Id="rId11"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24" Type="http://schemas.openxmlformats.org/officeDocument/2006/relationships/fontTable" Target="fontTable.xml"/><Relationship Id="rId5" Type="http://schemas.openxmlformats.org/officeDocument/2006/relationships/hyperlink" Target="https://jech.bmj.com/content/74/11/964" TargetMode="External"/><Relationship Id="rId15" Type="http://schemas.openxmlformats.org/officeDocument/2006/relationships/hyperlink" Target="https://www.gov.uk/government/publications/covid-19-review-of-disparities-in-risks-and-outcomes" TargetMode="External"/><Relationship Id="rId23" Type="http://schemas.openxmlformats.org/officeDocument/2006/relationships/hyperlink" Target="https://www.who.int/publications/i/item/9789240074323" TargetMode="External"/><Relationship Id="rId10" Type="http://schemas.openxmlformats.org/officeDocument/2006/relationships/hyperlink" Target="https://www.local.gov.uk/topics/social-care-health-and-integration/public-health" TargetMode="External"/><Relationship Id="rId19" Type="http://schemas.openxmlformats.org/officeDocument/2006/relationships/hyperlink" Target="https://sdgs.un.org/2030agenda" TargetMode="External"/><Relationship Id="rId4" Type="http://schemas.openxmlformats.org/officeDocument/2006/relationships/webSettings" Target="webSettings.xml"/><Relationship Id="rId9" Type="http://schemas.openxmlformats.org/officeDocument/2006/relationships/hyperlink" Target="https://www.kingsfund.org.uk/insight-and-analysis/data-and-charts/key-facts-figures-nhs" TargetMode="External"/><Relationship Id="rId14" Type="http://schemas.openxmlformats.org/officeDocument/2006/relationships/hyperlink" Target="https://www.longtermplan.nhs.uk/" TargetMode="External"/><Relationship Id="rId22" Type="http://schemas.openxmlformats.org/officeDocument/2006/relationships/hyperlink" Target="https://www.who.int/data/stories/the-triple-billion-targets-a-visual-summary-of-methods-to-deliver-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TotalTime>
  <Pages>11</Pages>
  <Words>3122</Words>
  <Characters>17799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Ondrej Dzobak</cp:lastModifiedBy>
  <cp:revision>121</cp:revision>
  <dcterms:created xsi:type="dcterms:W3CDTF">2026-06-20T13:34:00Z</dcterms:created>
  <dcterms:modified xsi:type="dcterms:W3CDTF">2026-06-23T10:28:00Z</dcterms:modified>
</cp:coreProperties>
</file>