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4DE92" w14:textId="18E1DA60" w:rsidR="004D2466" w:rsidRDefault="004D2466" w:rsidP="004D2466">
      <w:pPr>
        <w:pStyle w:val="NormalWeb"/>
        <w:spacing w:before="0" w:beforeAutospacing="0" w:after="0" w:afterAutospacing="0"/>
        <w:ind w:right="-334"/>
        <w:rPr>
          <w:rFonts w:ascii="Trebuchet MS" w:hAnsi="Trebuchet MS" w:cs="Tahoma"/>
          <w:sz w:val="24"/>
          <w:szCs w:val="24"/>
        </w:rPr>
      </w:pPr>
      <w:r>
        <w:rPr>
          <w:noProof/>
          <w:lang w:eastAsia="en-GB"/>
        </w:rPr>
        <w:drawing>
          <wp:inline distT="0" distB="0" distL="0" distR="0" wp14:anchorId="7C046C8A" wp14:editId="03882436">
            <wp:extent cx="2882900" cy="1054100"/>
            <wp:effectExtent l="25400" t="25400" r="38100" b="381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14:paraId="2B9B6B5F" w14:textId="77777777" w:rsidR="004D2466" w:rsidRDefault="004D2466" w:rsidP="004D2466">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44BAA33A" w14:textId="7304703E" w:rsidR="004D2466" w:rsidRPr="001E50BB" w:rsidRDefault="004D2466" w:rsidP="00C51D4C">
      <w:pPr>
        <w:jc w:val="center"/>
        <w:rPr>
          <w:rFonts w:ascii="Arial" w:hAnsi="Arial" w:cs="Arial"/>
          <w:b/>
          <w:lang w:val="cy-GB"/>
        </w:rPr>
      </w:pPr>
      <w:r w:rsidRPr="001E50BB">
        <w:rPr>
          <w:rFonts w:ascii="Arial" w:hAnsi="Arial" w:cs="Arial"/>
          <w:b/>
          <w:lang w:val="cy-GB"/>
        </w:rPr>
        <w:t>(to be completed by marker)</w:t>
      </w:r>
    </w:p>
    <w:p w14:paraId="4714C462" w14:textId="77777777" w:rsidR="004D2466" w:rsidRDefault="004D2466" w:rsidP="004D2466">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D2466" w:rsidRPr="0065654E" w14:paraId="1CF463D9" w14:textId="77777777" w:rsidTr="002E468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02BEB50D" w14:textId="77777777" w:rsidR="004D2466" w:rsidRDefault="004D2466" w:rsidP="002E4686">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69347834" w14:textId="2B83558A" w:rsidR="004D2466" w:rsidRPr="0065654E" w:rsidRDefault="004D2466" w:rsidP="002E468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Sophie Taylor</w:t>
            </w:r>
          </w:p>
        </w:tc>
      </w:tr>
      <w:tr w:rsidR="004D2466" w:rsidRPr="0065654E" w14:paraId="4D1DFF06" w14:textId="77777777" w:rsidTr="002E468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6A73719" w14:textId="68755F9B" w:rsidR="004D2466" w:rsidRDefault="004D2466" w:rsidP="002E468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CLAH4007</w:t>
            </w:r>
          </w:p>
          <w:p w14:paraId="37F9ADEC" w14:textId="77777777" w:rsidR="004D2466" w:rsidRDefault="004D2466" w:rsidP="002E4686">
            <w:pPr>
              <w:pStyle w:val="NormalWeb"/>
              <w:spacing w:before="0" w:beforeAutospacing="0" w:after="0" w:afterAutospacing="0"/>
              <w:ind w:right="34"/>
              <w:rPr>
                <w:rFonts w:ascii="Calibri" w:hAnsi="Calibri" w:cs="Tahoma"/>
                <w:i/>
                <w:sz w:val="24"/>
                <w:szCs w:val="24"/>
              </w:rPr>
            </w:pPr>
          </w:p>
          <w:p w14:paraId="00920989" w14:textId="30C7BB95" w:rsidR="004D2466" w:rsidRDefault="004D2466" w:rsidP="002E468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i/>
                <w:sz w:val="24"/>
                <w:szCs w:val="24"/>
              </w:rPr>
              <w:t>Defenders, Conquers, Vanquished: Greek and Hellenistic</w:t>
            </w:r>
            <w:r w:rsidR="00C51D4C">
              <w:rPr>
                <w:rFonts w:ascii="Calibri" w:hAnsi="Calibri" w:cs="Tahoma"/>
                <w:i/>
                <w:sz w:val="24"/>
                <w:szCs w:val="24"/>
              </w:rPr>
              <w:t xml:space="preserve"> History</w:t>
            </w:r>
            <w:r>
              <w:rPr>
                <w:rFonts w:ascii="Calibri" w:hAnsi="Calibri" w:cs="Tahoma"/>
                <w:i/>
                <w:sz w:val="24"/>
                <w:szCs w:val="24"/>
              </w:rPr>
              <w:t xml:space="preserve"> </w:t>
            </w:r>
          </w:p>
          <w:p w14:paraId="7D84753A" w14:textId="77777777" w:rsidR="004D2466" w:rsidRPr="0065654E" w:rsidRDefault="004D2466" w:rsidP="002E4686">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5D923592" w14:textId="79740583" w:rsidR="004D2466" w:rsidRPr="0065654E" w:rsidRDefault="004D2466" w:rsidP="002E468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C51D4C">
              <w:rPr>
                <w:rFonts w:ascii="Calibri" w:hAnsi="Calibri" w:cs="Tahoma"/>
                <w:i/>
                <w:sz w:val="24"/>
                <w:szCs w:val="24"/>
              </w:rPr>
              <w:t xml:space="preserve"> 1700991</w:t>
            </w:r>
          </w:p>
        </w:tc>
      </w:tr>
      <w:tr w:rsidR="004D2466" w:rsidRPr="0065654E" w14:paraId="542ADD96" w14:textId="77777777" w:rsidTr="002E4686">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2CD72FB" w14:textId="77777777" w:rsidR="004D2466" w:rsidRPr="0065654E" w:rsidRDefault="004D2466" w:rsidP="002E4686">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64305CEC" w14:textId="2E69B46F" w:rsidR="00C51D4C" w:rsidRDefault="004D2466" w:rsidP="002E4686">
            <w:pPr>
              <w:pStyle w:val="NormalWeb"/>
              <w:rPr>
                <w:rFonts w:ascii="Calibri" w:hAnsi="Calibri" w:cs="Tahoma"/>
                <w:i/>
                <w:sz w:val="24"/>
                <w:szCs w:val="24"/>
              </w:rPr>
            </w:pPr>
            <w:r w:rsidRPr="0065654E">
              <w:rPr>
                <w:rFonts w:ascii="Calibri" w:hAnsi="Calibri" w:cs="Tahoma"/>
                <w:i/>
                <w:sz w:val="24"/>
                <w:szCs w:val="24"/>
              </w:rPr>
              <w:t>Comments:</w:t>
            </w:r>
          </w:p>
          <w:p w14:paraId="7BD21A30" w14:textId="77777777" w:rsidR="004D2466" w:rsidRDefault="004D2466" w:rsidP="002E4686">
            <w:pPr>
              <w:pStyle w:val="NormalWeb"/>
              <w:rPr>
                <w:rFonts w:ascii="Calibri" w:hAnsi="Calibri" w:cs="Tahoma"/>
                <w:i/>
                <w:sz w:val="24"/>
                <w:szCs w:val="24"/>
              </w:rPr>
            </w:pPr>
          </w:p>
          <w:p w14:paraId="4643AB5B" w14:textId="77777777" w:rsidR="004D2466" w:rsidRDefault="004D2466" w:rsidP="002E4686">
            <w:pPr>
              <w:pStyle w:val="NormalWeb"/>
              <w:rPr>
                <w:rFonts w:ascii="Calibri" w:hAnsi="Calibri" w:cs="Tahoma"/>
                <w:i/>
                <w:sz w:val="24"/>
                <w:szCs w:val="24"/>
              </w:rPr>
            </w:pPr>
          </w:p>
          <w:p w14:paraId="2D11AF15" w14:textId="77777777" w:rsidR="004D2466" w:rsidRDefault="004D2466" w:rsidP="002E4686">
            <w:pPr>
              <w:pStyle w:val="NormalWeb"/>
              <w:rPr>
                <w:rFonts w:ascii="Calibri" w:hAnsi="Calibri" w:cs="Tahoma"/>
                <w:i/>
                <w:sz w:val="24"/>
                <w:szCs w:val="24"/>
              </w:rPr>
            </w:pPr>
          </w:p>
          <w:p w14:paraId="1A76771F" w14:textId="77777777" w:rsidR="004D2466" w:rsidRDefault="004D2466" w:rsidP="002E4686">
            <w:pPr>
              <w:pStyle w:val="NormalWeb"/>
              <w:rPr>
                <w:rFonts w:ascii="Calibri" w:hAnsi="Calibri" w:cs="Tahoma"/>
                <w:i/>
                <w:sz w:val="24"/>
                <w:szCs w:val="24"/>
              </w:rPr>
            </w:pPr>
          </w:p>
          <w:p w14:paraId="4DC4A678" w14:textId="77777777" w:rsidR="004D2466" w:rsidRDefault="004D2466" w:rsidP="002E4686">
            <w:pPr>
              <w:pStyle w:val="NormalWeb"/>
              <w:rPr>
                <w:rFonts w:ascii="Calibri" w:hAnsi="Calibri" w:cs="Tahoma"/>
                <w:i/>
                <w:sz w:val="24"/>
                <w:szCs w:val="24"/>
              </w:rPr>
            </w:pPr>
          </w:p>
          <w:p w14:paraId="0C332B01" w14:textId="77777777" w:rsidR="004D2466" w:rsidRDefault="004D2466" w:rsidP="002E4686">
            <w:pPr>
              <w:pStyle w:val="NormalWeb"/>
              <w:rPr>
                <w:rFonts w:ascii="Calibri" w:hAnsi="Calibri" w:cs="Tahoma"/>
                <w:i/>
                <w:sz w:val="24"/>
                <w:szCs w:val="24"/>
              </w:rPr>
            </w:pPr>
          </w:p>
          <w:p w14:paraId="22057DF0" w14:textId="77777777" w:rsidR="004D2466" w:rsidRDefault="004D2466" w:rsidP="002E4686">
            <w:pPr>
              <w:pStyle w:val="NormalWeb"/>
              <w:rPr>
                <w:rFonts w:ascii="Calibri" w:hAnsi="Calibri" w:cs="Tahoma"/>
                <w:i/>
                <w:sz w:val="24"/>
                <w:szCs w:val="24"/>
              </w:rPr>
            </w:pPr>
          </w:p>
          <w:p w14:paraId="47BD18FC" w14:textId="77777777" w:rsidR="004D2466" w:rsidRDefault="004D2466" w:rsidP="002E4686">
            <w:pPr>
              <w:pStyle w:val="NormalWeb"/>
              <w:rPr>
                <w:rFonts w:ascii="Calibri" w:hAnsi="Calibri" w:cs="Tahoma"/>
                <w:i/>
                <w:sz w:val="24"/>
                <w:szCs w:val="24"/>
              </w:rPr>
            </w:pPr>
          </w:p>
          <w:p w14:paraId="3C744940" w14:textId="77777777" w:rsidR="004D2466" w:rsidRPr="0065654E" w:rsidRDefault="004D2466" w:rsidP="002E4686">
            <w:pPr>
              <w:pStyle w:val="NormalWeb"/>
              <w:rPr>
                <w:rFonts w:ascii="Calibri" w:hAnsi="Calibri" w:cs="Tahoma"/>
                <w:i/>
                <w:sz w:val="24"/>
                <w:szCs w:val="24"/>
              </w:rPr>
            </w:pPr>
          </w:p>
        </w:tc>
      </w:tr>
      <w:tr w:rsidR="004D2466" w:rsidRPr="0065654E" w14:paraId="3DC08FBF" w14:textId="77777777" w:rsidTr="002E4686">
        <w:trPr>
          <w:trHeight w:val="492"/>
        </w:trPr>
        <w:tc>
          <w:tcPr>
            <w:tcW w:w="6768" w:type="dxa"/>
            <w:gridSpan w:val="2"/>
            <w:tcBorders>
              <w:top w:val="single" w:sz="4" w:space="0" w:color="auto"/>
            </w:tcBorders>
            <w:vAlign w:val="center"/>
          </w:tcPr>
          <w:p w14:paraId="0B83AC52" w14:textId="77777777" w:rsidR="004D2466" w:rsidRPr="0065654E" w:rsidRDefault="004D2466" w:rsidP="002E4686">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55767DAF" w14:textId="77777777" w:rsidR="004D2466" w:rsidRPr="0065654E" w:rsidRDefault="004D2466" w:rsidP="002E4686">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4D2466" w:rsidRPr="0065654E" w14:paraId="42694DFC" w14:textId="77777777" w:rsidTr="002E4686">
        <w:tc>
          <w:tcPr>
            <w:tcW w:w="8755" w:type="dxa"/>
            <w:gridSpan w:val="3"/>
            <w:vAlign w:val="center"/>
          </w:tcPr>
          <w:p w14:paraId="1F575ED1" w14:textId="77777777" w:rsidR="004D2466" w:rsidRDefault="004D2466" w:rsidP="002E4686">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75DD35E3" w14:textId="77777777" w:rsidR="004D2466" w:rsidRPr="0065654E" w:rsidRDefault="004D2466" w:rsidP="002E4686">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AEB9D75" w14:textId="283BD2FA" w:rsidR="004D2466" w:rsidRDefault="004D2466">
      <w:pPr>
        <w:rPr>
          <w:rFonts w:ascii="Times New Roman" w:eastAsia="Times New Roman" w:hAnsi="Times New Roman" w:cs="Times New Roman"/>
          <w:sz w:val="24"/>
          <w:szCs w:val="24"/>
          <w:u w:val="single"/>
        </w:rPr>
      </w:pPr>
    </w:p>
    <w:p w14:paraId="6E866FED" w14:textId="226940E7" w:rsidR="06E69094" w:rsidRDefault="3555DDF2" w:rsidP="3555DDF2">
      <w:pPr>
        <w:spacing w:line="480" w:lineRule="auto"/>
        <w:rPr>
          <w:rFonts w:ascii="Times New Roman" w:eastAsia="Times New Roman" w:hAnsi="Times New Roman" w:cs="Times New Roman"/>
          <w:sz w:val="24"/>
          <w:szCs w:val="24"/>
          <w:u w:val="single"/>
        </w:rPr>
      </w:pPr>
      <w:r w:rsidRPr="3555DDF2">
        <w:rPr>
          <w:rFonts w:ascii="Times New Roman" w:eastAsia="Times New Roman" w:hAnsi="Times New Roman" w:cs="Times New Roman"/>
          <w:sz w:val="24"/>
          <w:szCs w:val="24"/>
          <w:u w:val="single"/>
        </w:rPr>
        <w:lastRenderedPageBreak/>
        <w:t>3) ‘On the events of the war, I did not think it proper to write on the basis of chance encounters, or of my own judgement, but of events at which I was present myself and in the other cases investigating each matter with as much accuracy as possible’ (Thucydides 1.22.2). Discuss the validity of Thucydides as a source and his position as the ‘father of history’.</w:t>
      </w:r>
      <w:r w:rsidRPr="3555DDF2">
        <w:rPr>
          <w:rFonts w:ascii="Times New Roman" w:eastAsia="Times New Roman" w:hAnsi="Times New Roman" w:cs="Times New Roman"/>
          <w:sz w:val="24"/>
          <w:szCs w:val="24"/>
        </w:rPr>
        <w:t xml:space="preserve"> </w:t>
      </w:r>
    </w:p>
    <w:p w14:paraId="612106B2" w14:textId="0CE638A7" w:rsidR="06E69094"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Thucydides as a source has proven a useful tool in understanding the Peloponnesian War. However, in order to know to what extent, we can regard, </w:t>
      </w:r>
      <w:r w:rsidRPr="3555DDF2">
        <w:rPr>
          <w:rFonts w:ascii="Times New Roman" w:eastAsia="Times New Roman" w:hAnsi="Times New Roman" w:cs="Times New Roman"/>
          <w:i/>
          <w:iCs/>
          <w:sz w:val="24"/>
          <w:szCs w:val="24"/>
        </w:rPr>
        <w:t>The History of the Peloponnesian War</w:t>
      </w:r>
      <w:r w:rsidRPr="3555DDF2">
        <w:rPr>
          <w:rFonts w:ascii="Times New Roman" w:eastAsia="Times New Roman" w:hAnsi="Times New Roman" w:cs="Times New Roman"/>
          <w:sz w:val="24"/>
          <w:szCs w:val="24"/>
        </w:rPr>
        <w:t>, as valid we must look for any inconsistencies or inaccuracies which may prompt us to question the credibility of Thucydides overall. Thucydides' position as the 'father of history' will then be considered. In order to do so the origin of this title and to whom it originally referred will be discussed. Why Thucydides' is the more appropriate historian to be perceived as the 'father of history' will also be argued by presenting the strengths and weaknesses of each historian.</w:t>
      </w:r>
    </w:p>
    <w:p w14:paraId="0195FD63" w14:textId="720B715A" w:rsidR="06E69094" w:rsidRDefault="06E69094" w:rsidP="3555DDF2">
      <w:pPr>
        <w:spacing w:line="480" w:lineRule="auto"/>
        <w:rPr>
          <w:rFonts w:ascii="Times New Roman" w:eastAsia="Times New Roman" w:hAnsi="Times New Roman" w:cs="Times New Roman"/>
          <w:sz w:val="24"/>
          <w:szCs w:val="24"/>
        </w:rPr>
      </w:pPr>
      <w:r w:rsidRPr="06E69094">
        <w:rPr>
          <w:rFonts w:ascii="Times New Roman" w:eastAsia="Times New Roman" w:hAnsi="Times New Roman" w:cs="Times New Roman"/>
          <w:sz w:val="24"/>
          <w:szCs w:val="24"/>
        </w:rPr>
        <w:t xml:space="preserve"> By first e</w:t>
      </w:r>
      <w:r w:rsidR="380DFA5E" w:rsidRPr="380DFA5E">
        <w:rPr>
          <w:rFonts w:ascii="Times New Roman" w:eastAsia="Times New Roman" w:hAnsi="Times New Roman" w:cs="Times New Roman"/>
          <w:sz w:val="24"/>
          <w:szCs w:val="24"/>
        </w:rPr>
        <w:t xml:space="preserve">stablishing his work can be proven factual, logically sound and generally comprehensible we may </w:t>
      </w:r>
      <w:r w:rsidRPr="06E69094">
        <w:rPr>
          <w:rFonts w:ascii="Times New Roman" w:eastAsia="Times New Roman" w:hAnsi="Times New Roman" w:cs="Times New Roman"/>
          <w:sz w:val="24"/>
          <w:szCs w:val="24"/>
        </w:rPr>
        <w:t>consider to what degree his work is a reliable account of the events following the outbreak of war in 431BC</w:t>
      </w:r>
      <w:r w:rsidRPr="06E69094">
        <w:rPr>
          <w:rStyle w:val="FootnoteReference"/>
          <w:rFonts w:ascii="Times New Roman" w:eastAsia="Times New Roman" w:hAnsi="Times New Roman" w:cs="Times New Roman"/>
          <w:sz w:val="24"/>
          <w:szCs w:val="24"/>
        </w:rPr>
        <w:footnoteReference w:id="1"/>
      </w:r>
      <w:r w:rsidRPr="06E69094">
        <w:rPr>
          <w:rFonts w:ascii="Times New Roman" w:eastAsia="Times New Roman" w:hAnsi="Times New Roman" w:cs="Times New Roman"/>
          <w:sz w:val="24"/>
          <w:szCs w:val="24"/>
        </w:rPr>
        <w:t>.  As the aforementioned can be demonstrated within Thucydides' work, via comparison to other relevant ancient sources, we can determine his overall validity to be strong despite some criticisms of him as a source.</w:t>
      </w:r>
    </w:p>
    <w:p w14:paraId="26E7934B" w14:textId="096710AC" w:rsidR="06E69094" w:rsidRDefault="06E69094" w:rsidP="3555DDF2">
      <w:pPr>
        <w:spacing w:line="480" w:lineRule="auto"/>
        <w:rPr>
          <w:rFonts w:ascii="Times New Roman" w:eastAsia="Times New Roman" w:hAnsi="Times New Roman" w:cs="Times New Roman"/>
          <w:sz w:val="24"/>
          <w:szCs w:val="24"/>
        </w:rPr>
      </w:pPr>
      <w:r w:rsidRPr="06E69094">
        <w:rPr>
          <w:rFonts w:ascii="Times New Roman" w:eastAsia="Times New Roman" w:hAnsi="Times New Roman" w:cs="Times New Roman"/>
          <w:sz w:val="24"/>
          <w:szCs w:val="24"/>
        </w:rPr>
        <w:t>Thucydides (c.460/455 - 399/398BC)</w:t>
      </w:r>
      <w:r w:rsidRPr="06E69094">
        <w:rPr>
          <w:rStyle w:val="FootnoteReference"/>
          <w:rFonts w:ascii="Times New Roman" w:eastAsia="Times New Roman" w:hAnsi="Times New Roman" w:cs="Times New Roman"/>
          <w:sz w:val="24"/>
          <w:szCs w:val="24"/>
        </w:rPr>
        <w:footnoteReference w:id="2"/>
      </w:r>
      <w:r w:rsidRPr="06E69094">
        <w:rPr>
          <w:rFonts w:ascii="Times New Roman" w:eastAsia="Times New Roman" w:hAnsi="Times New Roman" w:cs="Times New Roman"/>
          <w:sz w:val="24"/>
          <w:szCs w:val="24"/>
        </w:rPr>
        <w:t xml:space="preserve"> served as an Athenian general in 424BC</w:t>
      </w:r>
      <w:r w:rsidRPr="06E69094">
        <w:rPr>
          <w:rStyle w:val="FootnoteReference"/>
          <w:rFonts w:ascii="Times New Roman" w:eastAsia="Times New Roman" w:hAnsi="Times New Roman" w:cs="Times New Roman"/>
          <w:sz w:val="24"/>
          <w:szCs w:val="24"/>
        </w:rPr>
        <w:footnoteReference w:id="3"/>
      </w:r>
      <w:r w:rsidRPr="06E69094">
        <w:rPr>
          <w:rFonts w:ascii="Times New Roman" w:eastAsia="Times New Roman" w:hAnsi="Times New Roman" w:cs="Times New Roman"/>
          <w:sz w:val="24"/>
          <w:szCs w:val="24"/>
        </w:rPr>
        <w:t xml:space="preserve"> experiencing first-hand the war contained within his work. </w:t>
      </w:r>
      <w:r w:rsidR="380DFA5E" w:rsidRPr="3555DDF2">
        <w:rPr>
          <w:rFonts w:ascii="Times New Roman" w:eastAsia="Times New Roman" w:hAnsi="Times New Roman" w:cs="Times New Roman"/>
          <w:sz w:val="24"/>
          <w:szCs w:val="24"/>
        </w:rPr>
        <w:t>When describing the way in which, 'Athens' fleet and fortifications made its urban center impregnable to attack'</w:t>
      </w:r>
      <w:r w:rsidRPr="3555DDF2">
        <w:rPr>
          <w:rStyle w:val="FootnoteReference"/>
          <w:rFonts w:ascii="Times New Roman" w:eastAsia="Times New Roman" w:hAnsi="Times New Roman" w:cs="Times New Roman"/>
          <w:sz w:val="24"/>
          <w:szCs w:val="24"/>
        </w:rPr>
        <w:footnoteReference w:id="4"/>
      </w:r>
      <w:r w:rsidR="380DFA5E" w:rsidRPr="3555DDF2">
        <w:rPr>
          <w:rFonts w:ascii="Times New Roman" w:eastAsia="Times New Roman" w:hAnsi="Times New Roman" w:cs="Times New Roman"/>
          <w:sz w:val="24"/>
          <w:szCs w:val="24"/>
        </w:rPr>
        <w:t xml:space="preserve"> Thucydides refers to the methods </w:t>
      </w:r>
      <w:r w:rsidR="380DFA5E" w:rsidRPr="3555DDF2">
        <w:rPr>
          <w:rFonts w:ascii="Times New Roman" w:eastAsia="Times New Roman" w:hAnsi="Times New Roman" w:cs="Times New Roman"/>
          <w:sz w:val="24"/>
          <w:szCs w:val="24"/>
        </w:rPr>
        <w:lastRenderedPageBreak/>
        <w:t>used</w:t>
      </w:r>
      <w:r w:rsidRPr="380DFA5E">
        <w:rPr>
          <w:rStyle w:val="FootnoteReference"/>
          <w:rFonts w:ascii="Times New Roman" w:eastAsia="Times New Roman" w:hAnsi="Times New Roman" w:cs="Times New Roman"/>
          <w:sz w:val="24"/>
          <w:szCs w:val="24"/>
        </w:rPr>
        <w:footnoteReference w:id="5"/>
      </w:r>
      <w:r w:rsidR="380DFA5E" w:rsidRPr="3555DDF2">
        <w:rPr>
          <w:rFonts w:ascii="Times New Roman" w:eastAsia="Times New Roman" w:hAnsi="Times New Roman" w:cs="Times New Roman"/>
          <w:sz w:val="24"/>
          <w:szCs w:val="24"/>
        </w:rPr>
        <w:t xml:space="preserve"> showing an intimate understanding of Athenian practice. W</w:t>
      </w:r>
      <w:r w:rsidR="66BACB47" w:rsidRPr="3555DDF2">
        <w:rPr>
          <w:rFonts w:ascii="Times New Roman" w:eastAsia="Times New Roman" w:hAnsi="Times New Roman" w:cs="Times New Roman"/>
          <w:sz w:val="24"/>
          <w:szCs w:val="24"/>
        </w:rPr>
        <w:t xml:space="preserve">e can assume he is personally aware of the many strategies referenced within his work as a result of practical engagement with these methods in turn allowing us to assume the references are fully understood and therefore accurately being recorded increasing his overall validity. </w:t>
      </w:r>
    </w:p>
    <w:p w14:paraId="54D2F0A4" w14:textId="45475339" w:rsidR="06E69094"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Ultimately when discussing a source, one must assess multiple elements of said source to determine a degree of validity within it rather than a categorical absolutist yes, this source is valid or no it is not. It has been argued by many modern scholars that the validity of Thucydides relies on more than whether he is completely factual. The way in which his work is presented remains the biggest point of mention for this argument. Indeed, 'his work constitutes a standard of presentation'</w:t>
      </w:r>
      <w:r w:rsidR="06E69094" w:rsidRPr="3555DDF2">
        <w:rPr>
          <w:rStyle w:val="FootnoteReference"/>
          <w:rFonts w:ascii="Times New Roman" w:eastAsia="Times New Roman" w:hAnsi="Times New Roman" w:cs="Times New Roman"/>
          <w:sz w:val="24"/>
          <w:szCs w:val="24"/>
        </w:rPr>
        <w:footnoteReference w:id="6"/>
      </w:r>
      <w:r w:rsidRPr="3555DDF2">
        <w:rPr>
          <w:rFonts w:ascii="Times New Roman" w:eastAsia="Times New Roman" w:hAnsi="Times New Roman" w:cs="Times New Roman"/>
          <w:sz w:val="24"/>
          <w:szCs w:val="24"/>
        </w:rPr>
        <w:t>. Despite being a member of the Athenian elite he was willing to at the very least attempt to display, 'with as much accuracy as possible'</w:t>
      </w:r>
      <w:r w:rsidR="06E69094" w:rsidRPr="3555DDF2">
        <w:rPr>
          <w:rStyle w:val="FootnoteReference"/>
          <w:rFonts w:ascii="Times New Roman" w:eastAsia="Times New Roman" w:hAnsi="Times New Roman" w:cs="Times New Roman"/>
          <w:sz w:val="24"/>
          <w:szCs w:val="24"/>
        </w:rPr>
        <w:footnoteReference w:id="7"/>
      </w:r>
      <w:r w:rsidRPr="3555DDF2">
        <w:rPr>
          <w:rFonts w:ascii="Times New Roman" w:eastAsia="Times New Roman" w:hAnsi="Times New Roman" w:cs="Times New Roman"/>
          <w:sz w:val="24"/>
          <w:szCs w:val="24"/>
        </w:rPr>
        <w:t xml:space="preserve"> as unbiased of a view as any one person can hope to achieve. As a historian it was fundamentally important that Thucydides was able to treat the war in such a way as to avoid assigning blame or accusation. As an Athenian during this time of uneasy tensions this would be a hard task to achieve without, 'challenging widely held attitudes, including those of his own social class'</w:t>
      </w:r>
      <w:r w:rsidR="06E69094" w:rsidRPr="3555DDF2">
        <w:rPr>
          <w:rStyle w:val="FootnoteReference"/>
          <w:rFonts w:ascii="Times New Roman" w:eastAsia="Times New Roman" w:hAnsi="Times New Roman" w:cs="Times New Roman"/>
          <w:sz w:val="24"/>
          <w:szCs w:val="24"/>
        </w:rPr>
        <w:footnoteReference w:id="8"/>
      </w:r>
      <w:r w:rsidRPr="3555DDF2">
        <w:rPr>
          <w:rFonts w:ascii="Times New Roman" w:eastAsia="Times New Roman" w:hAnsi="Times New Roman" w:cs="Times New Roman"/>
          <w:sz w:val="24"/>
          <w:szCs w:val="24"/>
        </w:rPr>
        <w:t>. This dedication to writing in such a way that each and every case he himself could not be present for was thoroughly researched and recorded in a relatively unbiased and largely factual, clear way allows us to fully appreciate the intention behind the writing of Thucydides. It also shows us that Thucydides is arguably, 'one of the most lucid ancient writers'</w:t>
      </w:r>
      <w:r w:rsidR="06E69094" w:rsidRPr="3555DDF2">
        <w:rPr>
          <w:rStyle w:val="FootnoteReference"/>
          <w:rFonts w:ascii="Times New Roman" w:eastAsia="Times New Roman" w:hAnsi="Times New Roman" w:cs="Times New Roman"/>
          <w:sz w:val="24"/>
          <w:szCs w:val="24"/>
        </w:rPr>
        <w:footnoteReference w:id="9"/>
      </w:r>
      <w:r w:rsidRPr="3555DDF2">
        <w:rPr>
          <w:rFonts w:ascii="Times New Roman" w:eastAsia="Times New Roman" w:hAnsi="Times New Roman" w:cs="Times New Roman"/>
          <w:sz w:val="24"/>
          <w:szCs w:val="24"/>
        </w:rPr>
        <w:t>.</w:t>
      </w:r>
    </w:p>
    <w:p w14:paraId="5CD47B33" w14:textId="678C0563" w:rsidR="680FB971" w:rsidRDefault="680FB971" w:rsidP="3555DDF2">
      <w:pPr>
        <w:spacing w:line="480" w:lineRule="auto"/>
        <w:rPr>
          <w:rFonts w:ascii="Times New Roman" w:eastAsia="Times New Roman" w:hAnsi="Times New Roman" w:cs="Times New Roman"/>
          <w:sz w:val="24"/>
          <w:szCs w:val="24"/>
        </w:rPr>
      </w:pPr>
      <w:r w:rsidRPr="680FB971">
        <w:rPr>
          <w:rFonts w:ascii="Times New Roman" w:eastAsia="Times New Roman" w:hAnsi="Times New Roman" w:cs="Times New Roman"/>
          <w:sz w:val="24"/>
          <w:szCs w:val="24"/>
        </w:rPr>
        <w:lastRenderedPageBreak/>
        <w:t>Within the beginning of his work Thucydides conveys his intentions suggesting you will not come across his, 'own judgement' as he did not, 'think it proper'</w:t>
      </w:r>
      <w:r w:rsidRPr="680FB971">
        <w:rPr>
          <w:rStyle w:val="FootnoteReference"/>
          <w:rFonts w:ascii="Times New Roman" w:eastAsia="Times New Roman" w:hAnsi="Times New Roman" w:cs="Times New Roman"/>
          <w:sz w:val="24"/>
          <w:szCs w:val="24"/>
        </w:rPr>
        <w:footnoteReference w:id="10"/>
      </w:r>
      <w:r w:rsidRPr="680FB971">
        <w:rPr>
          <w:rFonts w:ascii="Times New Roman" w:eastAsia="Times New Roman" w:hAnsi="Times New Roman" w:cs="Times New Roman"/>
          <w:sz w:val="24"/>
          <w:szCs w:val="24"/>
        </w:rPr>
        <w:t>. By including such a statement he shows explicitly to the reader that as far as he can determine everything contained within the work shall be impartial, at least from his own view points and opinions. But to what extent is he able to remain objective? It is safe to assume that Thucydides has a very personal connection to this time period and the conflict that took place during it. He began to record his version of an unbiased history during the same year the war took place</w:t>
      </w:r>
      <w:r w:rsidRPr="680FB971">
        <w:rPr>
          <w:rStyle w:val="FootnoteReference"/>
          <w:rFonts w:ascii="Times New Roman" w:eastAsia="Times New Roman" w:hAnsi="Times New Roman" w:cs="Times New Roman"/>
          <w:sz w:val="24"/>
          <w:szCs w:val="24"/>
        </w:rPr>
        <w:footnoteReference w:id="11"/>
      </w:r>
      <w:r w:rsidRPr="680FB971">
        <w:rPr>
          <w:rFonts w:ascii="Times New Roman" w:eastAsia="Times New Roman" w:hAnsi="Times New Roman" w:cs="Times New Roman"/>
          <w:sz w:val="24"/>
          <w:szCs w:val="24"/>
        </w:rPr>
        <w:t xml:space="preserve"> and as a result, may have struggled to maintain his bias and prevent emotions from effecting how he chooses to describe and inform on certain events of the war. One example of this can be found </w:t>
      </w:r>
      <w:r w:rsidR="380DFA5E" w:rsidRPr="380DFA5E">
        <w:rPr>
          <w:rFonts w:ascii="Times New Roman" w:eastAsia="Times New Roman" w:hAnsi="Times New Roman" w:cs="Times New Roman"/>
          <w:sz w:val="24"/>
          <w:szCs w:val="24"/>
        </w:rPr>
        <w:t>when he describes the way in which the people of Mycalessus where brutally attacked by the Thracians during the early hours of the morning, '</w:t>
      </w:r>
      <w:r w:rsidRPr="680FB971">
        <w:rPr>
          <w:rFonts w:ascii="Times New Roman" w:eastAsia="Times New Roman" w:hAnsi="Times New Roman" w:cs="Times New Roman"/>
          <w:sz w:val="24"/>
          <w:szCs w:val="24"/>
        </w:rPr>
        <w:t>The inhabitants being off their guard and not expecting that anyone would ever...molest them'</w:t>
      </w:r>
      <w:r w:rsidRPr="680FB971">
        <w:rPr>
          <w:rStyle w:val="FootnoteReference"/>
          <w:rFonts w:ascii="Times New Roman" w:eastAsia="Times New Roman" w:hAnsi="Times New Roman" w:cs="Times New Roman"/>
          <w:sz w:val="24"/>
          <w:szCs w:val="24"/>
        </w:rPr>
        <w:footnoteReference w:id="12"/>
      </w:r>
      <w:r w:rsidRPr="680FB971">
        <w:rPr>
          <w:rFonts w:ascii="Times New Roman" w:eastAsia="Times New Roman" w:hAnsi="Times New Roman" w:cs="Times New Roman"/>
          <w:sz w:val="24"/>
          <w:szCs w:val="24"/>
        </w:rPr>
        <w:t>, the particular use of the word 'molest' here is quite a striking choice as it suggests an abuse of these people and their home not, which we may expect from a military historian, typical collateral damage of an ongoing war. He also uses the superlative, 'bloodiest'</w:t>
      </w:r>
      <w:r w:rsidRPr="380DFA5E">
        <w:rPr>
          <w:rStyle w:val="FootnoteReference"/>
          <w:rFonts w:ascii="Times New Roman" w:eastAsia="Times New Roman" w:hAnsi="Times New Roman" w:cs="Times New Roman"/>
          <w:sz w:val="24"/>
          <w:szCs w:val="24"/>
        </w:rPr>
        <w:footnoteReference w:id="13"/>
      </w:r>
      <w:r w:rsidRPr="680FB971">
        <w:rPr>
          <w:rFonts w:ascii="Times New Roman" w:eastAsia="Times New Roman" w:hAnsi="Times New Roman" w:cs="Times New Roman"/>
          <w:sz w:val="24"/>
          <w:szCs w:val="24"/>
        </w:rPr>
        <w:t xml:space="preserve">, to describe the Thracians which suggests opinion. </w:t>
      </w:r>
    </w:p>
    <w:p w14:paraId="3A0C4A46" w14:textId="161638DF" w:rsidR="680FB971" w:rsidRDefault="680FB971" w:rsidP="3555DDF2">
      <w:pPr>
        <w:spacing w:line="480" w:lineRule="auto"/>
        <w:rPr>
          <w:rFonts w:ascii="Times New Roman" w:eastAsia="Times New Roman" w:hAnsi="Times New Roman" w:cs="Times New Roman"/>
          <w:sz w:val="24"/>
          <w:szCs w:val="24"/>
        </w:rPr>
      </w:pPr>
      <w:r w:rsidRPr="680FB971">
        <w:rPr>
          <w:rFonts w:ascii="Times New Roman" w:eastAsia="Times New Roman" w:hAnsi="Times New Roman" w:cs="Times New Roman"/>
          <w:sz w:val="24"/>
          <w:szCs w:val="24"/>
        </w:rPr>
        <w:t>Many older modern scholars appreciated the work of Thucydides due to the presumed unemotional and detached nature</w:t>
      </w:r>
      <w:r w:rsidRPr="680FB971">
        <w:rPr>
          <w:rStyle w:val="FootnoteReference"/>
          <w:rFonts w:ascii="Times New Roman" w:eastAsia="Times New Roman" w:hAnsi="Times New Roman" w:cs="Times New Roman"/>
          <w:sz w:val="24"/>
          <w:szCs w:val="24"/>
        </w:rPr>
        <w:footnoteReference w:id="14"/>
      </w:r>
      <w:r w:rsidRPr="680FB971">
        <w:rPr>
          <w:rFonts w:ascii="Times New Roman" w:eastAsia="Times New Roman" w:hAnsi="Times New Roman" w:cs="Times New Roman"/>
          <w:sz w:val="24"/>
          <w:szCs w:val="24"/>
        </w:rPr>
        <w:t>. Over more recent years much Thucydidean scholarship has branched away from this view point and after much analysis and debate headed in quite the opposite direction to an emotionally driven Thucydides</w:t>
      </w:r>
      <w:r w:rsidRPr="380DFA5E">
        <w:rPr>
          <w:rStyle w:val="FootnoteReference"/>
          <w:rFonts w:ascii="Times New Roman" w:eastAsia="Times New Roman" w:hAnsi="Times New Roman" w:cs="Times New Roman"/>
          <w:sz w:val="24"/>
          <w:szCs w:val="24"/>
        </w:rPr>
        <w:footnoteReference w:id="15"/>
      </w:r>
      <w:r w:rsidRPr="680FB971">
        <w:rPr>
          <w:rFonts w:ascii="Times New Roman" w:eastAsia="Times New Roman" w:hAnsi="Times New Roman" w:cs="Times New Roman"/>
          <w:sz w:val="24"/>
          <w:szCs w:val="24"/>
        </w:rPr>
        <w:t xml:space="preserve">. It has been suggested over the last fifty years or so that what was previously seen as an emotionally deficient piece of historic writing is </w:t>
      </w:r>
      <w:r w:rsidRPr="680FB971">
        <w:rPr>
          <w:rFonts w:ascii="Times New Roman" w:eastAsia="Times New Roman" w:hAnsi="Times New Roman" w:cs="Times New Roman"/>
          <w:sz w:val="24"/>
          <w:szCs w:val="24"/>
        </w:rPr>
        <w:lastRenderedPageBreak/>
        <w:t>actually intrinsically imbedded with deeply rooted and widely ranged emotions. To some a 'postmodernist'</w:t>
      </w:r>
      <w:r w:rsidRPr="380DFA5E">
        <w:rPr>
          <w:rStyle w:val="FootnoteReference"/>
          <w:rFonts w:ascii="Times New Roman" w:eastAsia="Times New Roman" w:hAnsi="Times New Roman" w:cs="Times New Roman"/>
          <w:sz w:val="24"/>
          <w:szCs w:val="24"/>
        </w:rPr>
        <w:footnoteReference w:id="16"/>
      </w:r>
      <w:r w:rsidRPr="680FB971">
        <w:rPr>
          <w:rFonts w:ascii="Times New Roman" w:eastAsia="Times New Roman" w:hAnsi="Times New Roman" w:cs="Times New Roman"/>
          <w:sz w:val="24"/>
          <w:szCs w:val="24"/>
        </w:rPr>
        <w:t>There are many more examples to be found within Thucydides’ work that allow us to access the authors own feelings and indeed his own opinions. The previous example given shows pity for those who were attacked, the Mycalessus, and a clear distain for those who attacked, the Thracians. Another example is, 'the state being still in the flower of her strength'</w:t>
      </w:r>
      <w:r w:rsidRPr="680FB971">
        <w:rPr>
          <w:rStyle w:val="FootnoteReference"/>
          <w:rFonts w:ascii="Times New Roman" w:eastAsia="Times New Roman" w:hAnsi="Times New Roman" w:cs="Times New Roman"/>
          <w:sz w:val="24"/>
          <w:szCs w:val="24"/>
        </w:rPr>
        <w:footnoteReference w:id="17"/>
      </w:r>
      <w:r w:rsidRPr="680FB971">
        <w:rPr>
          <w:rFonts w:ascii="Times New Roman" w:eastAsia="Times New Roman" w:hAnsi="Times New Roman" w:cs="Times New Roman"/>
          <w:sz w:val="24"/>
          <w:szCs w:val="24"/>
        </w:rPr>
        <w:t xml:space="preserve">, here Thucydides is indirectly showing his patriotic devotion to his Athenian heritage and the success of his state. The frequency at which these highly emotionally charged sections can be discovered has lead modern scholars to argue that within, </w:t>
      </w:r>
      <w:r w:rsidRPr="3555DDF2">
        <w:rPr>
          <w:rFonts w:ascii="Times New Roman" w:eastAsia="Times New Roman" w:hAnsi="Times New Roman" w:cs="Times New Roman"/>
          <w:i/>
          <w:iCs/>
          <w:sz w:val="24"/>
          <w:szCs w:val="24"/>
        </w:rPr>
        <w:t>The History of the Peloponnesian War</w:t>
      </w:r>
      <w:r w:rsidRPr="680FB971">
        <w:rPr>
          <w:rFonts w:ascii="Times New Roman" w:eastAsia="Times New Roman" w:hAnsi="Times New Roman" w:cs="Times New Roman"/>
          <w:sz w:val="24"/>
          <w:szCs w:val="24"/>
        </w:rPr>
        <w:t>, Thucydides proves himself to be an author who, despite his apparent efforts to be objective, writes with an, 'intensity of feeling and thought'</w:t>
      </w:r>
      <w:r w:rsidRPr="680FB971">
        <w:rPr>
          <w:rStyle w:val="FootnoteReference"/>
          <w:rFonts w:ascii="Times New Roman" w:eastAsia="Times New Roman" w:hAnsi="Times New Roman" w:cs="Times New Roman"/>
          <w:sz w:val="24"/>
          <w:szCs w:val="24"/>
        </w:rPr>
        <w:footnoteReference w:id="18"/>
      </w:r>
      <w:r w:rsidRPr="680FB971">
        <w:rPr>
          <w:rFonts w:ascii="Times New Roman" w:eastAsia="Times New Roman" w:hAnsi="Times New Roman" w:cs="Times New Roman"/>
          <w:sz w:val="24"/>
          <w:szCs w:val="24"/>
        </w:rPr>
        <w:t xml:space="preserve"> and that this, 'intensity of feeling everywhere reminds us of Thucydides personal involvement'</w:t>
      </w:r>
      <w:r w:rsidRPr="680FB971">
        <w:rPr>
          <w:rStyle w:val="FootnoteReference"/>
          <w:rFonts w:ascii="Times New Roman" w:eastAsia="Times New Roman" w:hAnsi="Times New Roman" w:cs="Times New Roman"/>
          <w:sz w:val="24"/>
          <w:szCs w:val="24"/>
        </w:rPr>
        <w:footnoteReference w:id="19"/>
      </w:r>
      <w:r w:rsidR="380DFA5E" w:rsidRPr="380DFA5E">
        <w:rPr>
          <w:rFonts w:ascii="Times New Roman" w:eastAsia="Times New Roman" w:hAnsi="Times New Roman" w:cs="Times New Roman"/>
          <w:sz w:val="24"/>
          <w:szCs w:val="24"/>
        </w:rPr>
        <w:t xml:space="preserve">. </w:t>
      </w:r>
      <w:r w:rsidR="3555DDF2" w:rsidRPr="3555DDF2">
        <w:rPr>
          <w:rFonts w:ascii="Times New Roman" w:eastAsia="Times New Roman" w:hAnsi="Times New Roman" w:cs="Times New Roman"/>
          <w:sz w:val="24"/>
          <w:szCs w:val="24"/>
        </w:rPr>
        <w:t xml:space="preserve">Despite him being a general for a duration of the war means we are able to assume a certain confidence in his knowledge and understanding of the topic, at least from an Athenian perspective, it also means that he is directly tied to the very actions, events and strategy being recorded. </w:t>
      </w:r>
      <w:r w:rsidR="380DFA5E" w:rsidRPr="380DFA5E">
        <w:rPr>
          <w:rFonts w:ascii="Times New Roman" w:eastAsia="Times New Roman" w:hAnsi="Times New Roman" w:cs="Times New Roman"/>
          <w:sz w:val="24"/>
          <w:szCs w:val="24"/>
        </w:rPr>
        <w:t xml:space="preserve">Whilst initially it may appear that as a source the first-hand nature of Thucydides' account validates that which he conveys, it may be the very reason that the validity of Thucydides as a source is in fact not very preferable. </w:t>
      </w:r>
    </w:p>
    <w:p w14:paraId="20BCD26E" w14:textId="442462AE" w:rsidR="680FB971" w:rsidRDefault="380DFA5E" w:rsidP="680FB971">
      <w:pPr>
        <w:spacing w:line="480" w:lineRule="auto"/>
      </w:pPr>
      <w:r w:rsidRPr="380DFA5E">
        <w:rPr>
          <w:rFonts w:ascii="Times New Roman" w:eastAsia="Times New Roman" w:hAnsi="Times New Roman" w:cs="Times New Roman"/>
          <w:sz w:val="24"/>
          <w:szCs w:val="24"/>
        </w:rPr>
        <w:t>Originally Cicero assigned the title of 'The Father of History' to Herodotus</w:t>
      </w:r>
      <w:r w:rsidR="680FB971" w:rsidRPr="380DFA5E">
        <w:rPr>
          <w:rStyle w:val="FootnoteReference"/>
          <w:rFonts w:ascii="Times New Roman" w:eastAsia="Times New Roman" w:hAnsi="Times New Roman" w:cs="Times New Roman"/>
          <w:sz w:val="24"/>
          <w:szCs w:val="24"/>
        </w:rPr>
        <w:footnoteReference w:id="20"/>
      </w:r>
      <w:r w:rsidRPr="380DFA5E">
        <w:rPr>
          <w:rFonts w:ascii="Times New Roman" w:eastAsia="Times New Roman" w:hAnsi="Times New Roman" w:cs="Times New Roman"/>
          <w:sz w:val="24"/>
          <w:szCs w:val="24"/>
        </w:rPr>
        <w:t xml:space="preserve"> during the 2nd century BC to recognise the significant impact his work, </w:t>
      </w:r>
      <w:r w:rsidRPr="3555DDF2">
        <w:rPr>
          <w:rFonts w:ascii="Times New Roman" w:eastAsia="Times New Roman" w:hAnsi="Times New Roman" w:cs="Times New Roman"/>
          <w:i/>
          <w:iCs/>
          <w:sz w:val="24"/>
          <w:szCs w:val="24"/>
        </w:rPr>
        <w:t xml:space="preserve">The Histories, </w:t>
      </w:r>
      <w:r w:rsidRPr="3555DDF2">
        <w:rPr>
          <w:rFonts w:ascii="Times New Roman" w:eastAsia="Times New Roman" w:hAnsi="Times New Roman" w:cs="Times New Roman"/>
          <w:sz w:val="24"/>
          <w:szCs w:val="24"/>
        </w:rPr>
        <w:t>which focused on the conflicts that occurred prior to and during the Persian War.  There is a possibility that due to translation issues he was actually referring to Herodotus as 'The Father of Lies'</w:t>
      </w:r>
      <w:r w:rsidR="680FB971" w:rsidRPr="380DFA5E">
        <w:rPr>
          <w:rStyle w:val="FootnoteReference"/>
        </w:rPr>
        <w:footnoteReference w:id="21"/>
      </w:r>
      <w:r w:rsidRPr="3555DDF2">
        <w:rPr>
          <w:rFonts w:ascii="Times New Roman" w:eastAsia="Times New Roman" w:hAnsi="Times New Roman" w:cs="Times New Roman"/>
          <w:sz w:val="24"/>
          <w:szCs w:val="24"/>
        </w:rPr>
        <w:t xml:space="preserve"> however, we </w:t>
      </w:r>
      <w:r w:rsidRPr="3555DDF2">
        <w:rPr>
          <w:rFonts w:ascii="Times New Roman" w:eastAsia="Times New Roman" w:hAnsi="Times New Roman" w:cs="Times New Roman"/>
          <w:sz w:val="24"/>
          <w:szCs w:val="24"/>
        </w:rPr>
        <w:lastRenderedPageBreak/>
        <w:t xml:space="preserve">cannot hope to know for sure exactly which he meant. Herodotus' writing predated that of Thucydides' but both were present during the same time period and as such were able to dispute one another's work. When trying to discern which historian, Herodotus or Thucydides, best deserves the former title one must look at the ancient criticisms and praises. Once this has been achieved it becomes very clear who was held in higher regard during their own time. </w:t>
      </w:r>
    </w:p>
    <w:p w14:paraId="6910D71C" w14:textId="18BFC3AD" w:rsidR="680FB971" w:rsidRDefault="380DFA5E"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Plutarch is perhaps the most useful ancient source for assessing each historians position as the 'Father of History'. His work, </w:t>
      </w:r>
      <w:r w:rsidRPr="3555DDF2">
        <w:rPr>
          <w:rFonts w:ascii="Times New Roman" w:eastAsia="Times New Roman" w:hAnsi="Times New Roman" w:cs="Times New Roman"/>
          <w:i/>
          <w:iCs/>
          <w:sz w:val="24"/>
          <w:szCs w:val="24"/>
        </w:rPr>
        <w:t xml:space="preserve">De Herodoti Malignitate (The Malice of Horodotus), </w:t>
      </w:r>
      <w:r w:rsidRPr="3555DDF2">
        <w:rPr>
          <w:rFonts w:ascii="Times New Roman" w:eastAsia="Times New Roman" w:hAnsi="Times New Roman" w:cs="Times New Roman"/>
          <w:sz w:val="24"/>
          <w:szCs w:val="24"/>
        </w:rPr>
        <w:t>provides us with an interpretation of the common opinion's shared in regards to the work of Herodotus much time after said work was produced. Plutarch writes in such a way that his works sets out to discredit and dismantle the reputation of the historian. Among many, arguably harsh, critiques are such things as, 'Not to be esteemed impartial, but an enjoyer of his own fancy'</w:t>
      </w:r>
      <w:r w:rsidR="680FB971" w:rsidRPr="3555DDF2">
        <w:rPr>
          <w:rStyle w:val="FootnoteReference"/>
          <w:rFonts w:ascii="Times New Roman" w:eastAsia="Times New Roman" w:hAnsi="Times New Roman" w:cs="Times New Roman"/>
          <w:sz w:val="24"/>
          <w:szCs w:val="24"/>
        </w:rPr>
        <w:footnoteReference w:id="22"/>
      </w:r>
      <w:r w:rsidRPr="3555DDF2">
        <w:rPr>
          <w:rFonts w:ascii="Times New Roman" w:eastAsia="Times New Roman" w:hAnsi="Times New Roman" w:cs="Times New Roman"/>
          <w:sz w:val="24"/>
          <w:szCs w:val="24"/>
        </w:rPr>
        <w:t>, 'envious and malicious'</w:t>
      </w:r>
      <w:r w:rsidR="680FB971" w:rsidRPr="3555DDF2">
        <w:rPr>
          <w:rStyle w:val="FootnoteReference"/>
          <w:rFonts w:ascii="Times New Roman" w:eastAsia="Times New Roman" w:hAnsi="Times New Roman" w:cs="Times New Roman"/>
          <w:sz w:val="24"/>
          <w:szCs w:val="24"/>
        </w:rPr>
        <w:footnoteReference w:id="23"/>
      </w:r>
      <w:r w:rsidRPr="3555DDF2">
        <w:rPr>
          <w:rFonts w:ascii="Times New Roman" w:eastAsia="Times New Roman" w:hAnsi="Times New Roman" w:cs="Times New Roman"/>
          <w:sz w:val="24"/>
          <w:szCs w:val="24"/>
        </w:rPr>
        <w:t>, 'he joins malice to blasphemy'</w:t>
      </w:r>
      <w:r w:rsidR="680FB971" w:rsidRPr="3555DDF2">
        <w:rPr>
          <w:rStyle w:val="FootnoteReference"/>
          <w:rFonts w:ascii="Times New Roman" w:eastAsia="Times New Roman" w:hAnsi="Times New Roman" w:cs="Times New Roman"/>
          <w:sz w:val="24"/>
          <w:szCs w:val="24"/>
        </w:rPr>
        <w:footnoteReference w:id="24"/>
      </w:r>
      <w:r w:rsidRPr="3555DDF2">
        <w:rPr>
          <w:rFonts w:ascii="Times New Roman" w:eastAsia="Times New Roman" w:hAnsi="Times New Roman" w:cs="Times New Roman"/>
          <w:sz w:val="24"/>
          <w:szCs w:val="24"/>
        </w:rPr>
        <w:t>. The general consensus at the time in which Plutarch was writing, c.45/50 AD- c.120/125AD</w:t>
      </w:r>
      <w:r w:rsidR="680FB971" w:rsidRPr="3555DDF2">
        <w:rPr>
          <w:rStyle w:val="FootnoteReference"/>
          <w:rFonts w:ascii="Times New Roman" w:eastAsia="Times New Roman" w:hAnsi="Times New Roman" w:cs="Times New Roman"/>
          <w:sz w:val="24"/>
          <w:szCs w:val="24"/>
        </w:rPr>
        <w:footnoteReference w:id="25"/>
      </w:r>
      <w:r w:rsidRPr="3555DDF2">
        <w:rPr>
          <w:rFonts w:ascii="Times New Roman" w:eastAsia="Times New Roman" w:hAnsi="Times New Roman" w:cs="Times New Roman"/>
          <w:sz w:val="24"/>
          <w:szCs w:val="24"/>
        </w:rPr>
        <w:t>, was in agreeance with the opinions displayed with his work. Clearly in the ancient world Herodotus as a historian was not viewed as particularly meticulous or authoritative perhaps as a result of his many mistakes and exaggerations. For example, when discussing Babylon he reports the city as having some one hundred gates</w:t>
      </w:r>
      <w:r w:rsidR="680FB971" w:rsidRPr="3555DDF2">
        <w:rPr>
          <w:rStyle w:val="FootnoteReference"/>
          <w:rFonts w:ascii="Times New Roman" w:eastAsia="Times New Roman" w:hAnsi="Times New Roman" w:cs="Times New Roman"/>
          <w:sz w:val="24"/>
          <w:szCs w:val="24"/>
        </w:rPr>
        <w:footnoteReference w:id="26"/>
      </w:r>
      <w:r w:rsidR="0C181AB2" w:rsidRPr="3555DDF2">
        <w:rPr>
          <w:rFonts w:ascii="Times New Roman" w:eastAsia="Times New Roman" w:hAnsi="Times New Roman" w:cs="Times New Roman"/>
          <w:sz w:val="24"/>
          <w:szCs w:val="24"/>
        </w:rPr>
        <w:t xml:space="preserve"> which a</w:t>
      </w:r>
      <w:r w:rsidR="0C181AB2" w:rsidRPr="0C181AB2">
        <w:rPr>
          <w:rFonts w:ascii="Times New Roman" w:eastAsia="Times New Roman" w:hAnsi="Times New Roman" w:cs="Times New Roman"/>
          <w:color w:val="222222"/>
          <w:sz w:val="24"/>
          <w:szCs w:val="24"/>
        </w:rPr>
        <w:t xml:space="preserve">rchaeological evidence </w:t>
      </w:r>
      <w:r w:rsidR="0C181AB2" w:rsidRPr="3555DDF2">
        <w:rPr>
          <w:rFonts w:ascii="Times New Roman" w:eastAsia="Times New Roman" w:hAnsi="Times New Roman" w:cs="Times New Roman"/>
          <w:sz w:val="24"/>
          <w:szCs w:val="24"/>
        </w:rPr>
        <w:t>disputes only showing eight</w:t>
      </w:r>
      <w:r w:rsidR="680FB971" w:rsidRPr="3555DDF2">
        <w:rPr>
          <w:rStyle w:val="FootnoteReference"/>
          <w:rFonts w:ascii="Times New Roman" w:eastAsia="Times New Roman" w:hAnsi="Times New Roman" w:cs="Times New Roman"/>
          <w:sz w:val="24"/>
          <w:szCs w:val="24"/>
        </w:rPr>
        <w:footnoteReference w:id="27"/>
      </w:r>
      <w:r w:rsidR="0C181AB2" w:rsidRPr="3555DDF2">
        <w:rPr>
          <w:rFonts w:ascii="Times New Roman" w:eastAsia="Times New Roman" w:hAnsi="Times New Roman" w:cs="Times New Roman"/>
          <w:sz w:val="24"/>
          <w:szCs w:val="24"/>
        </w:rPr>
        <w:t>.</w:t>
      </w:r>
    </w:p>
    <w:p w14:paraId="3DB57957" w14:textId="6D311D25" w:rsidR="680FB971" w:rsidRDefault="380DFA5E"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There is a great disparity to be found in the way Plutarch address both historians. Where he is hugely deprecatory of Herodotus it is frequently believed by scholars that Plutarch not only had </w:t>
      </w:r>
      <w:r w:rsidRPr="3555DDF2">
        <w:rPr>
          <w:rFonts w:ascii="Times New Roman" w:eastAsia="Times New Roman" w:hAnsi="Times New Roman" w:cs="Times New Roman"/>
          <w:sz w:val="24"/>
          <w:szCs w:val="24"/>
        </w:rPr>
        <w:lastRenderedPageBreak/>
        <w:t>access to and read in the full Thucydides work but also that he utilised much of it in the writing of his biographies</w:t>
      </w:r>
      <w:r w:rsidR="680FB971" w:rsidRPr="3555DDF2">
        <w:rPr>
          <w:rStyle w:val="FootnoteReference"/>
          <w:rFonts w:ascii="Times New Roman" w:eastAsia="Times New Roman" w:hAnsi="Times New Roman" w:cs="Times New Roman"/>
          <w:sz w:val="24"/>
          <w:szCs w:val="24"/>
        </w:rPr>
        <w:footnoteReference w:id="28"/>
      </w:r>
      <w:r w:rsidRPr="3555DDF2">
        <w:rPr>
          <w:rFonts w:ascii="Times New Roman" w:eastAsia="Times New Roman" w:hAnsi="Times New Roman" w:cs="Times New Roman"/>
          <w:sz w:val="24"/>
          <w:szCs w:val="24"/>
        </w:rPr>
        <w:t>. Evidently Plutarch considered Thucydides a beneficial source. This implies that Thucydides' successfully shows the ideal qualities expected of a historian according to Plutarch, which he outlines in his work</w:t>
      </w:r>
      <w:r w:rsidR="680FB971" w:rsidRPr="3555DDF2">
        <w:rPr>
          <w:rStyle w:val="FootnoteReference"/>
          <w:rFonts w:ascii="Times New Roman" w:eastAsia="Times New Roman" w:hAnsi="Times New Roman" w:cs="Times New Roman"/>
          <w:sz w:val="24"/>
          <w:szCs w:val="24"/>
        </w:rPr>
        <w:footnoteReference w:id="29"/>
      </w:r>
      <w:r w:rsidR="14B392C9" w:rsidRPr="3555DDF2">
        <w:rPr>
          <w:rFonts w:ascii="Times New Roman" w:eastAsia="Times New Roman" w:hAnsi="Times New Roman" w:cs="Times New Roman"/>
          <w:sz w:val="24"/>
          <w:szCs w:val="24"/>
        </w:rPr>
        <w:t xml:space="preserve">. Indeed, even Thucydides himself took the opportunity to comment on the way in which Herodotus produced and presented his, </w:t>
      </w:r>
      <w:r w:rsidR="14B392C9" w:rsidRPr="3555DDF2">
        <w:rPr>
          <w:rFonts w:ascii="Times New Roman" w:eastAsia="Times New Roman" w:hAnsi="Times New Roman" w:cs="Times New Roman"/>
          <w:i/>
          <w:iCs/>
          <w:sz w:val="24"/>
          <w:szCs w:val="24"/>
        </w:rPr>
        <w:t>Histories</w:t>
      </w:r>
      <w:r w:rsidR="14B392C9" w:rsidRPr="3555DDF2">
        <w:rPr>
          <w:rFonts w:ascii="Times New Roman" w:eastAsia="Times New Roman" w:hAnsi="Times New Roman" w:cs="Times New Roman"/>
          <w:sz w:val="24"/>
          <w:szCs w:val="24"/>
        </w:rPr>
        <w:t>, stating that unlike his fellow historian he wished not for the appreciation of the people in the moment but for the longevity of his work to establish an understanding of this great war</w:t>
      </w:r>
      <w:r w:rsidR="680FB971" w:rsidRPr="3555DDF2">
        <w:rPr>
          <w:rStyle w:val="FootnoteReference"/>
          <w:rFonts w:ascii="Times New Roman" w:eastAsia="Times New Roman" w:hAnsi="Times New Roman" w:cs="Times New Roman"/>
          <w:sz w:val="24"/>
          <w:szCs w:val="24"/>
        </w:rPr>
        <w:footnoteReference w:id="30"/>
      </w:r>
      <w:r w:rsidR="14B392C9" w:rsidRPr="3555DDF2">
        <w:rPr>
          <w:rFonts w:ascii="Times New Roman" w:eastAsia="Times New Roman" w:hAnsi="Times New Roman" w:cs="Times New Roman"/>
          <w:sz w:val="24"/>
          <w:szCs w:val="24"/>
        </w:rPr>
        <w:t>.</w:t>
      </w:r>
    </w:p>
    <w:p w14:paraId="522630CA" w14:textId="0C2454C1" w:rsidR="0C181AB2" w:rsidRDefault="1245E4C5" w:rsidP="0C181AB2">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Taking everything into account we may conclude that within his work, </w:t>
      </w:r>
      <w:r w:rsidRPr="1245E4C5">
        <w:rPr>
          <w:rFonts w:ascii="Times New Roman" w:eastAsia="Times New Roman" w:hAnsi="Times New Roman" w:cs="Times New Roman"/>
          <w:i/>
          <w:iCs/>
          <w:sz w:val="24"/>
          <w:szCs w:val="24"/>
        </w:rPr>
        <w:t>The History of The Peloponnesian War</w:t>
      </w:r>
      <w:r w:rsidRPr="1245E4C5">
        <w:rPr>
          <w:rFonts w:ascii="Times New Roman" w:eastAsia="Times New Roman" w:hAnsi="Times New Roman" w:cs="Times New Roman"/>
          <w:sz w:val="24"/>
          <w:szCs w:val="24"/>
        </w:rPr>
        <w:t xml:space="preserve">, Thucydides maintains his overall validity, despite not being the most objective source due to his closely entangled emotions, because he is able to sustain a high degree of truthfulness and clarity. Whilst Herodotus might have been the first or indeed oldest ancient source we can access his fictitious record of history affords him the title of the 'father of lies' and Thucydides, due to the fact that he is chronologically the next historian, gains the title of the 'father of history'. </w:t>
      </w:r>
    </w:p>
    <w:p w14:paraId="1FF7436A" w14:textId="300D95A7" w:rsidR="1245E4C5" w:rsidRDefault="1245E4C5" w:rsidP="1245E4C5">
      <w:pPr>
        <w:spacing w:line="480" w:lineRule="auto"/>
        <w:rPr>
          <w:rFonts w:ascii="Times New Roman" w:eastAsia="Times New Roman" w:hAnsi="Times New Roman" w:cs="Times New Roman"/>
          <w:sz w:val="24"/>
          <w:szCs w:val="24"/>
        </w:rPr>
      </w:pPr>
    </w:p>
    <w:p w14:paraId="1A1993B2" w14:textId="77777777" w:rsidR="00C51D4C" w:rsidRDefault="00C51D4C" w:rsidP="1245E4C5">
      <w:pPr>
        <w:spacing w:line="480" w:lineRule="auto"/>
        <w:rPr>
          <w:rFonts w:ascii="Times New Roman" w:eastAsia="Times New Roman" w:hAnsi="Times New Roman" w:cs="Times New Roman"/>
          <w:b/>
          <w:bCs/>
          <w:sz w:val="24"/>
          <w:szCs w:val="24"/>
          <w:u w:val="single"/>
        </w:rPr>
      </w:pPr>
    </w:p>
    <w:p w14:paraId="6243C318" w14:textId="77777777" w:rsidR="00C51D4C" w:rsidRDefault="00C51D4C" w:rsidP="1245E4C5">
      <w:pPr>
        <w:spacing w:line="480" w:lineRule="auto"/>
        <w:rPr>
          <w:rFonts w:ascii="Times New Roman" w:eastAsia="Times New Roman" w:hAnsi="Times New Roman" w:cs="Times New Roman"/>
          <w:b/>
          <w:bCs/>
          <w:sz w:val="24"/>
          <w:szCs w:val="24"/>
          <w:u w:val="single"/>
        </w:rPr>
      </w:pPr>
    </w:p>
    <w:p w14:paraId="5CA048BB" w14:textId="77777777" w:rsidR="00C51D4C" w:rsidRDefault="00C51D4C" w:rsidP="1245E4C5">
      <w:pPr>
        <w:spacing w:line="480" w:lineRule="auto"/>
        <w:rPr>
          <w:rFonts w:ascii="Times New Roman" w:eastAsia="Times New Roman" w:hAnsi="Times New Roman" w:cs="Times New Roman"/>
          <w:b/>
          <w:bCs/>
          <w:sz w:val="24"/>
          <w:szCs w:val="24"/>
          <w:u w:val="single"/>
        </w:rPr>
      </w:pPr>
    </w:p>
    <w:p w14:paraId="0C13260C" w14:textId="77777777" w:rsidR="00C51D4C" w:rsidRDefault="00C51D4C" w:rsidP="1245E4C5">
      <w:pPr>
        <w:spacing w:line="480" w:lineRule="auto"/>
        <w:rPr>
          <w:rFonts w:ascii="Times New Roman" w:eastAsia="Times New Roman" w:hAnsi="Times New Roman" w:cs="Times New Roman"/>
          <w:b/>
          <w:bCs/>
          <w:sz w:val="24"/>
          <w:szCs w:val="24"/>
          <w:u w:val="single"/>
        </w:rPr>
      </w:pPr>
    </w:p>
    <w:p w14:paraId="16A3EDAF" w14:textId="644A0DC1" w:rsidR="1245E4C5" w:rsidRDefault="1245E4C5" w:rsidP="1245E4C5">
      <w:pPr>
        <w:spacing w:line="480" w:lineRule="auto"/>
        <w:rPr>
          <w:rFonts w:ascii="Times New Roman" w:eastAsia="Times New Roman" w:hAnsi="Times New Roman" w:cs="Times New Roman"/>
          <w:b/>
          <w:bCs/>
          <w:sz w:val="24"/>
          <w:szCs w:val="24"/>
          <w:u w:val="single"/>
        </w:rPr>
      </w:pPr>
      <w:bookmarkStart w:id="0" w:name="_GoBack"/>
      <w:bookmarkEnd w:id="0"/>
      <w:r w:rsidRPr="1245E4C5">
        <w:rPr>
          <w:rFonts w:ascii="Times New Roman" w:eastAsia="Times New Roman" w:hAnsi="Times New Roman" w:cs="Times New Roman"/>
          <w:b/>
          <w:bCs/>
          <w:sz w:val="24"/>
          <w:szCs w:val="24"/>
          <w:u w:val="single"/>
        </w:rPr>
        <w:lastRenderedPageBreak/>
        <w:t>Bibliography</w:t>
      </w:r>
    </w:p>
    <w:p w14:paraId="13ADDA28" w14:textId="77FFC3C7" w:rsidR="1245E4C5" w:rsidRDefault="1245E4C5" w:rsidP="1245E4C5">
      <w:pPr>
        <w:spacing w:line="480" w:lineRule="auto"/>
        <w:rPr>
          <w:rFonts w:ascii="Times New Roman" w:eastAsia="Times New Roman" w:hAnsi="Times New Roman" w:cs="Times New Roman"/>
          <w:b/>
          <w:bCs/>
          <w:sz w:val="24"/>
          <w:szCs w:val="24"/>
          <w:u w:val="single"/>
        </w:rPr>
      </w:pPr>
      <w:r w:rsidRPr="1245E4C5">
        <w:rPr>
          <w:rFonts w:ascii="Times New Roman" w:eastAsia="Times New Roman" w:hAnsi="Times New Roman" w:cs="Times New Roman"/>
          <w:sz w:val="24"/>
          <w:szCs w:val="24"/>
          <w:u w:val="single"/>
        </w:rPr>
        <w:t>Ancient Sources:</w:t>
      </w:r>
    </w:p>
    <w:p w14:paraId="22B933B2" w14:textId="798AA22D"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Herodotus, </w:t>
      </w:r>
      <w:r w:rsidRPr="1245E4C5">
        <w:rPr>
          <w:rFonts w:ascii="Times New Roman" w:eastAsia="Times New Roman" w:hAnsi="Times New Roman" w:cs="Times New Roman"/>
          <w:i/>
          <w:iCs/>
          <w:sz w:val="24"/>
          <w:szCs w:val="24"/>
        </w:rPr>
        <w:t xml:space="preserve">The Histories. </w:t>
      </w:r>
      <w:r w:rsidRPr="1245E4C5">
        <w:rPr>
          <w:rFonts w:ascii="Times New Roman" w:eastAsia="Times New Roman" w:hAnsi="Times New Roman" w:cs="Times New Roman"/>
          <w:sz w:val="24"/>
          <w:szCs w:val="24"/>
        </w:rPr>
        <w:t>A.D. Godley (trans.). 1920. Cambridge: Harvard University Press.</w:t>
      </w:r>
    </w:p>
    <w:p w14:paraId="608B85BE" w14:textId="2C741D02"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Thucydides, </w:t>
      </w:r>
      <w:r w:rsidRPr="1245E4C5">
        <w:rPr>
          <w:rFonts w:ascii="Times New Roman" w:eastAsia="Times New Roman" w:hAnsi="Times New Roman" w:cs="Times New Roman"/>
          <w:i/>
          <w:iCs/>
          <w:sz w:val="24"/>
          <w:szCs w:val="24"/>
        </w:rPr>
        <w:t>The Peloponnesian War</w:t>
      </w:r>
      <w:r w:rsidRPr="1245E4C5">
        <w:rPr>
          <w:rFonts w:ascii="Times New Roman" w:eastAsia="Times New Roman" w:hAnsi="Times New Roman" w:cs="Times New Roman"/>
          <w:sz w:val="24"/>
          <w:szCs w:val="24"/>
        </w:rPr>
        <w:t>. R. Crawley (trans.). 1910. London: J.M. Dent; New York: E.P. Dutton.</w:t>
      </w:r>
    </w:p>
    <w:p w14:paraId="61A021F7" w14:textId="6E8CDB8F" w:rsidR="1245E4C5" w:rsidRDefault="1245E4C5" w:rsidP="1245E4C5">
      <w:pPr>
        <w:spacing w:line="480" w:lineRule="auto"/>
        <w:rPr>
          <w:rFonts w:ascii="Times New Roman" w:eastAsia="Times New Roman" w:hAnsi="Times New Roman" w:cs="Times New Roman"/>
          <w:sz w:val="24"/>
          <w:szCs w:val="24"/>
          <w:u w:val="single"/>
        </w:rPr>
      </w:pPr>
      <w:r w:rsidRPr="1245E4C5">
        <w:rPr>
          <w:rFonts w:ascii="Times New Roman" w:eastAsia="Times New Roman" w:hAnsi="Times New Roman" w:cs="Times New Roman"/>
          <w:sz w:val="24"/>
          <w:szCs w:val="24"/>
          <w:u w:val="single"/>
        </w:rPr>
        <w:t>Modern Literature:</w:t>
      </w:r>
    </w:p>
    <w:p w14:paraId="55E5F90C" w14:textId="784083A7" w:rsidR="1245E4C5" w:rsidRDefault="1245E4C5" w:rsidP="1245E4C5">
      <w:pPr>
        <w:spacing w:line="480" w:lineRule="auto"/>
        <w:rPr>
          <w:rFonts w:ascii="Times New Roman" w:eastAsia="Times New Roman" w:hAnsi="Times New Roman" w:cs="Times New Roman"/>
          <w:sz w:val="24"/>
          <w:szCs w:val="24"/>
          <w:u w:val="single"/>
        </w:rPr>
      </w:pPr>
      <w:r w:rsidRPr="1245E4C5">
        <w:rPr>
          <w:rFonts w:ascii="Times New Roman" w:eastAsia="Times New Roman" w:hAnsi="Times New Roman" w:cs="Times New Roman"/>
          <w:sz w:val="24"/>
          <w:szCs w:val="24"/>
        </w:rPr>
        <w:t xml:space="preserve">Cartwright, M. 'Plutarch' 2016. Ancient History Encyclopedia, </w:t>
      </w:r>
      <w:hyperlink r:id="rId7">
        <w:r w:rsidRPr="1245E4C5">
          <w:rPr>
            <w:rStyle w:val="Hyperlink"/>
            <w:rFonts w:ascii="Times New Roman" w:eastAsia="Times New Roman" w:hAnsi="Times New Roman" w:cs="Times New Roman"/>
            <w:sz w:val="24"/>
            <w:szCs w:val="24"/>
          </w:rPr>
          <w:t>https://www.ancient.eu/plutarch/</w:t>
        </w:r>
      </w:hyperlink>
      <w:r w:rsidRPr="1245E4C5">
        <w:rPr>
          <w:rFonts w:ascii="Times New Roman" w:eastAsia="Times New Roman" w:hAnsi="Times New Roman" w:cs="Times New Roman"/>
          <w:sz w:val="24"/>
          <w:szCs w:val="24"/>
        </w:rPr>
        <w:t>. [Accessed: 3</w:t>
      </w:r>
      <w:r w:rsidRPr="1245E4C5">
        <w:rPr>
          <w:rFonts w:ascii="Times New Roman" w:eastAsia="Times New Roman" w:hAnsi="Times New Roman" w:cs="Times New Roman"/>
          <w:sz w:val="24"/>
          <w:szCs w:val="24"/>
          <w:vertAlign w:val="superscript"/>
        </w:rPr>
        <w:t>rd</w:t>
      </w:r>
      <w:r w:rsidRPr="1245E4C5">
        <w:rPr>
          <w:rFonts w:ascii="Times New Roman" w:eastAsia="Times New Roman" w:hAnsi="Times New Roman" w:cs="Times New Roman"/>
          <w:sz w:val="24"/>
          <w:szCs w:val="24"/>
        </w:rPr>
        <w:t xml:space="preserve"> November 2017]</w:t>
      </w:r>
    </w:p>
    <w:p w14:paraId="63B88A33" w14:textId="65BA1981"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Conner, W.R. 1977. 'A Post Modernist Thucydides?', </w:t>
      </w:r>
      <w:r w:rsidRPr="3555DDF2">
        <w:rPr>
          <w:rFonts w:ascii="Times New Roman" w:eastAsia="Times New Roman" w:hAnsi="Times New Roman" w:cs="Times New Roman"/>
          <w:i/>
          <w:iCs/>
          <w:sz w:val="24"/>
          <w:szCs w:val="24"/>
        </w:rPr>
        <w:t xml:space="preserve">The Classical Journal, </w:t>
      </w:r>
      <w:r w:rsidRPr="3555DDF2">
        <w:rPr>
          <w:rFonts w:ascii="Times New Roman" w:eastAsia="Times New Roman" w:hAnsi="Times New Roman" w:cs="Times New Roman"/>
          <w:sz w:val="24"/>
          <w:szCs w:val="24"/>
        </w:rPr>
        <w:t>Vol. 72, No. 4, April-May, 289-298</w:t>
      </w:r>
    </w:p>
    <w:p w14:paraId="653B7682" w14:textId="27704940"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Evans, J.A.S. 1985. 'The Father of Oral History', </w:t>
      </w:r>
      <w:r w:rsidRPr="1245E4C5">
        <w:rPr>
          <w:rFonts w:ascii="Times New Roman" w:eastAsia="Times New Roman" w:hAnsi="Times New Roman" w:cs="Times New Roman"/>
          <w:i/>
          <w:iCs/>
          <w:sz w:val="24"/>
          <w:szCs w:val="24"/>
        </w:rPr>
        <w:t>A National Journal of Literature &amp; Discussion</w:t>
      </w:r>
      <w:r w:rsidRPr="1245E4C5">
        <w:rPr>
          <w:rFonts w:ascii="Times New Roman" w:eastAsia="Times New Roman" w:hAnsi="Times New Roman" w:cs="Times New Roman"/>
          <w:sz w:val="24"/>
          <w:szCs w:val="24"/>
        </w:rPr>
        <w:t>, Vol.61, No.3, December</w:t>
      </w:r>
    </w:p>
    <w:p w14:paraId="4A7D0E96" w14:textId="35CB43E9"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Hornblower, S., Spawforth A.  2012. </w:t>
      </w:r>
      <w:r w:rsidRPr="3555DDF2">
        <w:rPr>
          <w:rFonts w:ascii="Times New Roman" w:eastAsia="Times New Roman" w:hAnsi="Times New Roman" w:cs="Times New Roman"/>
          <w:i/>
          <w:iCs/>
          <w:sz w:val="24"/>
          <w:szCs w:val="24"/>
        </w:rPr>
        <w:t>The Oxford Classical Dictionary</w:t>
      </w:r>
      <w:r w:rsidRPr="3555DDF2">
        <w:rPr>
          <w:rFonts w:ascii="Times New Roman" w:eastAsia="Times New Roman" w:hAnsi="Times New Roman" w:cs="Times New Roman"/>
          <w:sz w:val="24"/>
          <w:szCs w:val="24"/>
        </w:rPr>
        <w:t>. Oxford: Oxford University Press</w:t>
      </w:r>
    </w:p>
    <w:p w14:paraId="27D767F8" w14:textId="4FCADD2F"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Lattimore, S. 1998. </w:t>
      </w:r>
      <w:r w:rsidRPr="1245E4C5">
        <w:rPr>
          <w:rFonts w:ascii="Times New Roman" w:eastAsia="Times New Roman" w:hAnsi="Times New Roman" w:cs="Times New Roman"/>
          <w:i/>
          <w:iCs/>
          <w:sz w:val="24"/>
          <w:szCs w:val="24"/>
        </w:rPr>
        <w:t>The Peloponnesian War, Thucydides</w:t>
      </w:r>
      <w:r w:rsidRPr="1245E4C5">
        <w:rPr>
          <w:rFonts w:ascii="Times New Roman" w:eastAsia="Times New Roman" w:hAnsi="Times New Roman" w:cs="Times New Roman"/>
          <w:sz w:val="24"/>
          <w:szCs w:val="24"/>
        </w:rPr>
        <w:t>. Cambridge: Hackett Publishing</w:t>
      </w:r>
    </w:p>
    <w:p w14:paraId="4838EDB8" w14:textId="5E7F7ED1"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Lloyd. C. 'Thucydides' 2012. Ancient History Encyclopedia. </w:t>
      </w:r>
      <w:hyperlink r:id="rId8">
        <w:r w:rsidRPr="3555DDF2">
          <w:rPr>
            <w:rStyle w:val="Hyperlink"/>
            <w:rFonts w:ascii="Times New Roman" w:eastAsia="Times New Roman" w:hAnsi="Times New Roman" w:cs="Times New Roman"/>
            <w:sz w:val="24"/>
            <w:szCs w:val="24"/>
          </w:rPr>
          <w:t>https://www.ancient.eu/Thucydides/</w:t>
        </w:r>
      </w:hyperlink>
      <w:r w:rsidRPr="3555DDF2">
        <w:rPr>
          <w:rFonts w:ascii="Times New Roman" w:eastAsia="Times New Roman" w:hAnsi="Times New Roman" w:cs="Times New Roman"/>
          <w:sz w:val="24"/>
          <w:szCs w:val="24"/>
        </w:rPr>
        <w:t>. [Accessed: 7</w:t>
      </w:r>
      <w:r w:rsidRPr="3555DDF2">
        <w:rPr>
          <w:rFonts w:ascii="Times New Roman" w:eastAsia="Times New Roman" w:hAnsi="Times New Roman" w:cs="Times New Roman"/>
          <w:sz w:val="24"/>
          <w:szCs w:val="24"/>
          <w:vertAlign w:val="superscript"/>
        </w:rPr>
        <w:t>th</w:t>
      </w:r>
      <w:r w:rsidRPr="3555DDF2">
        <w:rPr>
          <w:rFonts w:ascii="Times New Roman" w:eastAsia="Times New Roman" w:hAnsi="Times New Roman" w:cs="Times New Roman"/>
          <w:sz w:val="24"/>
          <w:szCs w:val="24"/>
        </w:rPr>
        <w:t xml:space="preserve"> November 2017]</w:t>
      </w:r>
    </w:p>
    <w:p w14:paraId="7ECE9630" w14:textId="41C37376"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Lloyd. C. 'Cicero' 2013. Ancient History Encyclopedia. </w:t>
      </w:r>
      <w:hyperlink r:id="rId9">
        <w:r w:rsidRPr="1245E4C5">
          <w:rPr>
            <w:rStyle w:val="Hyperlink"/>
            <w:rFonts w:ascii="Times New Roman" w:eastAsia="Times New Roman" w:hAnsi="Times New Roman" w:cs="Times New Roman"/>
            <w:sz w:val="24"/>
            <w:szCs w:val="24"/>
          </w:rPr>
          <w:t>https://www.ancient.eu/Cicero/</w:t>
        </w:r>
      </w:hyperlink>
      <w:r w:rsidRPr="1245E4C5">
        <w:rPr>
          <w:rFonts w:ascii="Times New Roman" w:eastAsia="Times New Roman" w:hAnsi="Times New Roman" w:cs="Times New Roman"/>
          <w:sz w:val="24"/>
          <w:szCs w:val="24"/>
        </w:rPr>
        <w:t>. [Accessed: 6</w:t>
      </w:r>
      <w:r w:rsidRPr="1245E4C5">
        <w:rPr>
          <w:rFonts w:ascii="Times New Roman" w:eastAsia="Times New Roman" w:hAnsi="Times New Roman" w:cs="Times New Roman"/>
          <w:sz w:val="24"/>
          <w:szCs w:val="24"/>
          <w:vertAlign w:val="superscript"/>
        </w:rPr>
        <w:t>th</w:t>
      </w:r>
      <w:r w:rsidRPr="1245E4C5">
        <w:rPr>
          <w:rFonts w:ascii="Times New Roman" w:eastAsia="Times New Roman" w:hAnsi="Times New Roman" w:cs="Times New Roman"/>
          <w:sz w:val="24"/>
          <w:szCs w:val="24"/>
        </w:rPr>
        <w:t xml:space="preserve"> November 2017]</w:t>
      </w:r>
    </w:p>
    <w:p w14:paraId="77C22203" w14:textId="42F090CB"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lastRenderedPageBreak/>
        <w:t xml:space="preserve">MacGinnis, J. 1986. 'Herodotus' Description of Babylon', </w:t>
      </w:r>
      <w:r w:rsidRPr="3555DDF2">
        <w:rPr>
          <w:rFonts w:ascii="Times New Roman" w:eastAsia="Times New Roman" w:hAnsi="Times New Roman" w:cs="Times New Roman"/>
          <w:i/>
          <w:iCs/>
          <w:sz w:val="24"/>
          <w:szCs w:val="24"/>
        </w:rPr>
        <w:t>Bulletin of the Institute of Classical Studies</w:t>
      </w:r>
      <w:r w:rsidRPr="3555DDF2">
        <w:rPr>
          <w:rFonts w:ascii="Times New Roman" w:eastAsia="Times New Roman" w:hAnsi="Times New Roman" w:cs="Times New Roman"/>
          <w:sz w:val="24"/>
          <w:szCs w:val="24"/>
        </w:rPr>
        <w:t>, Vol.33, 67-86</w:t>
      </w:r>
    </w:p>
    <w:p w14:paraId="024CC982" w14:textId="7AB5D264"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Mark. J.J. 'Herodotus' 2009. Ancient History Encyclopedia. </w:t>
      </w:r>
      <w:hyperlink r:id="rId10">
        <w:r w:rsidRPr="1245E4C5">
          <w:rPr>
            <w:rStyle w:val="Hyperlink"/>
            <w:rFonts w:ascii="Times New Roman" w:eastAsia="Times New Roman" w:hAnsi="Times New Roman" w:cs="Times New Roman"/>
            <w:sz w:val="24"/>
            <w:szCs w:val="24"/>
          </w:rPr>
          <w:t>https://www.ancient.eu/herodotus/</w:t>
        </w:r>
      </w:hyperlink>
      <w:r w:rsidRPr="1245E4C5">
        <w:rPr>
          <w:rFonts w:ascii="Times New Roman" w:eastAsia="Times New Roman" w:hAnsi="Times New Roman" w:cs="Times New Roman"/>
          <w:sz w:val="24"/>
          <w:szCs w:val="24"/>
        </w:rPr>
        <w:t>. [Accessed: 7</w:t>
      </w:r>
      <w:r w:rsidRPr="1245E4C5">
        <w:rPr>
          <w:rFonts w:ascii="Times New Roman" w:eastAsia="Times New Roman" w:hAnsi="Times New Roman" w:cs="Times New Roman"/>
          <w:sz w:val="24"/>
          <w:szCs w:val="24"/>
          <w:vertAlign w:val="superscript"/>
        </w:rPr>
        <w:t>th</w:t>
      </w:r>
      <w:r w:rsidRPr="1245E4C5">
        <w:rPr>
          <w:rFonts w:ascii="Times New Roman" w:eastAsia="Times New Roman" w:hAnsi="Times New Roman" w:cs="Times New Roman"/>
          <w:sz w:val="24"/>
          <w:szCs w:val="24"/>
        </w:rPr>
        <w:t xml:space="preserve"> November 2017]</w:t>
      </w:r>
    </w:p>
    <w:p w14:paraId="228BACF8" w14:textId="35041876" w:rsidR="1245E4C5" w:rsidRDefault="1245E4C5" w:rsidP="1245E4C5">
      <w:pPr>
        <w:spacing w:line="480" w:lineRule="auto"/>
        <w:rPr>
          <w:rFonts w:ascii="Times New Roman" w:eastAsia="Times New Roman" w:hAnsi="Times New Roman" w:cs="Times New Roman"/>
          <w:sz w:val="24"/>
          <w:szCs w:val="24"/>
        </w:rPr>
      </w:pPr>
      <w:r w:rsidRPr="1245E4C5">
        <w:rPr>
          <w:rFonts w:ascii="Times New Roman" w:eastAsia="Times New Roman" w:hAnsi="Times New Roman" w:cs="Times New Roman"/>
          <w:sz w:val="24"/>
          <w:szCs w:val="24"/>
        </w:rPr>
        <w:t xml:space="preserve">Robert, C.W. c1984. </w:t>
      </w:r>
      <w:r w:rsidRPr="1245E4C5">
        <w:rPr>
          <w:rFonts w:ascii="Times New Roman" w:eastAsia="Times New Roman" w:hAnsi="Times New Roman" w:cs="Times New Roman"/>
          <w:i/>
          <w:iCs/>
          <w:sz w:val="24"/>
          <w:szCs w:val="24"/>
        </w:rPr>
        <w:t>Thucydides</w:t>
      </w:r>
      <w:r w:rsidRPr="1245E4C5">
        <w:rPr>
          <w:rFonts w:ascii="Times New Roman" w:eastAsia="Times New Roman" w:hAnsi="Times New Roman" w:cs="Times New Roman"/>
          <w:sz w:val="24"/>
          <w:szCs w:val="24"/>
        </w:rPr>
        <w:t>, Princeton: Princeton University Press</w:t>
      </w:r>
    </w:p>
    <w:p w14:paraId="5DEBEC16" w14:textId="427E002C"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Romilly, J.D. 1988. 'Plutarch and Thucydides or the Free use of Quotations', </w:t>
      </w:r>
      <w:r w:rsidRPr="3555DDF2">
        <w:rPr>
          <w:rFonts w:ascii="Times New Roman" w:eastAsia="Times New Roman" w:hAnsi="Times New Roman" w:cs="Times New Roman"/>
          <w:i/>
          <w:iCs/>
          <w:sz w:val="24"/>
          <w:szCs w:val="24"/>
        </w:rPr>
        <w:t>Phoenix</w:t>
      </w:r>
      <w:r w:rsidRPr="3555DDF2">
        <w:rPr>
          <w:rFonts w:ascii="Times New Roman" w:eastAsia="Times New Roman" w:hAnsi="Times New Roman" w:cs="Times New Roman"/>
          <w:sz w:val="24"/>
          <w:szCs w:val="24"/>
        </w:rPr>
        <w:t>, Vol. 42, No. 1, 22-34</w:t>
      </w:r>
    </w:p>
    <w:p w14:paraId="200DA4A4" w14:textId="10AE57E6"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Titchener, F.B. 1995. 'Plutarch's Use of Thucydides in the "Moralia", </w:t>
      </w:r>
      <w:r w:rsidRPr="3555DDF2">
        <w:rPr>
          <w:rFonts w:ascii="Times New Roman" w:eastAsia="Times New Roman" w:hAnsi="Times New Roman" w:cs="Times New Roman"/>
          <w:i/>
          <w:iCs/>
          <w:sz w:val="24"/>
          <w:szCs w:val="24"/>
        </w:rPr>
        <w:t>Phoenix</w:t>
      </w:r>
      <w:r w:rsidRPr="3555DDF2">
        <w:rPr>
          <w:rFonts w:ascii="Times New Roman" w:eastAsia="Times New Roman" w:hAnsi="Times New Roman" w:cs="Times New Roman"/>
          <w:sz w:val="24"/>
          <w:szCs w:val="24"/>
        </w:rPr>
        <w:t>, Vol. 49, No. 3, 189-200</w:t>
      </w:r>
    </w:p>
    <w:p w14:paraId="651C5A72" w14:textId="2A6724C9" w:rsidR="1245E4C5" w:rsidRDefault="3555DDF2" w:rsidP="3555DDF2">
      <w:pPr>
        <w:spacing w:line="480" w:lineRule="auto"/>
        <w:rPr>
          <w:rFonts w:ascii="Times New Roman" w:eastAsia="Times New Roman" w:hAnsi="Times New Roman" w:cs="Times New Roman"/>
          <w:sz w:val="24"/>
          <w:szCs w:val="24"/>
        </w:rPr>
      </w:pPr>
      <w:r w:rsidRPr="3555DDF2">
        <w:rPr>
          <w:rFonts w:ascii="Times New Roman" w:eastAsia="Times New Roman" w:hAnsi="Times New Roman" w:cs="Times New Roman"/>
          <w:sz w:val="24"/>
          <w:szCs w:val="24"/>
        </w:rPr>
        <w:t xml:space="preserve">Wallace, W.P. 1964. 'Thucydides', </w:t>
      </w:r>
      <w:r w:rsidRPr="3555DDF2">
        <w:rPr>
          <w:rFonts w:ascii="Times New Roman" w:eastAsia="Times New Roman" w:hAnsi="Times New Roman" w:cs="Times New Roman"/>
          <w:i/>
          <w:iCs/>
          <w:sz w:val="24"/>
          <w:szCs w:val="24"/>
        </w:rPr>
        <w:t>Phoenix</w:t>
      </w:r>
      <w:r w:rsidRPr="3555DDF2">
        <w:rPr>
          <w:rFonts w:ascii="Times New Roman" w:eastAsia="Times New Roman" w:hAnsi="Times New Roman" w:cs="Times New Roman"/>
          <w:sz w:val="24"/>
          <w:szCs w:val="24"/>
        </w:rPr>
        <w:t>, Vol. 18, No. 4, 251-261</w:t>
      </w:r>
    </w:p>
    <w:p w14:paraId="122559DC" w14:textId="45F32059" w:rsidR="1245E4C5" w:rsidRDefault="1245E4C5" w:rsidP="1245E4C5">
      <w:pPr>
        <w:spacing w:line="480" w:lineRule="auto"/>
        <w:rPr>
          <w:rFonts w:ascii="Times New Roman" w:eastAsia="Times New Roman" w:hAnsi="Times New Roman" w:cs="Times New Roman"/>
          <w:sz w:val="24"/>
          <w:szCs w:val="24"/>
        </w:rPr>
      </w:pPr>
    </w:p>
    <w:p w14:paraId="3F42D26F" w14:textId="243894FB" w:rsidR="0C181AB2" w:rsidRDefault="0C181AB2" w:rsidP="0C181AB2">
      <w:pPr>
        <w:spacing w:line="480" w:lineRule="auto"/>
        <w:rPr>
          <w:rFonts w:ascii="Times New Roman" w:eastAsia="Times New Roman" w:hAnsi="Times New Roman" w:cs="Times New Roman"/>
          <w:sz w:val="24"/>
          <w:szCs w:val="24"/>
        </w:rPr>
      </w:pPr>
    </w:p>
    <w:p w14:paraId="2B16BA89" w14:textId="3E9B4F58" w:rsidR="680FB971" w:rsidRDefault="14B392C9" w:rsidP="14B392C9">
      <w:pPr>
        <w:spacing w:line="480" w:lineRule="auto"/>
        <w:rPr>
          <w:rFonts w:ascii="Times New Roman" w:eastAsia="Times New Roman" w:hAnsi="Times New Roman" w:cs="Times New Roman"/>
          <w:sz w:val="24"/>
          <w:szCs w:val="24"/>
        </w:rPr>
      </w:pPr>
      <w:r w:rsidRPr="14B392C9">
        <w:rPr>
          <w:rFonts w:ascii="Times New Roman" w:eastAsia="Times New Roman" w:hAnsi="Times New Roman" w:cs="Times New Roman"/>
          <w:sz w:val="24"/>
          <w:szCs w:val="24"/>
        </w:rPr>
        <w:t xml:space="preserve"> </w:t>
      </w:r>
    </w:p>
    <w:p w14:paraId="4C274E62" w14:textId="679B2AD2" w:rsidR="680FB971" w:rsidRDefault="680FB971" w:rsidP="680FB971">
      <w:pPr>
        <w:spacing w:line="480" w:lineRule="auto"/>
        <w:rPr>
          <w:rFonts w:ascii="Times New Roman" w:eastAsia="Times New Roman" w:hAnsi="Times New Roman" w:cs="Times New Roman"/>
          <w:sz w:val="24"/>
          <w:szCs w:val="24"/>
        </w:rPr>
      </w:pPr>
      <w:r>
        <w:br/>
      </w:r>
    </w:p>
    <w:p w14:paraId="420FCE3B" w14:textId="34150E61" w:rsidR="680FB971" w:rsidRDefault="680FB971" w:rsidP="680FB971">
      <w:pPr>
        <w:spacing w:line="480" w:lineRule="auto"/>
        <w:rPr>
          <w:rFonts w:ascii="Times New Roman" w:eastAsia="Times New Roman" w:hAnsi="Times New Roman" w:cs="Times New Roman"/>
          <w:sz w:val="24"/>
          <w:szCs w:val="24"/>
        </w:rPr>
      </w:pPr>
    </w:p>
    <w:p w14:paraId="37AAD2B3" w14:textId="338BEF17" w:rsidR="66BACB47" w:rsidRDefault="66BACB47" w:rsidP="66BACB47">
      <w:pPr>
        <w:spacing w:line="480" w:lineRule="auto"/>
        <w:rPr>
          <w:rFonts w:ascii="Times New Roman" w:eastAsia="Times New Roman" w:hAnsi="Times New Roman" w:cs="Times New Roman"/>
          <w:sz w:val="24"/>
          <w:szCs w:val="24"/>
        </w:rPr>
      </w:pPr>
    </w:p>
    <w:p w14:paraId="23371D82" w14:textId="4B17E41E" w:rsidR="06E69094" w:rsidRDefault="06E69094" w:rsidP="06E69094">
      <w:pPr>
        <w:spacing w:line="480" w:lineRule="auto"/>
        <w:rPr>
          <w:rFonts w:ascii="Times New Roman" w:eastAsia="Times New Roman" w:hAnsi="Times New Roman" w:cs="Times New Roman"/>
          <w:sz w:val="24"/>
          <w:szCs w:val="24"/>
        </w:rPr>
      </w:pPr>
    </w:p>
    <w:sectPr w:rsidR="06E6909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79925" w14:textId="77777777" w:rsidR="00A45E9C" w:rsidRDefault="00A45E9C">
      <w:pPr>
        <w:spacing w:after="0" w:line="240" w:lineRule="auto"/>
      </w:pPr>
      <w:r>
        <w:separator/>
      </w:r>
    </w:p>
  </w:endnote>
  <w:endnote w:type="continuationSeparator" w:id="0">
    <w:p w14:paraId="61F471F7" w14:textId="77777777" w:rsidR="00A45E9C" w:rsidRDefault="00A45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3555DDF2" w14:paraId="3F13B84A" w14:textId="77777777" w:rsidTr="3555DDF2">
      <w:tc>
        <w:tcPr>
          <w:tcW w:w="3120" w:type="dxa"/>
        </w:tcPr>
        <w:p w14:paraId="1C90C747" w14:textId="0FDA1CAF" w:rsidR="3555DDF2" w:rsidRDefault="3555DDF2" w:rsidP="3555DDF2">
          <w:pPr>
            <w:pStyle w:val="Header"/>
            <w:ind w:left="-115"/>
          </w:pPr>
        </w:p>
      </w:tc>
      <w:tc>
        <w:tcPr>
          <w:tcW w:w="3120" w:type="dxa"/>
        </w:tcPr>
        <w:p w14:paraId="33125FC6" w14:textId="77778236" w:rsidR="3555DDF2" w:rsidRDefault="3555DDF2" w:rsidP="3555DDF2">
          <w:pPr>
            <w:pStyle w:val="Header"/>
            <w:jc w:val="center"/>
          </w:pPr>
        </w:p>
      </w:tc>
      <w:tc>
        <w:tcPr>
          <w:tcW w:w="3120" w:type="dxa"/>
        </w:tcPr>
        <w:p w14:paraId="3D516553" w14:textId="13788A9C" w:rsidR="3555DDF2" w:rsidRDefault="3555DDF2" w:rsidP="3555DDF2">
          <w:pPr>
            <w:pStyle w:val="Header"/>
            <w:ind w:right="-115"/>
            <w:jc w:val="right"/>
          </w:pPr>
        </w:p>
      </w:tc>
    </w:tr>
  </w:tbl>
  <w:p w14:paraId="6DADDDA6" w14:textId="09427F93" w:rsidR="3555DDF2" w:rsidRDefault="3555DDF2" w:rsidP="3555DDF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2CF95" w14:textId="77777777" w:rsidR="00A45E9C" w:rsidRDefault="00A45E9C">
      <w:pPr>
        <w:spacing w:after="0" w:line="240" w:lineRule="auto"/>
      </w:pPr>
      <w:r>
        <w:separator/>
      </w:r>
    </w:p>
  </w:footnote>
  <w:footnote w:type="continuationSeparator" w:id="0">
    <w:p w14:paraId="36E7606C" w14:textId="77777777" w:rsidR="00A45E9C" w:rsidRDefault="00A45E9C">
      <w:pPr>
        <w:spacing w:after="0" w:line="240" w:lineRule="auto"/>
      </w:pPr>
      <w:r>
        <w:continuationSeparator/>
      </w:r>
    </w:p>
  </w:footnote>
  <w:footnote w:id="1">
    <w:p w14:paraId="373CDCC6" w14:textId="0AD28501" w:rsidR="06E69094" w:rsidRDefault="06E69094" w:rsidP="06E69094">
      <w:pPr>
        <w:pStyle w:val="FootnoteText"/>
      </w:pPr>
      <w:r w:rsidRPr="06E69094">
        <w:rPr>
          <w:rStyle w:val="FootnoteReference"/>
        </w:rPr>
        <w:footnoteRef/>
      </w:r>
      <w:r>
        <w:t xml:space="preserve"> Steven Lattimore, 1998: 13</w:t>
      </w:r>
    </w:p>
  </w:footnote>
  <w:footnote w:id="2">
    <w:p w14:paraId="2024F67F" w14:textId="1CF77EB8" w:rsidR="06E69094" w:rsidRDefault="06E69094" w:rsidP="380DFA5E">
      <w:pPr>
        <w:pStyle w:val="FootnoteText"/>
      </w:pPr>
      <w:r w:rsidRPr="06E69094">
        <w:rPr>
          <w:rStyle w:val="FootnoteReference"/>
        </w:rPr>
        <w:footnoteRef/>
      </w:r>
      <w:r>
        <w:t xml:space="preserve"> Llyod, 2012</w:t>
      </w:r>
    </w:p>
  </w:footnote>
  <w:footnote w:id="3">
    <w:p w14:paraId="1AC94AFD" w14:textId="7297FB54" w:rsidR="06E69094" w:rsidRDefault="06E69094" w:rsidP="06E69094">
      <w:pPr>
        <w:pStyle w:val="FootnoteText"/>
      </w:pPr>
      <w:r w:rsidRPr="06E69094">
        <w:rPr>
          <w:rStyle w:val="FootnoteReference"/>
        </w:rPr>
        <w:footnoteRef/>
      </w:r>
      <w:r>
        <w:t>Hornblower</w:t>
      </w:r>
      <w:r w:rsidRPr="3555DDF2">
        <w:t xml:space="preserve"> &amp; </w:t>
      </w:r>
      <w:r>
        <w:t>Spawforth, 2005</w:t>
      </w:r>
    </w:p>
  </w:footnote>
  <w:footnote w:id="4">
    <w:p w14:paraId="1B401B3D" w14:textId="46AC9A7F" w:rsidR="380DFA5E" w:rsidRDefault="380DFA5E" w:rsidP="380DFA5E">
      <w:pPr>
        <w:pStyle w:val="FootnoteText"/>
      </w:pPr>
      <w:r w:rsidRPr="380DFA5E">
        <w:rPr>
          <w:rStyle w:val="FootnoteReference"/>
        </w:rPr>
        <w:footnoteRef/>
      </w:r>
      <w:r>
        <w:t xml:space="preserve"> TRM OV 12.1.3</w:t>
      </w:r>
    </w:p>
  </w:footnote>
  <w:footnote w:id="5">
    <w:p w14:paraId="371234D3" w14:textId="0EDBFFD0" w:rsidR="380DFA5E" w:rsidRDefault="380DFA5E" w:rsidP="380DFA5E">
      <w:pPr>
        <w:pStyle w:val="FootnoteText"/>
      </w:pPr>
      <w:r w:rsidRPr="380DFA5E">
        <w:rPr>
          <w:rStyle w:val="FootnoteReference"/>
        </w:rPr>
        <w:footnoteRef/>
      </w:r>
      <w:r w:rsidRPr="3555DDF2">
        <w:t xml:space="preserve"> </w:t>
      </w:r>
      <w:r>
        <w:t>Thuc</w:t>
      </w:r>
      <w:r w:rsidRPr="3555DDF2">
        <w:t xml:space="preserve">. </w:t>
      </w:r>
      <w:r>
        <w:t>1.107</w:t>
      </w:r>
    </w:p>
  </w:footnote>
  <w:footnote w:id="6">
    <w:p w14:paraId="2EDDA8F2" w14:textId="50040A69" w:rsidR="3555DDF2" w:rsidRDefault="3555DDF2" w:rsidP="3555DDF2">
      <w:pPr>
        <w:pStyle w:val="FootnoteText"/>
      </w:pPr>
      <w:r w:rsidRPr="3555DDF2">
        <w:rPr>
          <w:rStyle w:val="FootnoteReference"/>
        </w:rPr>
        <w:footnoteRef/>
      </w:r>
      <w:r>
        <w:t>Cochrance, 1929: 166</w:t>
      </w:r>
    </w:p>
  </w:footnote>
  <w:footnote w:id="7">
    <w:p w14:paraId="4382324A" w14:textId="5840FBAD" w:rsidR="3555DDF2" w:rsidRDefault="3555DDF2" w:rsidP="3555DDF2">
      <w:pPr>
        <w:pStyle w:val="FootnoteText"/>
      </w:pPr>
      <w:r w:rsidRPr="3555DDF2">
        <w:rPr>
          <w:rStyle w:val="FootnoteReference"/>
        </w:rPr>
        <w:footnoteRef/>
      </w:r>
      <w:r>
        <w:t xml:space="preserve"> Thuc. 1.22.2</w:t>
      </w:r>
    </w:p>
  </w:footnote>
  <w:footnote w:id="8">
    <w:p w14:paraId="3C8CB8BF" w14:textId="3F1EED24" w:rsidR="3555DDF2" w:rsidRDefault="3555DDF2" w:rsidP="3555DDF2">
      <w:pPr>
        <w:pStyle w:val="FootnoteText"/>
      </w:pPr>
      <w:r w:rsidRPr="3555DDF2">
        <w:rPr>
          <w:rStyle w:val="FootnoteReference"/>
        </w:rPr>
        <w:footnoteRef/>
      </w:r>
      <w:r>
        <w:t>C.W. Robert 1984: 11</w:t>
      </w:r>
    </w:p>
  </w:footnote>
  <w:footnote w:id="9">
    <w:p w14:paraId="11DF22AD" w14:textId="5E6D6D9F" w:rsidR="3555DDF2" w:rsidRDefault="3555DDF2" w:rsidP="3555DDF2">
      <w:pPr>
        <w:pStyle w:val="FootnoteText"/>
      </w:pPr>
      <w:r w:rsidRPr="3555DDF2">
        <w:rPr>
          <w:rStyle w:val="FootnoteReference"/>
        </w:rPr>
        <w:footnoteRef/>
      </w:r>
      <w:r>
        <w:t>C.W. Robert, 1934: 3</w:t>
      </w:r>
    </w:p>
  </w:footnote>
  <w:footnote w:id="10">
    <w:p w14:paraId="019819C3" w14:textId="23384939" w:rsidR="680FB971" w:rsidRDefault="680FB971" w:rsidP="680FB971">
      <w:pPr>
        <w:pStyle w:val="FootnoteText"/>
      </w:pPr>
      <w:r w:rsidRPr="680FB971">
        <w:rPr>
          <w:rStyle w:val="FootnoteReference"/>
        </w:rPr>
        <w:footnoteRef/>
      </w:r>
      <w:r w:rsidRPr="3555DDF2">
        <w:t xml:space="preserve"> </w:t>
      </w:r>
      <w:r>
        <w:t>Thuc</w:t>
      </w:r>
      <w:r w:rsidRPr="3555DDF2">
        <w:t xml:space="preserve">. </w:t>
      </w:r>
      <w:r>
        <w:t>1.22.2</w:t>
      </w:r>
    </w:p>
  </w:footnote>
  <w:footnote w:id="11">
    <w:p w14:paraId="0E3F8408" w14:textId="6F49AAE9" w:rsidR="680FB971" w:rsidRDefault="680FB971" w:rsidP="680FB971">
      <w:pPr>
        <w:pStyle w:val="FootnoteText"/>
      </w:pPr>
      <w:r w:rsidRPr="680FB971">
        <w:rPr>
          <w:rStyle w:val="FootnoteReference"/>
        </w:rPr>
        <w:footnoteRef/>
      </w:r>
      <w:r>
        <w:t>Lattimore, 1998: 13</w:t>
      </w:r>
    </w:p>
  </w:footnote>
  <w:footnote w:id="12">
    <w:p w14:paraId="01EF087B" w14:textId="7BB39316" w:rsidR="680FB971" w:rsidRDefault="680FB971" w:rsidP="680FB971">
      <w:pPr>
        <w:pStyle w:val="FootnoteText"/>
      </w:pPr>
      <w:r w:rsidRPr="680FB971">
        <w:rPr>
          <w:rStyle w:val="FootnoteReference"/>
        </w:rPr>
        <w:footnoteRef/>
      </w:r>
      <w:r w:rsidRPr="3555DDF2">
        <w:t xml:space="preserve"> </w:t>
      </w:r>
      <w:r>
        <w:t>Thuc</w:t>
      </w:r>
      <w:r w:rsidRPr="3555DDF2">
        <w:t xml:space="preserve">. </w:t>
      </w:r>
      <w:r>
        <w:t>7.29.3</w:t>
      </w:r>
    </w:p>
  </w:footnote>
  <w:footnote w:id="13">
    <w:p w14:paraId="79C75521" w14:textId="0DD7119F" w:rsidR="380DFA5E" w:rsidRDefault="380DFA5E" w:rsidP="380DFA5E">
      <w:pPr>
        <w:pStyle w:val="FootnoteText"/>
      </w:pPr>
      <w:r w:rsidRPr="380DFA5E">
        <w:rPr>
          <w:rStyle w:val="FootnoteReference"/>
        </w:rPr>
        <w:footnoteRef/>
      </w:r>
      <w:r w:rsidRPr="3555DDF2">
        <w:t xml:space="preserve"> </w:t>
      </w:r>
      <w:r>
        <w:t>Thuc</w:t>
      </w:r>
      <w:r w:rsidRPr="3555DDF2">
        <w:t xml:space="preserve">. </w:t>
      </w:r>
      <w:r>
        <w:t>7.29.4</w:t>
      </w:r>
    </w:p>
  </w:footnote>
  <w:footnote w:id="14">
    <w:p w14:paraId="0D5BA92A" w14:textId="68F41E8F" w:rsidR="680FB971" w:rsidRDefault="680FB971" w:rsidP="680FB971">
      <w:pPr>
        <w:pStyle w:val="FootnoteText"/>
      </w:pPr>
      <w:r w:rsidRPr="680FB971">
        <w:rPr>
          <w:rStyle w:val="FootnoteReference"/>
        </w:rPr>
        <w:footnoteRef/>
      </w:r>
      <w:r>
        <w:t xml:space="preserve"> Robbert, 1984: 11</w:t>
      </w:r>
    </w:p>
  </w:footnote>
  <w:footnote w:id="15">
    <w:p w14:paraId="69D3C740" w14:textId="762C7F94" w:rsidR="380DFA5E" w:rsidRDefault="380DFA5E" w:rsidP="380DFA5E">
      <w:pPr>
        <w:pStyle w:val="FootnoteText"/>
      </w:pPr>
      <w:r w:rsidRPr="380DFA5E">
        <w:rPr>
          <w:rStyle w:val="FootnoteReference"/>
        </w:rPr>
        <w:footnoteRef/>
      </w:r>
      <w:r w:rsidRPr="0C181AB2">
        <w:t xml:space="preserve"> W.R. </w:t>
      </w:r>
      <w:r>
        <w:t>Connor, 1977: 289</w:t>
      </w:r>
    </w:p>
  </w:footnote>
  <w:footnote w:id="16">
    <w:p w14:paraId="6676028C" w14:textId="38774EE7" w:rsidR="380DFA5E" w:rsidRDefault="380DFA5E" w:rsidP="380DFA5E">
      <w:pPr>
        <w:pStyle w:val="FootnoteText"/>
      </w:pPr>
      <w:r w:rsidRPr="380DFA5E">
        <w:rPr>
          <w:rStyle w:val="FootnoteReference"/>
        </w:rPr>
        <w:footnoteRef/>
      </w:r>
      <w:r w:rsidRPr="0C181AB2">
        <w:t xml:space="preserve"> W.R. </w:t>
      </w:r>
      <w:r>
        <w:t>Connor, 1977: 289</w:t>
      </w:r>
      <w:r w:rsidRPr="0C181AB2">
        <w:t xml:space="preserve">, </w:t>
      </w:r>
      <w:r>
        <w:t>Lattimore, 1998: 13</w:t>
      </w:r>
    </w:p>
  </w:footnote>
  <w:footnote w:id="17">
    <w:p w14:paraId="5DF78A18" w14:textId="56A962B2" w:rsidR="680FB971" w:rsidRDefault="680FB971" w:rsidP="680FB971">
      <w:pPr>
        <w:pStyle w:val="FootnoteText"/>
      </w:pPr>
      <w:r w:rsidRPr="680FB971">
        <w:rPr>
          <w:rStyle w:val="FootnoteReference"/>
        </w:rPr>
        <w:footnoteRef/>
      </w:r>
      <w:r w:rsidRPr="3555DDF2">
        <w:t xml:space="preserve"> </w:t>
      </w:r>
      <w:r>
        <w:t>Thuc</w:t>
      </w:r>
      <w:r w:rsidRPr="3555DDF2">
        <w:t xml:space="preserve">. </w:t>
      </w:r>
      <w:r>
        <w:t>2.31.2</w:t>
      </w:r>
    </w:p>
  </w:footnote>
  <w:footnote w:id="18">
    <w:p w14:paraId="35009772" w14:textId="25EA0CC6" w:rsidR="680FB971" w:rsidRDefault="680FB971" w:rsidP="680FB971">
      <w:pPr>
        <w:pStyle w:val="FootnoteText"/>
      </w:pPr>
      <w:r w:rsidRPr="680FB971">
        <w:rPr>
          <w:rStyle w:val="FootnoteReference"/>
        </w:rPr>
        <w:footnoteRef/>
      </w:r>
      <w:r w:rsidRPr="0C181AB2">
        <w:t xml:space="preserve"> W.P. </w:t>
      </w:r>
      <w:r>
        <w:t>Wallace, 1964: 251</w:t>
      </w:r>
    </w:p>
  </w:footnote>
  <w:footnote w:id="19">
    <w:p w14:paraId="59794373" w14:textId="54D963A1" w:rsidR="680FB971" w:rsidRDefault="680FB971" w:rsidP="680FB971">
      <w:pPr>
        <w:pStyle w:val="FootnoteText"/>
      </w:pPr>
      <w:r w:rsidRPr="680FB971">
        <w:rPr>
          <w:rStyle w:val="FootnoteReference"/>
        </w:rPr>
        <w:footnoteRef/>
      </w:r>
      <w:r>
        <w:t xml:space="preserve"> Parry, 1972: 47</w:t>
      </w:r>
    </w:p>
  </w:footnote>
  <w:footnote w:id="20">
    <w:p w14:paraId="35EC1764" w14:textId="6951A120" w:rsidR="380DFA5E" w:rsidRDefault="380DFA5E" w:rsidP="380DFA5E">
      <w:pPr>
        <w:pStyle w:val="FootnoteText"/>
      </w:pPr>
      <w:r w:rsidRPr="380DFA5E">
        <w:rPr>
          <w:rStyle w:val="FootnoteReference"/>
        </w:rPr>
        <w:footnoteRef/>
      </w:r>
      <w:r>
        <w:t xml:space="preserve"> Lloyd, 2013</w:t>
      </w:r>
    </w:p>
  </w:footnote>
  <w:footnote w:id="21">
    <w:p w14:paraId="4084412A" w14:textId="4DD79A45" w:rsidR="380DFA5E" w:rsidRDefault="380DFA5E" w:rsidP="380DFA5E">
      <w:pPr>
        <w:pStyle w:val="FootnoteText"/>
      </w:pPr>
      <w:r w:rsidRPr="380DFA5E">
        <w:rPr>
          <w:rStyle w:val="FootnoteReference"/>
        </w:rPr>
        <w:footnoteRef/>
      </w:r>
      <w:r>
        <w:t xml:space="preserve"> Evans, 1985</w:t>
      </w:r>
    </w:p>
  </w:footnote>
  <w:footnote w:id="22">
    <w:p w14:paraId="1FAA8EBE" w14:textId="0C9139F9" w:rsidR="380DFA5E" w:rsidRDefault="380DFA5E" w:rsidP="380DFA5E">
      <w:pPr>
        <w:pStyle w:val="FootnoteText"/>
      </w:pPr>
      <w:r w:rsidRPr="380DFA5E">
        <w:rPr>
          <w:rStyle w:val="FootnoteReference"/>
        </w:rPr>
        <w:footnoteRef/>
      </w:r>
      <w:r w:rsidRPr="3555DDF2">
        <w:t xml:space="preserve"> </w:t>
      </w:r>
      <w:r>
        <w:t>Plut</w:t>
      </w:r>
      <w:r w:rsidRPr="3555DDF2">
        <w:t xml:space="preserve">. </w:t>
      </w:r>
      <w:r>
        <w:t>De Herod. 6.</w:t>
      </w:r>
    </w:p>
  </w:footnote>
  <w:footnote w:id="23">
    <w:p w14:paraId="53D90983" w14:textId="08BCCB4F" w:rsidR="380DFA5E" w:rsidRDefault="380DFA5E" w:rsidP="380DFA5E">
      <w:pPr>
        <w:pStyle w:val="FootnoteText"/>
      </w:pPr>
      <w:r w:rsidRPr="380DFA5E">
        <w:rPr>
          <w:rStyle w:val="FootnoteReference"/>
        </w:rPr>
        <w:footnoteRef/>
      </w:r>
      <w:r w:rsidRPr="3555DDF2">
        <w:t xml:space="preserve"> </w:t>
      </w:r>
      <w:r>
        <w:t>Plut</w:t>
      </w:r>
      <w:r w:rsidRPr="3555DDF2">
        <w:t xml:space="preserve">. </w:t>
      </w:r>
      <w:r>
        <w:t>De Herod. 12.</w:t>
      </w:r>
    </w:p>
  </w:footnote>
  <w:footnote w:id="24">
    <w:p w14:paraId="0AB3B38C" w14:textId="6D1CF926" w:rsidR="380DFA5E" w:rsidRDefault="380DFA5E" w:rsidP="380DFA5E">
      <w:pPr>
        <w:pStyle w:val="FootnoteText"/>
      </w:pPr>
      <w:r w:rsidRPr="380DFA5E">
        <w:rPr>
          <w:rStyle w:val="FootnoteReference"/>
        </w:rPr>
        <w:footnoteRef/>
      </w:r>
      <w:r w:rsidRPr="3555DDF2">
        <w:t xml:space="preserve"> </w:t>
      </w:r>
      <w:r>
        <w:t>Plut</w:t>
      </w:r>
      <w:r w:rsidRPr="3555DDF2">
        <w:t xml:space="preserve">. </w:t>
      </w:r>
      <w:r>
        <w:t>De Herod. 15.</w:t>
      </w:r>
    </w:p>
  </w:footnote>
  <w:footnote w:id="25">
    <w:p w14:paraId="69AAC626" w14:textId="5C947032" w:rsidR="14B392C9" w:rsidRDefault="14B392C9" w:rsidP="14B392C9">
      <w:pPr>
        <w:pStyle w:val="FootnoteText"/>
      </w:pPr>
      <w:r w:rsidRPr="14B392C9">
        <w:rPr>
          <w:rStyle w:val="FootnoteReference"/>
        </w:rPr>
        <w:footnoteRef/>
      </w:r>
      <w:r>
        <w:t xml:space="preserve"> Cartwright, 2016</w:t>
      </w:r>
    </w:p>
  </w:footnote>
  <w:footnote w:id="26">
    <w:p w14:paraId="45B793BB" w14:textId="49D64FE4" w:rsidR="0C181AB2" w:rsidRDefault="0C181AB2" w:rsidP="0C181AB2">
      <w:pPr>
        <w:pStyle w:val="FootnoteText"/>
      </w:pPr>
      <w:r w:rsidRPr="0C181AB2">
        <w:rPr>
          <w:rStyle w:val="FootnoteReference"/>
        </w:rPr>
        <w:footnoteRef/>
      </w:r>
      <w:r>
        <w:t xml:space="preserve"> Hdt. 1.179.3</w:t>
      </w:r>
    </w:p>
  </w:footnote>
  <w:footnote w:id="27">
    <w:p w14:paraId="4EBEACF0" w14:textId="61B25AA0" w:rsidR="0C181AB2" w:rsidRDefault="0C181AB2" w:rsidP="0C181AB2">
      <w:pPr>
        <w:pStyle w:val="FootnoteText"/>
      </w:pPr>
      <w:r w:rsidRPr="0C181AB2">
        <w:rPr>
          <w:rStyle w:val="FootnoteReference"/>
        </w:rPr>
        <w:footnoteRef/>
      </w:r>
      <w:r>
        <w:t xml:space="preserve"> Mark, 2009</w:t>
      </w:r>
    </w:p>
  </w:footnote>
  <w:footnote w:id="28">
    <w:p w14:paraId="2CFB9F87" w14:textId="21FA6A44" w:rsidR="14B392C9" w:rsidRDefault="14B392C9" w:rsidP="14B392C9">
      <w:pPr>
        <w:pStyle w:val="FootnoteText"/>
      </w:pPr>
      <w:r w:rsidRPr="14B392C9">
        <w:rPr>
          <w:rStyle w:val="FootnoteReference"/>
        </w:rPr>
        <w:footnoteRef/>
      </w:r>
      <w:r w:rsidRPr="3555DDF2">
        <w:t xml:space="preserve"> </w:t>
      </w:r>
      <w:r>
        <w:t>Frances B. Titchener, 1995 : 189</w:t>
      </w:r>
    </w:p>
  </w:footnote>
  <w:footnote w:id="29">
    <w:p w14:paraId="644C4B77" w14:textId="229FF6F0" w:rsidR="14B392C9" w:rsidRDefault="14B392C9" w:rsidP="14B392C9">
      <w:pPr>
        <w:pStyle w:val="FootnoteText"/>
      </w:pPr>
      <w:r w:rsidRPr="14B392C9">
        <w:rPr>
          <w:rStyle w:val="FootnoteReference"/>
        </w:rPr>
        <w:footnoteRef/>
      </w:r>
      <w:r w:rsidRPr="3555DDF2">
        <w:t xml:space="preserve"> </w:t>
      </w:r>
      <w:r>
        <w:t>Plut</w:t>
      </w:r>
      <w:r w:rsidRPr="3555DDF2">
        <w:t xml:space="preserve">. </w:t>
      </w:r>
      <w:r>
        <w:t>De Herod. 5-6</w:t>
      </w:r>
    </w:p>
  </w:footnote>
  <w:footnote w:id="30">
    <w:p w14:paraId="64058728" w14:textId="0EE47708" w:rsidR="14B392C9" w:rsidRDefault="14B392C9" w:rsidP="14B392C9">
      <w:pPr>
        <w:pStyle w:val="FootnoteText"/>
      </w:pPr>
      <w:r w:rsidRPr="14B392C9">
        <w:rPr>
          <w:rStyle w:val="FootnoteReference"/>
        </w:rPr>
        <w:footnoteRef/>
      </w:r>
      <w:r w:rsidRPr="3555DDF2">
        <w:t xml:space="preserve"> </w:t>
      </w:r>
      <w:r>
        <w:t>Thuc</w:t>
      </w:r>
      <w:r w:rsidRPr="3555DDF2">
        <w:t xml:space="preserve">. </w:t>
      </w:r>
      <w:r>
        <w:t>1.22.4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3555DDF2" w14:paraId="067F6680" w14:textId="77777777" w:rsidTr="3555DDF2">
      <w:tc>
        <w:tcPr>
          <w:tcW w:w="3120" w:type="dxa"/>
        </w:tcPr>
        <w:p w14:paraId="68C4E66A" w14:textId="380F5317" w:rsidR="3555DDF2" w:rsidRDefault="3555DDF2" w:rsidP="3555DDF2">
          <w:pPr>
            <w:pStyle w:val="Header"/>
            <w:ind w:left="-115"/>
          </w:pPr>
          <w:r>
            <w:t>Sophie Taylor, 1700991</w:t>
          </w:r>
        </w:p>
      </w:tc>
      <w:tc>
        <w:tcPr>
          <w:tcW w:w="3120" w:type="dxa"/>
        </w:tcPr>
        <w:p w14:paraId="7FC3AD83" w14:textId="6E7C7086" w:rsidR="3555DDF2" w:rsidRDefault="3555DDF2" w:rsidP="3555DDF2">
          <w:pPr>
            <w:pStyle w:val="Header"/>
            <w:jc w:val="center"/>
          </w:pPr>
        </w:p>
      </w:tc>
      <w:tc>
        <w:tcPr>
          <w:tcW w:w="3120" w:type="dxa"/>
        </w:tcPr>
        <w:p w14:paraId="06C34D16" w14:textId="168D1A78" w:rsidR="3555DDF2" w:rsidRDefault="3555DDF2" w:rsidP="3555DDF2">
          <w:pPr>
            <w:pStyle w:val="Header"/>
            <w:ind w:right="-115"/>
            <w:jc w:val="right"/>
          </w:pPr>
        </w:p>
      </w:tc>
    </w:tr>
  </w:tbl>
  <w:p w14:paraId="4FF94EA4" w14:textId="36448928" w:rsidR="3555DDF2" w:rsidRDefault="3555DDF2" w:rsidP="3555DD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E69094"/>
    <w:rsid w:val="004D2466"/>
    <w:rsid w:val="00A45E9C"/>
    <w:rsid w:val="00C51D4C"/>
    <w:rsid w:val="03784AD7"/>
    <w:rsid w:val="06E69094"/>
    <w:rsid w:val="0C181AB2"/>
    <w:rsid w:val="1245E4C5"/>
    <w:rsid w:val="14B392C9"/>
    <w:rsid w:val="3555DDF2"/>
    <w:rsid w:val="380DFA5E"/>
    <w:rsid w:val="63003414"/>
    <w:rsid w:val="66BACB47"/>
    <w:rsid w:val="680FB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8C9A0707-978D-41F2-A182-E178EEB4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4D2466"/>
    <w:pPr>
      <w:keepNext/>
      <w:spacing w:before="240" w:after="60" w:line="240" w:lineRule="auto"/>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4D2466"/>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rsid w:val="004D2466"/>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4D2466"/>
    <w:rPr>
      <w:rFonts w:ascii="Tahoma" w:eastAsia="SimSun" w:hAnsi="Tahoma" w:cs="Tahoma"/>
      <w:b/>
      <w:bCs/>
      <w:sz w:val="20"/>
      <w:szCs w:val="20"/>
      <w:lang w:val="en-GB" w:eastAsia="zh-CN"/>
    </w:rPr>
  </w:style>
  <w:style w:type="paragraph" w:styleId="NormalWeb">
    <w:name w:val="Normal (Web)"/>
    <w:basedOn w:val="Normal"/>
    <w:rsid w:val="004D2466"/>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s://www.ancient.eu/plutarch/" TargetMode="External"/><Relationship Id="rId8" Type="http://schemas.openxmlformats.org/officeDocument/2006/relationships/hyperlink" Target="https://www.ancient.eu/Thucydides/" TargetMode="External"/><Relationship Id="rId9" Type="http://schemas.openxmlformats.org/officeDocument/2006/relationships/hyperlink" Target="https://www.ancient.eu/Cicero/" TargetMode="External"/><Relationship Id="rId10" Type="http://schemas.openxmlformats.org/officeDocument/2006/relationships/hyperlink" Target="https://www.ancient.eu/herodo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2001</Words>
  <Characters>10426</Characters>
  <Application>Microsoft Macintosh Word</Application>
  <DocSecurity>0</DocSecurity>
  <Lines>221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 (1700991)</dc:creator>
  <cp:keywords/>
  <dc:description/>
  <cp:lastModifiedBy>Emily Sykes (1700547)</cp:lastModifiedBy>
  <cp:revision>2</cp:revision>
  <dcterms:created xsi:type="dcterms:W3CDTF">2017-11-10T12:44:00Z</dcterms:created>
  <dcterms:modified xsi:type="dcterms:W3CDTF">2017-11-14T15:33:00Z</dcterms:modified>
</cp:coreProperties>
</file>