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0" distT="0" distL="0" distR="0">
            <wp:extent cx="2296704" cy="789860"/>
            <wp:effectExtent b="0" l="0" r="0" t="0"/>
            <wp:docPr id="2" name="image2.png"/>
            <a:graphic>
              <a:graphicData uri="http://schemas.openxmlformats.org/drawingml/2006/picture">
                <pic:pic>
                  <pic:nvPicPr>
                    <pic:cNvPr id="0" name="image2.png"/>
                    <pic:cNvPicPr preferRelativeResize="0"/>
                  </pic:nvPicPr>
                  <pic:blipFill>
                    <a:blip r:embed="rId7"/>
                    <a:srcRect b="17850" l="9706" r="10352" t="16326"/>
                    <a:stretch>
                      <a:fillRect/>
                    </a:stretch>
                  </pic:blipFill>
                  <pic:spPr>
                    <a:xfrm>
                      <a:off x="0" y="0"/>
                      <a:ext cx="2296704" cy="78986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b w:val="1"/>
          <w:bCs w:val="1"/>
          <w:sz w:val="32"/>
          <w:szCs w:val="32"/>
        </w:rPr>
      </w:pPr>
      <w:r w:rsidDel="00000000" w:rsidR="00000000" w:rsidRPr="00000000">
        <w:rPr>
          <w:b w:val="1"/>
          <w:bCs w:val="1"/>
          <w:sz w:val="32"/>
          <w:szCs w:val="32"/>
          <w:rtl w:val="0"/>
        </w:rPr>
        <w:t xml:space="preserve">Programme: Master of Business Administration</w:t>
      </w:r>
    </w:p>
    <w:p w:rsidR="00000000" w:rsidDel="00000000" w:rsidP="00000000" w:rsidRDefault="00000000" w:rsidRPr="00000000" w14:paraId="00000004">
      <w:pPr>
        <w:jc w:val="center"/>
        <w:rPr>
          <w:b w:val="1"/>
          <w:bCs w:val="1"/>
          <w:sz w:val="32"/>
          <w:szCs w:val="32"/>
        </w:rPr>
      </w:pPr>
      <w:r w:rsidDel="00000000" w:rsidR="00000000" w:rsidRPr="00000000">
        <w:rPr>
          <w:rtl w:val="0"/>
        </w:rPr>
      </w:r>
    </w:p>
    <w:p w:rsidR="00000000" w:rsidDel="00000000" w:rsidP="00000000" w:rsidRDefault="00000000" w:rsidRPr="00000000" w14:paraId="00000005">
      <w:pPr>
        <w:jc w:val="center"/>
        <w:rPr>
          <w:b w:val="1"/>
          <w:bCs w:val="1"/>
          <w:sz w:val="32"/>
          <w:szCs w:val="32"/>
        </w:rPr>
      </w:pPr>
      <w:r w:rsidDel="00000000" w:rsidR="00000000" w:rsidRPr="00000000">
        <w:rPr>
          <w:b w:val="1"/>
          <w:bCs w:val="1"/>
          <w:sz w:val="32"/>
          <w:szCs w:val="32"/>
          <w:rtl w:val="0"/>
        </w:rPr>
        <w:t xml:space="preserve">Module: Marketing Management</w:t>
      </w:r>
    </w:p>
    <w:p w:rsidR="00000000" w:rsidDel="00000000" w:rsidP="00000000" w:rsidRDefault="00000000" w:rsidRPr="00000000" w14:paraId="00000006">
      <w:pPr>
        <w:jc w:val="center"/>
        <w:rPr>
          <w:b w:val="1"/>
          <w:bCs w:val="1"/>
          <w:sz w:val="32"/>
          <w:szCs w:val="32"/>
        </w:rPr>
      </w:pPr>
      <w:r w:rsidDel="00000000" w:rsidR="00000000" w:rsidRPr="00000000">
        <w:rPr>
          <w:b w:val="1"/>
          <w:bCs w:val="1"/>
          <w:sz w:val="32"/>
          <w:szCs w:val="32"/>
          <w:rtl w:val="0"/>
        </w:rPr>
        <w:t xml:space="preserve">Module code: LCMB7024</w:t>
      </w:r>
    </w:p>
    <w:p w:rsidR="00000000" w:rsidDel="00000000" w:rsidP="00000000" w:rsidRDefault="00000000" w:rsidRPr="00000000" w14:paraId="00000007">
      <w:pPr>
        <w:jc w:val="center"/>
        <w:rPr>
          <w:b w:val="1"/>
          <w:bCs w:val="1"/>
          <w:sz w:val="32"/>
          <w:szCs w:val="32"/>
        </w:rPr>
      </w:pPr>
      <w:r w:rsidDel="00000000" w:rsidR="00000000" w:rsidRPr="00000000">
        <w:rPr>
          <w:b w:val="1"/>
          <w:bCs w:val="1"/>
          <w:sz w:val="32"/>
          <w:szCs w:val="32"/>
          <w:rtl w:val="0"/>
        </w:rPr>
        <w:t xml:space="preserve">Lecturer: Haoran Liu</w:t>
      </w:r>
    </w:p>
    <w:p w:rsidR="00000000" w:rsidDel="00000000" w:rsidP="00000000" w:rsidRDefault="00000000" w:rsidRPr="00000000" w14:paraId="00000008">
      <w:pPr>
        <w:jc w:val="center"/>
        <w:rPr>
          <w:b w:val="1"/>
          <w:bCs w:val="1"/>
          <w:sz w:val="32"/>
          <w:szCs w:val="32"/>
        </w:rPr>
      </w:pPr>
      <w:r w:rsidDel="00000000" w:rsidR="00000000" w:rsidRPr="00000000">
        <w:rPr>
          <w:b w:val="1"/>
          <w:bCs w:val="1"/>
          <w:sz w:val="32"/>
          <w:szCs w:val="32"/>
          <w:rtl w:val="0"/>
        </w:rPr>
        <w:t xml:space="preserve">                                                            </w:t>
      </w:r>
    </w:p>
    <w:p w:rsidR="00000000" w:rsidDel="00000000" w:rsidP="00000000" w:rsidRDefault="00000000" w:rsidRPr="00000000" w14:paraId="00000009">
      <w:pPr>
        <w:jc w:val="center"/>
        <w:rPr>
          <w:b w:val="1"/>
          <w:bCs w:val="1"/>
          <w:sz w:val="32"/>
          <w:szCs w:val="32"/>
        </w:rPr>
      </w:pPr>
      <w:r w:rsidDel="00000000" w:rsidR="00000000" w:rsidRPr="00000000">
        <w:rPr>
          <w:b w:val="1"/>
          <w:bCs w:val="1"/>
          <w:sz w:val="32"/>
          <w:szCs w:val="32"/>
          <w:rtl w:val="0"/>
        </w:rPr>
        <w:t xml:space="preserve">Assignment Title: Marketing Environment Analysis</w:t>
      </w:r>
    </w:p>
    <w:p w:rsidR="00000000" w:rsidDel="00000000" w:rsidP="00000000" w:rsidRDefault="00000000" w:rsidRPr="00000000" w14:paraId="0000000A">
      <w:pPr>
        <w:jc w:val="center"/>
        <w:rPr>
          <w:b w:val="1"/>
          <w:bCs w:val="1"/>
          <w:sz w:val="32"/>
          <w:szCs w:val="32"/>
        </w:rPr>
      </w:pPr>
      <w:r w:rsidDel="00000000" w:rsidR="00000000" w:rsidRPr="00000000">
        <w:rPr>
          <w:rtl w:val="0"/>
        </w:rPr>
      </w:r>
    </w:p>
    <w:p w:rsidR="00000000" w:rsidDel="00000000" w:rsidP="00000000" w:rsidRDefault="00000000" w:rsidRPr="00000000" w14:paraId="0000000B">
      <w:pPr>
        <w:jc w:val="center"/>
        <w:rPr>
          <w:b w:val="1"/>
          <w:bCs w:val="1"/>
          <w:sz w:val="32"/>
          <w:szCs w:val="32"/>
        </w:rPr>
      </w:pPr>
      <w:r w:rsidDel="00000000" w:rsidR="00000000" w:rsidRPr="00000000">
        <w:rPr>
          <w:rtl w:val="0"/>
        </w:rPr>
      </w:r>
    </w:p>
    <w:p w:rsidR="00000000" w:rsidDel="00000000" w:rsidP="00000000" w:rsidRDefault="00000000" w:rsidRPr="00000000" w14:paraId="0000000C">
      <w:pPr>
        <w:jc w:val="center"/>
        <w:rPr>
          <w:b w:val="1"/>
          <w:bCs w:val="1"/>
          <w:sz w:val="32"/>
          <w:szCs w:val="32"/>
        </w:rPr>
      </w:pPr>
      <w:r w:rsidDel="00000000" w:rsidR="00000000" w:rsidRPr="00000000">
        <w:rPr>
          <w:rtl w:val="0"/>
        </w:rPr>
      </w:r>
    </w:p>
    <w:p w:rsidR="00000000" w:rsidDel="00000000" w:rsidP="00000000" w:rsidRDefault="00000000" w:rsidRPr="00000000" w14:paraId="0000000D">
      <w:pPr>
        <w:jc w:val="center"/>
        <w:rPr>
          <w:b w:val="1"/>
          <w:bCs w:val="1"/>
          <w:sz w:val="32"/>
          <w:szCs w:val="32"/>
        </w:rPr>
      </w:pPr>
      <w:r w:rsidDel="00000000" w:rsidR="00000000" w:rsidRPr="00000000">
        <w:rPr>
          <w:b w:val="1"/>
          <w:bCs w:val="1"/>
          <w:sz w:val="32"/>
          <w:szCs w:val="32"/>
          <w:rtl w:val="0"/>
        </w:rPr>
        <w:t xml:space="preserve">Student Name: Mayuri Prajapati</w:t>
      </w:r>
    </w:p>
    <w:p w:rsidR="00000000" w:rsidDel="00000000" w:rsidP="00000000" w:rsidRDefault="00000000" w:rsidRPr="00000000" w14:paraId="0000000E">
      <w:pPr>
        <w:jc w:val="center"/>
        <w:rPr>
          <w:b w:val="1"/>
          <w:bCs w:val="1"/>
          <w:sz w:val="32"/>
          <w:szCs w:val="32"/>
        </w:rPr>
      </w:pPr>
      <w:r w:rsidDel="00000000" w:rsidR="00000000" w:rsidRPr="00000000">
        <w:rPr>
          <w:b w:val="1"/>
          <w:bCs w:val="1"/>
          <w:sz w:val="32"/>
          <w:szCs w:val="32"/>
          <w:rtl w:val="0"/>
        </w:rPr>
        <w:t xml:space="preserve">Student ID Number: 2542276</w:t>
      </w:r>
    </w:p>
    <w:p w:rsidR="00000000" w:rsidDel="00000000" w:rsidP="00000000" w:rsidRDefault="00000000" w:rsidRPr="00000000" w14:paraId="0000000F">
      <w:pPr>
        <w:jc w:val="center"/>
        <w:rPr>
          <w:b w:val="1"/>
          <w:bCs w:val="1"/>
          <w:sz w:val="32"/>
          <w:szCs w:val="32"/>
        </w:rPr>
      </w:pPr>
      <w:r w:rsidDel="00000000" w:rsidR="00000000" w:rsidRPr="00000000">
        <w:rPr>
          <w:b w:val="1"/>
          <w:bCs w:val="1"/>
          <w:sz w:val="32"/>
          <w:szCs w:val="32"/>
          <w:rtl w:val="0"/>
        </w:rPr>
        <w:t xml:space="preserve">Word Count: 2594 Words</w:t>
      </w:r>
    </w:p>
    <w:p w:rsidR="00000000" w:rsidDel="00000000" w:rsidP="00000000" w:rsidRDefault="00000000" w:rsidRPr="00000000" w14:paraId="00000010">
      <w:pPr>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1">
      <w:pPr>
        <w:jc w:val="center"/>
        <w:rPr>
          <w:b w:val="1"/>
          <w:bCs w:val="1"/>
          <w:sz w:val="28"/>
          <w:szCs w:val="28"/>
        </w:rPr>
      </w:pP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of Contents</w:t>
      </w:r>
    </w:p>
    <w:sdt>
      <w:sdtPr>
        <w:id w:val="492035118"/>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k9d7f1vh5j0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 Task 1: Marketing Environment Analysis</w:t>
            </w:r>
          </w:hyperlink>
          <w:hyperlink w:anchor="_heading=h.k9d7f1vh5j0c">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ft1ddaes3pq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Company Selection and Context</w:t>
            </w:r>
          </w:hyperlink>
          <w:hyperlink w:anchor="_heading=h.ft1ddaes3pqm">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vp5pgmv08hg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External Marketing Environment Actor 1: The Natural Environment</w:t>
            </w:r>
          </w:hyperlink>
          <w:hyperlink w:anchor="_heading=h.vp5pgmv08hg9">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iow22ikdtvu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 External Marketing Environment Actor 2: Economic Actor</w:t>
            </w:r>
          </w:hyperlink>
          <w:hyperlink w:anchor="_heading=h.iow22ikdtvue">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41zwa6rytuj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2.0 Task 2: Strategic Growth and Competitive Positioning</w:t>
            </w:r>
          </w:hyperlink>
          <w:hyperlink w:anchor="_heading=h.41zwa6rytuj4">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9fsf92po2d6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Strategic Growth Recommendation Using the Ansoff Matrix</w:t>
            </w:r>
          </w:hyperlink>
          <w:hyperlink w:anchor="_heading=h.9fsf92po2d62">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rp2jkj5f32j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Competitive Advantage Through a Lower-Carbon Business Model</w:t>
            </w:r>
          </w:hyperlink>
          <w:hyperlink w:anchor="_heading=h.rp2jkj5f32jl">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knlnapy4an5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3.0 Task 3: Critical Reflection on AI Usage</w:t>
            </w:r>
          </w:hyperlink>
          <w:hyperlink w:anchor="_heading=h.knlnapy4an5b">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k9cu96k689v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Tool Disclosure</w:t>
            </w:r>
          </w:hyperlink>
          <w:hyperlink w:anchor="_heading=h.k9cu96k689vc">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k4kmj0qy3na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Critical Evaluation of AI Output</w:t>
            </w:r>
          </w:hyperlink>
          <w:hyperlink w:anchor="_heading=h.k4kmj0qy3nab">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qurqwgs8ou9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Contribution Analysis</w:t>
            </w:r>
          </w:hyperlink>
          <w:hyperlink w:anchor="_heading=h.qurqwgs8ou9k">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5u6caep7hqx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Ethical &amp; Professional Reflection</w:t>
            </w:r>
          </w:hyperlink>
          <w:hyperlink w:anchor="_heading=h.5u6caep7hqxh">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9qo30jh6o2m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r>
          </w:hyperlink>
          <w:hyperlink w:anchor="_heading=h.9qo30jh6o2m8">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0">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rPr>
          <w:rFonts w:ascii="Arial" w:cs="Arial" w:eastAsia="Arial" w:hAnsi="Arial"/>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spacing w:line="360" w:lineRule="auto"/>
        <w:jc w:val="both"/>
        <w:rPr>
          <w:rFonts w:ascii="Arial" w:cs="Arial" w:eastAsia="Arial" w:hAnsi="Arial"/>
          <w:b w:val="1"/>
          <w:bCs w:val="1"/>
          <w:color w:val="000000"/>
          <w:sz w:val="24"/>
          <w:szCs w:val="24"/>
        </w:rPr>
      </w:pPr>
      <w:bookmarkStart w:colFirst="0" w:colLast="0" w:name="_heading=h.k9d7f1vh5j0c" w:id="0"/>
      <w:bookmarkEnd w:id="0"/>
      <w:r w:rsidDel="00000000" w:rsidR="00000000" w:rsidRPr="00000000">
        <w:rPr>
          <w:rFonts w:ascii="Arial" w:cs="Arial" w:eastAsia="Arial" w:hAnsi="Arial"/>
          <w:b w:val="1"/>
          <w:bCs w:val="1"/>
          <w:color w:val="000000"/>
          <w:sz w:val="24"/>
          <w:szCs w:val="24"/>
          <w:rtl w:val="0"/>
        </w:rPr>
        <w:t xml:space="preserve">1.0 Task 1: Marketing Environment Analysis</w:t>
      </w:r>
    </w:p>
    <w:p w:rsidR="00000000" w:rsidDel="00000000" w:rsidP="00000000" w:rsidRDefault="00000000" w:rsidRPr="00000000" w14:paraId="00000023">
      <w:pPr>
        <w:pStyle w:val="Heading2"/>
        <w:spacing w:line="360" w:lineRule="auto"/>
        <w:jc w:val="both"/>
        <w:rPr>
          <w:rFonts w:ascii="Arial" w:cs="Arial" w:eastAsia="Arial" w:hAnsi="Arial"/>
          <w:b w:val="1"/>
          <w:bCs w:val="1"/>
          <w:color w:val="000000"/>
          <w:sz w:val="24"/>
          <w:szCs w:val="24"/>
        </w:rPr>
      </w:pPr>
      <w:bookmarkStart w:colFirst="0" w:colLast="0" w:name="_heading=h.ft1ddaes3pqm" w:id="1"/>
      <w:bookmarkEnd w:id="1"/>
      <w:r w:rsidDel="00000000" w:rsidR="00000000" w:rsidRPr="00000000">
        <w:rPr>
          <w:rFonts w:ascii="Arial" w:cs="Arial" w:eastAsia="Arial" w:hAnsi="Arial"/>
          <w:b w:val="1"/>
          <w:bCs w:val="1"/>
          <w:color w:val="000000"/>
          <w:sz w:val="24"/>
          <w:szCs w:val="24"/>
          <w:rtl w:val="0"/>
        </w:rPr>
        <w:t xml:space="preserve">1.1 Company Selection and Context</w:t>
      </w:r>
    </w:p>
    <w:p w:rsidR="00000000" w:rsidDel="00000000" w:rsidP="00000000" w:rsidRDefault="00000000" w:rsidRPr="00000000" w14:paraId="0000002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BHP is one of the world's largest mining companies, engaged in mining across Australia and the Americas and a number of other global markets, with a diversified portfolio of iron ore, copper, nickel and potash. With demand for critical minerals on the rise, as part of the global energy transition, BHP is further strengthening its sustainability strategy by investing in lower carbon operations, renewable energy and emissions reduction projects and growing the supply of future-focused commodities that are vital to a net zero economy.</w:t>
      </w:r>
    </w:p>
    <w:p w:rsidR="00000000" w:rsidDel="00000000" w:rsidP="00000000" w:rsidRDefault="00000000" w:rsidRPr="00000000" w14:paraId="00000025">
      <w:pPr>
        <w:pStyle w:val="Heading2"/>
        <w:spacing w:line="360" w:lineRule="auto"/>
        <w:jc w:val="both"/>
        <w:rPr>
          <w:rFonts w:ascii="Arial" w:cs="Arial" w:eastAsia="Arial" w:hAnsi="Arial"/>
          <w:b w:val="1"/>
          <w:bCs w:val="1"/>
          <w:color w:val="000000"/>
          <w:sz w:val="24"/>
          <w:szCs w:val="24"/>
        </w:rPr>
      </w:pPr>
      <w:bookmarkStart w:colFirst="0" w:colLast="0" w:name="_heading=h.vp5pgmv08hg9" w:id="2"/>
      <w:bookmarkEnd w:id="2"/>
      <w:r w:rsidDel="00000000" w:rsidR="00000000" w:rsidRPr="00000000">
        <w:rPr>
          <w:rFonts w:ascii="Arial" w:cs="Arial" w:eastAsia="Arial" w:hAnsi="Arial"/>
          <w:b w:val="1"/>
          <w:bCs w:val="1"/>
          <w:color w:val="000000"/>
          <w:sz w:val="24"/>
          <w:szCs w:val="24"/>
          <w:rtl w:val="0"/>
        </w:rPr>
        <w:t xml:space="preserve">1.2 External Marketing Environment Actor 1: The Natural Environment</w:t>
      </w:r>
    </w:p>
    <w:p w:rsidR="00000000" w:rsidDel="00000000" w:rsidP="00000000" w:rsidRDefault="00000000" w:rsidRPr="00000000" w14:paraId="0000002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natural environment is the most powerful external player in the marketing environment that affects BHP's transition to lower carbon products as climate change, greenhouse gas (GHG) emissions, resource depletion and concerns about biodiversity are at the core of changing customer expectations, government regulation and investment choices in the global mining industry</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(BHP, 2025a). Natural environment refers to the natural resources available, environmental sustainability issues, climate risks and the rising pressure on organisations to manage their ecological footprint. This is especially important for BHP, considering that mining is one of the most carbon-intensive industries in the world. It is now estimated that the metals and mining sector is responsible for around 25% of the greenhouse gas emission reporting of the world's 12,000 largest companies, and that the steel industry alone emits around 7-8% of global carbon dioxide emissions, mainly through blast furnace production (BHP, 2025b). While underlying attributable profit has dropped from US$23.8 billion (FY2022) to US$10.2 billion (FY2025) and EBITDA has decreased from US$40.6 billion to US$26.0 billion, BHP has persisted in its investments in emission reductions and future-oriented commodities, illustrating that environmental sustainability is a long-term strategic focus even amidst short-term financial pressures (BHP, 2025a).</w:t>
      </w:r>
    </w:p>
    <w:p w:rsidR="00000000" w:rsidDel="00000000" w:rsidP="00000000" w:rsidRDefault="00000000" w:rsidRPr="00000000" w14:paraId="0000002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618901" cy="2751686"/>
            <wp:effectExtent b="0" l="0" r="0" t="0"/>
            <wp:docPr id="4"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4618901" cy="2751686"/>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Fig 1: Attributable Profit and EBITDA</w:t>
      </w:r>
    </w:p>
    <w:p w:rsidR="00000000" w:rsidDel="00000000" w:rsidP="00000000" w:rsidRDefault="00000000" w:rsidRPr="00000000" w14:paraId="00000029">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Source:</w:t>
      </w:r>
      <w:r w:rsidDel="00000000" w:rsidR="00000000" w:rsidRPr="00000000">
        <w:rPr>
          <w:rFonts w:ascii="Arial" w:cs="Arial" w:eastAsia="Arial" w:hAnsi="Arial"/>
          <w:sz w:val="24"/>
          <w:szCs w:val="24"/>
          <w:rtl w:val="0"/>
        </w:rPr>
        <w:t xml:space="preserve"> (BHP, 2025a)</w:t>
      </w:r>
      <w:r w:rsidDel="00000000" w:rsidR="00000000" w:rsidRPr="00000000">
        <w:rPr>
          <w:rtl w:val="0"/>
        </w:rPr>
      </w:r>
    </w:p>
    <w:p w:rsidR="00000000" w:rsidDel="00000000" w:rsidP="00000000" w:rsidRDefault="00000000" w:rsidRPr="00000000" w14:paraId="0000002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is clearly having a significant impact on BHP's corporate strategy and positioning in the market. Instead of being just a producer, BHP positions itself as a provider of "future facing commodities" like copper, potash and high-quality iron ore that help the world decarbonise. The company notes that copper is critical for renewable electricity grid systems, transmission lines, battery storage and electric vehicles, and potash to sustainable agriculture productivity</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(BHP, 2025c). The move highlights the changing nature of the mining company to become more sustainable and to be able to serve the global economy of the net zero future (Liu, 2025). </w:t>
      </w:r>
    </w:p>
    <w:p w:rsidR="00000000" w:rsidDel="00000000" w:rsidP="00000000" w:rsidRDefault="00000000" w:rsidRPr="00000000" w14:paraId="0000002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Even greater operational decarbonisation has been necessary for that environmental transition. The Company's Scope 1 and Scope 2 GHG emissions are approximately 8.7 million tonnes of CO</w:t>
      </w:r>
      <w:r w:rsidDel="00000000" w:rsidR="00000000" w:rsidRPr="00000000">
        <w:rPr>
          <w:rFonts w:ascii="Cambria Math" w:cs="Cambria Math" w:eastAsia="Cambria Math" w:hAnsi="Cambria Math"/>
          <w:sz w:val="24"/>
          <w:szCs w:val="24"/>
          <w:rtl w:val="0"/>
        </w:rPr>
        <w:t xml:space="preserve">₂</w:t>
      </w:r>
      <w:r w:rsidDel="00000000" w:rsidR="00000000" w:rsidRPr="00000000">
        <w:rPr>
          <w:rFonts w:ascii="Arial" w:cs="Arial" w:eastAsia="Arial" w:hAnsi="Arial"/>
          <w:sz w:val="24"/>
          <w:szCs w:val="24"/>
          <w:rtl w:val="0"/>
        </w:rPr>
        <w:t xml:space="preserve">-equivalent (MtCO</w:t>
      </w:r>
      <w:r w:rsidDel="00000000" w:rsidR="00000000" w:rsidRPr="00000000">
        <w:rPr>
          <w:rFonts w:ascii="Cambria Math" w:cs="Cambria Math" w:eastAsia="Cambria Math" w:hAnsi="Cambria Math"/>
          <w:sz w:val="24"/>
          <w:szCs w:val="24"/>
          <w:rtl w:val="0"/>
        </w:rPr>
        <w:t xml:space="preserve">₂</w:t>
      </w:r>
      <w:r w:rsidDel="00000000" w:rsidR="00000000" w:rsidRPr="00000000">
        <w:rPr>
          <w:rFonts w:ascii="Arial" w:cs="Arial" w:eastAsia="Arial" w:hAnsi="Arial"/>
          <w:sz w:val="24"/>
          <w:szCs w:val="24"/>
          <w:rtl w:val="0"/>
        </w:rPr>
        <w:t xml:space="preserve">-e) for FY2025, which is about 5% below the FY2020 baseline and the Company is committed to reducing its operational emissions by at least 30% by FY2030 and to net-zero operational emissions by 2050</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(BHP, 2025d). These reductions have been achieved by using renewable electricity, improving operational efficiency, planning and investing in electrification and low-carbon technologies. </w:t>
      </w:r>
    </w:p>
    <w:p w:rsidR="00000000" w:rsidDel="00000000" w:rsidP="00000000" w:rsidRDefault="00000000" w:rsidRPr="00000000" w14:paraId="0000002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BHP has an even larger environmental footprint in the form of Scope 3 emissions, those generated by customers using its iron ore and metallurgical coal to make steel. Independent estimates estimate that BHP's total carbon footprint is about 96% of Scope 3 emissions, of which the processing of iron ore is the largest proportion, as conventional blast furnace steelmaking is very carbon intensive. This poses a tough marketing challenge because consumers are looking at lifecycle emissions to consider suppliers, not just operational emissions</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(BHP, 2025e). The figure represents BHP's trajectory to lower operational Scope 1 and 2 GHG emissions from about 12 MtCO</w:t>
      </w:r>
      <w:r w:rsidDel="00000000" w:rsidR="00000000" w:rsidRPr="00000000">
        <w:rPr>
          <w:rFonts w:ascii="Cambria Math" w:cs="Cambria Math" w:eastAsia="Cambria Math" w:hAnsi="Cambria Math"/>
          <w:sz w:val="24"/>
          <w:szCs w:val="24"/>
          <w:rtl w:val="0"/>
        </w:rPr>
        <w:t xml:space="preserve">₂</w:t>
      </w:r>
      <w:r w:rsidDel="00000000" w:rsidR="00000000" w:rsidRPr="00000000">
        <w:rPr>
          <w:rFonts w:ascii="Arial" w:cs="Arial" w:eastAsia="Arial" w:hAnsi="Arial"/>
          <w:sz w:val="24"/>
          <w:szCs w:val="24"/>
          <w:rtl w:val="0"/>
        </w:rPr>
        <w:t xml:space="preserve">-e in FY2025 to around 9-10 MtCO</w:t>
      </w:r>
      <w:r w:rsidDel="00000000" w:rsidR="00000000" w:rsidRPr="00000000">
        <w:rPr>
          <w:rFonts w:ascii="Cambria Math" w:cs="Cambria Math" w:eastAsia="Cambria Math" w:hAnsi="Cambria Math"/>
          <w:sz w:val="24"/>
          <w:szCs w:val="24"/>
          <w:rtl w:val="0"/>
        </w:rPr>
        <w:t xml:space="preserve">₂</w:t>
      </w:r>
      <w:r w:rsidDel="00000000" w:rsidR="00000000" w:rsidRPr="00000000">
        <w:rPr>
          <w:rFonts w:ascii="Arial" w:cs="Arial" w:eastAsia="Arial" w:hAnsi="Arial"/>
          <w:sz w:val="24"/>
          <w:szCs w:val="24"/>
          <w:rtl w:val="0"/>
        </w:rPr>
        <w:t xml:space="preserve">-e by FY2030 as part of its plans to tackle 96% of emissions from Scope 3 via green steel partnerships and lower carbon value chains. </w:t>
      </w:r>
    </w:p>
    <w:p w:rsidR="00000000" w:rsidDel="00000000" w:rsidP="00000000" w:rsidRDefault="00000000" w:rsidRPr="00000000" w14:paraId="0000002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5731510" cy="2409190"/>
            <wp:effectExtent b="0" l="0" r="0" t="0"/>
            <wp:docPr id="3"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731510" cy="240919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Fig 2: Operational GHG emissions</w:t>
      </w:r>
    </w:p>
    <w:p w:rsidR="00000000" w:rsidDel="00000000" w:rsidP="00000000" w:rsidRDefault="00000000" w:rsidRPr="00000000" w14:paraId="0000002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Source:</w:t>
      </w:r>
      <w:r w:rsidDel="00000000" w:rsidR="00000000" w:rsidRPr="00000000">
        <w:rPr>
          <w:rFonts w:ascii="Arial" w:cs="Arial" w:eastAsia="Arial" w:hAnsi="Arial"/>
          <w:sz w:val="24"/>
          <w:szCs w:val="24"/>
          <w:rtl w:val="0"/>
        </w:rPr>
        <w:t xml:space="preserve"> (BHP, 2025b)</w:t>
      </w:r>
      <w:r w:rsidDel="00000000" w:rsidR="00000000" w:rsidRPr="00000000">
        <w:rPr>
          <w:rtl w:val="0"/>
        </w:rPr>
      </w:r>
    </w:p>
    <w:p w:rsidR="00000000" w:rsidDel="00000000" w:rsidP="00000000" w:rsidRDefault="00000000" w:rsidRPr="00000000" w14:paraId="00000030">
      <w:pPr>
        <w:pStyle w:val="Heading2"/>
        <w:spacing w:line="360" w:lineRule="auto"/>
        <w:rPr>
          <w:rFonts w:ascii="Arial" w:cs="Arial" w:eastAsia="Arial" w:hAnsi="Arial"/>
          <w:b w:val="1"/>
          <w:bCs w:val="1"/>
          <w:color w:val="000000"/>
          <w:sz w:val="24"/>
          <w:szCs w:val="24"/>
        </w:rPr>
      </w:pPr>
      <w:bookmarkStart w:colFirst="0" w:colLast="0" w:name="_heading=h.iow22ikdtvue" w:id="3"/>
      <w:bookmarkEnd w:id="3"/>
      <w:r w:rsidDel="00000000" w:rsidR="00000000" w:rsidRPr="00000000">
        <w:rPr>
          <w:rFonts w:ascii="Arial" w:cs="Arial" w:eastAsia="Arial" w:hAnsi="Arial"/>
          <w:b w:val="1"/>
          <w:bCs w:val="1"/>
          <w:color w:val="000000"/>
          <w:sz w:val="24"/>
          <w:szCs w:val="24"/>
          <w:rtl w:val="0"/>
        </w:rPr>
        <w:t xml:space="preserve">1.3 External Marketing Environment Actor 2: Economic Actor</w:t>
      </w:r>
    </w:p>
    <w:p w:rsidR="00000000" w:rsidDel="00000000" w:rsidP="00000000" w:rsidRDefault="00000000" w:rsidRPr="00000000" w14:paraId="0000003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External marketing environment actors that affect BHP's transition to lower carbon products include the economic environment, as commodity prices, global economic growth, clean energy investment and demand for critical minerals have an impact on customer demand and strategic investment decisions (BHP, 2025f). Economic conditions impact on purchasing power and enterprise investment, and are even more significant for capital-intensive sectors like mining. In the face of global economic uncertainty, BHP's financial resilience is evident in its improved operating profit from US$17.5 billion to US$19.5 billion. The company continued to be profitable, with dividends and earnings per share both falling, but still enough financial resources to invest in lower carbon technologies, commodities for the future, and sustainable growth plans (BHP, 2025g).</w:t>
      </w:r>
    </w:p>
    <w:p w:rsidR="00000000" w:rsidDel="00000000" w:rsidP="00000000" w:rsidRDefault="00000000" w:rsidRPr="00000000" w14:paraId="00000032">
      <w:pPr>
        <w:spacing w:line="360" w:lineRule="auto"/>
        <w:jc w:val="center"/>
        <w:rPr>
          <w:rFonts w:ascii="Arial" w:cs="Arial" w:eastAsia="Arial" w:hAnsi="Arial"/>
          <w:sz w:val="24"/>
          <w:szCs w:val="24"/>
        </w:rPr>
      </w:pPr>
      <w:r w:rsidDel="00000000" w:rsidR="00000000" w:rsidRPr="00000000">
        <w:rPr/>
        <w:drawing>
          <wp:inline distB="0" distT="0" distL="0" distR="0">
            <wp:extent cx="4572000" cy="2743200"/>
            <wp:effectExtent b="0" l="0" r="0" t="0"/>
            <wp:docPr id="6"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Fig 3: BHP Annual Performance 2024-2025</w:t>
      </w:r>
    </w:p>
    <w:p w:rsidR="00000000" w:rsidDel="00000000" w:rsidP="00000000" w:rsidRDefault="00000000" w:rsidRPr="00000000" w14:paraId="00000034">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Source: </w:t>
      </w:r>
      <w:r w:rsidDel="00000000" w:rsidR="00000000" w:rsidRPr="00000000">
        <w:rPr>
          <w:rFonts w:ascii="Arial" w:cs="Arial" w:eastAsia="Arial" w:hAnsi="Arial"/>
          <w:sz w:val="24"/>
          <w:szCs w:val="24"/>
          <w:rtl w:val="0"/>
        </w:rPr>
        <w:t xml:space="preserve">(BHP Annual Report)</w:t>
      </w:r>
    </w:p>
    <w:p w:rsidR="00000000" w:rsidDel="00000000" w:rsidP="00000000" w:rsidRDefault="00000000" w:rsidRPr="00000000" w14:paraId="0000003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BHP's strong financial performance during the challenging global economic conditions in 2025, including inflation, high interest rates and slower economic growth in China, is notable. FY2025 saw the company generate underlying EBITDA of around US$26 billion, an EBITDA margin of 53%, and record the highest copper production of over 2 million tonnes. As a result of these good financial results, they are now in a position to invest in renewable energy, electrifying mines and low carbon technologies whilst at the same time keeping their shareholders' returns (Deloitte, 2026). BHP also maintains one of the lowest cost iron ore operations in the world, which has helped it to stay competitive amidst fluctuations in commodity prices.</w:t>
      </w:r>
    </w:p>
    <w:p w:rsidR="00000000" w:rsidDel="00000000" w:rsidP="00000000" w:rsidRDefault="00000000" w:rsidRPr="00000000" w14:paraId="0000003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BHP has seen substantial economic opportunities due to the global move to clean energy. By 2025, global energy investment will grow to US$3.3 trillion, around US$2.2 trillion of which will go into clean energy technologies like renewables, battery storage, electricity grids and electric vehicles. One of the fastest growing critical minerals needed in these sectors is copper (ICMM, 2025). BHP has ramped up its cumulative investment in steelmaking decarbonisation from US$75 million in FY2022 to US$171 million in FY2025, to bolster the competitive position in the rising low carbon minerals market by supporting technologies that can decarbonise steelmaking by 30% (Mendes et al., 2026). Economic risks are still high, however. BHP's reliance on the export of iron ore remains strong, while the property and steel industries in China have been a major source of uncertainty in iron ore prices this year (IEA, 2025a).</w:t>
      </w:r>
    </w:p>
    <w:p w:rsidR="00000000" w:rsidDel="00000000" w:rsidP="00000000" w:rsidRDefault="00000000" w:rsidRPr="00000000" w14:paraId="0000003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Pr>
        <w:drawing>
          <wp:inline distB="0" distT="0" distL="0" distR="0">
            <wp:extent cx="4250205" cy="3363952"/>
            <wp:effectExtent b="0" l="0" r="0" t="0"/>
            <wp:docPr id="5"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4250205" cy="3363952"/>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Fig 4: Value chain GHG emissions</w:t>
      </w:r>
    </w:p>
    <w:p w:rsidR="00000000" w:rsidDel="00000000" w:rsidP="00000000" w:rsidRDefault="00000000" w:rsidRPr="00000000" w14:paraId="00000039">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Source:</w:t>
      </w:r>
      <w:r w:rsidDel="00000000" w:rsidR="00000000" w:rsidRPr="00000000">
        <w:rPr>
          <w:rFonts w:ascii="Arial" w:cs="Arial" w:eastAsia="Arial" w:hAnsi="Arial"/>
          <w:sz w:val="24"/>
          <w:szCs w:val="24"/>
          <w:rtl w:val="0"/>
        </w:rPr>
        <w:t xml:space="preserve"> (BHP, 2025f)</w:t>
      </w:r>
      <w:r w:rsidDel="00000000" w:rsidR="00000000" w:rsidRPr="00000000">
        <w:rPr>
          <w:rtl w:val="0"/>
        </w:rPr>
      </w:r>
    </w:p>
    <w:p w:rsidR="00000000" w:rsidDel="00000000" w:rsidP="00000000" w:rsidRDefault="00000000" w:rsidRPr="00000000" w14:paraId="0000003A">
      <w:pPr>
        <w:spacing w:line="360" w:lineRule="auto"/>
        <w:jc w:val="both"/>
        <w:rPr>
          <w:rFonts w:ascii="Arial" w:cs="Arial" w:eastAsia="Arial" w:hAnsi="Arial"/>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spacing w:line="360" w:lineRule="auto"/>
        <w:jc w:val="both"/>
        <w:rPr>
          <w:rFonts w:ascii="Arial" w:cs="Arial" w:eastAsia="Arial" w:hAnsi="Arial"/>
          <w:b w:val="1"/>
          <w:bCs w:val="1"/>
          <w:color w:val="000000"/>
          <w:sz w:val="24"/>
          <w:szCs w:val="24"/>
        </w:rPr>
      </w:pPr>
      <w:bookmarkStart w:colFirst="0" w:colLast="0" w:name="_heading=h.41zwa6rytuj4" w:id="4"/>
      <w:bookmarkEnd w:id="4"/>
      <w:r w:rsidDel="00000000" w:rsidR="00000000" w:rsidRPr="00000000">
        <w:rPr>
          <w:rFonts w:ascii="Arial" w:cs="Arial" w:eastAsia="Arial" w:hAnsi="Arial"/>
          <w:b w:val="1"/>
          <w:bCs w:val="1"/>
          <w:color w:val="000000"/>
          <w:sz w:val="24"/>
          <w:szCs w:val="24"/>
          <w:rtl w:val="0"/>
        </w:rPr>
        <w:t xml:space="preserve">2.0 Task 2: Strategic Growth and Competitive Positioning </w:t>
      </w:r>
    </w:p>
    <w:p w:rsidR="00000000" w:rsidDel="00000000" w:rsidP="00000000" w:rsidRDefault="00000000" w:rsidRPr="00000000" w14:paraId="0000003C">
      <w:pPr>
        <w:pStyle w:val="Heading2"/>
        <w:spacing w:line="360" w:lineRule="auto"/>
        <w:jc w:val="both"/>
        <w:rPr>
          <w:rFonts w:ascii="Arial" w:cs="Arial" w:eastAsia="Arial" w:hAnsi="Arial"/>
          <w:b w:val="1"/>
          <w:bCs w:val="1"/>
          <w:color w:val="000000"/>
          <w:sz w:val="24"/>
          <w:szCs w:val="24"/>
        </w:rPr>
      </w:pPr>
      <w:bookmarkStart w:colFirst="0" w:colLast="0" w:name="_heading=h.9fsf92po2d62" w:id="5"/>
      <w:bookmarkEnd w:id="5"/>
      <w:r w:rsidDel="00000000" w:rsidR="00000000" w:rsidRPr="00000000">
        <w:rPr>
          <w:rFonts w:ascii="Arial" w:cs="Arial" w:eastAsia="Arial" w:hAnsi="Arial"/>
          <w:b w:val="1"/>
          <w:bCs w:val="1"/>
          <w:color w:val="000000"/>
          <w:sz w:val="24"/>
          <w:szCs w:val="24"/>
          <w:rtl w:val="0"/>
        </w:rPr>
        <w:t xml:space="preserve">2.1 Strategic Growth Recommendation Using the Ansoff Matrix</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01"/>
        <w:gridCol w:w="6515"/>
        <w:tblGridChange w:id="0">
          <w:tblGrid>
            <w:gridCol w:w="2501"/>
            <w:gridCol w:w="6515"/>
          </w:tblGrid>
        </w:tblGridChange>
      </w:tblGrid>
      <w:tr>
        <w:trPr>
          <w:cantSplit w:val="0"/>
          <w:tblHeader w:val="0"/>
        </w:trPr>
        <w:tc>
          <w:tcPr/>
          <w:p w:rsidR="00000000" w:rsidDel="00000000" w:rsidP="00000000" w:rsidRDefault="00000000" w:rsidRPr="00000000" w14:paraId="0000003D">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Ansoff Matrix Strategy</w:t>
            </w:r>
          </w:p>
        </w:tc>
        <w:tc>
          <w:tcPr/>
          <w:p w:rsidR="00000000" w:rsidDel="00000000" w:rsidP="00000000" w:rsidRDefault="00000000" w:rsidRPr="00000000" w14:paraId="0000003E">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Analysis</w:t>
            </w:r>
          </w:p>
        </w:tc>
      </w:tr>
      <w:tr>
        <w:trPr>
          <w:cantSplit w:val="0"/>
          <w:tblHeader w:val="0"/>
        </w:trPr>
        <w:tc>
          <w:tcPr/>
          <w:p w:rsidR="00000000" w:rsidDel="00000000" w:rsidP="00000000" w:rsidRDefault="00000000" w:rsidRPr="00000000" w14:paraId="0000003F">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Market Penetration</w:t>
            </w:r>
            <w:r w:rsidDel="00000000" w:rsidR="00000000" w:rsidRPr="00000000">
              <w:rPr>
                <w:rtl w:val="0"/>
              </w:rPr>
            </w:r>
          </w:p>
        </w:tc>
        <w:tc>
          <w:tcPr/>
          <w:p w:rsidR="00000000" w:rsidDel="00000000" w:rsidP="00000000" w:rsidRDefault="00000000" w:rsidRPr="00000000" w14:paraId="0000004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BHP can bolster its presence within these markets by boosting its sales of existing products like iron ore and copper, by improving operational efficiency and sustainability. The company BHP, during this FY2025, has generated around 290 Mt of iron ore and more than 2 Mt of copper, and, at the same time, it has one of the lowest production costs in the world (IEA, 2025b). However, growth is constrained as the in-house customers favour lower carbon content materials as against higher volumes of production (Sablin et al., 2025).</w:t>
            </w:r>
          </w:p>
        </w:tc>
      </w:tr>
      <w:tr>
        <w:trPr>
          <w:cantSplit w:val="0"/>
          <w:tblHeader w:val="0"/>
        </w:trPr>
        <w:tc>
          <w:tcPr/>
          <w:p w:rsidR="00000000" w:rsidDel="00000000" w:rsidP="00000000" w:rsidRDefault="00000000" w:rsidRPr="00000000" w14:paraId="00000041">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Market Development</w:t>
            </w:r>
            <w:r w:rsidDel="00000000" w:rsidR="00000000" w:rsidRPr="00000000">
              <w:rPr>
                <w:rtl w:val="0"/>
              </w:rPr>
            </w:r>
          </w:p>
        </w:tc>
        <w:tc>
          <w:tcPr/>
          <w:p w:rsidR="00000000" w:rsidDel="00000000" w:rsidP="00000000" w:rsidRDefault="00000000" w:rsidRPr="00000000" w14:paraId="0000004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BHP has the ability to increase the sale of its existing lower-carbon minerals in emerging markets like India, Indonesia and the Middle East where investments in renewable energy and infrastructure are growing faster. By 2025, global investments in clean energy will rise to US$2.2 trillion, driving up demand for copper and high-quality iron ore (IEA, 2025c). Expanding geographically will also help BHP to decrease its reliance on the Chinese market.</w:t>
            </w:r>
          </w:p>
        </w:tc>
      </w:tr>
      <w:tr>
        <w:trPr>
          <w:cantSplit w:val="0"/>
          <w:tblHeader w:val="0"/>
        </w:trPr>
        <w:tc>
          <w:tcPr/>
          <w:p w:rsidR="00000000" w:rsidDel="00000000" w:rsidP="00000000" w:rsidRDefault="00000000" w:rsidRPr="00000000" w14:paraId="00000043">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Product Development (Recommended)</w:t>
            </w:r>
            <w:r w:rsidDel="00000000" w:rsidR="00000000" w:rsidRPr="00000000">
              <w:rPr>
                <w:rtl w:val="0"/>
              </w:rPr>
            </w:r>
          </w:p>
        </w:tc>
        <w:tc>
          <w:tcPr/>
          <w:p w:rsidR="00000000" w:rsidDel="00000000" w:rsidP="00000000" w:rsidRDefault="00000000" w:rsidRPr="00000000" w14:paraId="0000004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best growth opportunity lies in product development, with the introduction of premium low-carbon iron ore to existing customers as well as copper and sustainable mining products. About 7-8% of the world's CO</w:t>
            </w:r>
            <w:r w:rsidDel="00000000" w:rsidR="00000000" w:rsidRPr="00000000">
              <w:rPr>
                <w:rFonts w:ascii="Cambria Math" w:cs="Cambria Math" w:eastAsia="Cambria Math" w:hAnsi="Cambria Math"/>
                <w:sz w:val="24"/>
                <w:szCs w:val="24"/>
                <w:rtl w:val="0"/>
              </w:rPr>
              <w:t xml:space="preserve">₂</w:t>
            </w:r>
            <w:r w:rsidDel="00000000" w:rsidR="00000000" w:rsidRPr="00000000">
              <w:rPr>
                <w:rFonts w:ascii="Arial" w:cs="Arial" w:eastAsia="Arial" w:hAnsi="Arial"/>
                <w:sz w:val="24"/>
                <w:szCs w:val="24"/>
                <w:rtl w:val="0"/>
              </w:rPr>
              <w:t xml:space="preserve"> emissions are associated with steel production, meaning demand for high-grade iron ore used in steel production which helps lower the emissions (IEA, 2025d). BHP's investments in hydrogen-based steelmaking and renewable powered mining are aligned with this strategy and help to consolidate BHP's sustainability credentials.</w:t>
            </w:r>
          </w:p>
        </w:tc>
      </w:tr>
      <w:tr>
        <w:trPr>
          <w:cantSplit w:val="0"/>
          <w:tblHeader w:val="0"/>
        </w:trPr>
        <w:tc>
          <w:tcPr/>
          <w:p w:rsidR="00000000" w:rsidDel="00000000" w:rsidP="00000000" w:rsidRDefault="00000000" w:rsidRPr="00000000" w14:paraId="00000045">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Diversification</w:t>
            </w:r>
            <w:r w:rsidDel="00000000" w:rsidR="00000000" w:rsidRPr="00000000">
              <w:rPr>
                <w:rtl w:val="0"/>
              </w:rPr>
            </w:r>
          </w:p>
        </w:tc>
        <w:tc>
          <w:tcPr/>
          <w:p w:rsidR="00000000" w:rsidDel="00000000" w:rsidP="00000000" w:rsidRDefault="00000000" w:rsidRPr="00000000" w14:paraId="0000004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BHP might explore other opportunities such as battery recycling, generating renewable energy, or capturing carbon (Scott, 2025). While there is significant potential for growth in these sectors in the future, significant capital expenditure is required, and the operational risk is higher due to the fact that it's outside the BHP core business of mining (Kotler et al., 2024). Hence, diversification is more appropriate as a long term solution rather than an immediate growth objective.</w:t>
            </w:r>
          </w:p>
        </w:tc>
      </w:tr>
    </w:tbl>
    <w:p w:rsidR="00000000" w:rsidDel="00000000" w:rsidP="00000000" w:rsidRDefault="00000000" w:rsidRPr="00000000" w14:paraId="0000004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Table 1: Ansoff Matrix</w:t>
      </w:r>
    </w:p>
    <w:p w:rsidR="00000000" w:rsidDel="00000000" w:rsidP="00000000" w:rsidRDefault="00000000" w:rsidRPr="00000000" w14:paraId="00000048">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Strategic Growth Approach: Product Development</w:t>
      </w:r>
    </w:p>
    <w:p w:rsidR="00000000" w:rsidDel="00000000" w:rsidP="00000000" w:rsidRDefault="00000000" w:rsidRPr="00000000" w14:paraId="0000004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BHP's Product Development strategy to grow its lower carbon minerals to meet the rising demand for the green energy economy will be driven by the global metals and minerals market, which will expand from US$803.9 billion in 2025 to US$996.8 billion by 2030 at a 4.6% CAGR (Dody Sudjatmiko, 2025). BHP should keep investing in premium grade iron ore to produce green steel, low carbon copper and sustainable mining technologies to satisfy the demand for critical minerals. Renewable energy systems, electric vehicles and electricity networks will drive a 70% growth in global demand for copper by 2050</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(McKinsey &amp; Company, 2025). With underlying EBITDA projected to reach US$26 billion in FY2025, BHP is well positioned to continue investing in research, renewable energy powered operations and strategic partnerships. </w:t>
      </w:r>
    </w:p>
    <w:p w:rsidR="00000000" w:rsidDel="00000000" w:rsidP="00000000" w:rsidRDefault="00000000" w:rsidRPr="00000000" w14:paraId="0000004A">
      <w:pPr>
        <w:spacing w:line="360" w:lineRule="auto"/>
        <w:jc w:val="center"/>
        <w:rPr>
          <w:rFonts w:ascii="Arial" w:cs="Arial" w:eastAsia="Arial" w:hAnsi="Arial"/>
          <w:sz w:val="24"/>
          <w:szCs w:val="24"/>
        </w:rPr>
      </w:pPr>
      <w:r w:rsidDel="00000000" w:rsidR="00000000" w:rsidRPr="00000000">
        <w:rPr/>
        <w:drawing>
          <wp:inline distB="0" distT="0" distL="0" distR="0">
            <wp:extent cx="4373237" cy="3279929"/>
            <wp:effectExtent b="0" l="0" r="0" t="0"/>
            <wp:docPr descr="Metal And Mineral Market Report 2026, Trends And Share By 2035" id="1" name="image4.png"/>
            <a:graphic>
              <a:graphicData uri="http://schemas.openxmlformats.org/drawingml/2006/picture">
                <pic:pic>
                  <pic:nvPicPr>
                    <pic:cNvPr descr="Metal And Mineral Market Report 2026, Trends And Share By 2035" id="0" name="image4.png"/>
                    <pic:cNvPicPr preferRelativeResize="0"/>
                  </pic:nvPicPr>
                  <pic:blipFill>
                    <a:blip r:embed="rId12"/>
                    <a:srcRect b="0" l="0" r="0" t="0"/>
                    <a:stretch>
                      <a:fillRect/>
                    </a:stretch>
                  </pic:blipFill>
                  <pic:spPr>
                    <a:xfrm>
                      <a:off x="0" y="0"/>
                      <a:ext cx="4373237" cy="3279929"/>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Fig 5: Metal and Minerals Market</w:t>
      </w:r>
    </w:p>
    <w:p w:rsidR="00000000" w:rsidDel="00000000" w:rsidP="00000000" w:rsidRDefault="00000000" w:rsidRPr="00000000" w14:paraId="0000004C">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Source:</w:t>
      </w:r>
      <w:r w:rsidDel="00000000" w:rsidR="00000000" w:rsidRPr="00000000">
        <w:rPr>
          <w:rFonts w:ascii="Arial" w:cs="Arial" w:eastAsia="Arial" w:hAnsi="Arial"/>
          <w:sz w:val="24"/>
          <w:szCs w:val="24"/>
          <w:rtl w:val="0"/>
        </w:rPr>
        <w:t xml:space="preserve"> (The Business Research Company, 2026)</w:t>
      </w:r>
      <w:r w:rsidDel="00000000" w:rsidR="00000000" w:rsidRPr="00000000">
        <w:rPr>
          <w:rtl w:val="0"/>
        </w:rPr>
      </w:r>
    </w:p>
    <w:p w:rsidR="00000000" w:rsidDel="00000000" w:rsidP="00000000" w:rsidRDefault="00000000" w:rsidRPr="00000000" w14:paraId="0000004D">
      <w:pPr>
        <w:pStyle w:val="Heading2"/>
        <w:spacing w:line="360" w:lineRule="auto"/>
        <w:jc w:val="both"/>
        <w:rPr>
          <w:rFonts w:ascii="Arial" w:cs="Arial" w:eastAsia="Arial" w:hAnsi="Arial"/>
          <w:b w:val="1"/>
          <w:bCs w:val="1"/>
          <w:color w:val="000000"/>
          <w:sz w:val="24"/>
          <w:szCs w:val="24"/>
        </w:rPr>
      </w:pPr>
      <w:bookmarkStart w:colFirst="0" w:colLast="0" w:name="_heading=h.rp2jkj5f32jl" w:id="6"/>
      <w:bookmarkEnd w:id="6"/>
      <w:r w:rsidDel="00000000" w:rsidR="00000000" w:rsidRPr="00000000">
        <w:rPr>
          <w:rFonts w:ascii="Arial" w:cs="Arial" w:eastAsia="Arial" w:hAnsi="Arial"/>
          <w:b w:val="1"/>
          <w:bCs w:val="1"/>
          <w:color w:val="000000"/>
          <w:sz w:val="24"/>
          <w:szCs w:val="24"/>
          <w:rtl w:val="0"/>
        </w:rPr>
        <w:t xml:space="preserve">2.2 Competitive Advantage Through a Lower-Carbon Business Model</w:t>
      </w:r>
    </w:p>
    <w:p w:rsidR="00000000" w:rsidDel="00000000" w:rsidP="00000000" w:rsidRDefault="00000000" w:rsidRPr="00000000" w14:paraId="0000004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BHP can deliver sustainable, competitive advantage through world-class asset portfolio, digital innovation, operational excellence and investment in future commodities, and by accelerating its move to a lower carbon business model (World Steel Association, 2025b). BHP has positioned itself strategically to ride global trends to decarbonisation, electrification and digitalisation while offering a range of less fossil-fuel dependent commodities. In FY2025, BHP spent US$9.8 billion on capital and exploration spending, and US$2.1 billion to buy a 50% stake in the copper projects Filo del Sol and Josemaria as part of the Vicuña joint venture</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(OECD, 2025). The projects are among the biggest copper finds in the world in the last 30 years and support BHP's future resource portfolio, enabling the company to tap into the rapid growth of demand for critical minerals needed to advance renewable energy systems and electric vehicles (Teshayev and Khaydarov, 2026).</w:t>
      </w:r>
    </w:p>
    <w:p w:rsidR="00000000" w:rsidDel="00000000" w:rsidP="00000000" w:rsidRDefault="00000000" w:rsidRPr="00000000" w14:paraId="0000004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BHP's other key competitive edge is its operating efficiency. The company's BHP Operating System (BOS) has helped to boost productivity throughout its operations around the world. Escondida's unit operating cost margin improved by 18% in FY2025, in contrast to BHP's major assets, which saw a 4.7% increase in unit operating cost</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(PwC, 2025). In addition, Western Australia Iron Ore (WAIO) has been the world's lowest cost major iron ore producer for six years in a row, enabling BHP to be profitable in spite of the volatile commodity prices and rising environmental compliance costs. This cost competitive approach allows BHP to invest in renewables, electrify mines and emissions reduction technologies and maintain attractive shareholder returns, making it difficult for many mining companies to catch up (Reuters, 2025a).</w:t>
      </w:r>
    </w:p>
    <w:p w:rsidR="00000000" w:rsidDel="00000000" w:rsidP="00000000" w:rsidRDefault="00000000" w:rsidRPr="00000000" w14:paraId="0000005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approach can be further strengthened by incorporating sustainability into the value proposition for BHP. In FY2025, the company reduced its total greenhouse gas emissions (Scope 1 &amp; 2) by 5% from FY2024, and the company's total economic contribution was US$46.8 billion with global taxes and royalties payments of US$10.4 billion (Walia et al., 2026). The results of these efforts highlight the fact that environmental and financial performance can be achieved together</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(Reuters, 2025b). More and more, industrial customers, governments and institutional investors look at mining companies with the lens of Environmental, Social and Governance (ESG) principles and therefore, effective sustainability management builds customer trust, opens its doors to capital, and sets BHP apart from others in the international market.</w:t>
      </w:r>
    </w:p>
    <w:p w:rsidR="00000000" w:rsidDel="00000000" w:rsidP="00000000" w:rsidRDefault="00000000" w:rsidRPr="00000000" w14:paraId="0000005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BHP also has a competitive position due to the technology and human capital. The company's 2025 corporate composition featured 41.3% women among its global workforce and was a strong supporter of investing in digital technologies, automation and artificial intelligence via its BHP Operating System, to boost productivity and safety. Meanwhile, the frequency of high potential injuries also decreased, by 18%, showing ongoing operational improvements</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(UNFCCC, 2025). These organisational skills help to improve mining efficiency, safety and low carbon footprint, as well as employer reputation and innovation. While it's easy to copy equipment, creating an integrated culture of continuous improvement with digital technologies is a much tougher hurdle to clear. BHP's ability to be a competitive producer in the low-carbon transition will be defined by its ability to integrate low-cost production, strategic investment in copper resource, operational excellence, technological innovation and measurable sustainability performance (World Steel Association, 2025a). </w:t>
      </w:r>
    </w:p>
    <w:p w:rsidR="00000000" w:rsidDel="00000000" w:rsidP="00000000" w:rsidRDefault="00000000" w:rsidRPr="00000000" w14:paraId="00000052">
      <w:pPr>
        <w:spacing w:line="360" w:lineRule="auto"/>
        <w:jc w:val="both"/>
        <w:rPr>
          <w:rFonts w:ascii="Arial" w:cs="Arial" w:eastAsia="Arial" w:hAnsi="Arial"/>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3">
      <w:pPr>
        <w:pStyle w:val="Heading1"/>
        <w:spacing w:line="360" w:lineRule="auto"/>
        <w:jc w:val="both"/>
        <w:rPr>
          <w:rFonts w:ascii="Arial" w:cs="Arial" w:eastAsia="Arial" w:hAnsi="Arial"/>
          <w:b w:val="1"/>
          <w:bCs w:val="1"/>
          <w:color w:val="000000"/>
          <w:sz w:val="24"/>
          <w:szCs w:val="24"/>
        </w:rPr>
      </w:pPr>
      <w:bookmarkStart w:colFirst="0" w:colLast="0" w:name="_heading=h.knlnapy4an5b" w:id="7"/>
      <w:bookmarkEnd w:id="7"/>
      <w:r w:rsidDel="00000000" w:rsidR="00000000" w:rsidRPr="00000000">
        <w:rPr>
          <w:rFonts w:ascii="Arial" w:cs="Arial" w:eastAsia="Arial" w:hAnsi="Arial"/>
          <w:b w:val="1"/>
          <w:bCs w:val="1"/>
          <w:color w:val="000000"/>
          <w:sz w:val="24"/>
          <w:szCs w:val="24"/>
          <w:rtl w:val="0"/>
        </w:rPr>
        <w:t xml:space="preserve">3.0 Task 3: Critical Reflection on AI Usage</w:t>
      </w:r>
    </w:p>
    <w:p w:rsidR="00000000" w:rsidDel="00000000" w:rsidP="00000000" w:rsidRDefault="00000000" w:rsidRPr="00000000" w14:paraId="00000054">
      <w:pPr>
        <w:pStyle w:val="Heading2"/>
        <w:spacing w:line="360" w:lineRule="auto"/>
        <w:jc w:val="both"/>
        <w:rPr>
          <w:rFonts w:ascii="Arial" w:cs="Arial" w:eastAsia="Arial" w:hAnsi="Arial"/>
          <w:b w:val="1"/>
          <w:bCs w:val="1"/>
          <w:color w:val="000000"/>
          <w:sz w:val="24"/>
          <w:szCs w:val="24"/>
        </w:rPr>
      </w:pPr>
      <w:bookmarkStart w:colFirst="0" w:colLast="0" w:name="_heading=h.k9cu96k689vc" w:id="8"/>
      <w:bookmarkEnd w:id="8"/>
      <w:r w:rsidDel="00000000" w:rsidR="00000000" w:rsidRPr="00000000">
        <w:rPr>
          <w:rFonts w:ascii="Arial" w:cs="Arial" w:eastAsia="Arial" w:hAnsi="Arial"/>
          <w:b w:val="1"/>
          <w:bCs w:val="1"/>
          <w:color w:val="000000"/>
          <w:sz w:val="24"/>
          <w:szCs w:val="24"/>
          <w:rtl w:val="0"/>
        </w:rPr>
        <w:t xml:space="preserve">3.1 Tool Disclosure</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53"/>
        <w:gridCol w:w="6863"/>
        <w:tblGridChange w:id="0">
          <w:tblGrid>
            <w:gridCol w:w="2153"/>
            <w:gridCol w:w="6863"/>
          </w:tblGrid>
        </w:tblGridChange>
      </w:tblGrid>
      <w:tr>
        <w:trPr>
          <w:cantSplit w:val="0"/>
          <w:tblHeader w:val="0"/>
        </w:trPr>
        <w:tc>
          <w:tcPr/>
          <w:p w:rsidR="00000000" w:rsidDel="00000000" w:rsidP="00000000" w:rsidRDefault="00000000" w:rsidRPr="00000000" w14:paraId="00000055">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AI Tool</w:t>
            </w:r>
          </w:p>
        </w:tc>
        <w:tc>
          <w:tcPr/>
          <w:p w:rsidR="00000000" w:rsidDel="00000000" w:rsidP="00000000" w:rsidRDefault="00000000" w:rsidRPr="00000000" w14:paraId="00000056">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Task Performed</w:t>
            </w:r>
          </w:p>
        </w:tc>
      </w:tr>
      <w:tr>
        <w:trPr>
          <w:cantSplit w:val="0"/>
          <w:tblHeader w:val="0"/>
        </w:trPr>
        <w:tc>
          <w:tcPr/>
          <w:p w:rsidR="00000000" w:rsidDel="00000000" w:rsidP="00000000" w:rsidRDefault="00000000" w:rsidRPr="00000000" w14:paraId="00000057">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ChatGPT (OpenAI GPT-5.5)</w:t>
            </w:r>
            <w:r w:rsidDel="00000000" w:rsidR="00000000" w:rsidRPr="00000000">
              <w:rPr>
                <w:rtl w:val="0"/>
              </w:rPr>
            </w:r>
          </w:p>
        </w:tc>
        <w:tc>
          <w:tcPr/>
          <w:p w:rsidR="00000000" w:rsidDel="00000000" w:rsidP="00000000" w:rsidRDefault="00000000" w:rsidRPr="00000000" w14:paraId="0000005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Utilized to create a first draft of content, to summarize academic literature, to explain marketing theories, to enhance the structure and scientific writing of the report.</w:t>
            </w:r>
          </w:p>
        </w:tc>
      </w:tr>
      <w:tr>
        <w:trPr>
          <w:cantSplit w:val="0"/>
          <w:tblHeader w:val="0"/>
        </w:trPr>
        <w:tc>
          <w:tcPr/>
          <w:p w:rsidR="00000000" w:rsidDel="00000000" w:rsidP="00000000" w:rsidRDefault="00000000" w:rsidRPr="00000000" w14:paraId="00000059">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Microsoft Copilot</w:t>
            </w:r>
            <w:r w:rsidDel="00000000" w:rsidR="00000000" w:rsidRPr="00000000">
              <w:rPr>
                <w:rtl w:val="0"/>
              </w:rPr>
            </w:r>
          </w:p>
        </w:tc>
        <w:tc>
          <w:tcPr/>
          <w:p w:rsidR="00000000" w:rsidDel="00000000" w:rsidP="00000000" w:rsidRDefault="00000000" w:rsidRPr="00000000" w14:paraId="0000005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Uses to access up-to-date information within and outside industry, company news and public information for market and sustainability analysis.</w:t>
            </w:r>
          </w:p>
        </w:tc>
      </w:tr>
      <w:tr>
        <w:trPr>
          <w:cantSplit w:val="0"/>
          <w:tblHeader w:val="0"/>
        </w:trPr>
        <w:tc>
          <w:tcPr/>
          <w:p w:rsidR="00000000" w:rsidDel="00000000" w:rsidP="00000000" w:rsidRDefault="00000000" w:rsidRPr="00000000" w14:paraId="0000005B">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Grammarly</w:t>
            </w:r>
            <w:r w:rsidDel="00000000" w:rsidR="00000000" w:rsidRPr="00000000">
              <w:rPr>
                <w:rtl w:val="0"/>
              </w:rPr>
            </w:r>
          </w:p>
        </w:tc>
        <w:tc>
          <w:tcPr/>
          <w:p w:rsidR="00000000" w:rsidDel="00000000" w:rsidP="00000000" w:rsidRDefault="00000000" w:rsidRPr="00000000" w14:paraId="0000005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Corrects grammar, spelling, punctuation, and clarifies and improves sentence clarity and readability of the report to proofread it.</w:t>
            </w:r>
          </w:p>
        </w:tc>
      </w:tr>
      <w:tr>
        <w:trPr>
          <w:cantSplit w:val="0"/>
          <w:tblHeader w:val="0"/>
        </w:trPr>
        <w:tc>
          <w:tcPr/>
          <w:p w:rsidR="00000000" w:rsidDel="00000000" w:rsidP="00000000" w:rsidRDefault="00000000" w:rsidRPr="00000000" w14:paraId="0000005D">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Google Scholar</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iCs w:val="1"/>
                <w:sz w:val="24"/>
                <w:szCs w:val="24"/>
                <w:rtl w:val="0"/>
              </w:rPr>
              <w:t xml:space="preserve">(Search Tool)</w:t>
            </w:r>
            <w:r w:rsidDel="00000000" w:rsidR="00000000" w:rsidRPr="00000000">
              <w:rPr>
                <w:rtl w:val="0"/>
              </w:rPr>
            </w:r>
          </w:p>
        </w:tc>
        <w:tc>
          <w:tcPr/>
          <w:p w:rsidR="00000000" w:rsidDel="00000000" w:rsidP="00000000" w:rsidRDefault="00000000" w:rsidRPr="00000000" w14:paraId="0000005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They are used to help identify academic sources and peer-reviewed journal articles to verify any information generated by AI and to help with referencing.</w:t>
            </w:r>
          </w:p>
        </w:tc>
      </w:tr>
    </w:tbl>
    <w:p w:rsidR="00000000" w:rsidDel="00000000" w:rsidP="00000000" w:rsidRDefault="00000000" w:rsidRPr="00000000" w14:paraId="0000005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Table 2: Tool Disclosure</w:t>
      </w:r>
    </w:p>
    <w:p w:rsidR="00000000" w:rsidDel="00000000" w:rsidP="00000000" w:rsidRDefault="00000000" w:rsidRPr="00000000" w14:paraId="00000060">
      <w:pPr>
        <w:pStyle w:val="Heading2"/>
        <w:spacing w:line="360" w:lineRule="auto"/>
        <w:jc w:val="both"/>
        <w:rPr>
          <w:rFonts w:ascii="Arial" w:cs="Arial" w:eastAsia="Arial" w:hAnsi="Arial"/>
          <w:b w:val="1"/>
          <w:bCs w:val="1"/>
          <w:color w:val="000000"/>
          <w:sz w:val="24"/>
          <w:szCs w:val="24"/>
        </w:rPr>
      </w:pPr>
      <w:bookmarkStart w:colFirst="0" w:colLast="0" w:name="_heading=h.k4kmj0qy3nab" w:id="9"/>
      <w:bookmarkEnd w:id="9"/>
      <w:r w:rsidDel="00000000" w:rsidR="00000000" w:rsidRPr="00000000">
        <w:rPr>
          <w:rFonts w:ascii="Arial" w:cs="Arial" w:eastAsia="Arial" w:hAnsi="Arial"/>
          <w:b w:val="1"/>
          <w:bCs w:val="1"/>
          <w:color w:val="000000"/>
          <w:sz w:val="24"/>
          <w:szCs w:val="24"/>
          <w:rtl w:val="0"/>
        </w:rPr>
        <w:t xml:space="preserve">3.2 Critical Evaluation of AI Output</w:t>
      </w:r>
    </w:p>
    <w:p w:rsidR="00000000" w:rsidDel="00000000" w:rsidP="00000000" w:rsidRDefault="00000000" w:rsidRPr="00000000" w14:paraId="00000061">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Verification of AI-Generated Content</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While these tools provided initial drafts and structured the report, everything was checked and rechecked independently before it was added to the entire report. Company-specific financial, operational and sustainability information was cross-checked against BHP's FY2025 Annual Report, Climate Transition Action Plan, Sustainability Report and Economic and Commodity Outlook. Industry trends and market data were sourced from International Energy Agency (IEA), World Steel Association, OECD and Deloitte and marketing concepts (Marketing Environment, Ansoff Matrix, competitive advantage) have been confirmed from prescribed marketing textbooks and peer-reviewed journal articles. The verification process helped to ensure that the report did not only include AI-generated content but contained accurate, current and credible evidence.</w:t>
      </w:r>
    </w:p>
    <w:p w:rsidR="00000000" w:rsidDel="00000000" w:rsidP="00000000" w:rsidRDefault="00000000" w:rsidRPr="00000000" w14:paraId="00000063">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Identification and Correction of Hallucinations and Logical Errors</w:t>
      </w:r>
    </w:p>
    <w:p w:rsidR="00000000" w:rsidDel="00000000" w:rsidP="00000000" w:rsidRDefault="00000000" w:rsidRPr="00000000" w14:paraId="0000006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were instances in which the AI-generated answers were outdated with inaccurate statistics, and in other cases used unverifiable data from unofficial sources, or made unsupported claims. These potential 'hallucinations' have been detected by comparing AI output with recent company reports, government reports and accepted industry databases. Inconsistencies were identified and inaccurate figures, unsupported references and general statements were revised and replaced with accurate 2025–2026 figures. In addition, repetitive arguments, weak connections between evidence and conclusions and descriptive instead of critical analysis were also corrected manually</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(World Economic Forum, 2025). This means that the final report is based on independent thinking and critical evaluation, and the AI system is used as a drafting aid, not as a source of analysis.</w:t>
      </w:r>
    </w:p>
    <w:p w:rsidR="00000000" w:rsidDel="00000000" w:rsidP="00000000" w:rsidRDefault="00000000" w:rsidRPr="00000000" w14:paraId="00000065">
      <w:pPr>
        <w:pStyle w:val="Heading2"/>
        <w:spacing w:line="360" w:lineRule="auto"/>
        <w:jc w:val="both"/>
        <w:rPr>
          <w:rFonts w:ascii="Arial" w:cs="Arial" w:eastAsia="Arial" w:hAnsi="Arial"/>
          <w:b w:val="1"/>
          <w:bCs w:val="1"/>
          <w:color w:val="000000"/>
          <w:sz w:val="24"/>
          <w:szCs w:val="24"/>
        </w:rPr>
      </w:pPr>
      <w:bookmarkStart w:colFirst="0" w:colLast="0" w:name="_heading=h.qurqwgs8ou9k" w:id="10"/>
      <w:bookmarkEnd w:id="10"/>
      <w:r w:rsidDel="00000000" w:rsidR="00000000" w:rsidRPr="00000000">
        <w:rPr>
          <w:rFonts w:ascii="Arial" w:cs="Arial" w:eastAsia="Arial" w:hAnsi="Arial"/>
          <w:b w:val="1"/>
          <w:bCs w:val="1"/>
          <w:color w:val="000000"/>
          <w:sz w:val="24"/>
          <w:szCs w:val="24"/>
          <w:rtl w:val="0"/>
        </w:rPr>
        <w:t xml:space="preserve">3.3 Contribution Analysis</w:t>
      </w:r>
    </w:p>
    <w:p w:rsidR="00000000" w:rsidDel="00000000" w:rsidP="00000000" w:rsidRDefault="00000000" w:rsidRPr="00000000" w14:paraId="0000006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Initial drafts were drafted using AI tools, literature was summarised, marketing concepts were explained and the organisation and language were enhanced in the report. It also assisted in organizing sections in line with requirements of assignment.</w:t>
      </w:r>
    </w:p>
    <w:p w:rsidR="00000000" w:rsidDel="00000000" w:rsidP="00000000" w:rsidRDefault="00000000" w:rsidRPr="00000000" w14:paraId="0000006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analysis, interpretation, selection of evidence, integration of reliable 2025–2026 data and conclusions were all done on an independent basis by the writer. Academic literature and official BHP and industry reports were used to review, edit and validate all the content generated by AI to ensure it is original, accurate and meets academic standards.</w:t>
      </w:r>
    </w:p>
    <w:p w:rsidR="00000000" w:rsidDel="00000000" w:rsidP="00000000" w:rsidRDefault="00000000" w:rsidRPr="00000000" w14:paraId="00000068">
      <w:pPr>
        <w:pStyle w:val="Heading2"/>
        <w:spacing w:line="360" w:lineRule="auto"/>
        <w:jc w:val="both"/>
        <w:rPr>
          <w:rFonts w:ascii="Arial" w:cs="Arial" w:eastAsia="Arial" w:hAnsi="Arial"/>
          <w:b w:val="1"/>
          <w:bCs w:val="1"/>
          <w:color w:val="000000"/>
          <w:sz w:val="24"/>
          <w:szCs w:val="24"/>
        </w:rPr>
      </w:pPr>
      <w:bookmarkStart w:colFirst="0" w:colLast="0" w:name="_heading=h.5u6caep7hqxh" w:id="11"/>
      <w:bookmarkEnd w:id="11"/>
      <w:r w:rsidDel="00000000" w:rsidR="00000000" w:rsidRPr="00000000">
        <w:rPr>
          <w:rFonts w:ascii="Arial" w:cs="Arial" w:eastAsia="Arial" w:hAnsi="Arial"/>
          <w:b w:val="1"/>
          <w:bCs w:val="1"/>
          <w:color w:val="000000"/>
          <w:sz w:val="24"/>
          <w:szCs w:val="24"/>
          <w:rtl w:val="0"/>
        </w:rPr>
        <w:t xml:space="preserve">3.4 Ethical &amp; Professional Reflection</w:t>
      </w:r>
    </w:p>
    <w:p w:rsidR="00000000" w:rsidDel="00000000" w:rsidP="00000000" w:rsidRDefault="00000000" w:rsidRPr="00000000" w14:paraId="0000006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integration of AI into marketing analysis offers benefits in terms of efficiency and assist with conceptualizing but also brings up ethical issues concerning accuracy, transparency, and academic honesty. AI should be used responsibly and ensure that information drawn from it is verified from credible sources; that the use of AI is acknowledged; and that all critical analysis and final conclusions are the author's own.</w:t>
      </w:r>
    </w:p>
    <w:p w:rsidR="00000000" w:rsidDel="00000000" w:rsidP="00000000" w:rsidRDefault="00000000" w:rsidRPr="00000000" w14:paraId="0000006A">
      <w:pPr>
        <w:spacing w:line="360" w:lineRule="auto"/>
        <w:jc w:val="both"/>
        <w:rPr>
          <w:rFonts w:ascii="Arial" w:cs="Arial" w:eastAsia="Arial" w:hAnsi="Arial"/>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B">
      <w:pPr>
        <w:pStyle w:val="Heading1"/>
        <w:spacing w:line="360" w:lineRule="auto"/>
        <w:jc w:val="both"/>
        <w:rPr>
          <w:rFonts w:ascii="Arial" w:cs="Arial" w:eastAsia="Arial" w:hAnsi="Arial"/>
          <w:b w:val="1"/>
          <w:bCs w:val="1"/>
          <w:color w:val="000000"/>
          <w:sz w:val="24"/>
          <w:szCs w:val="24"/>
        </w:rPr>
      </w:pPr>
      <w:bookmarkStart w:colFirst="0" w:colLast="0" w:name="_heading=h.9qo30jh6o2m8" w:id="12"/>
      <w:bookmarkEnd w:id="12"/>
      <w:r w:rsidDel="00000000" w:rsidR="00000000" w:rsidRPr="00000000">
        <w:rPr>
          <w:rFonts w:ascii="Arial" w:cs="Arial" w:eastAsia="Arial" w:hAnsi="Arial"/>
          <w:b w:val="1"/>
          <w:bCs w:val="1"/>
          <w:color w:val="000000"/>
          <w:sz w:val="24"/>
          <w:szCs w:val="24"/>
          <w:rtl w:val="0"/>
        </w:rPr>
        <w:t xml:space="preserve">References</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BHP (2025a)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Annual Report 2025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3">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https://www.bhp.com/annualreport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BHP (2025b)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Annual Reporting Suite 2025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4">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https://www.bhp.com/es/news/media-centre/reports-presentations/2025/08/2025-annual-reporting-suite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BHP (2025c)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Annual Report 2025 – Investor Hub</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5">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https://www.bhp.com/investor-hub/reports-and-presentations/annual-report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BHP (2025d)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Economic and Commodity Outlook 2025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6">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https://www.bhp.com/investor-hub/reports-and-presentations/economic-and-commodity-outlook/2025/08/economic-and-commodity-outlook</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BHP (2025e)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7">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https://www.bhp.com/sustainability</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BHP (2025f)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Climate Transition Action Plan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8">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https://www.bhp.com/climate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BHP (2025g)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ESG Standards and Databook 2025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9">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https://www.bhp.com/sustainability</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Deloitte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Tracking the Trends 2026: Mining and Metals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0">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https://www2.deloitte.com/global/en/pages/energy-and-resources/articles/tracking-the-trends.html</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Dody Sudjatmiko, R., (2025). Financial and Stock Performance Analysis of Top 5 Coal Producer Company Listed in Indonesia Stock Exchange and Australia Stock Exchange Before and During the Russia-Ukraine War Between 2019-2023 (Doctoral dissertation, Institut IPMI).</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International Council on Mining and Metals (ICMM)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Climate Change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1">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https://www.icmm.com/en-gb/climate-change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International Energy Agency (IEA) (2025a)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World Energy Investment 2025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2">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https://www.iea.org/reports/world-energy-investment-2025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International Energy Agency (IEA) (2025b)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World Energy Outlook 2025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3">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https://www.iea.org/reports/world-energy-outlook-2025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International Energy Agency (IEA) (2025c)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Global Critical Minerals Outlook 2025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4">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https://www.iea.org/reports/global-critical-minerals-outlook-2025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International Energy Agency (IEA) (2025d)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Global EV Outlook 2025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5">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https://www.iea.org/reports/global-ev-outlook-2025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Kotler, P., Armstrong, G., Harris, L.C. and He, H.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Principles of Marketing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19th edn. Harlow: Pearson. </w:t>
      </w:r>
    </w:p>
    <w:p w:rsidR="00000000" w:rsidDel="00000000" w:rsidP="00000000" w:rsidRDefault="00000000" w:rsidRPr="00000000" w14:paraId="0000007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Liu, Y., (2025), July. Evaluating Extensions to CAPM: The Predictive Power of Market Capitalization and Turnover in the Australian Stock Market. In (2025) International Conference on Financial Risk and Investment Management (ICFRIM (2025)) (pp. 607-616). Atlantis Press.</w:t>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McKinsey &amp; Company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The Net-Zero Transition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6">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https://www.mckinsey.com/capabilities/sustainability/our-insights/the-net-zero-transition-what-it-would-cost-what-it-could-bring</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Mendes, M.S., da Costa Neto, J.A., da Silva, F.D.A.M. and Martins, O.S., (2026). How Efficiently Did the Market Price Vale’s Stock After the Mariana and Brumadinho Disasters?. Economics of Disasters and Climate Change, 10(2), p.24.</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OECD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Critical Minerals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7">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https://www.oecd.org/en/topics/critical-minerals.html</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PwC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Mine 2025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8">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https://www.pwc.com/gx/en/industries/energy-utilities-resources/publications/mine.html</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Reuters (2025a)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BHP Expects Copper Demand Growth</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9">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https://www.reuters.com/markets/commodities/bhp-expects-copper-demand-grow-by-1-mln-metric-tons-year-until-2035-2024-09-30/</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Reuters (2025b)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BHP and POSCO Sign Low-Emission Ironmaking Agreement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0">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https://www.reuters.com/sustainability/climate-energy/bhp-posco-sign-deal-advance-hydrogen-based-low-emissions-iron-2025-10-30/</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Sablin, K., Goosen, E. and Nikitenko, S., (2025), September. How Government and Business Co-Manage Value Chains in the Coal Industry: Case of Digitalization. In (2025) 18th International Conference on Management of Large-Scale System Development (MLSD) (pp. 1-5). IEEE.</w:t>
      </w:r>
    </w:p>
    <w:p w:rsidR="00000000" w:rsidDel="00000000" w:rsidP="00000000" w:rsidRDefault="00000000" w:rsidRPr="00000000" w14:paraId="0000008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Scott, G.A., (2025). The rise, fall and resurgence of BHP: dynamic capabilities in a leading resource company (Doctoral dissertation, Murdoch University).</w:t>
      </w:r>
    </w:p>
    <w:p w:rsidR="00000000" w:rsidDel="00000000" w:rsidP="00000000" w:rsidRDefault="00000000" w:rsidRPr="00000000" w14:paraId="0000008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Teshayev, B.B. and Khaydarov, O., (2026). THEORETICAL AND METHODOLOGICAL FOUNDATIONS FOR THE DEVELOPMENT OF GREEN PROCUREMENT MARKETING IN INTERNATIONAL INDUSTRIAL ENTERPRISES. PORTUGAL-SCIENTIFIC REVIEW OF THE PROBLEMS AND PROSPECTS OF MODERN SCIENCE AND EDUCATION, 1(17), pp.4-12.</w:t>
      </w:r>
    </w:p>
    <w:p w:rsidR="00000000" w:rsidDel="00000000" w:rsidP="00000000" w:rsidRDefault="00000000" w:rsidRPr="00000000" w14:paraId="00000085">
      <w:pPr>
        <w:spacing w:line="360" w:lineRule="auto"/>
        <w:jc w:val="both"/>
        <w:rPr>
          <w:rFonts w:ascii="Arial" w:cs="Arial" w:eastAsia="Arial" w:hAnsi="Arial"/>
          <w:sz w:val="24"/>
          <w:szCs w:val="24"/>
        </w:rPr>
      </w:pPr>
      <w:r w:rsidDel="00000000" w:rsidR="00000000" w:rsidRPr="00000000">
        <w:rPr>
          <w:rFonts w:ascii="Arial" w:cs="Arial" w:eastAsia="Arial" w:hAnsi="Arial"/>
          <w:b w:val="0"/>
          <w:bCs w:val="0"/>
          <w:sz w:val="24"/>
          <w:szCs w:val="24"/>
          <w:rtl w:val="0"/>
        </w:rPr>
        <w:t xml:space="preserve">The Business Research Company (2026)</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iCs w:val="1"/>
          <w:sz w:val="24"/>
          <w:szCs w:val="24"/>
          <w:rtl w:val="0"/>
        </w:rPr>
        <w:t xml:space="preserve">Metal and Mineral Market Report 2026: Global Outlook – By Type, Application and End User – Market Size, Trends, Strategies and Forecast to 2035</w:t>
      </w:r>
      <w:r w:rsidDel="00000000" w:rsidR="00000000" w:rsidRPr="00000000">
        <w:rPr>
          <w:rFonts w:ascii="Arial" w:cs="Arial" w:eastAsia="Arial" w:hAnsi="Arial"/>
          <w:sz w:val="24"/>
          <w:szCs w:val="24"/>
          <w:rtl w:val="0"/>
        </w:rPr>
        <w:t xml:space="preserve">. Available at: </w:t>
      </w:r>
      <w:hyperlink r:id="rId31">
        <w:r w:rsidDel="00000000" w:rsidR="00000000" w:rsidRPr="00000000">
          <w:rPr>
            <w:rFonts w:ascii="Arial" w:cs="Arial" w:eastAsia="Arial" w:hAnsi="Arial"/>
            <w:color w:val="000000"/>
            <w:sz w:val="24"/>
            <w:szCs w:val="24"/>
            <w:u w:val="single"/>
            <w:rtl w:val="0"/>
          </w:rPr>
          <w:t xml:space="preserve">The Business Research Company – Metal and Mineral Market Report 2026</w:t>
        </w:r>
      </w:hyperlink>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United Nations Framework Convention on Climate Change (UNFCCC)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UN Climate Change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2">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https://unfccc.int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Walia, A., Anda, M., Whale, J. and Dubey, O., (2026). Digital Transformation and Circular Economy in Mine Tailings Management: A Multi-Country Review of Emerging Practices. Circular Economy and Sustainability, 6(4), p.336.</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World Economic Forum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Mining and Metals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3">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https://www.weforum.org/topics/mining-metals/</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World Steel Association (2025a)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4">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https://worldsteel.org/steel-topics/sustainability/</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World Steel Association (2025b)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Steel Statistical Yearbook</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5">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https://worldsteel.org/data/steel-statistical-yearbook/</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C">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8D">
      <w:pPr>
        <w:spacing w:line="360" w:lineRule="auto"/>
        <w:jc w:val="both"/>
        <w:rPr>
          <w:rFonts w:ascii="Arial" w:cs="Arial" w:eastAsia="Arial" w:hAnsi="Arial"/>
          <w:b w:val="1"/>
          <w:bCs w:val="1"/>
          <w:sz w:val="24"/>
          <w:szCs w:val="24"/>
        </w:rPr>
      </w:pPr>
      <w:r w:rsidDel="00000000" w:rsidR="00000000" w:rsidRPr="00000000">
        <w:rPr>
          <w:rtl w:val="0"/>
        </w:rPr>
      </w:r>
    </w:p>
    <w:sectPr>
      <w:footerReference r:id="rId3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e4d78"/>
      <w:sz w:val="24"/>
      <w:szCs w:val="24"/>
    </w:rPr>
  </w:style>
  <w:style w:type="paragraph" w:styleId="Heading4">
    <w:name w:val="heading 4"/>
    <w:basedOn w:val="Normal"/>
    <w:next w:val="Normal"/>
    <w:pPr>
      <w:keepNext w:val="1"/>
      <w:keepLines w:val="1"/>
      <w:spacing w:after="0" w:before="40" w:lineRule="auto"/>
    </w:pPr>
    <w:rPr>
      <w:rFonts w:ascii="Calibri" w:cs="Calibri" w:eastAsia="Calibri" w:hAnsi="Calibri"/>
      <w:i w:val="1"/>
      <w:iCs w:val="1"/>
      <w:color w:val="2e75b5"/>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2.deloitte.com/global/en/pages/energy-and-resources/articles/tracking-the-trends.html" TargetMode="External"/><Relationship Id="rId22" Type="http://schemas.openxmlformats.org/officeDocument/2006/relationships/hyperlink" Target="https://www.iea.org/reports/world-energy-investment-2025" TargetMode="External"/><Relationship Id="rId21" Type="http://schemas.openxmlformats.org/officeDocument/2006/relationships/hyperlink" Target="https://www.icmm.com/en-gb/climate-change" TargetMode="External"/><Relationship Id="rId24" Type="http://schemas.openxmlformats.org/officeDocument/2006/relationships/hyperlink" Target="https://www.iea.org/reports/global-critical-minerals-outlook-2025?utm_source=chatgpt.com" TargetMode="External"/><Relationship Id="rId23" Type="http://schemas.openxmlformats.org/officeDocument/2006/relationships/hyperlink" Target="https://www.iea.org/reports/world-energy-outlook-2025?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hyperlink" Target="https://www.mckinsey.com/capabilities/sustainability/our-insights/the-net-zero-transition-what-it-would-cost-what-it-could-bring" TargetMode="External"/><Relationship Id="rId25" Type="http://schemas.openxmlformats.org/officeDocument/2006/relationships/hyperlink" Target="https://www.iea.org/reports/global-ev-outlook-2025" TargetMode="External"/><Relationship Id="rId28" Type="http://schemas.openxmlformats.org/officeDocument/2006/relationships/hyperlink" Target="https://www.pwc.com/gx/en/industries/energy-utilities-resources/publications/mine.html" TargetMode="External"/><Relationship Id="rId27" Type="http://schemas.openxmlformats.org/officeDocument/2006/relationships/hyperlink" Target="https://www.oecd.org/en/topics/critical-minerals.html"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reuters.com/markets/commodities/bhp-expects-copper-demand-grow-by-1-mln-metric-tons-year-until-2035-2024-09-30/" TargetMode="External"/><Relationship Id="rId7" Type="http://schemas.openxmlformats.org/officeDocument/2006/relationships/image" Target="media/image2.png"/><Relationship Id="rId8" Type="http://schemas.openxmlformats.org/officeDocument/2006/relationships/image" Target="media/image5.png"/><Relationship Id="rId31" Type="http://schemas.openxmlformats.org/officeDocument/2006/relationships/hyperlink" Target="https://www.thebusinessresearchcompany.com/report/metal-and-mineral-global-market-report?utm_source=chatgpt.com" TargetMode="External"/><Relationship Id="rId30" Type="http://schemas.openxmlformats.org/officeDocument/2006/relationships/hyperlink" Target="https://www.reuters.com/sustainability/climate-energy/bhp-posco-sign-deal-advance-hydrogen-based-low-emissions-iron-2025-10-30/" TargetMode="External"/><Relationship Id="rId11" Type="http://schemas.openxmlformats.org/officeDocument/2006/relationships/image" Target="media/image6.png"/><Relationship Id="rId33" Type="http://schemas.openxmlformats.org/officeDocument/2006/relationships/hyperlink" Target="https://www.weforum.org/topics/mining-metals/" TargetMode="External"/><Relationship Id="rId10" Type="http://schemas.openxmlformats.org/officeDocument/2006/relationships/image" Target="media/image1.png"/><Relationship Id="rId32" Type="http://schemas.openxmlformats.org/officeDocument/2006/relationships/hyperlink" Target="https://unfccc.int" TargetMode="External"/><Relationship Id="rId13" Type="http://schemas.openxmlformats.org/officeDocument/2006/relationships/hyperlink" Target="https://www.bhp.com/annualreport?utm_source=chatgpt.com" TargetMode="External"/><Relationship Id="rId35" Type="http://schemas.openxmlformats.org/officeDocument/2006/relationships/hyperlink" Target="https://worldsteel.org/data/steel-statistical-yearbook/" TargetMode="External"/><Relationship Id="rId12" Type="http://schemas.openxmlformats.org/officeDocument/2006/relationships/image" Target="media/image4.png"/><Relationship Id="rId34" Type="http://schemas.openxmlformats.org/officeDocument/2006/relationships/hyperlink" Target="https://worldsteel.org/steel-topics/sustainability/" TargetMode="External"/><Relationship Id="rId15" Type="http://schemas.openxmlformats.org/officeDocument/2006/relationships/hyperlink" Target="https://www.bhp.com/investor-hub/reports-and-presentations/annual-report?utm_source=chatgpt.com" TargetMode="External"/><Relationship Id="rId14" Type="http://schemas.openxmlformats.org/officeDocument/2006/relationships/hyperlink" Target="https://www.bhp.com/es/news/media-centre/reports-presentations/2025/08/2025-annual-reporting-suite?utm_source=chatgpt.com" TargetMode="External"/><Relationship Id="rId36" Type="http://schemas.openxmlformats.org/officeDocument/2006/relationships/footer" Target="footer1.xml"/><Relationship Id="rId17" Type="http://schemas.openxmlformats.org/officeDocument/2006/relationships/hyperlink" Target="https://www.bhp.com/sustainability?utm_source=chatgpt.com" TargetMode="External"/><Relationship Id="rId16" Type="http://schemas.openxmlformats.org/officeDocument/2006/relationships/hyperlink" Target="https://www.bhp.com/investor-hub/reports-and-presentations/economic-and-commodity-outlook/2025/08/economic-and-commodity-outlook?utm_source=chatgpt.com" TargetMode="External"/><Relationship Id="rId19" Type="http://schemas.openxmlformats.org/officeDocument/2006/relationships/hyperlink" Target="https://www.bhp.com/sustainability?utm_source=chatgpt.com" TargetMode="External"/><Relationship Id="rId18" Type="http://schemas.openxmlformats.org/officeDocument/2006/relationships/hyperlink" Target="https://www.bhp.com/climate?utm_source=chatgpt.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1/kqqyjPuPGpCJ8J0gE1E8UMLmw==">CgMxLjAyDmguazlkN2Yxdmg1ajBjMg5oLmZ0MWRkYWVzM3BxbTIOaC52cDVwZ212MDhoZzkyDmguaW93MjJpa2R0dnVlMg5oLjQxendhNnJ5dHVqNDIOaC45ZnNmOTJwbzJkNjIyDmgucnAyamtqNWYzMmpsMg5oLmtubG5hcHk0YW41YjIOaC5rOWN1OTZrNjg5dmMyDmguazRrbWowcXkzbmFiMg5oLnF1cnF3Z3M4b3U5azIOaC41dTZjYWVwN2hxeGgyDmguOXFvMzBqaDZvMm04OAByITFOV1BKT0ctaWhBMVE4VWlNLW8xd2txS0FBenhmcXpoa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