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9584B" w14:textId="0648A102" w:rsidR="00E60092" w:rsidRPr="0081159D" w:rsidRDefault="00F87A18">
      <w:pPr>
        <w:rPr>
          <w:sz w:val="32"/>
          <w:szCs w:val="32"/>
        </w:rPr>
      </w:pPr>
      <w:r w:rsidRPr="0081159D">
        <w:rPr>
          <w:sz w:val="32"/>
          <w:szCs w:val="32"/>
        </w:rPr>
        <w:t xml:space="preserve">Catalogue </w:t>
      </w:r>
      <w:r w:rsidR="00E60092" w:rsidRPr="0081159D">
        <w:rPr>
          <w:sz w:val="32"/>
          <w:szCs w:val="32"/>
        </w:rPr>
        <w:t>E</w:t>
      </w:r>
      <w:r w:rsidRPr="0081159D">
        <w:rPr>
          <w:sz w:val="32"/>
          <w:szCs w:val="32"/>
        </w:rPr>
        <w:t>ntry</w:t>
      </w:r>
      <w:r w:rsidR="00E60092" w:rsidRPr="0081159D">
        <w:rPr>
          <w:sz w:val="32"/>
          <w:szCs w:val="32"/>
        </w:rPr>
        <w:t xml:space="preserve"> For </w:t>
      </w:r>
      <w:r w:rsidR="00146A1F" w:rsidRPr="0081159D">
        <w:rPr>
          <w:sz w:val="32"/>
          <w:szCs w:val="32"/>
        </w:rPr>
        <w:t>Statue head (black)</w:t>
      </w:r>
    </w:p>
    <w:p w14:paraId="4ACE2516" w14:textId="77777777" w:rsidR="00E60092" w:rsidRPr="0081159D" w:rsidRDefault="00E60092">
      <w:pPr>
        <w:rPr>
          <w:sz w:val="32"/>
          <w:szCs w:val="32"/>
        </w:rPr>
      </w:pPr>
    </w:p>
    <w:p w14:paraId="58CD256C" w14:textId="77777777" w:rsidR="00146A1F" w:rsidRPr="00146A1F" w:rsidRDefault="00146A1F" w:rsidP="00146A1F">
      <w:pPr>
        <w:rPr>
          <w:b/>
          <w:bCs/>
        </w:rPr>
      </w:pPr>
      <w:r w:rsidRPr="00146A1F">
        <w:rPr>
          <w:b/>
          <w:bCs/>
        </w:rPr>
        <w:t>Statue head (black)</w:t>
      </w:r>
    </w:p>
    <w:p w14:paraId="4CAAACFD" w14:textId="24098F3F" w:rsidR="00D94A1F" w:rsidRPr="00D94A1F" w:rsidRDefault="00D94A1F" w:rsidP="00D94A1F">
      <w:pPr>
        <w:rPr>
          <w:bCs/>
        </w:rPr>
      </w:pPr>
      <w:r w:rsidRPr="00D94A1F">
        <w:rPr>
          <w:b/>
        </w:rPr>
        <w:t>Cyfarthfa Castle, Merthyr Tydfil CCM</w:t>
      </w:r>
      <w:r w:rsidR="00146A1F" w:rsidRPr="00826A02">
        <w:rPr>
          <w:b/>
        </w:rPr>
        <w:t xml:space="preserve">: </w:t>
      </w:r>
      <w:r w:rsidR="00146A1F" w:rsidRPr="00826A02">
        <w:rPr>
          <w:bCs/>
        </w:rPr>
        <w:t>276.004</w:t>
      </w:r>
    </w:p>
    <w:p w14:paraId="4ABB413F" w14:textId="3EB8878B" w:rsidR="00D94A1F" w:rsidRPr="00D94A1F" w:rsidRDefault="00D94A1F" w:rsidP="00D94A1F">
      <w:r w:rsidRPr="00D94A1F">
        <w:rPr>
          <w:b/>
          <w:bCs/>
        </w:rPr>
        <w:t xml:space="preserve">Object type: </w:t>
      </w:r>
      <w:r w:rsidR="0079011F" w:rsidRPr="00826A02">
        <w:t>Statue Head</w:t>
      </w:r>
    </w:p>
    <w:p w14:paraId="0CC2F7D7" w14:textId="33FC9CA1" w:rsidR="00D94A1F" w:rsidRPr="00D94A1F" w:rsidRDefault="00D94A1F" w:rsidP="00D94A1F">
      <w:r w:rsidRPr="00D94A1F">
        <w:rPr>
          <w:b/>
          <w:bCs/>
        </w:rPr>
        <w:t xml:space="preserve">Material: </w:t>
      </w:r>
      <w:r w:rsidR="00140311" w:rsidRPr="00826A02">
        <w:t xml:space="preserve">Black </w:t>
      </w:r>
      <w:r w:rsidR="00744753" w:rsidRPr="00826A02">
        <w:t>Granodiorite</w:t>
      </w:r>
    </w:p>
    <w:p w14:paraId="2EAAA070" w14:textId="44B0613B" w:rsidR="00D94A1F" w:rsidRPr="00D94A1F" w:rsidRDefault="00D94A1F" w:rsidP="00D94A1F">
      <w:r w:rsidRPr="00D94A1F">
        <w:rPr>
          <w:b/>
          <w:bCs/>
        </w:rPr>
        <w:t xml:space="preserve">Period: </w:t>
      </w:r>
      <w:r w:rsidR="00744753" w:rsidRPr="00826A02">
        <w:t>Late Period</w:t>
      </w:r>
    </w:p>
    <w:p w14:paraId="62D9BE67" w14:textId="53ACB66E" w:rsidR="00D94A1F" w:rsidRPr="00D94A1F" w:rsidRDefault="00D94A1F" w:rsidP="00D94A1F">
      <w:r w:rsidRPr="00D94A1F">
        <w:rPr>
          <w:b/>
          <w:bCs/>
        </w:rPr>
        <w:t xml:space="preserve">Provenance: </w:t>
      </w:r>
      <w:r w:rsidR="00146A1F" w:rsidRPr="00826A02">
        <w:t>unknown</w:t>
      </w:r>
    </w:p>
    <w:p w14:paraId="566A6DD4" w14:textId="54F4CD27" w:rsidR="00D94A1F" w:rsidRPr="00D94A1F" w:rsidRDefault="00D94A1F" w:rsidP="00D94A1F">
      <w:r w:rsidRPr="00D94A1F">
        <w:rPr>
          <w:b/>
          <w:bCs/>
        </w:rPr>
        <w:t xml:space="preserve">Dimensions: </w:t>
      </w:r>
      <w:r w:rsidR="00CF34A3" w:rsidRPr="00826A02">
        <w:t>19cm tall, 17cm wide at base, 10cm wide at top of head, 14.5cm deep.</w:t>
      </w:r>
    </w:p>
    <w:p w14:paraId="4C0433E2" w14:textId="1F46CCFF" w:rsidR="00D94A1F" w:rsidRPr="00D94A1F" w:rsidRDefault="00D94A1F" w:rsidP="00D94A1F">
      <w:r w:rsidRPr="00D94A1F">
        <w:t xml:space="preserve">Object analysis by </w:t>
      </w:r>
      <w:r w:rsidRPr="00826A02">
        <w:t>Robert Edwards</w:t>
      </w:r>
    </w:p>
    <w:p w14:paraId="58474515" w14:textId="2E576F49" w:rsidR="00D94A1F" w:rsidRPr="00826A02" w:rsidRDefault="00D94A1F" w:rsidP="00D94A1F">
      <w:pPr>
        <w:rPr>
          <w:b/>
          <w:u w:val="single"/>
        </w:rPr>
      </w:pPr>
      <w:r w:rsidRPr="00D94A1F">
        <w:rPr>
          <w:b/>
          <w:u w:val="single"/>
        </w:rPr>
        <w:t>Description</w:t>
      </w:r>
      <w:r w:rsidR="0030405B">
        <w:rPr>
          <w:b/>
          <w:u w:val="single"/>
        </w:rPr>
        <w:t>:</w:t>
      </w:r>
    </w:p>
    <w:p w14:paraId="033B7920" w14:textId="0C3B756D" w:rsidR="002F20E2" w:rsidRPr="00826A02" w:rsidRDefault="002F20E2" w:rsidP="00D94A1F">
      <w:pPr>
        <w:rPr>
          <w:bCs/>
        </w:rPr>
      </w:pPr>
      <w:r w:rsidRPr="00826A02">
        <w:rPr>
          <w:bCs/>
        </w:rPr>
        <w:t xml:space="preserve">The </w:t>
      </w:r>
      <w:r w:rsidR="00F8374A">
        <w:rPr>
          <w:bCs/>
        </w:rPr>
        <w:t>object</w:t>
      </w:r>
      <w:r w:rsidR="00AA7B97" w:rsidRPr="00826A02">
        <w:rPr>
          <w:bCs/>
        </w:rPr>
        <w:t xml:space="preserve"> is </w:t>
      </w:r>
      <w:r w:rsidR="005D3959" w:rsidRPr="00826A02">
        <w:rPr>
          <w:bCs/>
        </w:rPr>
        <w:t>a</w:t>
      </w:r>
      <w:r w:rsidR="007B6B62" w:rsidRPr="00826A02">
        <w:rPr>
          <w:bCs/>
        </w:rPr>
        <w:t xml:space="preserve"> large statue head</w:t>
      </w:r>
      <w:r w:rsidR="003C1A56" w:rsidRPr="00826A02">
        <w:rPr>
          <w:bCs/>
        </w:rPr>
        <w:t xml:space="preserve">, </w:t>
      </w:r>
      <w:r w:rsidR="00476231">
        <w:rPr>
          <w:bCs/>
        </w:rPr>
        <w:t xml:space="preserve">almost certainly </w:t>
      </w:r>
      <w:r w:rsidR="003C1A56" w:rsidRPr="00826A02">
        <w:rPr>
          <w:bCs/>
        </w:rPr>
        <w:t>taken</w:t>
      </w:r>
      <w:r w:rsidR="007B6B62" w:rsidRPr="00826A02">
        <w:rPr>
          <w:bCs/>
        </w:rPr>
        <w:t xml:space="preserve"> from a </w:t>
      </w:r>
      <w:r w:rsidR="003C1A56" w:rsidRPr="00826A02">
        <w:rPr>
          <w:bCs/>
        </w:rPr>
        <w:t>larger</w:t>
      </w:r>
      <w:r w:rsidR="00476231">
        <w:rPr>
          <w:bCs/>
        </w:rPr>
        <w:t xml:space="preserve"> complete</w:t>
      </w:r>
      <w:r w:rsidR="003C1A56" w:rsidRPr="00826A02">
        <w:rPr>
          <w:bCs/>
        </w:rPr>
        <w:t xml:space="preserve"> statue.</w:t>
      </w:r>
      <w:r w:rsidR="00690723" w:rsidRPr="00826A02">
        <w:rPr>
          <w:bCs/>
        </w:rPr>
        <w:t xml:space="preserve"> It is made of black granodiorite</w:t>
      </w:r>
      <w:r w:rsidR="004B13CE">
        <w:rPr>
          <w:bCs/>
        </w:rPr>
        <w:t xml:space="preserve">, </w:t>
      </w:r>
      <w:r w:rsidR="00B16BF5">
        <w:rPr>
          <w:bCs/>
        </w:rPr>
        <w:t>almost certainly</w:t>
      </w:r>
      <w:r w:rsidR="004B13CE">
        <w:rPr>
          <w:bCs/>
        </w:rPr>
        <w:t xml:space="preserve"> from Aswan</w:t>
      </w:r>
      <w:r w:rsidR="00690723" w:rsidRPr="00826A02">
        <w:rPr>
          <w:bCs/>
        </w:rPr>
        <w:t>.</w:t>
      </w:r>
      <w:r w:rsidR="005D5C35" w:rsidRPr="00826A02">
        <w:rPr>
          <w:bCs/>
        </w:rPr>
        <w:t xml:space="preserve"> </w:t>
      </w:r>
      <w:r w:rsidR="00116FD4">
        <w:rPr>
          <w:bCs/>
        </w:rPr>
        <w:t>The head is (probably) slightly smaller than the actual person’s head.</w:t>
      </w:r>
    </w:p>
    <w:p w14:paraId="1443D9C3" w14:textId="7C5DA5EE" w:rsidR="00980460" w:rsidRDefault="00E76A83" w:rsidP="00D94A1F">
      <w:pPr>
        <w:rPr>
          <w:bCs/>
        </w:rPr>
      </w:pPr>
      <w:r w:rsidRPr="00826A02">
        <w:rPr>
          <w:bCs/>
        </w:rPr>
        <w:t xml:space="preserve">There is damage </w:t>
      </w:r>
      <w:r w:rsidR="009E6713" w:rsidRPr="00826A02">
        <w:rPr>
          <w:bCs/>
        </w:rPr>
        <w:t xml:space="preserve">to the </w:t>
      </w:r>
      <w:r w:rsidR="005862A6" w:rsidRPr="00826A02">
        <w:rPr>
          <w:bCs/>
        </w:rPr>
        <w:t xml:space="preserve">base and lower back of the head, which </w:t>
      </w:r>
      <w:r w:rsidR="009C2169" w:rsidRPr="00826A02">
        <w:rPr>
          <w:bCs/>
        </w:rPr>
        <w:t xml:space="preserve">indicates that the </w:t>
      </w:r>
      <w:r w:rsidR="00291E32" w:rsidRPr="00826A02">
        <w:rPr>
          <w:bCs/>
        </w:rPr>
        <w:t xml:space="preserve">head </w:t>
      </w:r>
      <w:r w:rsidR="006165A0">
        <w:rPr>
          <w:bCs/>
        </w:rPr>
        <w:t>may have been</w:t>
      </w:r>
      <w:r w:rsidR="00291E32" w:rsidRPr="00826A02">
        <w:rPr>
          <w:bCs/>
        </w:rPr>
        <w:t xml:space="preserve"> detached from the </w:t>
      </w:r>
      <w:r w:rsidR="00B1110E" w:rsidRPr="00826A02">
        <w:rPr>
          <w:bCs/>
        </w:rPr>
        <w:t xml:space="preserve">body of the statue by </w:t>
      </w:r>
      <w:r w:rsidR="00D03010" w:rsidRPr="00826A02">
        <w:rPr>
          <w:bCs/>
        </w:rPr>
        <w:t>accident, as opposed to the not-uncommon</w:t>
      </w:r>
      <w:r w:rsidR="0049404E" w:rsidRPr="00826A02">
        <w:rPr>
          <w:bCs/>
        </w:rPr>
        <w:t xml:space="preserve"> </w:t>
      </w:r>
      <w:r w:rsidR="002C644C" w:rsidRPr="00826A02">
        <w:rPr>
          <w:bCs/>
        </w:rPr>
        <w:t>19</w:t>
      </w:r>
      <w:r w:rsidR="002C644C" w:rsidRPr="00826A02">
        <w:rPr>
          <w:bCs/>
          <w:vertAlign w:val="superscript"/>
        </w:rPr>
        <w:t>th</w:t>
      </w:r>
      <w:r w:rsidR="002C644C" w:rsidRPr="00826A02">
        <w:rPr>
          <w:bCs/>
        </w:rPr>
        <w:t xml:space="preserve"> and 20</w:t>
      </w:r>
      <w:r w:rsidR="002C644C" w:rsidRPr="00826A02">
        <w:rPr>
          <w:bCs/>
          <w:vertAlign w:val="superscript"/>
        </w:rPr>
        <w:t>th</w:t>
      </w:r>
      <w:r w:rsidR="002C644C" w:rsidRPr="00826A02">
        <w:rPr>
          <w:bCs/>
        </w:rPr>
        <w:t xml:space="preserve"> century </w:t>
      </w:r>
      <w:r w:rsidR="0049404E" w:rsidRPr="00826A02">
        <w:rPr>
          <w:bCs/>
        </w:rPr>
        <w:t>colonial</w:t>
      </w:r>
      <w:r w:rsidR="00D03010" w:rsidRPr="00826A02">
        <w:rPr>
          <w:bCs/>
        </w:rPr>
        <w:t xml:space="preserve"> </w:t>
      </w:r>
      <w:r w:rsidR="0007602A" w:rsidRPr="00826A02">
        <w:rPr>
          <w:bCs/>
        </w:rPr>
        <w:t xml:space="preserve">practice of removing heads from statues to </w:t>
      </w:r>
      <w:r w:rsidR="00E8471E" w:rsidRPr="00826A02">
        <w:rPr>
          <w:bCs/>
        </w:rPr>
        <w:t>create busts</w:t>
      </w:r>
      <w:r w:rsidR="007E69D7">
        <w:rPr>
          <w:bCs/>
        </w:rPr>
        <w:t xml:space="preserve"> an additional piece of evidence against intent to create a bust is the lack of mounting points or finishing of the damaged area of the statue</w:t>
      </w:r>
      <w:r w:rsidR="00E8471E" w:rsidRPr="00826A02">
        <w:rPr>
          <w:bCs/>
        </w:rPr>
        <w:t>.</w:t>
      </w:r>
      <w:r w:rsidR="007E69D7">
        <w:rPr>
          <w:bCs/>
        </w:rPr>
        <w:t xml:space="preserve"> Additionally </w:t>
      </w:r>
      <w:r w:rsidR="00FB14E3">
        <w:rPr>
          <w:bCs/>
        </w:rPr>
        <w:t>It</w:t>
      </w:r>
      <w:r w:rsidR="00C51717">
        <w:rPr>
          <w:bCs/>
        </w:rPr>
        <w:t xml:space="preserve"> also has a small amount of damage on the right side of the top of the head</w:t>
      </w:r>
      <w:r w:rsidR="007E66A6">
        <w:rPr>
          <w:bCs/>
        </w:rPr>
        <w:t>, likely from a blunt impact or a fall.</w:t>
      </w:r>
    </w:p>
    <w:p w14:paraId="044B006F" w14:textId="7FE2C666" w:rsidR="003E66ED" w:rsidRDefault="00B33BC6" w:rsidP="00D94A1F">
      <w:pPr>
        <w:rPr>
          <w:bCs/>
        </w:rPr>
      </w:pPr>
      <w:r w:rsidRPr="00826A02">
        <w:rPr>
          <w:bCs/>
        </w:rPr>
        <w:t>The statue most likely depict</w:t>
      </w:r>
      <w:r w:rsidR="00F14317" w:rsidRPr="00826A02">
        <w:rPr>
          <w:bCs/>
        </w:rPr>
        <w:t>ed</w:t>
      </w:r>
      <w:r w:rsidR="005D3AA7" w:rsidRPr="00826A02">
        <w:rPr>
          <w:bCs/>
        </w:rPr>
        <w:t xml:space="preserve"> an official or perhaps minor noble. </w:t>
      </w:r>
      <w:r w:rsidR="003946E6" w:rsidRPr="00826A02">
        <w:rPr>
          <w:bCs/>
        </w:rPr>
        <w:t>This is best shown in comparison with</w:t>
      </w:r>
      <w:r w:rsidR="00826A02" w:rsidRPr="00826A02">
        <w:rPr>
          <w:bCs/>
        </w:rPr>
        <w:t xml:space="preserve"> other</w:t>
      </w:r>
      <w:r w:rsidR="003946E6" w:rsidRPr="00826A02">
        <w:rPr>
          <w:bCs/>
        </w:rPr>
        <w:t xml:space="preserve"> contemporary statues</w:t>
      </w:r>
      <w:r w:rsidR="00A57E9F">
        <w:rPr>
          <w:bCs/>
        </w:rPr>
        <w:t xml:space="preserve"> of officials</w:t>
      </w:r>
      <w:r w:rsidR="003946E6" w:rsidRPr="00826A02">
        <w:rPr>
          <w:bCs/>
        </w:rPr>
        <w:t xml:space="preserve"> that </w:t>
      </w:r>
      <w:r w:rsidR="008B759D" w:rsidRPr="00826A02">
        <w:rPr>
          <w:bCs/>
        </w:rPr>
        <w:t xml:space="preserve">often </w:t>
      </w:r>
      <w:r w:rsidR="003946E6" w:rsidRPr="00826A02">
        <w:rPr>
          <w:bCs/>
        </w:rPr>
        <w:t>poss</w:t>
      </w:r>
      <w:r w:rsidR="008B759D" w:rsidRPr="00826A02">
        <w:rPr>
          <w:bCs/>
        </w:rPr>
        <w:t xml:space="preserve">ess </w:t>
      </w:r>
      <w:r w:rsidR="003946E6" w:rsidRPr="00826A02">
        <w:rPr>
          <w:bCs/>
        </w:rPr>
        <w:t>the same features and wig.</w:t>
      </w:r>
      <w:r w:rsidR="00826A02" w:rsidRPr="00826A02">
        <w:rPr>
          <w:rStyle w:val="FootnoteReference"/>
          <w:bCs/>
        </w:rPr>
        <w:footnoteReference w:id="1"/>
      </w:r>
    </w:p>
    <w:p w14:paraId="6AA2DF6C" w14:textId="6EA7D800" w:rsidR="00475769" w:rsidRPr="00826A02" w:rsidRDefault="00475769" w:rsidP="00D94A1F">
      <w:pPr>
        <w:rPr>
          <w:bCs/>
        </w:rPr>
      </w:pPr>
      <w:r>
        <w:rPr>
          <w:bCs/>
        </w:rPr>
        <w:t xml:space="preserve">The statue was likely originally found in a tomb, a piece of information that can be derived from two pieces of information. First is the nature of the statue, it is most </w:t>
      </w:r>
      <w:r w:rsidR="00A43D22">
        <w:rPr>
          <w:bCs/>
        </w:rPr>
        <w:t>likely depicting</w:t>
      </w:r>
      <w:r>
        <w:rPr>
          <w:bCs/>
        </w:rPr>
        <w:t xml:space="preserve"> an official</w:t>
      </w:r>
      <w:r w:rsidR="002727A3">
        <w:rPr>
          <w:bCs/>
        </w:rPr>
        <w:t xml:space="preserve">, and a very large </w:t>
      </w:r>
      <w:r w:rsidR="00A43D22">
        <w:rPr>
          <w:bCs/>
        </w:rPr>
        <w:t>number</w:t>
      </w:r>
      <w:r w:rsidR="002727A3">
        <w:rPr>
          <w:bCs/>
        </w:rPr>
        <w:t xml:space="preserve"> of statues that depict officials of such ranks</w:t>
      </w:r>
      <w:r w:rsidR="0042221D">
        <w:rPr>
          <w:rStyle w:val="FootnoteReference"/>
          <w:bCs/>
        </w:rPr>
        <w:footnoteReference w:id="2"/>
      </w:r>
      <w:r w:rsidR="002727A3">
        <w:rPr>
          <w:bCs/>
        </w:rPr>
        <w:t xml:space="preserve"> are </w:t>
      </w:r>
      <w:r w:rsidR="00A43D22">
        <w:rPr>
          <w:bCs/>
        </w:rPr>
        <w:t>found in tombs, as they depict the entombed official</w:t>
      </w:r>
      <w:r w:rsidR="00E80667">
        <w:rPr>
          <w:bCs/>
        </w:rPr>
        <w:t>’s Ka</w:t>
      </w:r>
      <w:r w:rsidR="00A43D22">
        <w:rPr>
          <w:bCs/>
        </w:rPr>
        <w:t xml:space="preserve">. The </w:t>
      </w:r>
      <w:r w:rsidR="00F55AF8">
        <w:rPr>
          <w:bCs/>
        </w:rPr>
        <w:t xml:space="preserve">second piece of information is </w:t>
      </w:r>
      <w:r w:rsidR="009569DD">
        <w:rPr>
          <w:bCs/>
        </w:rPr>
        <w:t xml:space="preserve">the </w:t>
      </w:r>
      <w:r w:rsidR="00B13C67">
        <w:rPr>
          <w:bCs/>
        </w:rPr>
        <w:t xml:space="preserve">stone the statue is made of. Black granodiorite is </w:t>
      </w:r>
      <w:r w:rsidR="004B5440">
        <w:rPr>
          <w:bCs/>
        </w:rPr>
        <w:t xml:space="preserve">often used in ancient Egyptian statuary for mortuary purposes, </w:t>
      </w:r>
      <w:r w:rsidR="00E80667">
        <w:rPr>
          <w:bCs/>
        </w:rPr>
        <w:t>because of the ancient Egyptian association between the afterlife and the colour black.</w:t>
      </w:r>
    </w:p>
    <w:p w14:paraId="1E2AB007" w14:textId="3AB5B543" w:rsidR="00AB61DB" w:rsidRPr="00826A02" w:rsidRDefault="00316E6B" w:rsidP="00D94A1F">
      <w:pPr>
        <w:rPr>
          <w:bCs/>
        </w:rPr>
      </w:pPr>
      <w:r>
        <w:rPr>
          <w:bCs/>
        </w:rPr>
        <w:lastRenderedPageBreak/>
        <w:t>The most likely purpose of the statue was as a Ka statue</w:t>
      </w:r>
      <w:r w:rsidR="00826352">
        <w:rPr>
          <w:rStyle w:val="FootnoteReference"/>
          <w:bCs/>
        </w:rPr>
        <w:footnoteReference w:id="3"/>
      </w:r>
      <w:r>
        <w:rPr>
          <w:bCs/>
        </w:rPr>
        <w:t xml:space="preserve"> in a tomb. This would mean that the particular</w:t>
      </w:r>
      <w:r w:rsidR="00B81901">
        <w:rPr>
          <w:bCs/>
        </w:rPr>
        <w:t xml:space="preserve"> visage</w:t>
      </w:r>
      <w:r>
        <w:rPr>
          <w:bCs/>
        </w:rPr>
        <w:t xml:space="preserve"> that the </w:t>
      </w:r>
      <w:r w:rsidR="00B81901">
        <w:rPr>
          <w:bCs/>
        </w:rPr>
        <w:t xml:space="preserve">head depicts is the </w:t>
      </w:r>
      <w:r w:rsidR="000E53C3">
        <w:rPr>
          <w:bCs/>
        </w:rPr>
        <w:t xml:space="preserve">face of the person who was </w:t>
      </w:r>
      <w:r w:rsidR="00495873">
        <w:rPr>
          <w:bCs/>
        </w:rPr>
        <w:t>buried in the tomb.</w:t>
      </w:r>
      <w:r w:rsidR="00826352">
        <w:rPr>
          <w:bCs/>
        </w:rPr>
        <w:t xml:space="preserve"> Ka statues are common in every time period of ancient Egypt</w:t>
      </w:r>
      <w:r w:rsidR="00F81E56">
        <w:rPr>
          <w:bCs/>
        </w:rPr>
        <w:t xml:space="preserve">, </w:t>
      </w:r>
      <w:r w:rsidR="002F0A88">
        <w:rPr>
          <w:bCs/>
        </w:rPr>
        <w:t>though their appearance may differ depending on the artistic styles of the day.</w:t>
      </w:r>
      <w:r w:rsidR="000E60ED">
        <w:rPr>
          <w:bCs/>
        </w:rPr>
        <w:t xml:space="preserve"> The Ka statues were an important part of the </w:t>
      </w:r>
      <w:r w:rsidR="002776D7">
        <w:rPr>
          <w:bCs/>
        </w:rPr>
        <w:t xml:space="preserve">funerary rites of the </w:t>
      </w:r>
      <w:r w:rsidR="00A22CC6">
        <w:rPr>
          <w:bCs/>
        </w:rPr>
        <w:t>ancient Egyptians across every period. They were a physical representation of the Ka</w:t>
      </w:r>
      <w:r w:rsidR="00FE4CC8">
        <w:rPr>
          <w:bCs/>
        </w:rPr>
        <w:t>.</w:t>
      </w:r>
      <w:r w:rsidR="002776D7">
        <w:rPr>
          <w:bCs/>
        </w:rPr>
        <w:t xml:space="preserve"> </w:t>
      </w:r>
      <w:r w:rsidR="008F25C4">
        <w:rPr>
          <w:bCs/>
        </w:rPr>
        <w:t xml:space="preserve">The Ka is a component of the person according to the spiritual beliefs of ancient Egypt, it is among a number of </w:t>
      </w:r>
      <w:r w:rsidR="00F52306">
        <w:rPr>
          <w:bCs/>
        </w:rPr>
        <w:t>spiritual components</w:t>
      </w:r>
      <w:r w:rsidR="008F25C4">
        <w:rPr>
          <w:bCs/>
        </w:rPr>
        <w:t xml:space="preserve"> of the</w:t>
      </w:r>
      <w:r w:rsidR="00F52306">
        <w:rPr>
          <w:bCs/>
        </w:rPr>
        <w:t xml:space="preserve"> person, and </w:t>
      </w:r>
      <w:r w:rsidR="00173451">
        <w:rPr>
          <w:bCs/>
        </w:rPr>
        <w:t>is one of the most difficult to describe</w:t>
      </w:r>
      <w:r w:rsidR="00351EB3">
        <w:rPr>
          <w:bCs/>
        </w:rPr>
        <w:t xml:space="preserve">. </w:t>
      </w:r>
      <w:r w:rsidR="00A37AE7">
        <w:rPr>
          <w:bCs/>
        </w:rPr>
        <w:t xml:space="preserve">Scholars </w:t>
      </w:r>
      <w:r w:rsidR="00351EB3">
        <w:rPr>
          <w:bCs/>
        </w:rPr>
        <w:t xml:space="preserve">are not in total agreement of </w:t>
      </w:r>
      <w:r w:rsidR="00D448E8">
        <w:rPr>
          <w:bCs/>
        </w:rPr>
        <w:t>how to define the Ka</w:t>
      </w:r>
      <w:r w:rsidR="00D448E8">
        <w:rPr>
          <w:rStyle w:val="FootnoteReference"/>
          <w:bCs/>
        </w:rPr>
        <w:footnoteReference w:id="4"/>
      </w:r>
      <w:r w:rsidR="00520273">
        <w:rPr>
          <w:bCs/>
        </w:rPr>
        <w:t>,</w:t>
      </w:r>
      <w:r w:rsidR="00351EB3">
        <w:rPr>
          <w:bCs/>
        </w:rPr>
        <w:t xml:space="preserve"> </w:t>
      </w:r>
      <w:r w:rsidR="00913614">
        <w:rPr>
          <w:bCs/>
        </w:rPr>
        <w:t>but it can generally be concluded that it includes the ideas of the person’s intellectual, spiritual and creative powers</w:t>
      </w:r>
      <w:r w:rsidR="006717E2">
        <w:rPr>
          <w:bCs/>
        </w:rPr>
        <w:t xml:space="preserve"> of the individual</w:t>
      </w:r>
      <w:r w:rsidR="00044657">
        <w:rPr>
          <w:bCs/>
        </w:rPr>
        <w:t>.</w:t>
      </w:r>
      <w:r w:rsidR="004F2F56">
        <w:rPr>
          <w:bCs/>
        </w:rPr>
        <w:t xml:space="preserve"> While the Ka is present </w:t>
      </w:r>
      <w:r w:rsidR="00D43896">
        <w:rPr>
          <w:bCs/>
        </w:rPr>
        <w:t>as part of the individual in</w:t>
      </w:r>
      <w:r w:rsidR="004F2F56">
        <w:rPr>
          <w:bCs/>
        </w:rPr>
        <w:t xml:space="preserve"> life, </w:t>
      </w:r>
      <w:r w:rsidR="00546C2F">
        <w:rPr>
          <w:bCs/>
        </w:rPr>
        <w:t xml:space="preserve">when the </w:t>
      </w:r>
      <w:r w:rsidR="00D43896">
        <w:rPr>
          <w:bCs/>
        </w:rPr>
        <w:t>individual dies</w:t>
      </w:r>
      <w:r w:rsidR="001233DB">
        <w:rPr>
          <w:bCs/>
        </w:rPr>
        <w:t xml:space="preserve"> the </w:t>
      </w:r>
      <w:r w:rsidR="00443EE3">
        <w:rPr>
          <w:bCs/>
        </w:rPr>
        <w:t xml:space="preserve">Ka is separated from the body. The </w:t>
      </w:r>
      <w:r w:rsidR="003A426A">
        <w:rPr>
          <w:bCs/>
        </w:rPr>
        <w:t>point of a Ka statue is to act as a vessel for living relatives to grant offerings to</w:t>
      </w:r>
      <w:r w:rsidR="00280956">
        <w:rPr>
          <w:bCs/>
        </w:rPr>
        <w:t xml:space="preserve">, and seemingly to act as a ground or vessel for the Ka once it has </w:t>
      </w:r>
      <w:r w:rsidR="002624DF">
        <w:rPr>
          <w:bCs/>
        </w:rPr>
        <w:t>left the body</w:t>
      </w:r>
      <w:r w:rsidR="00443EA3">
        <w:rPr>
          <w:bCs/>
        </w:rPr>
        <w:t>.</w:t>
      </w:r>
    </w:p>
    <w:p w14:paraId="7A9CF924" w14:textId="3460F44F" w:rsidR="00F14317" w:rsidRPr="00826A02" w:rsidRDefault="00F14317" w:rsidP="00D94A1F">
      <w:pPr>
        <w:rPr>
          <w:bCs/>
        </w:rPr>
      </w:pPr>
      <w:r w:rsidRPr="00826A02">
        <w:rPr>
          <w:bCs/>
        </w:rPr>
        <w:t>The he</w:t>
      </w:r>
      <w:r w:rsidR="004628F6" w:rsidRPr="00826A02">
        <w:rPr>
          <w:bCs/>
        </w:rPr>
        <w:t>ad</w:t>
      </w:r>
      <w:r w:rsidRPr="00826A02">
        <w:rPr>
          <w:bCs/>
        </w:rPr>
        <w:t xml:space="preserve"> is </w:t>
      </w:r>
      <w:r w:rsidR="00A72B47" w:rsidRPr="00826A02">
        <w:rPr>
          <w:bCs/>
        </w:rPr>
        <w:t>probably</w:t>
      </w:r>
      <w:r w:rsidR="00BC5275" w:rsidRPr="00826A02">
        <w:rPr>
          <w:bCs/>
        </w:rPr>
        <w:t xml:space="preserve"> from the late period, a</w:t>
      </w:r>
      <w:r w:rsidR="0049099E" w:rsidRPr="00826A02">
        <w:rPr>
          <w:bCs/>
        </w:rPr>
        <w:t xml:space="preserve"> fact that can be determined from the </w:t>
      </w:r>
      <w:r w:rsidR="00706D57" w:rsidRPr="00826A02">
        <w:rPr>
          <w:bCs/>
        </w:rPr>
        <w:t>facial features and</w:t>
      </w:r>
      <w:r w:rsidR="00560874">
        <w:rPr>
          <w:bCs/>
        </w:rPr>
        <w:t xml:space="preserve"> striated</w:t>
      </w:r>
      <w:r w:rsidR="00706D57" w:rsidRPr="00826A02">
        <w:rPr>
          <w:bCs/>
        </w:rPr>
        <w:t xml:space="preserve"> wig. </w:t>
      </w:r>
      <w:r w:rsidR="002409FE" w:rsidRPr="00826A02">
        <w:rPr>
          <w:bCs/>
        </w:rPr>
        <w:t xml:space="preserve">The </w:t>
      </w:r>
      <w:r w:rsidR="002F2611" w:rsidRPr="00826A02">
        <w:rPr>
          <w:bCs/>
        </w:rPr>
        <w:t xml:space="preserve">features are typical of a number of </w:t>
      </w:r>
      <w:r w:rsidR="00FD1A21" w:rsidRPr="00826A02">
        <w:rPr>
          <w:bCs/>
        </w:rPr>
        <w:t xml:space="preserve">different time periods, which would make the dating of the object difficult if not for a specific artistic </w:t>
      </w:r>
      <w:r w:rsidR="00FE2A76" w:rsidRPr="00826A02">
        <w:rPr>
          <w:bCs/>
        </w:rPr>
        <w:t>tendency</w:t>
      </w:r>
      <w:r w:rsidR="00FD1A21" w:rsidRPr="00826A02">
        <w:rPr>
          <w:bCs/>
        </w:rPr>
        <w:t xml:space="preserve"> of </w:t>
      </w:r>
      <w:r w:rsidR="00FE2A76" w:rsidRPr="00826A02">
        <w:rPr>
          <w:bCs/>
        </w:rPr>
        <w:t>Late Period Egypt, archaism</w:t>
      </w:r>
      <w:r w:rsidR="00E832EB">
        <w:rPr>
          <w:rStyle w:val="FootnoteReference"/>
          <w:bCs/>
        </w:rPr>
        <w:footnoteReference w:id="5"/>
      </w:r>
      <w:r w:rsidR="00FE2A76" w:rsidRPr="00826A02">
        <w:rPr>
          <w:bCs/>
        </w:rPr>
        <w:t xml:space="preserve">. </w:t>
      </w:r>
      <w:r w:rsidR="00A6276F" w:rsidRPr="00826A02">
        <w:rPr>
          <w:bCs/>
        </w:rPr>
        <w:t xml:space="preserve">Archaism is an </w:t>
      </w:r>
      <w:r w:rsidR="000344CB" w:rsidRPr="00826A02">
        <w:rPr>
          <w:bCs/>
        </w:rPr>
        <w:t xml:space="preserve">artistic </w:t>
      </w:r>
      <w:r w:rsidR="008A7CEB" w:rsidRPr="00826A02">
        <w:rPr>
          <w:bCs/>
        </w:rPr>
        <w:t xml:space="preserve">idea that emerged in </w:t>
      </w:r>
      <w:r w:rsidR="0081159D" w:rsidRPr="00826A02">
        <w:rPr>
          <w:bCs/>
        </w:rPr>
        <w:t>Late Period</w:t>
      </w:r>
      <w:r w:rsidR="008A7CEB" w:rsidRPr="00826A02">
        <w:rPr>
          <w:bCs/>
        </w:rPr>
        <w:t xml:space="preserve"> Egypt, </w:t>
      </w:r>
      <w:r w:rsidR="0081159D" w:rsidRPr="00826A02">
        <w:rPr>
          <w:bCs/>
        </w:rPr>
        <w:t xml:space="preserve">in which a number of developments in art (particularly from the new kingdom and third intermediate period) were abandoned in favour of a movement to older </w:t>
      </w:r>
      <w:r w:rsidR="00AD44A7" w:rsidRPr="00826A02">
        <w:rPr>
          <w:bCs/>
        </w:rPr>
        <w:t>styles of art.</w:t>
      </w:r>
      <w:r w:rsidR="001F7E59">
        <w:rPr>
          <w:rStyle w:val="FootnoteReference"/>
          <w:bCs/>
        </w:rPr>
        <w:footnoteReference w:id="6"/>
      </w:r>
      <w:r w:rsidR="00AD44A7" w:rsidRPr="00826A02">
        <w:rPr>
          <w:bCs/>
        </w:rPr>
        <w:t xml:space="preserve"> This results in </w:t>
      </w:r>
      <w:r w:rsidR="00C4606E" w:rsidRPr="00826A02">
        <w:rPr>
          <w:bCs/>
        </w:rPr>
        <w:t>an interesting fusion of</w:t>
      </w:r>
      <w:r w:rsidR="00AE3B74" w:rsidRPr="00826A02">
        <w:rPr>
          <w:bCs/>
        </w:rPr>
        <w:t xml:space="preserve"> </w:t>
      </w:r>
      <w:r w:rsidR="00D85D28" w:rsidRPr="00826A02">
        <w:rPr>
          <w:bCs/>
        </w:rPr>
        <w:t>middle kingdom and earlier features.</w:t>
      </w:r>
    </w:p>
    <w:p w14:paraId="4B8CF0F5" w14:textId="38C74E6C" w:rsidR="002F20E2" w:rsidRPr="00826A02" w:rsidRDefault="0046065C" w:rsidP="00D94A1F">
      <w:pPr>
        <w:rPr>
          <w:bCs/>
        </w:rPr>
      </w:pPr>
      <w:r w:rsidRPr="00826A02">
        <w:rPr>
          <w:bCs/>
        </w:rPr>
        <w:t xml:space="preserve">While the original location of the statue is unknown, </w:t>
      </w:r>
      <w:r w:rsidR="00746B44" w:rsidRPr="00826A02">
        <w:rPr>
          <w:bCs/>
        </w:rPr>
        <w:t xml:space="preserve">it is almost certain that the </w:t>
      </w:r>
      <w:r w:rsidR="007C6498" w:rsidRPr="00826A02">
        <w:rPr>
          <w:bCs/>
        </w:rPr>
        <w:t>stone used to make it was extracted from one of the quarries of Aswan in southern Egypt.</w:t>
      </w:r>
      <w:r w:rsidR="00260318">
        <w:rPr>
          <w:rStyle w:val="FootnoteReference"/>
          <w:bCs/>
        </w:rPr>
        <w:footnoteReference w:id="7"/>
      </w:r>
      <w:r w:rsidR="0000632D">
        <w:rPr>
          <w:bCs/>
        </w:rPr>
        <w:t xml:space="preserve"> It would then have been carried by boat </w:t>
      </w:r>
      <w:r w:rsidR="00FA554C">
        <w:rPr>
          <w:bCs/>
        </w:rPr>
        <w:t xml:space="preserve">on the Nile </w:t>
      </w:r>
      <w:r w:rsidR="0000632D">
        <w:rPr>
          <w:bCs/>
        </w:rPr>
        <w:t xml:space="preserve">to wherever the </w:t>
      </w:r>
      <w:r w:rsidR="005A2940">
        <w:rPr>
          <w:bCs/>
        </w:rPr>
        <w:t>statue was carved</w:t>
      </w:r>
      <w:r w:rsidR="008A154A">
        <w:rPr>
          <w:bCs/>
        </w:rPr>
        <w:t xml:space="preserve">, almost certainly nearby wherever </w:t>
      </w:r>
      <w:r w:rsidR="00F556E7">
        <w:rPr>
          <w:bCs/>
        </w:rPr>
        <w:t>the tomb was located</w:t>
      </w:r>
      <w:r w:rsidR="005A2940">
        <w:rPr>
          <w:bCs/>
        </w:rPr>
        <w:t>.</w:t>
      </w:r>
    </w:p>
    <w:p w14:paraId="19C531A9" w14:textId="32BF1C41" w:rsidR="0046065C" w:rsidRDefault="00996421" w:rsidP="00D94A1F">
      <w:pPr>
        <w:rPr>
          <w:bCs/>
        </w:rPr>
      </w:pPr>
      <w:r>
        <w:rPr>
          <w:bCs/>
        </w:rPr>
        <w:t xml:space="preserve">As only the head of the statue is accounted for, </w:t>
      </w:r>
      <w:r w:rsidR="00C51717">
        <w:rPr>
          <w:bCs/>
        </w:rPr>
        <w:t xml:space="preserve">it is impossible to know what kind of statue it originally came from. Among the likely </w:t>
      </w:r>
      <w:r w:rsidR="005F5D5B">
        <w:rPr>
          <w:bCs/>
        </w:rPr>
        <w:t>forms that the origi</w:t>
      </w:r>
      <w:r w:rsidR="007E576E">
        <w:rPr>
          <w:bCs/>
        </w:rPr>
        <w:t xml:space="preserve">nal complete statue </w:t>
      </w:r>
      <w:r w:rsidR="00800454">
        <w:rPr>
          <w:bCs/>
        </w:rPr>
        <w:t xml:space="preserve">may have taken is </w:t>
      </w:r>
      <w:r w:rsidR="006564C0">
        <w:rPr>
          <w:bCs/>
        </w:rPr>
        <w:t>a block statue.</w:t>
      </w:r>
      <w:r w:rsidR="00A45FD5">
        <w:rPr>
          <w:rStyle w:val="FootnoteReference"/>
          <w:bCs/>
        </w:rPr>
        <w:footnoteReference w:id="8"/>
      </w:r>
      <w:r w:rsidR="003C4D40">
        <w:rPr>
          <w:bCs/>
        </w:rPr>
        <w:t xml:space="preserve"> This would explain having only the head of the statue, as while on a conventional statue there are a number of </w:t>
      </w:r>
      <w:r w:rsidR="00B12B0B">
        <w:rPr>
          <w:bCs/>
        </w:rPr>
        <w:t>weak points, on a block statue</w:t>
      </w:r>
      <w:r w:rsidR="00357516">
        <w:rPr>
          <w:rStyle w:val="FootnoteReference"/>
          <w:bCs/>
        </w:rPr>
        <w:footnoteReference w:id="9"/>
      </w:r>
      <w:r w:rsidR="00B12B0B">
        <w:rPr>
          <w:bCs/>
        </w:rPr>
        <w:t xml:space="preserve"> there is only one major weak point where it can consistently break</w:t>
      </w:r>
      <w:r w:rsidR="00CE04DC">
        <w:rPr>
          <w:bCs/>
        </w:rPr>
        <w:t>, the neck.</w:t>
      </w:r>
      <w:r w:rsidR="00B9064F">
        <w:rPr>
          <w:bCs/>
        </w:rPr>
        <w:t xml:space="preserve"> A more conventional statue</w:t>
      </w:r>
      <w:r w:rsidR="00883589">
        <w:rPr>
          <w:bCs/>
        </w:rPr>
        <w:t xml:space="preserve"> type</w:t>
      </w:r>
      <w:r w:rsidR="00C46C5F">
        <w:rPr>
          <w:rStyle w:val="FootnoteReference"/>
          <w:bCs/>
        </w:rPr>
        <w:footnoteReference w:id="10"/>
      </w:r>
      <w:r w:rsidR="00B9064F">
        <w:rPr>
          <w:bCs/>
        </w:rPr>
        <w:t xml:space="preserve"> is also a possibility, and only the head could have been </w:t>
      </w:r>
      <w:r w:rsidR="00560874">
        <w:rPr>
          <w:bCs/>
        </w:rPr>
        <w:t>taken, not</w:t>
      </w:r>
      <w:r w:rsidR="00883589">
        <w:rPr>
          <w:bCs/>
        </w:rPr>
        <w:t xml:space="preserve"> an entirely uncommon series of events for </w:t>
      </w:r>
      <w:r w:rsidR="00E65CAD">
        <w:rPr>
          <w:bCs/>
        </w:rPr>
        <w:t xml:space="preserve">artefacts taken </w:t>
      </w:r>
      <w:r w:rsidR="00785AE3">
        <w:rPr>
          <w:bCs/>
        </w:rPr>
        <w:t xml:space="preserve">from Egypt </w:t>
      </w:r>
      <w:r w:rsidR="00E65CAD">
        <w:rPr>
          <w:bCs/>
        </w:rPr>
        <w:t xml:space="preserve">during </w:t>
      </w:r>
      <w:r w:rsidR="00E65CAD">
        <w:rPr>
          <w:bCs/>
        </w:rPr>
        <w:lastRenderedPageBreak/>
        <w:t xml:space="preserve">the </w:t>
      </w:r>
      <w:r w:rsidR="00785AE3">
        <w:rPr>
          <w:bCs/>
        </w:rPr>
        <w:t>colonial era</w:t>
      </w:r>
      <w:r w:rsidR="00B9064F">
        <w:rPr>
          <w:bCs/>
        </w:rPr>
        <w:t>.</w:t>
      </w:r>
      <w:r w:rsidR="00A2304D">
        <w:rPr>
          <w:bCs/>
        </w:rPr>
        <w:t xml:space="preserve"> Given the likeliness of this statue being a </w:t>
      </w:r>
      <w:r w:rsidR="001E227F">
        <w:rPr>
          <w:bCs/>
        </w:rPr>
        <w:t xml:space="preserve">Ka statue however, the </w:t>
      </w:r>
      <w:r w:rsidR="00674DCD">
        <w:rPr>
          <w:bCs/>
        </w:rPr>
        <w:t>form</w:t>
      </w:r>
      <w:r w:rsidR="001E227F">
        <w:rPr>
          <w:bCs/>
        </w:rPr>
        <w:t xml:space="preserve"> of </w:t>
      </w:r>
      <w:r w:rsidR="00674DCD">
        <w:rPr>
          <w:bCs/>
        </w:rPr>
        <w:t>a more conventional statue</w:t>
      </w:r>
      <w:r w:rsidR="001E227F">
        <w:rPr>
          <w:bCs/>
        </w:rPr>
        <w:t xml:space="preserve"> is the more likely </w:t>
      </w:r>
      <w:r w:rsidR="00B9275B">
        <w:rPr>
          <w:bCs/>
        </w:rPr>
        <w:t>origine of the statue head</w:t>
      </w:r>
      <w:r w:rsidR="001E227F">
        <w:rPr>
          <w:bCs/>
        </w:rPr>
        <w:t>.</w:t>
      </w:r>
    </w:p>
    <w:p w14:paraId="6D67F32F" w14:textId="4AEC4235" w:rsidR="00F3191D" w:rsidRDefault="00F3191D" w:rsidP="00D94A1F">
      <w:pPr>
        <w:rPr>
          <w:bCs/>
        </w:rPr>
      </w:pPr>
      <w:r>
        <w:rPr>
          <w:bCs/>
        </w:rPr>
        <w:t xml:space="preserve">It is hard to tell the gender of the statue’s subject, as at the point in time this statue was most likely made, the specific details that would be used to define the gender of a person of this status are not necessarily visible on the head. It is, however, a reasonable assumption that this statue is male, given that the vast majority of officials </w:t>
      </w:r>
      <w:r w:rsidR="00477674">
        <w:rPr>
          <w:bCs/>
        </w:rPr>
        <w:t>would have been male.</w:t>
      </w:r>
    </w:p>
    <w:p w14:paraId="01BFECCF" w14:textId="23825590" w:rsidR="0019495A" w:rsidRDefault="0019495A" w:rsidP="00D94A1F">
      <w:pPr>
        <w:rPr>
          <w:bCs/>
        </w:rPr>
      </w:pPr>
      <w:r>
        <w:rPr>
          <w:bCs/>
        </w:rPr>
        <w:t>There are some notable differences between this statue head and others of its period. One difference is that the wig does not flare at the base nearly as much as can be seen near the shoulders of other contemporary statues</w:t>
      </w:r>
      <w:r>
        <w:rPr>
          <w:rStyle w:val="FootnoteReference"/>
          <w:bCs/>
        </w:rPr>
        <w:footnoteReference w:id="11"/>
      </w:r>
      <w:r w:rsidR="0066047D">
        <w:rPr>
          <w:rStyle w:val="FootnoteReference"/>
          <w:bCs/>
        </w:rPr>
        <w:footnoteReference w:id="12"/>
      </w:r>
      <w:r w:rsidR="001617C4">
        <w:rPr>
          <w:bCs/>
        </w:rPr>
        <w:t>, and would likely not reach the edges of the shoulders as many other statues do.</w:t>
      </w:r>
      <w:r w:rsidR="00494B42">
        <w:rPr>
          <w:bCs/>
        </w:rPr>
        <w:t xml:space="preserve"> </w:t>
      </w:r>
      <w:r w:rsidR="00AD32FF">
        <w:rPr>
          <w:bCs/>
        </w:rPr>
        <w:t xml:space="preserve">Additionally the </w:t>
      </w:r>
      <w:r w:rsidR="002F5154">
        <w:rPr>
          <w:bCs/>
        </w:rPr>
        <w:t>ears are much flatter and smaller than those found on a lot of similar statue heads</w:t>
      </w:r>
      <w:r w:rsidR="00C14451">
        <w:rPr>
          <w:bCs/>
        </w:rPr>
        <w:t>.</w:t>
      </w:r>
      <w:r w:rsidR="00BE04B4">
        <w:rPr>
          <w:rStyle w:val="FootnoteReference"/>
          <w:bCs/>
        </w:rPr>
        <w:footnoteReference w:id="13"/>
      </w:r>
    </w:p>
    <w:p w14:paraId="48AA522E" w14:textId="77777777" w:rsidR="005961D6" w:rsidRPr="00826A02" w:rsidRDefault="005961D6" w:rsidP="00D94A1F">
      <w:pPr>
        <w:rPr>
          <w:bCs/>
        </w:rPr>
      </w:pPr>
    </w:p>
    <w:p w14:paraId="01581058" w14:textId="77777777" w:rsidR="0046065C" w:rsidRPr="00826A02" w:rsidRDefault="0046065C" w:rsidP="00D94A1F">
      <w:pPr>
        <w:rPr>
          <w:bCs/>
        </w:rPr>
      </w:pPr>
    </w:p>
    <w:p w14:paraId="4F22F774" w14:textId="77777777" w:rsidR="0046065C" w:rsidRPr="00D94A1F" w:rsidRDefault="0046065C" w:rsidP="00D94A1F">
      <w:pPr>
        <w:rPr>
          <w:bCs/>
        </w:rPr>
      </w:pPr>
    </w:p>
    <w:p w14:paraId="5E5AF38C" w14:textId="0A05CBA9" w:rsidR="00E60092" w:rsidRPr="00826A02" w:rsidRDefault="00D94A1F">
      <w:pPr>
        <w:rPr>
          <w:b/>
          <w:u w:val="single"/>
        </w:rPr>
      </w:pPr>
      <w:r w:rsidRPr="00D94A1F">
        <w:rPr>
          <w:b/>
          <w:u w:val="single"/>
        </w:rPr>
        <w:t>Bibliography</w:t>
      </w:r>
    </w:p>
    <w:p w14:paraId="69D1F1D5" w14:textId="78D801DF" w:rsidR="002D3232" w:rsidRPr="002D3232" w:rsidRDefault="002D3232" w:rsidP="002D3232">
      <w:pPr>
        <w:rPr>
          <w:bCs/>
        </w:rPr>
      </w:pPr>
      <w:r w:rsidRPr="002D3232">
        <w:rPr>
          <w:bCs/>
        </w:rPr>
        <w:t xml:space="preserve">Harrell, James, and Per </w:t>
      </w:r>
      <w:proofErr w:type="spellStart"/>
      <w:r w:rsidRPr="002D3232">
        <w:rPr>
          <w:bCs/>
        </w:rPr>
        <w:t>Storemyr</w:t>
      </w:r>
      <w:proofErr w:type="spellEnd"/>
      <w:r w:rsidRPr="002D3232">
        <w:rPr>
          <w:bCs/>
        </w:rPr>
        <w:t xml:space="preserve">. “Ancient Egyptian Quarries -an Illustrated Overview.” </w:t>
      </w:r>
      <w:proofErr w:type="spellStart"/>
      <w:r w:rsidRPr="002D3232">
        <w:rPr>
          <w:bCs/>
        </w:rPr>
        <w:t>GeoloGical</w:t>
      </w:r>
      <w:proofErr w:type="spellEnd"/>
      <w:r w:rsidRPr="002D3232">
        <w:rPr>
          <w:bCs/>
        </w:rPr>
        <w:t xml:space="preserve"> Survey of Norway Special </w:t>
      </w:r>
      <w:proofErr w:type="spellStart"/>
      <w:r w:rsidRPr="002D3232">
        <w:rPr>
          <w:bCs/>
        </w:rPr>
        <w:t>PublicatioN</w:t>
      </w:r>
      <w:proofErr w:type="spellEnd"/>
      <w:r w:rsidRPr="002D3232">
        <w:rPr>
          <w:bCs/>
        </w:rPr>
        <w:t xml:space="preserve"> N 12 Harrell, </w:t>
      </w:r>
      <w:proofErr w:type="spellStart"/>
      <w:r w:rsidRPr="002D3232">
        <w:rPr>
          <w:bCs/>
        </w:rPr>
        <w:t>J.a.</w:t>
      </w:r>
      <w:proofErr w:type="spellEnd"/>
      <w:r w:rsidRPr="002D3232">
        <w:rPr>
          <w:bCs/>
        </w:rPr>
        <w:t xml:space="preserve"> And </w:t>
      </w:r>
      <w:proofErr w:type="spellStart"/>
      <w:r w:rsidRPr="002D3232">
        <w:rPr>
          <w:bCs/>
        </w:rPr>
        <w:t>Storemyr</w:t>
      </w:r>
      <w:proofErr w:type="spellEnd"/>
      <w:r w:rsidRPr="002D3232">
        <w:rPr>
          <w:bCs/>
        </w:rPr>
        <w:t>, 2009, p. p, static.ngu.no/upload/Publikasjoner/Special%20publication/SP12_s7-50.pdf.</w:t>
      </w:r>
    </w:p>
    <w:p w14:paraId="07C3AD32" w14:textId="11CCB662" w:rsidR="002D3232" w:rsidRPr="002D3232" w:rsidRDefault="002D3232" w:rsidP="002D3232">
      <w:pPr>
        <w:rPr>
          <w:bCs/>
        </w:rPr>
      </w:pPr>
      <w:r w:rsidRPr="002D3232">
        <w:rPr>
          <w:bCs/>
        </w:rPr>
        <w:t>Robins, Gay, “Art Of Ancient Egypt.” Harvard University Press, 2001.</w:t>
      </w:r>
    </w:p>
    <w:p w14:paraId="304B5091" w14:textId="2850D3E6" w:rsidR="002D3232" w:rsidRPr="002D3232" w:rsidRDefault="002D3232" w:rsidP="002D3232">
      <w:pPr>
        <w:rPr>
          <w:bCs/>
        </w:rPr>
      </w:pPr>
      <w:r w:rsidRPr="002D3232">
        <w:rPr>
          <w:bCs/>
        </w:rPr>
        <w:t xml:space="preserve">“Block Statue of </w:t>
      </w:r>
      <w:proofErr w:type="spellStart"/>
      <w:r w:rsidRPr="002D3232">
        <w:rPr>
          <w:bCs/>
        </w:rPr>
        <w:t>Ankhwennefer</w:t>
      </w:r>
      <w:proofErr w:type="spellEnd"/>
      <w:r w:rsidRPr="002D3232">
        <w:rPr>
          <w:bCs/>
        </w:rPr>
        <w:t xml:space="preserve">”, Metropolitan Museum of Art, </w:t>
      </w:r>
      <w:r w:rsidR="004C6668">
        <w:rPr>
          <w:bCs/>
        </w:rPr>
        <w:t xml:space="preserve">accessed </w:t>
      </w:r>
      <w:r w:rsidRPr="002D3232">
        <w:rPr>
          <w:bCs/>
        </w:rPr>
        <w:t>2025, https://www.metmuseum.org/art/collection/search/549533</w:t>
      </w:r>
    </w:p>
    <w:p w14:paraId="545EAA96" w14:textId="5CEBEA5B" w:rsidR="002D3232" w:rsidRPr="002D3232" w:rsidRDefault="002D3232" w:rsidP="002D3232">
      <w:pPr>
        <w:rPr>
          <w:bCs/>
        </w:rPr>
      </w:pPr>
      <w:r w:rsidRPr="002D3232">
        <w:rPr>
          <w:bCs/>
        </w:rPr>
        <w:t xml:space="preserve"> “Block Statue of </w:t>
      </w:r>
      <w:proofErr w:type="spellStart"/>
      <w:r w:rsidRPr="002D3232">
        <w:rPr>
          <w:bCs/>
        </w:rPr>
        <w:t>Sheshonq</w:t>
      </w:r>
      <w:proofErr w:type="spellEnd"/>
      <w:r w:rsidRPr="002D3232">
        <w:rPr>
          <w:bCs/>
        </w:rPr>
        <w:t xml:space="preserve">”, The Walters Art Museum, </w:t>
      </w:r>
      <w:r w:rsidR="004C6668">
        <w:rPr>
          <w:bCs/>
        </w:rPr>
        <w:t xml:space="preserve">accessed 2025 </w:t>
      </w:r>
      <w:r w:rsidRPr="002D3232">
        <w:rPr>
          <w:bCs/>
        </w:rPr>
        <w:t>https://art.thewalters.org/object/22.80/</w:t>
      </w:r>
    </w:p>
    <w:p w14:paraId="4EC31A27" w14:textId="6709E08D" w:rsidR="002D3232" w:rsidRPr="002D3232" w:rsidRDefault="002D3232" w:rsidP="002D3232">
      <w:pPr>
        <w:rPr>
          <w:bCs/>
        </w:rPr>
      </w:pPr>
      <w:bookmarkStart w:id="0" w:name="_Hlk212023244"/>
      <w:r w:rsidRPr="002D3232">
        <w:rPr>
          <w:bCs/>
        </w:rPr>
        <w:t xml:space="preserve">“Block Statue of a Prophet of Montu and Scribe </w:t>
      </w:r>
      <w:proofErr w:type="spellStart"/>
      <w:r w:rsidRPr="002D3232">
        <w:rPr>
          <w:bCs/>
        </w:rPr>
        <w:t>Djedkhonsuefankh</w:t>
      </w:r>
      <w:proofErr w:type="spellEnd"/>
      <w:r w:rsidRPr="002D3232">
        <w:rPr>
          <w:bCs/>
        </w:rPr>
        <w:t xml:space="preserve">, son of </w:t>
      </w:r>
      <w:proofErr w:type="spellStart"/>
      <w:r w:rsidRPr="002D3232">
        <w:rPr>
          <w:bCs/>
        </w:rPr>
        <w:t>Khonsumes</w:t>
      </w:r>
      <w:proofErr w:type="spellEnd"/>
      <w:r w:rsidRPr="002D3232">
        <w:rPr>
          <w:bCs/>
        </w:rPr>
        <w:t xml:space="preserve"> and Taat”, Metropolitan Museum of Art, </w:t>
      </w:r>
      <w:r w:rsidR="0066047D">
        <w:rPr>
          <w:bCs/>
        </w:rPr>
        <w:t xml:space="preserve">accessed </w:t>
      </w:r>
      <w:r w:rsidRPr="002D3232">
        <w:rPr>
          <w:bCs/>
        </w:rPr>
        <w:t xml:space="preserve">2025, </w:t>
      </w:r>
      <w:bookmarkEnd w:id="0"/>
      <w:r w:rsidRPr="002D3232">
        <w:rPr>
          <w:bCs/>
        </w:rPr>
        <w:t>https://www.metmuseum.org/art/collection/search/547694</w:t>
      </w:r>
    </w:p>
    <w:p w14:paraId="2DCF25F5" w14:textId="77777777" w:rsidR="002D3232" w:rsidRPr="002D3232" w:rsidRDefault="002D3232" w:rsidP="002D3232">
      <w:pPr>
        <w:rPr>
          <w:bCs/>
        </w:rPr>
      </w:pPr>
      <w:r w:rsidRPr="002D3232">
        <w:rPr>
          <w:bCs/>
        </w:rPr>
        <w:t xml:space="preserve">Josephson, Jack A. “Egyptian Sculpture of the Late Period Revisited.” Journal of the American Research </w:t>
      </w:r>
      <w:proofErr w:type="spellStart"/>
      <w:r w:rsidRPr="002D3232">
        <w:rPr>
          <w:bCs/>
        </w:rPr>
        <w:t>Center</w:t>
      </w:r>
      <w:proofErr w:type="spellEnd"/>
      <w:r w:rsidRPr="002D3232">
        <w:rPr>
          <w:bCs/>
        </w:rPr>
        <w:t xml:space="preserve"> in Egypt, vol. 34, 1997, pp. 1–20. JSTOR, https://doi.org/10.2307/40000795. Accessed 20 Oct. 2025.</w:t>
      </w:r>
    </w:p>
    <w:p w14:paraId="67B6A8FF" w14:textId="0A90116C" w:rsidR="00A6276F" w:rsidRPr="00826A02" w:rsidRDefault="002D3232" w:rsidP="002D3232">
      <w:pPr>
        <w:rPr>
          <w:bCs/>
        </w:rPr>
      </w:pPr>
      <w:bookmarkStart w:id="1" w:name="_Hlk211969168"/>
      <w:r w:rsidRPr="00826A02">
        <w:rPr>
          <w:bCs/>
        </w:rPr>
        <w:lastRenderedPageBreak/>
        <w:t>“Scribe statue of Nespakashuti.” Egyptian Museum Cairo,</w:t>
      </w:r>
      <w:r w:rsidR="004C6668">
        <w:rPr>
          <w:bCs/>
        </w:rPr>
        <w:t xml:space="preserve"> accessed </w:t>
      </w:r>
      <w:r w:rsidRPr="00826A02">
        <w:rPr>
          <w:bCs/>
        </w:rPr>
        <w:t xml:space="preserve">2025 </w:t>
      </w:r>
      <w:bookmarkEnd w:id="1"/>
      <w:r w:rsidR="00ED5BA7" w:rsidRPr="00826A02">
        <w:rPr>
          <w:bCs/>
        </w:rPr>
        <w:fldChar w:fldCharType="begin"/>
      </w:r>
      <w:r w:rsidR="00ED5BA7" w:rsidRPr="00826A02">
        <w:rPr>
          <w:bCs/>
        </w:rPr>
        <w:instrText>HYPERLINK "https://egyptianmuseumcairo.eg/artefacts/scribe-statue-of-nespakashuti/"</w:instrText>
      </w:r>
      <w:r w:rsidR="00ED5BA7" w:rsidRPr="00826A02">
        <w:rPr>
          <w:bCs/>
        </w:rPr>
      </w:r>
      <w:r w:rsidR="00ED5BA7" w:rsidRPr="00826A02">
        <w:rPr>
          <w:bCs/>
        </w:rPr>
        <w:fldChar w:fldCharType="separate"/>
      </w:r>
      <w:r w:rsidR="00ED5BA7" w:rsidRPr="00826A02">
        <w:rPr>
          <w:rStyle w:val="Hyperlink"/>
          <w:bCs/>
        </w:rPr>
        <w:t>https</w:t>
      </w:r>
      <w:r w:rsidR="00ED5BA7" w:rsidRPr="00826A02">
        <w:rPr>
          <w:rStyle w:val="Hyperlink"/>
          <w:bCs/>
        </w:rPr>
        <w:t>:</w:t>
      </w:r>
      <w:r w:rsidR="00ED5BA7" w:rsidRPr="00826A02">
        <w:rPr>
          <w:rStyle w:val="Hyperlink"/>
          <w:bCs/>
        </w:rPr>
        <w:t>//egyptianmuseumcairo.eg/artefacts/scribe-statue-of-nespakashuti/</w:t>
      </w:r>
      <w:r w:rsidR="00ED5BA7" w:rsidRPr="00826A02">
        <w:rPr>
          <w:bCs/>
        </w:rPr>
        <w:fldChar w:fldCharType="end"/>
      </w:r>
    </w:p>
    <w:p w14:paraId="14D9299D" w14:textId="77777777" w:rsidR="00ED5BA7" w:rsidRPr="00ED5BA7" w:rsidRDefault="00ED5BA7" w:rsidP="00ED5BA7">
      <w:pPr>
        <w:rPr>
          <w:bCs/>
        </w:rPr>
      </w:pPr>
      <w:r w:rsidRPr="00ED5BA7">
        <w:rPr>
          <w:bCs/>
        </w:rPr>
        <w:t xml:space="preserve">Baines, John, and Christina Riggs. “Archaism and Kingship: A Late Royal Statue and Its Early Dynastic Model.” </w:t>
      </w:r>
      <w:r w:rsidRPr="00ED5BA7">
        <w:rPr>
          <w:bCs/>
          <w:i/>
          <w:iCs/>
        </w:rPr>
        <w:t>The Journal of Egyptian Archaeology</w:t>
      </w:r>
      <w:r w:rsidRPr="00ED5BA7">
        <w:rPr>
          <w:bCs/>
        </w:rPr>
        <w:t xml:space="preserve">, vol. 87, 2001, pp. 103–18. </w:t>
      </w:r>
      <w:r w:rsidRPr="00ED5BA7">
        <w:rPr>
          <w:bCs/>
          <w:i/>
          <w:iCs/>
        </w:rPr>
        <w:t>JSTOR</w:t>
      </w:r>
      <w:r w:rsidRPr="00ED5BA7">
        <w:rPr>
          <w:bCs/>
        </w:rPr>
        <w:t>, https://doi.org/10.2307/3822375. Accessed 21 Oct. 2025.</w:t>
      </w:r>
    </w:p>
    <w:p w14:paraId="77C0E86C" w14:textId="5804922D" w:rsidR="00ED5BA7" w:rsidRDefault="00B406E6" w:rsidP="002D3232">
      <w:pPr>
        <w:rPr>
          <w:bCs/>
        </w:rPr>
      </w:pPr>
      <w:r>
        <w:rPr>
          <w:bCs/>
        </w:rPr>
        <w:t>“</w:t>
      </w:r>
      <w:r w:rsidRPr="00B406E6">
        <w:rPr>
          <w:bCs/>
        </w:rPr>
        <w:t>Sculpting the Afterlife: A Ka Statue at Glencairn Museum</w:t>
      </w:r>
      <w:r>
        <w:rPr>
          <w:bCs/>
        </w:rPr>
        <w:t xml:space="preserve">.” Glencairn Museum, 2024, </w:t>
      </w:r>
      <w:hyperlink r:id="rId8" w:history="1">
        <w:r w:rsidRPr="002C6388">
          <w:rPr>
            <w:rStyle w:val="Hyperlink"/>
            <w:bCs/>
          </w:rPr>
          <w:t>https://www.glencairnmuseum.org/newsletter/2024/7/9/sculpting-the-afterlife-a-ka-statue-at-glencairn-museum</w:t>
        </w:r>
      </w:hyperlink>
    </w:p>
    <w:p w14:paraId="7B98734F" w14:textId="77777777" w:rsidR="00D448E8" w:rsidRPr="00D448E8" w:rsidRDefault="00D448E8" w:rsidP="00D448E8">
      <w:pPr>
        <w:rPr>
          <w:bCs/>
        </w:rPr>
      </w:pPr>
      <w:r w:rsidRPr="00D448E8">
        <w:rPr>
          <w:bCs/>
        </w:rPr>
        <w:t xml:space="preserve">Thomas, N. W. “What Is the Ka?” </w:t>
      </w:r>
      <w:r w:rsidRPr="00D448E8">
        <w:rPr>
          <w:bCs/>
          <w:i/>
          <w:iCs/>
        </w:rPr>
        <w:t>The Journal of Egyptian Archaeology</w:t>
      </w:r>
      <w:r w:rsidRPr="00D448E8">
        <w:rPr>
          <w:bCs/>
        </w:rPr>
        <w:t xml:space="preserve">, vol. 6, no. 4, 1920, pp. 265–73. </w:t>
      </w:r>
      <w:r w:rsidRPr="00D448E8">
        <w:rPr>
          <w:bCs/>
          <w:i/>
          <w:iCs/>
        </w:rPr>
        <w:t>JSTOR</w:t>
      </w:r>
      <w:r w:rsidRPr="00D448E8">
        <w:rPr>
          <w:bCs/>
        </w:rPr>
        <w:t>, https://doi.org/10.2307/3853804. Accessed 22 Oct. 2025.</w:t>
      </w:r>
    </w:p>
    <w:p w14:paraId="00C82F4C" w14:textId="4B6AEDAE" w:rsidR="00C70AB8" w:rsidRPr="00826A02" w:rsidRDefault="00215464" w:rsidP="00C70AB8">
      <w:pPr>
        <w:rPr>
          <w:bCs/>
        </w:rPr>
      </w:pPr>
      <w:r>
        <w:rPr>
          <w:bCs/>
        </w:rPr>
        <w:t>“</w:t>
      </w:r>
      <w:r w:rsidRPr="00215464">
        <w:rPr>
          <w:bCs/>
        </w:rPr>
        <w:t xml:space="preserve">Statue of </w:t>
      </w:r>
      <w:proofErr w:type="spellStart"/>
      <w:r w:rsidRPr="00215464">
        <w:rPr>
          <w:bCs/>
        </w:rPr>
        <w:t>Peftjawyneith</w:t>
      </w:r>
      <w:proofErr w:type="spellEnd"/>
      <w:r>
        <w:rPr>
          <w:bCs/>
        </w:rPr>
        <w:t xml:space="preserve">.” </w:t>
      </w:r>
      <w:proofErr w:type="spellStart"/>
      <w:r w:rsidR="002A5A42">
        <w:rPr>
          <w:bCs/>
        </w:rPr>
        <w:t>Chiddington</w:t>
      </w:r>
      <w:proofErr w:type="spellEnd"/>
      <w:r w:rsidR="002A5A42">
        <w:rPr>
          <w:bCs/>
        </w:rPr>
        <w:t xml:space="preserve"> Museum, </w:t>
      </w:r>
      <w:r w:rsidR="00425B47">
        <w:rPr>
          <w:bCs/>
        </w:rPr>
        <w:t xml:space="preserve">accessed 2025, </w:t>
      </w:r>
      <w:r w:rsidRPr="00215464">
        <w:rPr>
          <w:bCs/>
        </w:rPr>
        <w:t>https://www.chiddingstonecastle.org.uk/statue-of-peftjawyneith/</w:t>
      </w:r>
    </w:p>
    <w:sectPr w:rsidR="00C70AB8" w:rsidRPr="00826A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6F596" w14:textId="77777777" w:rsidR="006E4B42" w:rsidRDefault="006E4B42" w:rsidP="00826A02">
      <w:pPr>
        <w:spacing w:after="0" w:line="240" w:lineRule="auto"/>
      </w:pPr>
      <w:r>
        <w:separator/>
      </w:r>
    </w:p>
  </w:endnote>
  <w:endnote w:type="continuationSeparator" w:id="0">
    <w:p w14:paraId="02BA1025" w14:textId="77777777" w:rsidR="006E4B42" w:rsidRDefault="006E4B42" w:rsidP="00826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6D552" w14:textId="77777777" w:rsidR="006E4B42" w:rsidRDefault="006E4B42" w:rsidP="00826A02">
      <w:pPr>
        <w:spacing w:after="0" w:line="240" w:lineRule="auto"/>
      </w:pPr>
      <w:r>
        <w:separator/>
      </w:r>
    </w:p>
  </w:footnote>
  <w:footnote w:type="continuationSeparator" w:id="0">
    <w:p w14:paraId="5CEEAC38" w14:textId="77777777" w:rsidR="006E4B42" w:rsidRDefault="006E4B42" w:rsidP="00826A02">
      <w:pPr>
        <w:spacing w:after="0" w:line="240" w:lineRule="auto"/>
      </w:pPr>
      <w:r>
        <w:continuationSeparator/>
      </w:r>
    </w:p>
  </w:footnote>
  <w:footnote w:id="1">
    <w:p w14:paraId="39A15FB0" w14:textId="44F95AB1" w:rsidR="00826A02" w:rsidRDefault="00826A02">
      <w:pPr>
        <w:pStyle w:val="FootnoteText"/>
      </w:pPr>
      <w:r>
        <w:rPr>
          <w:rStyle w:val="FootnoteReference"/>
        </w:rPr>
        <w:footnoteRef/>
      </w:r>
      <w:r>
        <w:t xml:space="preserve"> </w:t>
      </w:r>
      <w:r w:rsidRPr="00826A02">
        <w:t>“Scribe statue of Nespakashuti.” Egyptian Museum Cairo, 2025</w:t>
      </w:r>
    </w:p>
  </w:footnote>
  <w:footnote w:id="2">
    <w:p w14:paraId="38165B35" w14:textId="3F33283A" w:rsidR="0042221D" w:rsidRDefault="0042221D">
      <w:pPr>
        <w:pStyle w:val="FootnoteText"/>
      </w:pPr>
      <w:r>
        <w:rPr>
          <w:rStyle w:val="FootnoteReference"/>
        </w:rPr>
        <w:footnoteRef/>
      </w:r>
      <w:r>
        <w:t xml:space="preserve"> </w:t>
      </w:r>
      <w:r w:rsidRPr="00C46C5F">
        <w:t>“Scribe statue of Nespakashuti.” Egyptian Museum Cairo, accessed 2025</w:t>
      </w:r>
    </w:p>
  </w:footnote>
  <w:footnote w:id="3">
    <w:p w14:paraId="2F35B84D" w14:textId="3E25D637" w:rsidR="00826352" w:rsidRDefault="00826352">
      <w:pPr>
        <w:pStyle w:val="FootnoteText"/>
      </w:pPr>
      <w:r>
        <w:rPr>
          <w:rStyle w:val="FootnoteReference"/>
        </w:rPr>
        <w:footnoteRef/>
      </w:r>
      <w:r>
        <w:t xml:space="preserve"> </w:t>
      </w:r>
      <w:r w:rsidR="00532EF9" w:rsidRPr="00532EF9">
        <w:t>“Sculpting the Afterlife: A Ka Statue at Glencairn Museum.” Glencairn Museum, 2024,</w:t>
      </w:r>
    </w:p>
  </w:footnote>
  <w:footnote w:id="4">
    <w:p w14:paraId="762DE9E1" w14:textId="12BED03E" w:rsidR="00D448E8" w:rsidRDefault="00D448E8">
      <w:pPr>
        <w:pStyle w:val="FootnoteText"/>
      </w:pPr>
      <w:r>
        <w:rPr>
          <w:rStyle w:val="FootnoteReference"/>
        </w:rPr>
        <w:footnoteRef/>
      </w:r>
      <w:r>
        <w:t xml:space="preserve"> </w:t>
      </w:r>
      <w:r w:rsidRPr="00D448E8">
        <w:t>Thomas, N. W.</w:t>
      </w:r>
      <w:r>
        <w:t xml:space="preserve"> 1920</w:t>
      </w:r>
    </w:p>
  </w:footnote>
  <w:footnote w:id="5">
    <w:p w14:paraId="1BAE1575" w14:textId="03831EE2" w:rsidR="00E832EB" w:rsidRDefault="00E832EB">
      <w:pPr>
        <w:pStyle w:val="FootnoteText"/>
      </w:pPr>
      <w:r>
        <w:rPr>
          <w:rStyle w:val="FootnoteReference"/>
        </w:rPr>
        <w:footnoteRef/>
      </w:r>
      <w:r>
        <w:t xml:space="preserve"> </w:t>
      </w:r>
      <w:r w:rsidRPr="00E832EB">
        <w:t>Baines, John, and Christina Riggs.</w:t>
      </w:r>
      <w:r>
        <w:t xml:space="preserve"> 2001.</w:t>
      </w:r>
    </w:p>
  </w:footnote>
  <w:footnote w:id="6">
    <w:p w14:paraId="0E3E2EB7" w14:textId="7E7028A7" w:rsidR="001F7E59" w:rsidRDefault="001F7E59">
      <w:pPr>
        <w:pStyle w:val="FootnoteText"/>
      </w:pPr>
      <w:r>
        <w:rPr>
          <w:rStyle w:val="FootnoteReference"/>
        </w:rPr>
        <w:footnoteRef/>
      </w:r>
      <w:r>
        <w:t xml:space="preserve"> </w:t>
      </w:r>
      <w:r w:rsidRPr="00E832EB">
        <w:t>Baines, John, and Christina Riggs.</w:t>
      </w:r>
      <w:r>
        <w:t xml:space="preserve"> 2001.</w:t>
      </w:r>
    </w:p>
  </w:footnote>
  <w:footnote w:id="7">
    <w:p w14:paraId="3932CA6F" w14:textId="1BF9D4F5" w:rsidR="00260318" w:rsidRDefault="00260318">
      <w:pPr>
        <w:pStyle w:val="FootnoteText"/>
      </w:pPr>
      <w:r>
        <w:rPr>
          <w:rStyle w:val="FootnoteReference"/>
        </w:rPr>
        <w:footnoteRef/>
      </w:r>
      <w:r>
        <w:t xml:space="preserve"> </w:t>
      </w:r>
      <w:r w:rsidRPr="00260318">
        <w:t xml:space="preserve">Harrell, James, and Per </w:t>
      </w:r>
      <w:proofErr w:type="spellStart"/>
      <w:r w:rsidRPr="00260318">
        <w:t>Storemyr</w:t>
      </w:r>
      <w:proofErr w:type="spellEnd"/>
      <w:r w:rsidRPr="00260318">
        <w:t>.</w:t>
      </w:r>
      <w:r>
        <w:t xml:space="preserve"> 2009</w:t>
      </w:r>
    </w:p>
  </w:footnote>
  <w:footnote w:id="8">
    <w:p w14:paraId="24B4F2A5" w14:textId="3550BA81" w:rsidR="00A45FD5" w:rsidRDefault="00A45FD5">
      <w:pPr>
        <w:pStyle w:val="FootnoteText"/>
      </w:pPr>
      <w:r>
        <w:rPr>
          <w:rStyle w:val="FootnoteReference"/>
        </w:rPr>
        <w:footnoteRef/>
      </w:r>
      <w:r>
        <w:t xml:space="preserve"> </w:t>
      </w:r>
      <w:r w:rsidRPr="00A45FD5">
        <w:t xml:space="preserve">“Block Statue of </w:t>
      </w:r>
      <w:proofErr w:type="spellStart"/>
      <w:r w:rsidRPr="00A45FD5">
        <w:t>Ankhwennefer</w:t>
      </w:r>
      <w:proofErr w:type="spellEnd"/>
      <w:r w:rsidRPr="00A45FD5">
        <w:t>”, Metropolitan Museum of Art, accessed 2025</w:t>
      </w:r>
    </w:p>
  </w:footnote>
  <w:footnote w:id="9">
    <w:p w14:paraId="0AE9D810" w14:textId="531CF63B" w:rsidR="00357516" w:rsidRDefault="00357516">
      <w:pPr>
        <w:pStyle w:val="FootnoteText"/>
      </w:pPr>
      <w:r>
        <w:rPr>
          <w:rStyle w:val="FootnoteReference"/>
        </w:rPr>
        <w:footnoteRef/>
      </w:r>
      <w:r>
        <w:t xml:space="preserve"> </w:t>
      </w:r>
      <w:r w:rsidRPr="00357516">
        <w:t xml:space="preserve">“Block Statue of a Prophet of Montu and Scribe </w:t>
      </w:r>
      <w:proofErr w:type="spellStart"/>
      <w:r w:rsidRPr="00357516">
        <w:t>Djedkhonsuefankh</w:t>
      </w:r>
      <w:proofErr w:type="spellEnd"/>
      <w:r w:rsidRPr="00357516">
        <w:t xml:space="preserve">, son of </w:t>
      </w:r>
      <w:proofErr w:type="spellStart"/>
      <w:r w:rsidRPr="00357516">
        <w:t>Khonsumes</w:t>
      </w:r>
      <w:proofErr w:type="spellEnd"/>
      <w:r w:rsidRPr="00357516">
        <w:t xml:space="preserve"> and Taat”, Metropolitan Museum of Art, 2025</w:t>
      </w:r>
    </w:p>
  </w:footnote>
  <w:footnote w:id="10">
    <w:p w14:paraId="6798C81F" w14:textId="14B2E89E" w:rsidR="00C46C5F" w:rsidRDefault="00C46C5F">
      <w:pPr>
        <w:pStyle w:val="FootnoteText"/>
      </w:pPr>
      <w:r>
        <w:rPr>
          <w:rStyle w:val="FootnoteReference"/>
        </w:rPr>
        <w:footnoteRef/>
      </w:r>
      <w:r>
        <w:t xml:space="preserve"> </w:t>
      </w:r>
      <w:r w:rsidRPr="00C46C5F">
        <w:t>“Scribe statue of Nespakashuti.” Egyptian Museum Cairo, accessed 2025</w:t>
      </w:r>
    </w:p>
  </w:footnote>
  <w:footnote w:id="11">
    <w:p w14:paraId="48AD1335" w14:textId="7DBA9F57" w:rsidR="0019495A" w:rsidRDefault="0019495A">
      <w:pPr>
        <w:pStyle w:val="FootnoteText"/>
      </w:pPr>
      <w:r>
        <w:rPr>
          <w:rStyle w:val="FootnoteReference"/>
        </w:rPr>
        <w:footnoteRef/>
      </w:r>
      <w:r>
        <w:t xml:space="preserve"> </w:t>
      </w:r>
      <w:r w:rsidRPr="0019495A">
        <w:t xml:space="preserve">“Scribe statue of Nespakashuti.” Egyptian Museum Cairo, accessed 2025 </w:t>
      </w:r>
    </w:p>
  </w:footnote>
  <w:footnote w:id="12">
    <w:p w14:paraId="43016FDF" w14:textId="0A6CB8A9" w:rsidR="0066047D" w:rsidRDefault="0066047D">
      <w:pPr>
        <w:pStyle w:val="FootnoteText"/>
      </w:pPr>
      <w:r>
        <w:rPr>
          <w:rStyle w:val="FootnoteReference"/>
        </w:rPr>
        <w:footnoteRef/>
      </w:r>
      <w:r>
        <w:t xml:space="preserve"> </w:t>
      </w:r>
      <w:r w:rsidRPr="0066047D">
        <w:t xml:space="preserve">“Block Statue of a Prophet of Montu and Scribe </w:t>
      </w:r>
      <w:proofErr w:type="spellStart"/>
      <w:r w:rsidRPr="0066047D">
        <w:t>Djedkhonsuefankh</w:t>
      </w:r>
      <w:proofErr w:type="spellEnd"/>
      <w:r w:rsidRPr="0066047D">
        <w:t xml:space="preserve">, son of </w:t>
      </w:r>
      <w:proofErr w:type="spellStart"/>
      <w:r w:rsidRPr="0066047D">
        <w:t>Khonsumes</w:t>
      </w:r>
      <w:proofErr w:type="spellEnd"/>
      <w:r w:rsidRPr="0066047D">
        <w:t xml:space="preserve"> and Taat”, Metropolitan Museum of Art, accessed 2025</w:t>
      </w:r>
    </w:p>
  </w:footnote>
  <w:footnote w:id="13">
    <w:p w14:paraId="5A193D51" w14:textId="771AA668" w:rsidR="00BE04B4" w:rsidRDefault="00BE04B4">
      <w:pPr>
        <w:pStyle w:val="FootnoteText"/>
      </w:pPr>
      <w:r>
        <w:rPr>
          <w:rStyle w:val="FootnoteReference"/>
        </w:rPr>
        <w:footnoteRef/>
      </w:r>
      <w:r>
        <w:t xml:space="preserve"> </w:t>
      </w:r>
      <w:r w:rsidRPr="00BE04B4">
        <w:t xml:space="preserve">“Block Statue of a Prophet of Montu and Scribe </w:t>
      </w:r>
      <w:proofErr w:type="spellStart"/>
      <w:r w:rsidRPr="00BE04B4">
        <w:t>Djedkhonsuefankh</w:t>
      </w:r>
      <w:proofErr w:type="spellEnd"/>
      <w:r w:rsidRPr="00BE04B4">
        <w:t xml:space="preserve">, son of </w:t>
      </w:r>
      <w:proofErr w:type="spellStart"/>
      <w:r w:rsidRPr="00BE04B4">
        <w:t>Khonsumes</w:t>
      </w:r>
      <w:proofErr w:type="spellEnd"/>
      <w:r w:rsidRPr="00BE04B4">
        <w:t xml:space="preserve"> and Taat”, Metropolitan Museum of Art, accessed 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762D21"/>
    <w:multiLevelType w:val="hybridMultilevel"/>
    <w:tmpl w:val="DC843168"/>
    <w:lvl w:ilvl="0" w:tplc="D2EA1100">
      <w:start w:val="1"/>
      <w:numFmt w:val="bullet"/>
      <w:lvlText w:val="•"/>
      <w:lvlJc w:val="left"/>
      <w:pPr>
        <w:tabs>
          <w:tab w:val="num" w:pos="720"/>
        </w:tabs>
        <w:ind w:left="720" w:hanging="360"/>
      </w:pPr>
      <w:rPr>
        <w:rFonts w:ascii="Arial" w:hAnsi="Arial" w:hint="default"/>
      </w:rPr>
    </w:lvl>
    <w:lvl w:ilvl="1" w:tplc="B316CDC4" w:tentative="1">
      <w:start w:val="1"/>
      <w:numFmt w:val="bullet"/>
      <w:lvlText w:val="•"/>
      <w:lvlJc w:val="left"/>
      <w:pPr>
        <w:tabs>
          <w:tab w:val="num" w:pos="1440"/>
        </w:tabs>
        <w:ind w:left="1440" w:hanging="360"/>
      </w:pPr>
      <w:rPr>
        <w:rFonts w:ascii="Arial" w:hAnsi="Arial" w:hint="default"/>
      </w:rPr>
    </w:lvl>
    <w:lvl w:ilvl="2" w:tplc="6100A354" w:tentative="1">
      <w:start w:val="1"/>
      <w:numFmt w:val="bullet"/>
      <w:lvlText w:val="•"/>
      <w:lvlJc w:val="left"/>
      <w:pPr>
        <w:tabs>
          <w:tab w:val="num" w:pos="2160"/>
        </w:tabs>
        <w:ind w:left="2160" w:hanging="360"/>
      </w:pPr>
      <w:rPr>
        <w:rFonts w:ascii="Arial" w:hAnsi="Arial" w:hint="default"/>
      </w:rPr>
    </w:lvl>
    <w:lvl w:ilvl="3" w:tplc="6C86C4D4" w:tentative="1">
      <w:start w:val="1"/>
      <w:numFmt w:val="bullet"/>
      <w:lvlText w:val="•"/>
      <w:lvlJc w:val="left"/>
      <w:pPr>
        <w:tabs>
          <w:tab w:val="num" w:pos="2880"/>
        </w:tabs>
        <w:ind w:left="2880" w:hanging="360"/>
      </w:pPr>
      <w:rPr>
        <w:rFonts w:ascii="Arial" w:hAnsi="Arial" w:hint="default"/>
      </w:rPr>
    </w:lvl>
    <w:lvl w:ilvl="4" w:tplc="6CA218C8" w:tentative="1">
      <w:start w:val="1"/>
      <w:numFmt w:val="bullet"/>
      <w:lvlText w:val="•"/>
      <w:lvlJc w:val="left"/>
      <w:pPr>
        <w:tabs>
          <w:tab w:val="num" w:pos="3600"/>
        </w:tabs>
        <w:ind w:left="3600" w:hanging="360"/>
      </w:pPr>
      <w:rPr>
        <w:rFonts w:ascii="Arial" w:hAnsi="Arial" w:hint="default"/>
      </w:rPr>
    </w:lvl>
    <w:lvl w:ilvl="5" w:tplc="312CC1D8" w:tentative="1">
      <w:start w:val="1"/>
      <w:numFmt w:val="bullet"/>
      <w:lvlText w:val="•"/>
      <w:lvlJc w:val="left"/>
      <w:pPr>
        <w:tabs>
          <w:tab w:val="num" w:pos="4320"/>
        </w:tabs>
        <w:ind w:left="4320" w:hanging="360"/>
      </w:pPr>
      <w:rPr>
        <w:rFonts w:ascii="Arial" w:hAnsi="Arial" w:hint="default"/>
      </w:rPr>
    </w:lvl>
    <w:lvl w:ilvl="6" w:tplc="1BDC44AE" w:tentative="1">
      <w:start w:val="1"/>
      <w:numFmt w:val="bullet"/>
      <w:lvlText w:val="•"/>
      <w:lvlJc w:val="left"/>
      <w:pPr>
        <w:tabs>
          <w:tab w:val="num" w:pos="5040"/>
        </w:tabs>
        <w:ind w:left="5040" w:hanging="360"/>
      </w:pPr>
      <w:rPr>
        <w:rFonts w:ascii="Arial" w:hAnsi="Arial" w:hint="default"/>
      </w:rPr>
    </w:lvl>
    <w:lvl w:ilvl="7" w:tplc="16FC1110" w:tentative="1">
      <w:start w:val="1"/>
      <w:numFmt w:val="bullet"/>
      <w:lvlText w:val="•"/>
      <w:lvlJc w:val="left"/>
      <w:pPr>
        <w:tabs>
          <w:tab w:val="num" w:pos="5760"/>
        </w:tabs>
        <w:ind w:left="5760" w:hanging="360"/>
      </w:pPr>
      <w:rPr>
        <w:rFonts w:ascii="Arial" w:hAnsi="Arial" w:hint="default"/>
      </w:rPr>
    </w:lvl>
    <w:lvl w:ilvl="8" w:tplc="FC58720A" w:tentative="1">
      <w:start w:val="1"/>
      <w:numFmt w:val="bullet"/>
      <w:lvlText w:val="•"/>
      <w:lvlJc w:val="left"/>
      <w:pPr>
        <w:tabs>
          <w:tab w:val="num" w:pos="6480"/>
        </w:tabs>
        <w:ind w:left="6480" w:hanging="360"/>
      </w:pPr>
      <w:rPr>
        <w:rFonts w:ascii="Arial" w:hAnsi="Arial" w:hint="default"/>
      </w:rPr>
    </w:lvl>
  </w:abstractNum>
  <w:num w:numId="1" w16cid:durableId="592471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A18"/>
    <w:rsid w:val="00000E76"/>
    <w:rsid w:val="0000632D"/>
    <w:rsid w:val="000344CB"/>
    <w:rsid w:val="00044657"/>
    <w:rsid w:val="00075846"/>
    <w:rsid w:val="0007602A"/>
    <w:rsid w:val="000E53C3"/>
    <w:rsid w:val="000E60ED"/>
    <w:rsid w:val="00116FD4"/>
    <w:rsid w:val="001233DB"/>
    <w:rsid w:val="00140311"/>
    <w:rsid w:val="00146A1F"/>
    <w:rsid w:val="001617C4"/>
    <w:rsid w:val="00173451"/>
    <w:rsid w:val="0019495A"/>
    <w:rsid w:val="001E227F"/>
    <w:rsid w:val="001F7E59"/>
    <w:rsid w:val="00215464"/>
    <w:rsid w:val="002409FE"/>
    <w:rsid w:val="00260318"/>
    <w:rsid w:val="002624DF"/>
    <w:rsid w:val="002727A3"/>
    <w:rsid w:val="002776D7"/>
    <w:rsid w:val="00280956"/>
    <w:rsid w:val="002861A7"/>
    <w:rsid w:val="00291E32"/>
    <w:rsid w:val="002A5A42"/>
    <w:rsid w:val="002C644C"/>
    <w:rsid w:val="002D3232"/>
    <w:rsid w:val="002F0A88"/>
    <w:rsid w:val="002F20E2"/>
    <w:rsid w:val="002F2611"/>
    <w:rsid w:val="002F5154"/>
    <w:rsid w:val="0030405B"/>
    <w:rsid w:val="00316E6B"/>
    <w:rsid w:val="00351EB3"/>
    <w:rsid w:val="00357516"/>
    <w:rsid w:val="003946E6"/>
    <w:rsid w:val="003A426A"/>
    <w:rsid w:val="003C1A56"/>
    <w:rsid w:val="003C4D40"/>
    <w:rsid w:val="003E66ED"/>
    <w:rsid w:val="003F5421"/>
    <w:rsid w:val="0042221D"/>
    <w:rsid w:val="00423E1F"/>
    <w:rsid w:val="00425B47"/>
    <w:rsid w:val="00443EA3"/>
    <w:rsid w:val="00443EE3"/>
    <w:rsid w:val="0046065C"/>
    <w:rsid w:val="004628F6"/>
    <w:rsid w:val="00475769"/>
    <w:rsid w:val="00476231"/>
    <w:rsid w:val="00477674"/>
    <w:rsid w:val="0049099E"/>
    <w:rsid w:val="0049404E"/>
    <w:rsid w:val="00494B42"/>
    <w:rsid w:val="00495873"/>
    <w:rsid w:val="004B01E1"/>
    <w:rsid w:val="004B13CE"/>
    <w:rsid w:val="004B5440"/>
    <w:rsid w:val="004C6668"/>
    <w:rsid w:val="004D5C1B"/>
    <w:rsid w:val="004F2F56"/>
    <w:rsid w:val="0051169A"/>
    <w:rsid w:val="00513DE0"/>
    <w:rsid w:val="00520273"/>
    <w:rsid w:val="00532EF9"/>
    <w:rsid w:val="00546C2F"/>
    <w:rsid w:val="00553AF1"/>
    <w:rsid w:val="00560874"/>
    <w:rsid w:val="0058050A"/>
    <w:rsid w:val="005862A6"/>
    <w:rsid w:val="005961D6"/>
    <w:rsid w:val="005A2940"/>
    <w:rsid w:val="005D3959"/>
    <w:rsid w:val="005D3AA7"/>
    <w:rsid w:val="005D5C35"/>
    <w:rsid w:val="005F5D5B"/>
    <w:rsid w:val="005F6137"/>
    <w:rsid w:val="006100B4"/>
    <w:rsid w:val="006165A0"/>
    <w:rsid w:val="006564C0"/>
    <w:rsid w:val="0066047D"/>
    <w:rsid w:val="006717E2"/>
    <w:rsid w:val="00674DCD"/>
    <w:rsid w:val="00690723"/>
    <w:rsid w:val="006C4C69"/>
    <w:rsid w:val="006D0854"/>
    <w:rsid w:val="006E4B42"/>
    <w:rsid w:val="006F6C6B"/>
    <w:rsid w:val="00703E76"/>
    <w:rsid w:val="00706D57"/>
    <w:rsid w:val="00744753"/>
    <w:rsid w:val="00746B44"/>
    <w:rsid w:val="00785AE3"/>
    <w:rsid w:val="0079011F"/>
    <w:rsid w:val="007B6B62"/>
    <w:rsid w:val="007C6498"/>
    <w:rsid w:val="007E576E"/>
    <w:rsid w:val="007E66A6"/>
    <w:rsid w:val="007E69D7"/>
    <w:rsid w:val="00800454"/>
    <w:rsid w:val="0081159D"/>
    <w:rsid w:val="00826352"/>
    <w:rsid w:val="00826A02"/>
    <w:rsid w:val="00883589"/>
    <w:rsid w:val="008A154A"/>
    <w:rsid w:val="008A7CEB"/>
    <w:rsid w:val="008B298A"/>
    <w:rsid w:val="008B759D"/>
    <w:rsid w:val="008E294C"/>
    <w:rsid w:val="008F25C4"/>
    <w:rsid w:val="00913614"/>
    <w:rsid w:val="009569DD"/>
    <w:rsid w:val="00980460"/>
    <w:rsid w:val="00996421"/>
    <w:rsid w:val="009A0BE4"/>
    <w:rsid w:val="009C2169"/>
    <w:rsid w:val="009E6713"/>
    <w:rsid w:val="00A22CC6"/>
    <w:rsid w:val="00A2304D"/>
    <w:rsid w:val="00A37AE7"/>
    <w:rsid w:val="00A43D22"/>
    <w:rsid w:val="00A45FD5"/>
    <w:rsid w:val="00A57E9F"/>
    <w:rsid w:val="00A6276F"/>
    <w:rsid w:val="00A72B47"/>
    <w:rsid w:val="00AA7B97"/>
    <w:rsid w:val="00AB61DB"/>
    <w:rsid w:val="00AD32FF"/>
    <w:rsid w:val="00AD44A7"/>
    <w:rsid w:val="00AE3B74"/>
    <w:rsid w:val="00B1110E"/>
    <w:rsid w:val="00B12B0B"/>
    <w:rsid w:val="00B13C67"/>
    <w:rsid w:val="00B16BF5"/>
    <w:rsid w:val="00B33BC6"/>
    <w:rsid w:val="00B406E6"/>
    <w:rsid w:val="00B67950"/>
    <w:rsid w:val="00B81901"/>
    <w:rsid w:val="00B9064F"/>
    <w:rsid w:val="00B9275B"/>
    <w:rsid w:val="00BC5275"/>
    <w:rsid w:val="00BE04B4"/>
    <w:rsid w:val="00C14451"/>
    <w:rsid w:val="00C4606E"/>
    <w:rsid w:val="00C46C5F"/>
    <w:rsid w:val="00C51717"/>
    <w:rsid w:val="00C70AB8"/>
    <w:rsid w:val="00CE04DC"/>
    <w:rsid w:val="00CF34A3"/>
    <w:rsid w:val="00D03010"/>
    <w:rsid w:val="00D43896"/>
    <w:rsid w:val="00D448E8"/>
    <w:rsid w:val="00D85D28"/>
    <w:rsid w:val="00D94A1F"/>
    <w:rsid w:val="00DC51F8"/>
    <w:rsid w:val="00E25578"/>
    <w:rsid w:val="00E31ADB"/>
    <w:rsid w:val="00E47E00"/>
    <w:rsid w:val="00E60092"/>
    <w:rsid w:val="00E65CAD"/>
    <w:rsid w:val="00E76A83"/>
    <w:rsid w:val="00E77AD1"/>
    <w:rsid w:val="00E80667"/>
    <w:rsid w:val="00E832EB"/>
    <w:rsid w:val="00E8471E"/>
    <w:rsid w:val="00EA7B34"/>
    <w:rsid w:val="00ED1BF9"/>
    <w:rsid w:val="00ED5BA7"/>
    <w:rsid w:val="00F14317"/>
    <w:rsid w:val="00F30A0E"/>
    <w:rsid w:val="00F3191D"/>
    <w:rsid w:val="00F435AC"/>
    <w:rsid w:val="00F52306"/>
    <w:rsid w:val="00F556E7"/>
    <w:rsid w:val="00F55AF8"/>
    <w:rsid w:val="00F81E56"/>
    <w:rsid w:val="00F8374A"/>
    <w:rsid w:val="00F87A18"/>
    <w:rsid w:val="00FA554C"/>
    <w:rsid w:val="00FB14E3"/>
    <w:rsid w:val="00FD1A21"/>
    <w:rsid w:val="00FE2A76"/>
    <w:rsid w:val="00FE4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DB5DA"/>
  <w15:chartTrackingRefBased/>
  <w15:docId w15:val="{ED0625A7-B2C5-4BC7-B04C-A67B1D746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A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7A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7A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87A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7A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7A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A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A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A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A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7A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7A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87A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7A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7A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A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A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A18"/>
    <w:rPr>
      <w:rFonts w:eastAsiaTheme="majorEastAsia" w:cstheme="majorBidi"/>
      <w:color w:val="272727" w:themeColor="text1" w:themeTint="D8"/>
    </w:rPr>
  </w:style>
  <w:style w:type="paragraph" w:styleId="Title">
    <w:name w:val="Title"/>
    <w:basedOn w:val="Normal"/>
    <w:next w:val="Normal"/>
    <w:link w:val="TitleChar"/>
    <w:uiPriority w:val="10"/>
    <w:qFormat/>
    <w:rsid w:val="00F87A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A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A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A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A18"/>
    <w:pPr>
      <w:spacing w:before="160"/>
      <w:jc w:val="center"/>
    </w:pPr>
    <w:rPr>
      <w:i/>
      <w:iCs/>
      <w:color w:val="404040" w:themeColor="text1" w:themeTint="BF"/>
    </w:rPr>
  </w:style>
  <w:style w:type="character" w:customStyle="1" w:styleId="QuoteChar">
    <w:name w:val="Quote Char"/>
    <w:basedOn w:val="DefaultParagraphFont"/>
    <w:link w:val="Quote"/>
    <w:uiPriority w:val="29"/>
    <w:rsid w:val="00F87A18"/>
    <w:rPr>
      <w:i/>
      <w:iCs/>
      <w:color w:val="404040" w:themeColor="text1" w:themeTint="BF"/>
    </w:rPr>
  </w:style>
  <w:style w:type="paragraph" w:styleId="ListParagraph">
    <w:name w:val="List Paragraph"/>
    <w:basedOn w:val="Normal"/>
    <w:uiPriority w:val="34"/>
    <w:qFormat/>
    <w:rsid w:val="00F87A18"/>
    <w:pPr>
      <w:ind w:left="720"/>
      <w:contextualSpacing/>
    </w:pPr>
  </w:style>
  <w:style w:type="character" w:styleId="IntenseEmphasis">
    <w:name w:val="Intense Emphasis"/>
    <w:basedOn w:val="DefaultParagraphFont"/>
    <w:uiPriority w:val="21"/>
    <w:qFormat/>
    <w:rsid w:val="00F87A18"/>
    <w:rPr>
      <w:i/>
      <w:iCs/>
      <w:color w:val="0F4761" w:themeColor="accent1" w:themeShade="BF"/>
    </w:rPr>
  </w:style>
  <w:style w:type="paragraph" w:styleId="IntenseQuote">
    <w:name w:val="Intense Quote"/>
    <w:basedOn w:val="Normal"/>
    <w:next w:val="Normal"/>
    <w:link w:val="IntenseQuoteChar"/>
    <w:uiPriority w:val="30"/>
    <w:qFormat/>
    <w:rsid w:val="00F87A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7A18"/>
    <w:rPr>
      <w:i/>
      <w:iCs/>
      <w:color w:val="0F4761" w:themeColor="accent1" w:themeShade="BF"/>
    </w:rPr>
  </w:style>
  <w:style w:type="character" w:styleId="IntenseReference">
    <w:name w:val="Intense Reference"/>
    <w:basedOn w:val="DefaultParagraphFont"/>
    <w:uiPriority w:val="32"/>
    <w:qFormat/>
    <w:rsid w:val="00F87A18"/>
    <w:rPr>
      <w:b/>
      <w:bCs/>
      <w:smallCaps/>
      <w:color w:val="0F4761" w:themeColor="accent1" w:themeShade="BF"/>
      <w:spacing w:val="5"/>
    </w:rPr>
  </w:style>
  <w:style w:type="character" w:styleId="Hyperlink">
    <w:name w:val="Hyperlink"/>
    <w:basedOn w:val="DefaultParagraphFont"/>
    <w:uiPriority w:val="99"/>
    <w:unhideWhenUsed/>
    <w:rsid w:val="002D3232"/>
    <w:rPr>
      <w:color w:val="467886" w:themeColor="hyperlink"/>
      <w:u w:val="single"/>
    </w:rPr>
  </w:style>
  <w:style w:type="character" w:styleId="UnresolvedMention">
    <w:name w:val="Unresolved Mention"/>
    <w:basedOn w:val="DefaultParagraphFont"/>
    <w:uiPriority w:val="99"/>
    <w:semiHidden/>
    <w:unhideWhenUsed/>
    <w:rsid w:val="002D3232"/>
    <w:rPr>
      <w:color w:val="605E5C"/>
      <w:shd w:val="clear" w:color="auto" w:fill="E1DFDD"/>
    </w:rPr>
  </w:style>
  <w:style w:type="character" w:styleId="FollowedHyperlink">
    <w:name w:val="FollowedHyperlink"/>
    <w:basedOn w:val="DefaultParagraphFont"/>
    <w:uiPriority w:val="99"/>
    <w:semiHidden/>
    <w:unhideWhenUsed/>
    <w:rsid w:val="00826A02"/>
    <w:rPr>
      <w:color w:val="96607D" w:themeColor="followedHyperlink"/>
      <w:u w:val="single"/>
    </w:rPr>
  </w:style>
  <w:style w:type="paragraph" w:styleId="FootnoteText">
    <w:name w:val="footnote text"/>
    <w:basedOn w:val="Normal"/>
    <w:link w:val="FootnoteTextChar"/>
    <w:uiPriority w:val="99"/>
    <w:semiHidden/>
    <w:unhideWhenUsed/>
    <w:rsid w:val="00826A0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6A02"/>
    <w:rPr>
      <w:sz w:val="20"/>
      <w:szCs w:val="20"/>
    </w:rPr>
  </w:style>
  <w:style w:type="character" w:styleId="FootnoteReference">
    <w:name w:val="footnote reference"/>
    <w:basedOn w:val="DefaultParagraphFont"/>
    <w:uiPriority w:val="99"/>
    <w:semiHidden/>
    <w:unhideWhenUsed/>
    <w:rsid w:val="00826A0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encairnmuseum.org/newsletter/2024/7/9/sculpting-the-afterlife-a-ka-statue-at-glencairn-museu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B0A13-F3D6-4FCF-AB45-8D1A21170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3110</TotalTime>
  <Pages>4</Pages>
  <Words>1130</Words>
  <Characters>6443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189</cp:revision>
  <dcterms:created xsi:type="dcterms:W3CDTF">2025-10-21T13:23:00Z</dcterms:created>
  <dcterms:modified xsi:type="dcterms:W3CDTF">2025-10-24T20:08:00Z</dcterms:modified>
</cp:coreProperties>
</file>