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5A4B8" w14:textId="1748CD8F" w:rsidR="00FE71D5" w:rsidRPr="00FE71D5" w:rsidRDefault="00FE71D5" w:rsidP="00FE71D5">
      <w:pPr>
        <w:pStyle w:val="NormalWeb"/>
        <w:jc w:val="center"/>
        <w:rPr>
          <w:rFonts w:ascii="Aparajita" w:hAnsi="Aparajita" w:cs="Aparajita"/>
          <w:sz w:val="36"/>
          <w:szCs w:val="36"/>
        </w:rPr>
      </w:pPr>
      <w:r w:rsidRPr="00FE71D5">
        <w:rPr>
          <w:rFonts w:ascii="Aparajita" w:hAnsi="Aparajita" w:cs="Aparajita"/>
          <w:sz w:val="36"/>
          <w:szCs w:val="36"/>
        </w:rPr>
        <w:t xml:space="preserve">Marian Raducanu </w:t>
      </w:r>
    </w:p>
    <w:p w14:paraId="0377C76D" w14:textId="46D296BD" w:rsidR="00FE71D5" w:rsidRPr="00FE71D5" w:rsidRDefault="00FE71D5" w:rsidP="00FE71D5">
      <w:pPr>
        <w:pStyle w:val="NormalWeb"/>
        <w:jc w:val="center"/>
        <w:rPr>
          <w:rFonts w:ascii="Aparajita" w:hAnsi="Aparajita" w:cs="Aparajita"/>
          <w:sz w:val="36"/>
          <w:szCs w:val="36"/>
        </w:rPr>
      </w:pPr>
      <w:r w:rsidRPr="00FE71D5">
        <w:rPr>
          <w:rFonts w:ascii="Aparajita" w:hAnsi="Aparajita" w:cs="Aparajita"/>
          <w:sz w:val="36"/>
          <w:szCs w:val="36"/>
        </w:rPr>
        <w:t xml:space="preserve">Module – People across time </w:t>
      </w:r>
    </w:p>
    <w:p w14:paraId="52534050" w14:textId="77777777" w:rsidR="00FE71D5" w:rsidRPr="00FE71D5" w:rsidRDefault="00FE71D5" w:rsidP="00FE71D5">
      <w:pPr>
        <w:pStyle w:val="NormalWeb"/>
        <w:rPr>
          <w:rFonts w:ascii="Aparajita" w:hAnsi="Aparajita" w:cs="Aparajita"/>
          <w:sz w:val="36"/>
          <w:szCs w:val="36"/>
        </w:rPr>
      </w:pPr>
    </w:p>
    <w:p w14:paraId="3FADAB42" w14:textId="77777777" w:rsidR="00FE71D5" w:rsidRPr="00FE71D5" w:rsidRDefault="00FE71D5" w:rsidP="00FE71D5">
      <w:pPr>
        <w:pStyle w:val="NormalWeb"/>
        <w:jc w:val="center"/>
        <w:rPr>
          <w:rFonts w:ascii="Aparajita" w:hAnsi="Aparajita" w:cs="Aparajita"/>
          <w:sz w:val="36"/>
          <w:szCs w:val="36"/>
        </w:rPr>
      </w:pPr>
      <w:r w:rsidRPr="00FE71D5">
        <w:rPr>
          <w:rFonts w:ascii="Aparajita" w:hAnsi="Aparajita" w:cs="Aparajita"/>
          <w:sz w:val="36"/>
          <w:szCs w:val="36"/>
        </w:rPr>
        <w:t xml:space="preserve">Gobbet/Source Analysis: </w:t>
      </w:r>
    </w:p>
    <w:p w14:paraId="4EC63681" w14:textId="62039D12" w:rsidR="00FE71D5" w:rsidRPr="00FE71D5" w:rsidRDefault="00FE71D5" w:rsidP="00FE71D5">
      <w:pPr>
        <w:pStyle w:val="NormalWeb"/>
        <w:jc w:val="center"/>
        <w:rPr>
          <w:rFonts w:ascii="Aparajita" w:hAnsi="Aparajita" w:cs="Aparajita"/>
          <w:sz w:val="36"/>
          <w:szCs w:val="36"/>
        </w:rPr>
      </w:pPr>
      <w:r w:rsidRPr="00FE71D5">
        <w:rPr>
          <w:rFonts w:ascii="Aparajita" w:hAnsi="Aparajita" w:cs="Aparajita"/>
          <w:sz w:val="36"/>
          <w:szCs w:val="36"/>
        </w:rPr>
        <w:t>Parker Pearson’s Stonehenge: A New Understanding of the Greatest Stone Age Mystery.</w:t>
      </w:r>
    </w:p>
    <w:p w14:paraId="1D173B1C" w14:textId="77777777" w:rsidR="00FE71D5" w:rsidRDefault="00FE71D5" w:rsidP="00FE71D5">
      <w:pPr>
        <w:pStyle w:val="NormalWeb"/>
      </w:pPr>
    </w:p>
    <w:p w14:paraId="783AF1A2" w14:textId="77777777" w:rsidR="00FE71D5" w:rsidRDefault="00FE71D5" w:rsidP="00FE71D5">
      <w:pPr>
        <w:pStyle w:val="NormalWeb"/>
      </w:pPr>
    </w:p>
    <w:p w14:paraId="2525CD87" w14:textId="1F4369B4"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Introduction</w:t>
      </w:r>
    </w:p>
    <w:p w14:paraId="364A85A4" w14:textId="66E66DF1"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 xml:space="preserve">Mike Parker Pearson’s Stonehenge: A New Understanding of the Greatest Stone Age Mystery (2012) is a landmark publication in Stonehenge studies, presenting an integrated summary of work from the Stonehenge Riverside Project. In this, a core text for my section on </w:t>
      </w:r>
      <w:r w:rsidRPr="00FE71D5">
        <w:rPr>
          <w:rFonts w:ascii="Aparajita" w:hAnsi="Aparajita" w:cs="Aparajita"/>
          <w:sz w:val="28"/>
          <w:szCs w:val="28"/>
        </w:rPr>
        <w:t>Stonehenge’s</w:t>
      </w:r>
      <w:r w:rsidRPr="00FE71D5">
        <w:rPr>
          <w:rFonts w:ascii="Aparajita" w:hAnsi="Aparajita" w:cs="Aparajita"/>
          <w:sz w:val="28"/>
          <w:szCs w:val="28"/>
        </w:rPr>
        <w:t xml:space="preserve"> construction and purpose the cultural importance of the site this book gives a solid interpretation of the monument within Neolithic Britain based on evidence. Informed by radar and laser scanning technology, the book reviews the academic approach of the tome, who wrote it, what it argued, the evidence used to sustain the cases made, what the book did well or poorly, and to where it has added to our understanding of Stonehenge, compared to the wider corpus of the historical literature of prehistoric archaeology. By this disposal of the subject matter, the gobbet relates to the mixed readings of Stonehenge as a feature of the monument’s essay, enhancing our fascination with its lingering mystery.</w:t>
      </w:r>
    </w:p>
    <w:p w14:paraId="63F5B6FF"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Type and Discipline</w:t>
      </w:r>
    </w:p>
    <w:p w14:paraId="647A4D58"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Stonehenge: A New Understanding is an academic book in the field of archaeology. Published by Simon &amp; Schuster, it strikes a balance between academic rigour and accessibility, meaning that it is appropriate for both specialists and well-informed general readers. Unlike some other popular works, such as certain of English Heritage’s public output (English Heritage, 2020), Pearson’s book is based on actual primary archaeological evidence, in keeping with its academic nature. What sets it apart from narrower archaeological works, such as Richards’ Stonehenge: The Story So Far (2007), is its interdisciplinary approach, which includes anthropology and comparative studies, which often deal more with narrative history.</w:t>
      </w:r>
    </w:p>
    <w:p w14:paraId="42F61AB6"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Audience</w:t>
      </w:r>
    </w:p>
    <w:p w14:paraId="766B879D"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lastRenderedPageBreak/>
        <w:t>Intended for archaeologists, historians, and students of prehistory, the book is written in an accessible style that is sure to appeal to lovers of the ancient world. Parker Pearson does not get bogged down in overly technical language, making nuanced findings (such as isotopic analysis of where the stones come from) accessible without skimming over them. Relative to Darvill’s Stonehenge: The Biography of a Landscape (2006), which is already aimed at a conditioning scholarly audience, this is a good balance between acknowledging scholarly developments and achieving accessibility to a wider, yet still credible, audience.</w:t>
      </w:r>
    </w:p>
    <w:p w14:paraId="163E8787"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Authorship and Methodology</w:t>
      </w:r>
    </w:p>
    <w:p w14:paraId="77E1F253" w14:textId="3F2AF6A6"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 xml:space="preserve">About the Author Mike Parker Pearson is Professor of Archaeology and the Stonehenge Riverside Project Director. His fieldwork is impressive, including work at the Stonehenge and Durrington Walls. </w:t>
      </w:r>
      <w:r w:rsidRPr="00FE71D5">
        <w:rPr>
          <w:rFonts w:ascii="Aparajita" w:hAnsi="Aparajita" w:cs="Aparajita"/>
          <w:sz w:val="28"/>
          <w:szCs w:val="28"/>
        </w:rPr>
        <w:t>Furthermore,</w:t>
      </w:r>
      <w:r w:rsidRPr="00FE71D5">
        <w:rPr>
          <w:rFonts w:ascii="Aparajita" w:hAnsi="Aparajita" w:cs="Aparajita"/>
          <w:sz w:val="28"/>
          <w:szCs w:val="28"/>
        </w:rPr>
        <w:t xml:space="preserve"> like them, Parker Pearson uses a multi-disciplinary approach: archaeological excavation, isotopic analysis, and comparison with other Neolithic communities outside Britain. This methodology contrasts with earlier, more speculative works explaining Stonehenge, which were concerned with druidic myths and trends towards modern empirical approaches to archaeology, such as Richards (2007) and Darvill (2006).</w:t>
      </w:r>
    </w:p>
    <w:p w14:paraId="321A4168"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Date of publication and the intellectual context</w:t>
      </w:r>
    </w:p>
    <w:p w14:paraId="344BF1F2" w14:textId="6A1B47DD"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 xml:space="preserve">Published in 2012, the book came out during a time when interest in Stonehenge was newly revived, with the explosion of archaeology’s new technologies, such as radiocarbon dating and geophysical surveys. This was an era that saw a departure from romanticised explanations for Stonehenge (such as it being a place where magic occurred or where people could go to get healed) towards evidence-based interpretations such as those suggested by the Stonehenge Riverside Project. Unlike UNESCO’s 1986 report, which was more concerned with the monument’s status as cultural heritage, Parker Pearson’s study falls in line with a trend in historiography that stresses the monument’s social and ritualistic function and plays </w:t>
      </w:r>
      <w:r w:rsidRPr="00FE71D5">
        <w:rPr>
          <w:rFonts w:ascii="Aparajita" w:hAnsi="Aparajita" w:cs="Aparajita"/>
          <w:sz w:val="28"/>
          <w:szCs w:val="28"/>
        </w:rPr>
        <w:t>off</w:t>
      </w:r>
      <w:r w:rsidRPr="00FE71D5">
        <w:rPr>
          <w:rFonts w:ascii="Aparajita" w:hAnsi="Aparajita" w:cs="Aparajita"/>
          <w:sz w:val="28"/>
          <w:szCs w:val="28"/>
        </w:rPr>
        <w:t xml:space="preserve"> the supposed purpose in and against the monument.</w:t>
      </w:r>
    </w:p>
    <w:p w14:paraId="608DAF79"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Content and Arguments</w:t>
      </w:r>
    </w:p>
    <w:p w14:paraId="369197A3"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The book contends that Stonehenge was a memorial to the ancestors, part of an extensive ritualistic landscape with Durrington Walls, a nearby site at which the living resided. Parker Pearson proposes that Stonehenge could have been a place of ancestor worship, a claim supported by his analysis of new findings of cremated human remains dating to the decades after the initial construction of the earliest circle at the site, as well as under the original bluestones. This stands in opposition to theories such as those focusing on the astronomical features (see my essay and supported by English Heritage 2020). The book also emphasises the social collaboration needed to move and raise the stones, portraying Stonehenge as a site of Neolithic social organisation. These lines of argument dovetail directly into the essay’s discussion of Stonehenge as a ceremonial and social institution, deepening its narrative of the monument as a force unifying culture.</w:t>
      </w:r>
    </w:p>
    <w:p w14:paraId="0A732A86"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lastRenderedPageBreak/>
        <w:t>Sources Used</w:t>
      </w:r>
    </w:p>
    <w:p w14:paraId="7F331624"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Parker Pearson draws on firsthand archaeological evidence and folklore ranging from truth to tabloid to uncover what Stonehenge was, how it was used, and who lived in the area at the time. Isotopic analysis has linked the bluestones to the Preseli Hills, and the radiocarbon dating of the burials lends strong support to his theory. Comparisons with other Neolithic landscapes from sites in Orkney further reinforce his arguments regarding ritual landscapes. Yet the book’s standard of comparison might not accommodate Stonehenge’s particularities, a limitation relative to Darvill’s (2006) even more confined site focus. I emphasise that with these quite empirically strong sources, as opposed to speculative ideas in popular literature, although I would have liked to see the book address some competing astronomical interpretations more directly.</w:t>
      </w:r>
    </w:p>
    <w:p w14:paraId="65E55D82"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Strengths and weaknesses</w:t>
      </w:r>
    </w:p>
    <w:p w14:paraId="2B413CF0" w14:textId="3CAC0ECB"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 xml:space="preserve">This book’s strengths are its heavy reliance on archaeological evidence, particularly from excavations, which tend to situate arguments firmly on a material basis. The theory of a ritual landscape connecting Stonehenge with the Durrington Walls is seductive and substantiated by the discoveries of burial and settlement. The book does, however, downplay Stonehenge’s astronomy, where some of its astronomical alignments are simply ignored, including the solstice alignment that is featured in my essay and in English Heritage (2020). This exclusion restricts its discourse on second possibilities and perhaps limits its scope. Finally, although the comparative perspective is revealing, it posits possibly oversimplified Neolithic practices, unlike Richards’ (2007) </w:t>
      </w:r>
      <w:r w:rsidRPr="00FE71D5">
        <w:rPr>
          <w:rFonts w:ascii="Aparajita" w:hAnsi="Aparajita" w:cs="Aparajita"/>
          <w:sz w:val="28"/>
          <w:szCs w:val="28"/>
        </w:rPr>
        <w:t>narrowly tailored</w:t>
      </w:r>
      <w:r w:rsidRPr="00FE71D5">
        <w:rPr>
          <w:rFonts w:ascii="Aparajita" w:hAnsi="Aparajita" w:cs="Aparajita"/>
          <w:sz w:val="28"/>
          <w:szCs w:val="28"/>
        </w:rPr>
        <w:t xml:space="preserve"> narrative.</w:t>
      </w:r>
    </w:p>
    <w:p w14:paraId="70C42D78" w14:textId="77777777"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Conclusion</w:t>
      </w:r>
    </w:p>
    <w:p w14:paraId="3111591B" w14:textId="3B04E64A"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 xml:space="preserve">Stonehenge: A New Understanding is a breathtaking history of one of England's most internationally iconic sites, </w:t>
      </w:r>
      <w:r w:rsidRPr="00FE71D5">
        <w:rPr>
          <w:rFonts w:ascii="Aparajita" w:hAnsi="Aparajita" w:cs="Aparajita"/>
          <w:sz w:val="28"/>
          <w:szCs w:val="28"/>
        </w:rPr>
        <w:t xml:space="preserve">Stonehenge. </w:t>
      </w:r>
      <w:r w:rsidRPr="00FE71D5">
        <w:rPr>
          <w:rFonts w:ascii="Aparajita" w:hAnsi="Aparajita" w:cs="Aparajita"/>
          <w:sz w:val="28"/>
          <w:szCs w:val="28"/>
        </w:rPr>
        <w:t xml:space="preserve">A groundbreaking history of the world's most famous and yet least understood ancient monument, this is an illuminating new investigation of Stonehenge, a compelling account of how the secrets of the monument have been unearthed and a portrait of England, past and present, and its culture. Parker Pearson’s interpretation of the monument as a locus for ancestor worship and social integration, grounded in solid archaeological evidence, both affirms and complements the argument I make in my essay. As a sample of the book’s value, the fact that no other work has so nicely combines these two aspects of type structure fairly leaps into the reader’s view although this is also the book’s chief fault, namely, that it tends to err on the side of too little recognition of astronomical functions and has modest regard for the future development of the field. With Stonehenge located in a ritual landscape, its cultural and historical significance is enhanced and its enigma </w:t>
      </w:r>
      <w:r w:rsidRPr="00FE71D5">
        <w:rPr>
          <w:rFonts w:ascii="Aparajita" w:hAnsi="Aparajita" w:cs="Aparajita"/>
          <w:sz w:val="28"/>
          <w:szCs w:val="28"/>
        </w:rPr>
        <w:t>continued fuel</w:t>
      </w:r>
      <w:r w:rsidRPr="00FE71D5">
        <w:rPr>
          <w:rFonts w:ascii="Aparajita" w:hAnsi="Aparajita" w:cs="Aparajita"/>
          <w:sz w:val="28"/>
          <w:szCs w:val="28"/>
        </w:rPr>
        <w:t xml:space="preserve"> to fire the imagination with and to project, the making of a mystery for posterity to sift.</w:t>
      </w:r>
    </w:p>
    <w:p w14:paraId="0B641BF3" w14:textId="77777777" w:rsidR="00FE71D5" w:rsidRPr="00FE71D5" w:rsidRDefault="00FE71D5" w:rsidP="00FE71D5">
      <w:pPr>
        <w:pStyle w:val="NormalWeb"/>
        <w:rPr>
          <w:rFonts w:ascii="Aparajita" w:hAnsi="Aparajita" w:cs="Aparajita"/>
          <w:b/>
          <w:bCs/>
          <w:sz w:val="28"/>
          <w:szCs w:val="28"/>
        </w:rPr>
      </w:pPr>
    </w:p>
    <w:p w14:paraId="4375E9B1" w14:textId="50ADB7FE" w:rsidR="00FE71D5" w:rsidRPr="00FE71D5" w:rsidRDefault="00FE71D5" w:rsidP="00FE71D5">
      <w:pPr>
        <w:pStyle w:val="NormalWeb"/>
        <w:rPr>
          <w:rFonts w:ascii="Aparajita" w:hAnsi="Aparajita" w:cs="Aparajita"/>
          <w:b/>
          <w:bCs/>
          <w:sz w:val="28"/>
          <w:szCs w:val="28"/>
        </w:rPr>
      </w:pPr>
      <w:r w:rsidRPr="00FE71D5">
        <w:rPr>
          <w:rFonts w:ascii="Aparajita" w:hAnsi="Aparajita" w:cs="Aparajita"/>
          <w:b/>
          <w:bCs/>
          <w:sz w:val="28"/>
          <w:szCs w:val="28"/>
        </w:rPr>
        <w:t xml:space="preserve">Bibliography </w:t>
      </w:r>
    </w:p>
    <w:p w14:paraId="2D13D591" w14:textId="1A90E38A"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lastRenderedPageBreak/>
        <w:t>Darvill, T., 2006. Stonehenge: Biography of a Landscape Stroud: Tempus.</w:t>
      </w:r>
    </w:p>
    <w:p w14:paraId="6CF4E614"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English Heritage, 2020. Stonehenge. Available at: https://www.english-heritage.org.uk/visit/places/stonehenge/.</w:t>
      </w:r>
    </w:p>
    <w:p w14:paraId="0A2B80C5"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Parker Pearson, M., 2012. Stonehenge: A New Understanding of the Greatest Stone Age Mystery.” London: Simon &amp; Schuster.</w:t>
      </w:r>
    </w:p>
    <w:p w14:paraId="41F7CC39"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Richards, J., 2007. Stonehenge: The Story So Far. Swindon: English Heritage.</w:t>
      </w:r>
    </w:p>
    <w:p w14:paraId="5A628B8F" w14:textId="77777777" w:rsidR="00FE71D5" w:rsidRPr="00FE71D5" w:rsidRDefault="00FE71D5" w:rsidP="00FE71D5">
      <w:pPr>
        <w:pStyle w:val="NormalWeb"/>
        <w:rPr>
          <w:rFonts w:ascii="Aparajita" w:hAnsi="Aparajita" w:cs="Aparajita"/>
          <w:sz w:val="28"/>
          <w:szCs w:val="28"/>
        </w:rPr>
      </w:pPr>
      <w:r w:rsidRPr="00FE71D5">
        <w:rPr>
          <w:rFonts w:ascii="Aparajita" w:hAnsi="Aparajita" w:cs="Aparajita"/>
          <w:sz w:val="28"/>
          <w:szCs w:val="28"/>
        </w:rPr>
        <w:t>UNESCO, 1986. Stonehenge, Avebury and Associated Sites [online] https://whc.unesco.org/en/list/373.</w:t>
      </w:r>
    </w:p>
    <w:p w14:paraId="1470AEA4" w14:textId="77777777" w:rsidR="00505425" w:rsidRPr="00FE71D5" w:rsidRDefault="00505425">
      <w:pPr>
        <w:rPr>
          <w:rFonts w:ascii="Aparajita" w:hAnsi="Aparajita" w:cs="Aparajita"/>
          <w:sz w:val="28"/>
          <w:szCs w:val="28"/>
        </w:rPr>
      </w:pPr>
    </w:p>
    <w:sectPr w:rsidR="00505425" w:rsidRPr="00FE7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1D5"/>
    <w:rsid w:val="00505425"/>
    <w:rsid w:val="007B2215"/>
    <w:rsid w:val="00FE7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7C639"/>
  <w15:chartTrackingRefBased/>
  <w15:docId w15:val="{D197D78C-72B4-477A-87B7-522122B7B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7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7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7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7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7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7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7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7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7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7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1D5"/>
    <w:rPr>
      <w:rFonts w:eastAsiaTheme="majorEastAsia" w:cstheme="majorBidi"/>
      <w:color w:val="272727" w:themeColor="text1" w:themeTint="D8"/>
    </w:rPr>
  </w:style>
  <w:style w:type="paragraph" w:styleId="Title">
    <w:name w:val="Title"/>
    <w:basedOn w:val="Normal"/>
    <w:next w:val="Normal"/>
    <w:link w:val="TitleChar"/>
    <w:uiPriority w:val="10"/>
    <w:qFormat/>
    <w:rsid w:val="00FE7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1D5"/>
    <w:pPr>
      <w:spacing w:before="160"/>
      <w:jc w:val="center"/>
    </w:pPr>
    <w:rPr>
      <w:i/>
      <w:iCs/>
      <w:color w:val="404040" w:themeColor="text1" w:themeTint="BF"/>
    </w:rPr>
  </w:style>
  <w:style w:type="character" w:customStyle="1" w:styleId="QuoteChar">
    <w:name w:val="Quote Char"/>
    <w:basedOn w:val="DefaultParagraphFont"/>
    <w:link w:val="Quote"/>
    <w:uiPriority w:val="29"/>
    <w:rsid w:val="00FE71D5"/>
    <w:rPr>
      <w:i/>
      <w:iCs/>
      <w:color w:val="404040" w:themeColor="text1" w:themeTint="BF"/>
    </w:rPr>
  </w:style>
  <w:style w:type="paragraph" w:styleId="ListParagraph">
    <w:name w:val="List Paragraph"/>
    <w:basedOn w:val="Normal"/>
    <w:uiPriority w:val="34"/>
    <w:qFormat/>
    <w:rsid w:val="00FE71D5"/>
    <w:pPr>
      <w:ind w:left="720"/>
      <w:contextualSpacing/>
    </w:pPr>
  </w:style>
  <w:style w:type="character" w:styleId="IntenseEmphasis">
    <w:name w:val="Intense Emphasis"/>
    <w:basedOn w:val="DefaultParagraphFont"/>
    <w:uiPriority w:val="21"/>
    <w:qFormat/>
    <w:rsid w:val="00FE71D5"/>
    <w:rPr>
      <w:i/>
      <w:iCs/>
      <w:color w:val="0F4761" w:themeColor="accent1" w:themeShade="BF"/>
    </w:rPr>
  </w:style>
  <w:style w:type="paragraph" w:styleId="IntenseQuote">
    <w:name w:val="Intense Quote"/>
    <w:basedOn w:val="Normal"/>
    <w:next w:val="Normal"/>
    <w:link w:val="IntenseQuoteChar"/>
    <w:uiPriority w:val="30"/>
    <w:qFormat/>
    <w:rsid w:val="00FE7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71D5"/>
    <w:rPr>
      <w:i/>
      <w:iCs/>
      <w:color w:val="0F4761" w:themeColor="accent1" w:themeShade="BF"/>
    </w:rPr>
  </w:style>
  <w:style w:type="character" w:styleId="IntenseReference">
    <w:name w:val="Intense Reference"/>
    <w:basedOn w:val="DefaultParagraphFont"/>
    <w:uiPriority w:val="32"/>
    <w:qFormat/>
    <w:rsid w:val="00FE71D5"/>
    <w:rPr>
      <w:b/>
      <w:bCs/>
      <w:smallCaps/>
      <w:color w:val="0F4761" w:themeColor="accent1" w:themeShade="BF"/>
      <w:spacing w:val="5"/>
    </w:rPr>
  </w:style>
  <w:style w:type="paragraph" w:styleId="NormalWeb">
    <w:name w:val="Normal (Web)"/>
    <w:basedOn w:val="Normal"/>
    <w:uiPriority w:val="99"/>
    <w:semiHidden/>
    <w:unhideWhenUsed/>
    <w:rsid w:val="00FE71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906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1249</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2025-07-17T07:53:00Z</dcterms:created>
  <dcterms:modified xsi:type="dcterms:W3CDTF">2025-07-17T08:05:00Z</dcterms:modified>
</cp:coreProperties>
</file>