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1F0D8B" wp14:paraId="415BE7D1" wp14:textId="37A0575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BMTP5020</w:t>
      </w:r>
    </w:p>
    <w:p xmlns:wp14="http://schemas.microsoft.com/office/word/2010/wordml" w:rsidP="461F0D8B" wp14:paraId="3D248D33" wp14:textId="1767985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Tamara Louise Crookes 2305429</w:t>
      </w:r>
    </w:p>
    <w:p xmlns:wp14="http://schemas.microsoft.com/office/word/2010/wordml" w:rsidP="461F0D8B" wp14:paraId="7A27011F" wp14:textId="0F7A966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Jacqui jones </w:t>
      </w:r>
    </w:p>
    <w:p xmlns:wp14="http://schemas.microsoft.com/office/word/2010/wordml" w:rsidP="461F0D8B" wp14:paraId="2301263F" wp14:textId="20C2AD8A">
      <w:pPr>
        <w:rPr>
          <w:rFonts w:ascii="Aptos" w:hAnsi="Aptos" w:eastAsia="Aptos" w:cs="Aptos"/>
          <w:b w:val="0"/>
          <w:bCs w:val="0"/>
          <w:i w:val="0"/>
          <w:iCs w:val="0"/>
          <w:caps w:val="0"/>
          <w:smallCaps w:val="0"/>
          <w:noProof w:val="0"/>
          <w:color w:val="000000" w:themeColor="text1" w:themeTint="FF" w:themeShade="FF"/>
          <w:sz w:val="24"/>
          <w:szCs w:val="24"/>
          <w:lang w:val="en-GB"/>
        </w:rPr>
      </w:pPr>
      <w:r w:rsidR="1E4541BB">
        <w:drawing>
          <wp:inline xmlns:wp14="http://schemas.microsoft.com/office/word/2010/wordprocessingDrawing" wp14:editId="163F6E3D" wp14:anchorId="4FE6C60D">
            <wp:extent cx="5724525" cy="2857500"/>
            <wp:effectExtent l="0" t="0" r="0" b="0"/>
            <wp:docPr id="1999612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961254" name="Picture 199961254"/>
                    <pic:cNvPicPr/>
                  </pic:nvPicPr>
                  <pic:blipFill>
                    <a:blip xmlns:r="http://schemas.openxmlformats.org/officeDocument/2006/relationships" r:embed="rId1964752673">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xmlns:wp14="http://schemas.microsoft.com/office/word/2010/wordml" w:rsidP="461F0D8B" wp14:paraId="3565444F" wp14:textId="08C8A2AA">
      <w:pPr>
        <w:tabs>
          <w:tab w:val="right" w:leader="dot" w:pos="9015"/>
        </w:tabs>
        <w:spacing w:after="100"/>
        <w:ind w:left="220"/>
        <w:rPr>
          <w:rFonts w:ascii="Aptos" w:hAnsi="Aptos" w:eastAsia="Aptos" w:cs="Aptos"/>
          <w:b w:val="0"/>
          <w:bCs w:val="0"/>
          <w:i w:val="0"/>
          <w:iCs w:val="0"/>
          <w:caps w:val="0"/>
          <w:smallCaps w:val="0"/>
          <w:noProof w:val="0"/>
          <w:color w:val="000000" w:themeColor="text1" w:themeTint="FF" w:themeShade="FF"/>
          <w:sz w:val="24"/>
          <w:szCs w:val="24"/>
          <w:lang w:val="en-GB"/>
        </w:rPr>
      </w:pPr>
      <w:r w:rsidRPr="461F0D8B" w:rsidR="1E4541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sdt>
      <w:sdtPr>
        <w:id w:val="322358619"/>
        <w:docPartObj>
          <w:docPartGallery w:val="Table of Contents"/>
          <w:docPartUnique/>
        </w:docPartObj>
      </w:sdtPr>
      <w:sdtContent>
        <w:p xmlns:wp14="http://schemas.microsoft.com/office/word/2010/wordml" w:rsidP="461F0D8B" wp14:paraId="46535FCE" wp14:textId="6C42928D">
          <w:pPr>
            <w:pStyle w:val="TOC2"/>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"_Toc537749159" </w:instrText>
          </w:r>
          <w:r>
            <w:fldChar w:fldCharType="separate"/>
          </w:r>
          <w:r w:rsidRPr="461F0D8B" w:rsidR="461F0D8B">
            <w:rPr>
              <w:rStyle w:val="Hyperlink"/>
            </w:rPr>
            <w:t>The Impacts of the Paris 2024 Olympic Games on Tourism: A Critical Investigation</w:t>
          </w:r>
          <w:r>
            <w:tab/>
          </w:r>
          <w:r>
            <w:fldChar w:fldCharType="begin"/>
          </w:r>
          <w:r>
            <w:instrText xml:space="preserve">PAGEREF _Toc537749159 \h</w:instrText>
          </w:r>
          <w:r>
            <w:fldChar w:fldCharType="separate"/>
          </w:r>
          <w:r w:rsidRPr="461F0D8B" w:rsidR="461F0D8B">
            <w:rPr>
              <w:rStyle w:val="Hyperlink"/>
            </w:rPr>
            <w:t>1</w:t>
          </w:r>
          <w:r>
            <w:fldChar w:fldCharType="end"/>
          </w:r>
          <w:r>
            <w:fldChar w:fldCharType="end"/>
          </w:r>
        </w:p>
        <w:p xmlns:wp14="http://schemas.microsoft.com/office/word/2010/wordml" w:rsidP="461F0D8B" wp14:paraId="5F7E2C32" wp14:textId="1AD0FB71">
          <w:pPr>
            <w:pStyle w:val="TOC2"/>
            <w:tabs>
              <w:tab w:val="right" w:leader="dot" w:pos="9015"/>
            </w:tabs>
            <w:bidi w:val="0"/>
            <w:rPr>
              <w:rStyle w:val="Hyperlink"/>
            </w:rPr>
          </w:pPr>
          <w:r>
            <w:fldChar w:fldCharType="begin"/>
          </w:r>
          <w:r>
            <w:instrText xml:space="preserve">HYPERLINK  \l  "_Toc1626152145" </w:instrText>
          </w:r>
          <w:r>
            <w:fldChar w:fldCharType="separate"/>
          </w:r>
          <w:r w:rsidRPr="461F0D8B" w:rsidR="461F0D8B">
            <w:rPr>
              <w:rStyle w:val="Hyperlink"/>
            </w:rPr>
            <w:t>Introduction</w:t>
          </w:r>
          <w:r>
            <w:tab/>
          </w:r>
          <w:r>
            <w:fldChar w:fldCharType="begin"/>
          </w:r>
          <w:r>
            <w:instrText xml:space="preserve">PAGEREF _Toc1626152145 \h</w:instrText>
          </w:r>
          <w:r>
            <w:fldChar w:fldCharType="separate"/>
          </w:r>
          <w:r w:rsidRPr="461F0D8B" w:rsidR="461F0D8B">
            <w:rPr>
              <w:rStyle w:val="Hyperlink"/>
            </w:rPr>
            <w:t>1</w:t>
          </w:r>
          <w:r>
            <w:fldChar w:fldCharType="end"/>
          </w:r>
          <w:r>
            <w:fldChar w:fldCharType="end"/>
          </w:r>
        </w:p>
        <w:p xmlns:wp14="http://schemas.microsoft.com/office/word/2010/wordml" w:rsidP="461F0D8B" wp14:paraId="1B78F099" wp14:textId="77147801">
          <w:pPr>
            <w:pStyle w:val="TOC2"/>
            <w:tabs>
              <w:tab w:val="right" w:leader="dot" w:pos="9015"/>
            </w:tabs>
            <w:bidi w:val="0"/>
            <w:rPr>
              <w:rStyle w:val="Hyperlink"/>
            </w:rPr>
          </w:pPr>
          <w:r>
            <w:fldChar w:fldCharType="begin"/>
          </w:r>
          <w:r>
            <w:instrText xml:space="preserve">HYPERLINK  \l  "_Toc769060048" </w:instrText>
          </w:r>
          <w:r>
            <w:fldChar w:fldCharType="separate"/>
          </w:r>
          <w:r w:rsidRPr="461F0D8B" w:rsidR="461F0D8B">
            <w:rPr>
              <w:rStyle w:val="Hyperlink"/>
            </w:rPr>
            <w:t>Paris a World Tourism Destination in the Lead Up to the 2024 Olympic Games.</w:t>
          </w:r>
          <w:r>
            <w:tab/>
          </w:r>
          <w:r>
            <w:fldChar w:fldCharType="begin"/>
          </w:r>
          <w:r>
            <w:instrText xml:space="preserve">PAGEREF _Toc769060048 \h</w:instrText>
          </w:r>
          <w:r>
            <w:fldChar w:fldCharType="separate"/>
          </w:r>
          <w:r w:rsidRPr="461F0D8B" w:rsidR="461F0D8B">
            <w:rPr>
              <w:rStyle w:val="Hyperlink"/>
            </w:rPr>
            <w:t>2</w:t>
          </w:r>
          <w:r>
            <w:fldChar w:fldCharType="end"/>
          </w:r>
          <w:r>
            <w:fldChar w:fldCharType="end"/>
          </w:r>
        </w:p>
        <w:p xmlns:wp14="http://schemas.microsoft.com/office/word/2010/wordml" w:rsidP="461F0D8B" wp14:paraId="01DA3D95" wp14:textId="1D3865E2">
          <w:pPr>
            <w:pStyle w:val="TOC2"/>
            <w:tabs>
              <w:tab w:val="right" w:leader="dot" w:pos="9015"/>
            </w:tabs>
            <w:bidi w:val="0"/>
            <w:rPr>
              <w:rStyle w:val="Hyperlink"/>
            </w:rPr>
          </w:pPr>
          <w:r>
            <w:fldChar w:fldCharType="begin"/>
          </w:r>
          <w:r>
            <w:instrText xml:space="preserve">HYPERLINK  \l  "_Toc182572013" </w:instrText>
          </w:r>
          <w:r>
            <w:fldChar w:fldCharType="separate"/>
          </w:r>
          <w:r w:rsidRPr="461F0D8B" w:rsidR="461F0D8B">
            <w:rPr>
              <w:rStyle w:val="Hyperlink"/>
            </w:rPr>
            <w:t>Positive Tourism Impacts of Paris 2024 Olympic Games</w:t>
          </w:r>
          <w:r>
            <w:tab/>
          </w:r>
          <w:r>
            <w:fldChar w:fldCharType="begin"/>
          </w:r>
          <w:r>
            <w:instrText xml:space="preserve">PAGEREF _Toc182572013 \h</w:instrText>
          </w:r>
          <w:r>
            <w:fldChar w:fldCharType="separate"/>
          </w:r>
          <w:r w:rsidRPr="461F0D8B" w:rsidR="461F0D8B">
            <w:rPr>
              <w:rStyle w:val="Hyperlink"/>
            </w:rPr>
            <w:t>3</w:t>
          </w:r>
          <w:r>
            <w:fldChar w:fldCharType="end"/>
          </w:r>
          <w:r>
            <w:fldChar w:fldCharType="end"/>
          </w:r>
        </w:p>
        <w:p xmlns:wp14="http://schemas.microsoft.com/office/word/2010/wordml" w:rsidP="461F0D8B" wp14:paraId="41881024" wp14:textId="54421B3D">
          <w:pPr>
            <w:pStyle w:val="TOC2"/>
            <w:tabs>
              <w:tab w:val="right" w:leader="dot" w:pos="9015"/>
            </w:tabs>
            <w:bidi w:val="0"/>
            <w:rPr>
              <w:rStyle w:val="Hyperlink"/>
            </w:rPr>
          </w:pPr>
          <w:r>
            <w:fldChar w:fldCharType="begin"/>
          </w:r>
          <w:r>
            <w:instrText xml:space="preserve">HYPERLINK  \l  "_Toc138944273" </w:instrText>
          </w:r>
          <w:r>
            <w:fldChar w:fldCharType="separate"/>
          </w:r>
          <w:r w:rsidRPr="461F0D8B" w:rsidR="461F0D8B">
            <w:rPr>
              <w:rStyle w:val="Hyperlink"/>
            </w:rPr>
            <w:t>Negative Effects of Tourism and Challenges of Paris 2024 Olympic Games</w:t>
          </w:r>
          <w:r>
            <w:tab/>
          </w:r>
          <w:r>
            <w:fldChar w:fldCharType="begin"/>
          </w:r>
          <w:r>
            <w:instrText xml:space="preserve">PAGEREF _Toc138944273 \h</w:instrText>
          </w:r>
          <w:r>
            <w:fldChar w:fldCharType="separate"/>
          </w:r>
          <w:r w:rsidRPr="461F0D8B" w:rsidR="461F0D8B">
            <w:rPr>
              <w:rStyle w:val="Hyperlink"/>
            </w:rPr>
            <w:t>4</w:t>
          </w:r>
          <w:r>
            <w:fldChar w:fldCharType="end"/>
          </w:r>
          <w:r>
            <w:fldChar w:fldCharType="end"/>
          </w:r>
        </w:p>
        <w:p xmlns:wp14="http://schemas.microsoft.com/office/word/2010/wordml" w:rsidP="461F0D8B" wp14:paraId="23CFD991" wp14:textId="5A2590E4">
          <w:pPr>
            <w:pStyle w:val="TOC2"/>
            <w:tabs>
              <w:tab w:val="right" w:leader="dot" w:pos="9015"/>
            </w:tabs>
            <w:bidi w:val="0"/>
            <w:rPr>
              <w:rStyle w:val="Hyperlink"/>
            </w:rPr>
          </w:pPr>
          <w:r>
            <w:fldChar w:fldCharType="begin"/>
          </w:r>
          <w:r>
            <w:instrText xml:space="preserve">HYPERLINK  \l  "_Toc99247670" </w:instrText>
          </w:r>
          <w:r>
            <w:fldChar w:fldCharType="separate"/>
          </w:r>
          <w:r w:rsidRPr="461F0D8B" w:rsidR="461F0D8B">
            <w:rPr>
              <w:rStyle w:val="Hyperlink"/>
            </w:rPr>
            <w:t>Sustainability and Legacy of Paris 2024</w:t>
          </w:r>
          <w:r>
            <w:tab/>
          </w:r>
          <w:r>
            <w:fldChar w:fldCharType="begin"/>
          </w:r>
          <w:r>
            <w:instrText xml:space="preserve">PAGEREF _Toc99247670 \h</w:instrText>
          </w:r>
          <w:r>
            <w:fldChar w:fldCharType="separate"/>
          </w:r>
          <w:r w:rsidRPr="461F0D8B" w:rsidR="461F0D8B">
            <w:rPr>
              <w:rStyle w:val="Hyperlink"/>
            </w:rPr>
            <w:t>5</w:t>
          </w:r>
          <w:r>
            <w:fldChar w:fldCharType="end"/>
          </w:r>
          <w:r>
            <w:fldChar w:fldCharType="end"/>
          </w:r>
        </w:p>
        <w:p xmlns:wp14="http://schemas.microsoft.com/office/word/2010/wordml" w:rsidP="461F0D8B" wp14:paraId="4A430314" wp14:textId="5D2D6D87">
          <w:pPr>
            <w:pStyle w:val="TOC2"/>
            <w:tabs>
              <w:tab w:val="right" w:leader="dot" w:pos="9015"/>
            </w:tabs>
            <w:bidi w:val="0"/>
            <w:rPr>
              <w:rStyle w:val="Hyperlink"/>
            </w:rPr>
          </w:pPr>
          <w:r>
            <w:fldChar w:fldCharType="begin"/>
          </w:r>
          <w:r>
            <w:instrText xml:space="preserve">HYPERLINK  \l  "_Toc1164465076" </w:instrText>
          </w:r>
          <w:r>
            <w:fldChar w:fldCharType="separate"/>
          </w:r>
          <w:r w:rsidRPr="461F0D8B" w:rsidR="461F0D8B">
            <w:rPr>
              <w:rStyle w:val="Hyperlink"/>
            </w:rPr>
            <w:t>Critical assessment of the tourism impacts of Paris 2024</w:t>
          </w:r>
          <w:r>
            <w:tab/>
          </w:r>
          <w:r>
            <w:fldChar w:fldCharType="begin"/>
          </w:r>
          <w:r>
            <w:instrText xml:space="preserve">PAGEREF _Toc1164465076 \h</w:instrText>
          </w:r>
          <w:r>
            <w:fldChar w:fldCharType="separate"/>
          </w:r>
          <w:r w:rsidRPr="461F0D8B" w:rsidR="461F0D8B">
            <w:rPr>
              <w:rStyle w:val="Hyperlink"/>
            </w:rPr>
            <w:t>6</w:t>
          </w:r>
          <w:r>
            <w:fldChar w:fldCharType="end"/>
          </w:r>
          <w:r>
            <w:fldChar w:fldCharType="end"/>
          </w:r>
        </w:p>
        <w:p xmlns:wp14="http://schemas.microsoft.com/office/word/2010/wordml" w:rsidP="461F0D8B" wp14:paraId="55F94309" wp14:textId="1F5B648A">
          <w:pPr>
            <w:pStyle w:val="TOC2"/>
            <w:tabs>
              <w:tab w:val="right" w:leader="dot" w:pos="9015"/>
            </w:tabs>
            <w:bidi w:val="0"/>
            <w:rPr>
              <w:rStyle w:val="Hyperlink"/>
            </w:rPr>
          </w:pPr>
          <w:r>
            <w:fldChar w:fldCharType="begin"/>
          </w:r>
          <w:r>
            <w:instrText xml:space="preserve">HYPERLINK  \l  "_Toc800319565" </w:instrText>
          </w:r>
          <w:r>
            <w:fldChar w:fldCharType="separate"/>
          </w:r>
          <w:r w:rsidRPr="461F0D8B" w:rsidR="461F0D8B">
            <w:rPr>
              <w:rStyle w:val="Hyperlink"/>
            </w:rPr>
            <w:t>Conclusion</w:t>
          </w:r>
          <w:r>
            <w:tab/>
          </w:r>
          <w:r>
            <w:fldChar w:fldCharType="begin"/>
          </w:r>
          <w:r>
            <w:instrText xml:space="preserve">PAGEREF _Toc800319565 \h</w:instrText>
          </w:r>
          <w:r>
            <w:fldChar w:fldCharType="separate"/>
          </w:r>
          <w:r w:rsidRPr="461F0D8B" w:rsidR="461F0D8B">
            <w:rPr>
              <w:rStyle w:val="Hyperlink"/>
            </w:rPr>
            <w:t>6</w:t>
          </w:r>
          <w:r>
            <w:fldChar w:fldCharType="end"/>
          </w:r>
          <w:r>
            <w:fldChar w:fldCharType="end"/>
          </w:r>
        </w:p>
        <w:p xmlns:wp14="http://schemas.microsoft.com/office/word/2010/wordml" w:rsidP="461F0D8B" wp14:paraId="569AFB9E" wp14:textId="1D0809FC">
          <w:pPr>
            <w:pStyle w:val="TOC2"/>
            <w:tabs>
              <w:tab w:val="right" w:leader="dot" w:pos="9015"/>
            </w:tabs>
            <w:bidi w:val="0"/>
            <w:rPr>
              <w:rStyle w:val="Hyperlink"/>
            </w:rPr>
          </w:pPr>
          <w:r>
            <w:fldChar w:fldCharType="begin"/>
          </w:r>
          <w:r>
            <w:instrText xml:space="preserve">HYPERLINK  \l  "_Toc679283258" </w:instrText>
          </w:r>
          <w:r>
            <w:fldChar w:fldCharType="separate"/>
          </w:r>
          <w:r w:rsidRPr="461F0D8B" w:rsidR="461F0D8B">
            <w:rPr>
              <w:rStyle w:val="Hyperlink"/>
            </w:rPr>
            <w:t>bibliography</w:t>
          </w:r>
          <w:r>
            <w:tab/>
          </w:r>
          <w:r>
            <w:fldChar w:fldCharType="begin"/>
          </w:r>
          <w:r>
            <w:instrText xml:space="preserve">PAGEREF _Toc679283258 \h</w:instrText>
          </w:r>
          <w:r>
            <w:fldChar w:fldCharType="separate"/>
          </w:r>
          <w:r w:rsidRPr="461F0D8B" w:rsidR="461F0D8B">
            <w:rPr>
              <w:rStyle w:val="Hyperlink"/>
            </w:rPr>
            <w:t>6</w:t>
          </w:r>
          <w:r>
            <w:fldChar w:fldCharType="end"/>
          </w:r>
          <w:r>
            <w:fldChar w:fldCharType="end"/>
          </w:r>
        </w:p>
        <w:p xmlns:wp14="http://schemas.microsoft.com/office/word/2010/wordml" wp14:paraId="779F1AD6" wp14:textId="36929E28">
          <w:r>
            <w:fldChar w:fldCharType="end"/>
          </w:r>
        </w:p>
      </w:sdtContent>
    </w:sdt>
    <w:p xmlns:wp14="http://schemas.microsoft.com/office/word/2010/wordml" w:rsidP="461F0D8B" wp14:paraId="34E27231" wp14:textId="2049E1C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5C7B45C3" wp14:textId="3ECA5817">
      <w:pPr>
        <w:rPr>
          <w:rFonts w:ascii="Aptos" w:hAnsi="Aptos" w:eastAsia="Aptos" w:cs="Aptos"/>
          <w:b w:val="0"/>
          <w:bCs w:val="0"/>
          <w:i w:val="0"/>
          <w:iCs w:val="0"/>
          <w:caps w:val="0"/>
          <w:smallCaps w:val="0"/>
          <w:noProof w:val="0"/>
          <w:color w:val="000000" w:themeColor="text1" w:themeTint="FF" w:themeShade="FF"/>
          <w:sz w:val="24"/>
          <w:szCs w:val="24"/>
          <w:lang w:val="en-GB"/>
        </w:rPr>
      </w:pPr>
      <w:r w:rsidRPr="461F0D8B" w:rsidR="1E4541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61F0D8B" wp14:paraId="13910BF2" wp14:textId="43E51C4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0A7BE2AA" wp14:textId="27D976F8">
      <w:pPr>
        <w:pStyle w:val="Heading2"/>
        <w:keepNext w:val="1"/>
        <w:keepLines w:val="1"/>
        <w:spacing w:before="160" w:after="80"/>
        <w:jc w:val="center"/>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537749159" w:id="1783722871"/>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The Impacts of the Paris 2024 Olympic Games on Tourism: A Critical Investigation</w:t>
      </w:r>
      <w:bookmarkEnd w:id="1783722871"/>
    </w:p>
    <w:p xmlns:wp14="http://schemas.microsoft.com/office/word/2010/wordml" w:rsidP="461F0D8B" wp14:paraId="2252A8FC" wp14:textId="605331C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3E5E0810" wp14:textId="3889E3A1">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626152145" w:id="650733152"/>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Introduction</w:t>
      </w:r>
      <w:bookmarkEnd w:id="650733152"/>
    </w:p>
    <w:p xmlns:wp14="http://schemas.microsoft.com/office/word/2010/wordml" w:rsidP="461F0D8B" wp14:paraId="478B9C71" wp14:textId="7AD161E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International tourism has developed to encompass mass tourist events that attract international visitors, promote the image of the destination and stimulate economic growth. The Olympics are now seen as important tourism opportunities that can influence destination competitiveness, infrastructure development and long-term visitor demand (Getz, 2005; Ritchie, 1999). In a competitive global market, the hosting of a significant event can enhance a destination’s international profile and tourism appeal (Ritchie and Crouch, 2003). </w:t>
      </w:r>
    </w:p>
    <w:p xmlns:wp14="http://schemas.microsoft.com/office/word/2010/wordml" w:rsidP="461F0D8B" wp14:paraId="6021F0B6" wp14:textId="1CDCBD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2024 Olympic and Paralympic Games in Paris gave us the opportunity to examine mega-events and tourism. The city was a good host for the event because of its cultural attractions, transport networks and global status. During the Olympics, Paris welcomed 11.2 million visitors, including 3.1 million tourists, a 19.2% increase compared to 2023 (Paris je t'aime, 2024). Mega-events can enhance tourism, but research shows the effects are complicated and can lead to sustainability, visitor pressure, financial repercussions and local community impacts. </w:t>
      </w:r>
    </w:p>
    <w:p xmlns:wp14="http://schemas.microsoft.com/office/word/2010/wordml" w:rsidP="461F0D8B" wp14:paraId="28F0E72A" wp14:textId="543039B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report offers an impartial assessment of the tourist benefits of the Paris 2024 Olympic Games, balancing up the pros and cons of hosting a large sporting event. The discussion will cover the economic impact, destination marketing, infrastructural enhancements, tourist experiences, sustainability and the long-term legacy of the Games. </w:t>
      </w:r>
    </w:p>
    <w:p xmlns:wp14="http://schemas.microsoft.com/office/word/2010/wordml" w:rsidP="461F0D8B" wp14:paraId="3A655FBD" wp14:textId="7B73FAE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Olympic Games help tourism growth and regeneration, however, the extent of this depends on good planning and long-term strategic management (Getz, 2005). Hence, this analysis will critically evaluate if Paris 2024 has left a legacy of sustainable tourism, or if challenges of mega events limited its impact on the area.</w:t>
      </w:r>
    </w:p>
    <w:p xmlns:wp14="http://schemas.microsoft.com/office/word/2010/wordml" w:rsidP="461F0D8B" wp14:paraId="435D9C8E" wp14:textId="1B6EA34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4AB2C98B" wp14:textId="245B18F9">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769060048" w:id="1345101076"/>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Paris a World Tourism Destination in the Lead Up to the 2024 Olympic Games.</w:t>
      </w:r>
      <w:bookmarkEnd w:id="1345101076"/>
    </w:p>
    <w:p xmlns:wp14="http://schemas.microsoft.com/office/word/2010/wordml" w:rsidP="461F0D8B" wp14:paraId="004EC26F" wp14:textId="741F3B0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Paris was a top tourist destination before the 2024 Olympic and Paralympic Games due to its cultural history, famous sites, and global reputation. The city's historical landmarks, museums, food, fashion, and entertainment make it competitive in the global tourism market. Greater Paris received approximately 37 million tourists in 2023, a significant return from pre-pandemic levels and reflecting the region's economy's dependence on tourism (Paris je t'aime, 2024). </w:t>
      </w:r>
    </w:p>
    <w:p xmlns:wp14="http://schemas.microsoft.com/office/word/2010/wordml" w:rsidP="461F0D8B" wp14:paraId="6EEB1438" wp14:textId="76D1D8A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paris's destination competitiveness can be assessed using Ritchie and Crouch's (2003) Destination Competitiveness Model, which suggests successful tourism destinations need core resources and attractions, supporting infrastructure, destination management, and effective marketing. Paris has many competitive advantages, including the Eiffel Tower, Louvre, and Notre-Dame Cathedral. </w:t>
      </w:r>
    </w:p>
    <w:p xmlns:wp14="http://schemas.microsoft.com/office/word/2010/wordml" w:rsidP="461F0D8B" wp14:paraId="4D65638A" wp14:textId="40AC82A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Butler's (1980) Tourism Area Life Cycle model can help explain Paris' maturity as a tourist destination. The hypothesis states that destinations explore, develop, consolidate, and possibly stagnate. Paris, a popular tourist destination, is in the latter stages of this concept. Destination administrators need to balance visitor congestion, authenticity, and sustainable tourism expansion. </w:t>
      </w:r>
    </w:p>
    <w:p xmlns:wp14="http://schemas.microsoft.com/office/word/2010/wordml" w:rsidP="461F0D8B" wp14:paraId="329A5281" wp14:textId="317CD9D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Paris may boost its global image and attract visitors during the Olympics. Mega-events can boost tourism awareness, attract new visitors, nd create long-term development potential (Getz 2005). However, these activities succeed if their advantages last and leave a legacy. Paris was strong for tourism before the Olympics, but the event presented issues in visitor management, sustainability, and the longer-term balance between tourism expansion and local community requirements.</w:t>
      </w:r>
    </w:p>
    <w:p xmlns:wp14="http://schemas.microsoft.com/office/word/2010/wordml" w:rsidP="461F0D8B" wp14:paraId="48296D05" wp14:textId="5CCD693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5765C276" wp14:textId="03782E4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82572013" w:id="462439875"/>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Positive Tourism Impacts of Paris 2024 Olympic Games</w:t>
      </w:r>
      <w:bookmarkEnd w:id="462439875"/>
    </w:p>
    <w:p xmlns:wp14="http://schemas.microsoft.com/office/word/2010/wordml" w:rsidP="461F0D8B" wp14:paraId="74C2C419" wp14:textId="6D07478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Paris 2024 Olympic and Paralympic Games created tourism opportunities through international exposure, destination marketing and increased visitor demand. Destinations often use mega-events to attract visitors, generate media attention and strengthen their competitiveness (Getz, 2005). Fourie and Santana-Gallego (2011) also found that mega-sport events can increase tourist arrivals, although the level of growth depends on the event, host destination and time of year. During the Olympic period, Greater Paris welcomed approximately 11.2 million visitors. This included around 3.1 million overnight tourists, representing an increase of 19.2% compared with 2023 (Paris je t’aime, 2024b). This suggests that the Games gave tourists a specific reason to visit Paris and increased demand for accommodation and other visitor services.</w:t>
      </w:r>
    </w:p>
    <w:p xmlns:wp14="http://schemas.microsoft.com/office/word/2010/wordml" w:rsidP="461F0D8B" wp14:paraId="1186CBDD" wp14:textId="18FD0ED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event also strengthened Paris’s destination image. Ritchie and Crouch’s (2003) Destination Competitiveness Model suggests that success depends on both the quality of a destination’s attractions and how potential visitors perceive it. Locations including the River Seine, Eiffel Tower and Grand Palais were incorporated into Olympic events and international coverage, allowing Paris to showcase its culture and heritage through the sporting experience. Research by Andersson, Bengtsson and Svensson (2021) also suggests that mega-sport events can influence destination image and future travel intentions when visitors have positive experiences. In addition, 9.5 million Olympic tickets were sold to spectators from 222 countries, further increasing Paris’s global visibility (City of Paris, 2024).</w:t>
      </w:r>
    </w:p>
    <w:p xmlns:wp14="http://schemas.microsoft.com/office/word/2010/wordml" w:rsidP="461F0D8B" wp14:paraId="3C7BB12C" wp14:textId="1D1F277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Games generated demand across parts of the visitor economy. Parisian hotel occupancy reached approximately 84% between 23 July and 6 August, around 10.1 percentage points higher than during the equivalent period in 2023 (Paris je t’aime, 2024b). Increased overnight visitation can support hotels while also encouraging spending in restaurants, retail, attractions and transport. However, visitor numbers alone do not prove that every business benefited equally, as spending may have been concentrated near Olympic venues and established tourism areas.</w:t>
      </w:r>
    </w:p>
    <w:p xmlns:wp14="http://schemas.microsoft.com/office/word/2010/wordml" w:rsidP="461F0D8B" wp14:paraId="5A4520C0" wp14:textId="2E513AA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Paris olympics also created memorable visitor experiences by combining sport, culture and heritage. Pine and Gilmore’s (1999) Experience Economy theory suggests that tourists increasingly value meaningful experiences rather than simply viewing attractions. The Opening Ceremony along the Seine and the Cultural Olympiad, which included more than 1,000 free artistic performances, allowed visitors to experience Paris differently (City of Paris, 2024). These experiences may strengthen visitors’ emotional connections to the destination and encourage recommendations or repeat visits.</w:t>
      </w:r>
    </w:p>
    <w:p xmlns:wp14="http://schemas.microsoft.com/office/word/2010/wordml" w:rsidP="461F0D8B" wp14:paraId="28C3F0D4" wp14:textId="2213D5A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 the Games created clear short-term tourism opportunities through increased overnight visitation, international exposure and visitor spending. However the long-term value of these benefits will depend on whether interest in Paris continues after the Olympic period.</w:t>
      </w:r>
    </w:p>
    <w:p xmlns:wp14="http://schemas.microsoft.com/office/word/2010/wordml" w:rsidP="461F0D8B" wp14:paraId="76419753" wp14:textId="40689EB7">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38944273" w:id="2034998497"/>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Negative Effects of Tourism and Challenges of Paris 2024 Olympic Games</w:t>
      </w:r>
      <w:bookmarkEnd w:id="2034998497"/>
    </w:p>
    <w:p xmlns:wp14="http://schemas.microsoft.com/office/word/2010/wordml" w:rsidP="461F0D8B" wp14:paraId="4AB82E84" wp14:textId="6E8EC64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the Games created tourism opportunities, mega-events can also place pressure on infrastructure, local communities, affordability and the environment. Hall (2006) argues that economic gains must be balanced against possible social and environmental costs. Therefore, increased visitor numbers do not automatically mean that Paris 2024 benefited all stakeholders.</w:t>
      </w:r>
    </w:p>
    <w:p xmlns:wp14="http://schemas.microsoft.com/office/word/2010/wordml" w:rsidP="461F0D8B" wp14:paraId="4EAFCCA4" wp14:textId="2D829C5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challenge was the concentration of visitors around Olympic venues. Carrying capacity theory suggests that destinations have physical, environmental and social limits before overcrowding begins to reduce destination quality (Cooper et al., 2008). Areas around the Stade de France and Aquatics Centre experienced a 40% increase in local day visitors, while Versailles recorded a peak increase of 39% during the cross-country equestrian event (Paris je t’aime, 2024b). This placed additional demand on transport, public spaces and services. Even if Paris remained manageable, particular areas may have temporarily approached their practical capacity.</w:t>
      </w:r>
    </w:p>
    <w:p xmlns:wp14="http://schemas.microsoft.com/office/word/2010/wordml" w:rsidP="461F0D8B" wp14:paraId="4A5EE3EA" wp14:textId="4B8E484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Affordability was another concern. Before the Games, average hotel prices for the Olympic period reached approximately €342 per night, around 70% higher than the previous year (Reuters, 2024a). After demand was weaker than expected, average prices fell to approximately €258, with some hotels offering discounts of between 10% and 70% (Reuters, 2024b). This demonstrates that excessive prices can discourage visitors rather than guarantee greater income. It may also make mega-events less accessible to tourists with smaller budgets.</w:t>
      </w:r>
    </w:p>
    <w:p xmlns:wp14="http://schemas.microsoft.com/office/word/2010/wordml" w:rsidP="461F0D8B" wp14:paraId="41CB4579" wp14:textId="08C2080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Doxey’s (1975) Irreidex model suggests that residents may move from enthusiasm towards irritation when tourism disrupts everyday life. Similarly, Gursoy and Kendall (2006) found that community support for mega-events is influenced by whether residents believe the benefits outweigh the personal and social costs. Before the Opening Ceremony, people entering the Seine security perimeter required identification, security checks and a Games Pass, while roads, riverbanks and several transport stations were restricted (City of Paris, 2024). Residents were also 8.7% less present within inner Paris during the Olympic period (Paris jet’aime, 2024b). this does not prove opposition to the Games, but it suggests that security measures and disruption may have encouraged some residents to avoid central areas.</w:t>
      </w:r>
    </w:p>
    <w:p xmlns:wp14="http://schemas.microsoft.com/office/word/2010/wordml" w:rsidP="461F0D8B" wp14:paraId="1673AE34" wp14:textId="09B6927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Paris 2024 shows that mega-event success cannot be assessed through ticket sales, tourist numbers or hotel occupancy alone. It must also consider affordability, resident experiences and whether tourism pressures are managed fairly.</w:t>
      </w:r>
    </w:p>
    <w:p xmlns:wp14="http://schemas.microsoft.com/office/word/2010/wordml" w:rsidP="461F0D8B" wp14:paraId="59905A0A" wp14:textId="0167CED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3098A511" wp14:textId="631ABC9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99247670" w:id="1836845629"/>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Sustainability and Legacy of Paris 2024</w:t>
      </w:r>
      <w:bookmarkEnd w:id="1836845629"/>
    </w:p>
    <w:p xmlns:wp14="http://schemas.microsoft.com/office/word/2010/wordml" w:rsidP="461F0D8B" wp14:paraId="0C5649E2" wp14:textId="14B73C9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long-term success of Paris 2024 olympics should be judged not only through immediate visitor numbers and economic activity, but through also what happens after the event. Hall (2006) argues that legacy is central to evaluating mega-events. Preuss (2007) develops this idea by explaining that legacy includes tangible outcomes, such as infrastructure, and intangible outcomes, including destination image, knowledge, networks and community attitudes. The Games may therefore leave both positive and negative effects that continue beyond 2024.</w:t>
      </w:r>
    </w:p>
    <w:p xmlns:wp14="http://schemas.microsoft.com/office/word/2010/wordml" w:rsidP="461F0D8B" wp14:paraId="6E896B3E" wp14:textId="37F4BC2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Infrastructure and accessibility planning formed an important part of the proposed legacy. The OECD (2025) reported that approximately 95% of Paris 2024 venues weere existing or temporary. This reduced the need for permanent construction that would become underused after the Games. The OECD also identified environmental procurement and infrastructure planning as important parts of Paris 2024’s sustainability approach. These measures reflect Ritchie and Crouch’s (2003) Destination Competitiveness Model because reliable infrastructure, accessibility and effective management can improve experiences for both residents and visitors.</w:t>
      </w:r>
    </w:p>
    <w:p xmlns:wp14="http://schemas.microsoft.com/office/word/2010/wordml" w:rsidP="461F0D8B" wp14:paraId="3876F858" wp14:textId="4CE34F3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Elkington’s (1997) Triple Bottom Line approach states that sustainable development must balance economic benefits, environmental responsibility and social wellbeing. A French government assessment estimated the Games’ carbon footprint at approximately 2.085 million tonnes of carbon-dioxide-equivalent emissions, with travel and accommodation producing around 65% of the total (General Commission for Sustainable Development, 2025). This demonstrates that using existing venues reduced some construction impacts but could not remove the emissions caused by international tourism. It also shows the conflict between attracting global visitors and meeting environmental targets.</w:t>
      </w:r>
    </w:p>
    <w:p xmlns:wp14="http://schemas.microsoft.com/office/word/2010/wordml" w:rsidP="461F0D8B" wp14:paraId="7337A25C" wp14:textId="25470D9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future legacy will depend on how effectively Paris continues to use the attention and investment created by the Games. chalip (2004) argues that event benefits must be deliberately leveraged through continued marketing, partnerships and destination planning rather than being expected to happen automatically. paris must therefore continue promoting its tourism offer, maintaining infrastructure and involving local communities if it wants the Olympic experience to encourage repeat visitation and positive recommendations.</w:t>
      </w:r>
    </w:p>
    <w:p xmlns:wp14="http://schemas.microsoft.com/office/word/2010/wordml" w:rsidP="461F0D8B" wp14:paraId="3177CBB6" wp14:textId="2B4D9A2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 Paris 2024 has the potential to create a lasting tourism legacy through improved infrastructure, international recognition and memorable visitor experiences. However, its success will depend on whether these benefits continue to support residents and tourists while environmental impacts and unequal outcomes are managed effectively.</w:t>
      </w:r>
    </w:p>
    <w:p xmlns:wp14="http://schemas.microsoft.com/office/word/2010/wordml" w:rsidP="461F0D8B" wp14:paraId="7E040E9D" wp14:textId="79CFD08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236A8166" wp14:textId="1B5202B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164465076" w:id="1538671112"/>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Critical assessment of the tourism impacts of Paris 2024</w:t>
      </w:r>
      <w:bookmarkEnd w:id="1538671112"/>
    </w:p>
    <w:p xmlns:wp14="http://schemas.microsoft.com/office/word/2010/wordml" w:rsidP="461F0D8B" wp14:paraId="066E8CE4" wp14:textId="5417278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Paris 2024 Olympic Games will have had a complex overall impact on tourism, presenting the destination with major opportunities, but also challenges. The Games did achieve an increase in the international profile, attracting visitors and supporting tourism businesses, but the degree to which these benefits represent a long-term success is still reliant on going to the trouble of managing the outcomes of the event effectively.</w:t>
      </w:r>
    </w:p>
    <w:p xmlns:wp14="http://schemas.microsoft.com/office/word/2010/wordml" w:rsidP="461F0D8B" wp14:paraId="3EE3FFA2" wp14:textId="1163272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upside, Paris 2024 has enhanced the destination image of the city and has provided a global platform to display its cultural attractions, infrastructure and hospitality industry. This follows the destination competitiveness theory of Ritchie and Crouch (2003) which claims that successful destinations have to improve their resources, management strategies and global appeal constantly. However, benefits from increased exposure should not be taken for granted, as continued growth in tourism requires investment and effective destination management beyond the Olympic period.</w:t>
      </w:r>
    </w:p>
    <w:p xmlns:wp14="http://schemas.microsoft.com/office/word/2010/wordml" w:rsidP="461F0D8B" wp14:paraId="798B98E2" wp14:textId="1A46586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the problems of overcrowding, increasing costs and environmental pressures show that mega-events can have drawbacks as well as economic benefits. This is aligned with the arguments of Hall (2006) who argues that the success of mega-events should be measured by their wider social and environmental outcomes rather than only in terms of their economic performance. The implementation of of sustainable tourism concepts emphasises the necessity of maintaining a balance between the increase in visitors and the needs of local communities and the environment.</w:t>
      </w:r>
    </w:p>
    <w:p xmlns:wp14="http://schemas.microsoft.com/office/word/2010/wordml" w:rsidP="461F0D8B" wp14:paraId="27E5409C" wp14:textId="18E4C324">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800319565" w:id="2095375341"/>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Conclusion</w:t>
      </w:r>
      <w:bookmarkEnd w:id="2095375341"/>
    </w:p>
    <w:p xmlns:wp14="http://schemas.microsoft.com/office/word/2010/wordml" w:rsidP="461F0D8B" wp14:paraId="5CAE4A7B" wp14:textId="6F3CB89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report has shown that the Paris 2024 Olympic Games had differential positive and negative impacts on tourism. The event had great opportunities in terms of increased international exposure, visitor spending, improved infrastructure and enhanced destination experiences. However, these benefits came with challenges such as resource constrains, sustainability issues and possibly uneven distribution of economic benefits.</w:t>
      </w:r>
    </w:p>
    <w:p xmlns:wp14="http://schemas.microsoft.com/office/word/2010/wordml" w:rsidP="461F0D8B" wp14:paraId="533DDBF9" wp14:textId="1B19690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1F0D8B" wp14:paraId="51458C73" wp14:textId="423FB559">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679283258" w:id="1486508874"/>
      <w:r w:rsidRPr="461F0D8B" w:rsidR="1E4541B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bibliography</w:t>
      </w:r>
      <w:bookmarkEnd w:id="1486508874"/>
    </w:p>
    <w:p xmlns:wp14="http://schemas.microsoft.com/office/word/2010/wordml" w:rsidP="461F0D8B" wp14:paraId="42505567" wp14:textId="76285D9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Andersson, S., Bengtsson, L. and Svensson, Å. (2021) ‘Mega-sport football events’ influence on destination images: a study of the 2016 UEFA European Football Championship in France, the 2018 FIFA World Cup in Russia and the 2022 FIFA World Cup in Qatar’,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Destination Marketing &amp; Management</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 article 100536. Available at: </w:t>
      </w:r>
      <w:hyperlink r:id="R668d4a2b2dcd4f0a">
        <w:r w:rsidRPr="461F0D8B" w:rsidR="1E4541BB">
          <w:rPr>
            <w:rStyle w:val="Hyperlink"/>
            <w:b w:val="0"/>
            <w:bCs w:val="0"/>
            <w:i w:val="0"/>
            <w:iCs w:val="0"/>
            <w:caps w:val="0"/>
            <w:smallCaps w:val="0"/>
            <w:strike w:val="0"/>
            <w:dstrike w:val="0"/>
            <w:noProof w:val="0"/>
            <w:lang w:val="en-GB"/>
          </w:rPr>
          <w:t>https://doi.org/10.1016/j.jdmm.2020.100536</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2F506575" wp14:textId="60087C0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Butler, R.W. (1980) ‘The concept of a tourist area cycle of evolution: implications for management of resources’,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Canadian Geographer</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24(1), pp. 5–12. Available at: </w:t>
      </w:r>
      <w:hyperlink r:id="R8cbdba41f7124839">
        <w:r w:rsidRPr="461F0D8B" w:rsidR="1E4541BB">
          <w:rPr>
            <w:rStyle w:val="Hyperlink"/>
            <w:b w:val="0"/>
            <w:bCs w:val="0"/>
            <w:i w:val="0"/>
            <w:iCs w:val="0"/>
            <w:caps w:val="0"/>
            <w:smallCaps w:val="0"/>
            <w:strike w:val="0"/>
            <w:dstrike w:val="0"/>
            <w:noProof w:val="0"/>
            <w:lang w:val="en-GB"/>
          </w:rPr>
          <w:t>https://doi.org/10.1111/j.1541-0064.1980.tb00970.x</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64D21C51" wp14:textId="3184B05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Chalip, L. (2004) ‘Beyond impact: a general model for sport event leverage’, in Ritchie, B.W. and Adair, D. (eds.)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Sport Tourism: Interrelationships, Impacts and Issues</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Clevedon: Channel View Publications, pp. 226–252.</w:t>
      </w:r>
    </w:p>
    <w:p xmlns:wp14="http://schemas.microsoft.com/office/word/2010/wordml" w:rsidP="461F0D8B" wp14:paraId="25E0D3DA" wp14:textId="3382A58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City of Paris (2024a) ‘Olympic Games opening ceremony: answering your questions’, 21 June. Available at: </w:t>
      </w:r>
      <w:hyperlink r:id="R61805c152d134fdf">
        <w:r w:rsidRPr="461F0D8B" w:rsidR="1E4541BB">
          <w:rPr>
            <w:rStyle w:val="Hyperlink"/>
            <w:b w:val="0"/>
            <w:bCs w:val="0"/>
            <w:i w:val="0"/>
            <w:iCs w:val="0"/>
            <w:caps w:val="0"/>
            <w:smallCaps w:val="0"/>
            <w:strike w:val="0"/>
            <w:dstrike w:val="0"/>
            <w:noProof w:val="0"/>
            <w:lang w:val="en-GB"/>
          </w:rPr>
          <w:t>https://www.paris.fr/en/pages/olympic-games-opening-ceremony-answering-your-questions-27668</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10 July 2026).</w:t>
      </w:r>
    </w:p>
    <w:p xmlns:wp14="http://schemas.microsoft.com/office/word/2010/wordml" w:rsidP="461F0D8B" wp14:paraId="24C40A92" wp14:textId="3C39B3C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City of Paris (2024b) ‘The Paris 2024 Games in numbers’, 9 October. Available at: </w:t>
      </w:r>
      <w:hyperlink r:id="R043e7a13893f4e9f">
        <w:r w:rsidRPr="461F0D8B" w:rsidR="1E4541BB">
          <w:rPr>
            <w:rStyle w:val="Hyperlink"/>
            <w:b w:val="0"/>
            <w:bCs w:val="0"/>
            <w:i w:val="0"/>
            <w:iCs w:val="0"/>
            <w:caps w:val="0"/>
            <w:smallCaps w:val="0"/>
            <w:strike w:val="0"/>
            <w:dstrike w:val="0"/>
            <w:noProof w:val="0"/>
            <w:lang w:val="en-GB"/>
          </w:rPr>
          <w:t>https://www.paris.fr/en/pages/the-paris-2024-games-in-numbers-28797</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11 July 2026).</w:t>
      </w:r>
    </w:p>
    <w:p xmlns:wp14="http://schemas.microsoft.com/office/word/2010/wordml" w:rsidP="461F0D8B" wp14:paraId="1245FDE0" wp14:textId="23B4EA7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Cooper, C., Fletcher, J., Fyall, A., Gilbert, D. and Wanhill, S. (2008)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Tourism: Principles and Practice</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4th edn. Harlow: Pearson Education.</w:t>
      </w:r>
    </w:p>
    <w:p xmlns:wp14="http://schemas.microsoft.com/office/word/2010/wordml" w:rsidP="461F0D8B" wp14:paraId="771E0CE8" wp14:textId="1A66FF8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Doxey, G.V. (1975) ‘A causation theory of visitor–resident irritants: methodology and research inferences’, in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Impact of Tourism: Sixth Annual Conference Proceedings of the Travel Research Association</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San Diego, 8–11 September, pp. 195–198.</w:t>
      </w:r>
    </w:p>
    <w:p xmlns:wp14="http://schemas.microsoft.com/office/word/2010/wordml" w:rsidP="461F0D8B" wp14:paraId="4F85AB7A" wp14:textId="5FBE780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Elkington, J. (1997)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Cannibals with Forks: The Triple Bottom Line of 21st Century Business</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Oxford: Capstone Publishing.</w:t>
      </w:r>
    </w:p>
    <w:p xmlns:wp14="http://schemas.microsoft.com/office/word/2010/wordml" w:rsidP="461F0D8B" wp14:paraId="3293F7E0" wp14:textId="4A8018A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Fourie, J. and Santana-Gallego, M. (2011) ‘The impact of mega-sport events on tourist arrivals’,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Tourism Management</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32(6), pp. 1364–1370. Available at: </w:t>
      </w:r>
      <w:hyperlink r:id="R963cad4b6e58447f">
        <w:r w:rsidRPr="461F0D8B" w:rsidR="1E4541BB">
          <w:rPr>
            <w:rStyle w:val="Hyperlink"/>
            <w:b w:val="0"/>
            <w:bCs w:val="0"/>
            <w:i w:val="0"/>
            <w:iCs w:val="0"/>
            <w:caps w:val="0"/>
            <w:smallCaps w:val="0"/>
            <w:strike w:val="0"/>
            <w:dstrike w:val="0"/>
            <w:noProof w:val="0"/>
            <w:lang w:val="en-GB"/>
          </w:rPr>
          <w:t>https://doi.org/10.1016/j.tourman.2011.01.011</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11 July 2026).</w:t>
      </w:r>
    </w:p>
    <w:p xmlns:wp14="http://schemas.microsoft.com/office/word/2010/wordml" w:rsidP="461F0D8B" wp14:paraId="5C95D180" wp14:textId="583053E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General Commission for Sustainable Development (2025)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Paris 2024 Games: A Far Lower Carbon Footprint than Previous Editions</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Théma Essentiel, no. 39, April. Available at: </w:t>
      </w:r>
      <w:hyperlink r:id="R40f290cc22114c98">
        <w:r w:rsidRPr="461F0D8B" w:rsidR="1E4541BB">
          <w:rPr>
            <w:rStyle w:val="Hyperlink"/>
            <w:b w:val="0"/>
            <w:bCs w:val="0"/>
            <w:i w:val="0"/>
            <w:iCs w:val="0"/>
            <w:caps w:val="0"/>
            <w:smallCaps w:val="0"/>
            <w:strike w:val="0"/>
            <w:dstrike w:val="0"/>
            <w:noProof w:val="0"/>
            <w:lang w:val="en-GB"/>
          </w:rPr>
          <w:t>https://www.ecologie.gouv.fr/sites/default/files/publications/thema_essentiel_39_jo_games_2025.pdf</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15019D18" wp14:textId="6B92570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Getz, D. (2005)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Event Management and Event Tourism</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2nd edn. Elmsford, NY: Cognizant Communication Corporation.</w:t>
      </w:r>
    </w:p>
    <w:p xmlns:wp14="http://schemas.microsoft.com/office/word/2010/wordml" w:rsidP="461F0D8B" wp14:paraId="2F503DC1" wp14:textId="0C81074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Gursoy, D. and Kendall, K.W. (2006) ‘Hosting mega events: modeling locals’ support’,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Annals of Tourism Research</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33(3), pp. 603–623. Available at: </w:t>
      </w:r>
      <w:hyperlink r:id="Rff82b9183cdd4eed">
        <w:r w:rsidRPr="461F0D8B" w:rsidR="1E4541BB">
          <w:rPr>
            <w:rStyle w:val="Hyperlink"/>
            <w:b w:val="0"/>
            <w:bCs w:val="0"/>
            <w:i w:val="0"/>
            <w:iCs w:val="0"/>
            <w:caps w:val="0"/>
            <w:smallCaps w:val="0"/>
            <w:strike w:val="0"/>
            <w:dstrike w:val="0"/>
            <w:noProof w:val="0"/>
            <w:lang w:val="en-GB"/>
          </w:rPr>
          <w:t>https://doi.org/10.1016/j.annals.2006.01.005</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10 July 2026).</w:t>
      </w:r>
    </w:p>
    <w:p xmlns:wp14="http://schemas.microsoft.com/office/word/2010/wordml" w:rsidP="461F0D8B" wp14:paraId="2113EC5B" wp14:textId="2C0A785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 C.M. (2006) ‘Urban entrepreneurship, corporate interests and sports mega-events: the thin policies of competitiveness within the hard outcomes of neoliberalism’,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Sociological Review</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54(S2), pp. 59–70. Available at: </w:t>
      </w:r>
      <w:hyperlink r:id="R7069187e43ae4516">
        <w:r w:rsidRPr="461F0D8B" w:rsidR="1E4541BB">
          <w:rPr>
            <w:rStyle w:val="Hyperlink"/>
            <w:b w:val="0"/>
            <w:bCs w:val="0"/>
            <w:i w:val="0"/>
            <w:iCs w:val="0"/>
            <w:caps w:val="0"/>
            <w:smallCaps w:val="0"/>
            <w:strike w:val="0"/>
            <w:dstrike w:val="0"/>
            <w:noProof w:val="0"/>
            <w:lang w:val="en-GB"/>
          </w:rPr>
          <w:t>https://doi.org/10.1111/j.1467-954X.2006.00653.x</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153C3A44" wp14:textId="5898748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OECD (2025)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Legacy of the Paris 2024 Olympic and Paralympic Games: Upping the Game</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Paris: OECD Publishing. Available at: </w:t>
      </w:r>
      <w:hyperlink r:id="R24aaa561a36b4893">
        <w:r w:rsidRPr="461F0D8B" w:rsidR="1E4541BB">
          <w:rPr>
            <w:rStyle w:val="Hyperlink"/>
            <w:b w:val="0"/>
            <w:bCs w:val="0"/>
            <w:i w:val="0"/>
            <w:iCs w:val="0"/>
            <w:caps w:val="0"/>
            <w:smallCaps w:val="0"/>
            <w:strike w:val="0"/>
            <w:dstrike w:val="0"/>
            <w:noProof w:val="0"/>
            <w:lang w:val="en-GB"/>
          </w:rPr>
          <w:t>https://doi.org/10.1787/d7938b7f-en</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11 July 2026).</w:t>
      </w:r>
    </w:p>
    <w:p xmlns:wp14="http://schemas.microsoft.com/office/word/2010/wordml" w:rsidP="461F0D8B" wp14:paraId="378A504F" wp14:textId="06CD5D4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Paris je t’aime (2024a) ‘The key figures for tourism in Paris in 2023’. Available at: </w:t>
      </w:r>
      <w:hyperlink r:id="Rd9b748af444f495b">
        <w:r w:rsidRPr="461F0D8B" w:rsidR="1E4541BB">
          <w:rPr>
            <w:rStyle w:val="Hyperlink"/>
            <w:b w:val="0"/>
            <w:bCs w:val="0"/>
            <w:i w:val="0"/>
            <w:iCs w:val="0"/>
            <w:caps w:val="0"/>
            <w:smallCaps w:val="0"/>
            <w:strike w:val="0"/>
            <w:dstrike w:val="0"/>
            <w:noProof w:val="0"/>
            <w:lang w:val="en-GB"/>
          </w:rPr>
          <w:t>https://parisjetaime.com/eng/convention/article/tourism-in-paris-key-figures-a1749</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16 July 2026).</w:t>
      </w:r>
    </w:p>
    <w:p xmlns:wp14="http://schemas.microsoft.com/office/word/2010/wordml" w:rsidP="461F0D8B" wp14:paraId="09903896" wp14:textId="18CA997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Paris je t’aime (2024b)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Paris 2024 Olympic Games: Preliminary Tourism Report</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 August. Available at: </w:t>
      </w:r>
      <w:hyperlink r:id="R3f4a1b1c43974032">
        <w:r w:rsidRPr="461F0D8B" w:rsidR="1E4541BB">
          <w:rPr>
            <w:rStyle w:val="Hyperlink"/>
            <w:b w:val="0"/>
            <w:bCs w:val="0"/>
            <w:i w:val="0"/>
            <w:iCs w:val="0"/>
            <w:caps w:val="0"/>
            <w:smallCaps w:val="0"/>
            <w:strike w:val="0"/>
            <w:dstrike w:val="0"/>
            <w:noProof w:val="0"/>
            <w:lang w:val="en-GB"/>
          </w:rPr>
          <w:t>https://files.parisjetaime.com/media/pre%CC%81-bilan%20des%20JO_EN.pdf</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11 July 2026).</w:t>
      </w:r>
    </w:p>
    <w:p xmlns:wp14="http://schemas.microsoft.com/office/word/2010/wordml" w:rsidP="461F0D8B" wp14:paraId="29716D69" wp14:textId="2027EDA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Pine, B.J. and Gilmore, J.H. (1999)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Experience Economy: Work Is Theatre and Every Business a Stage</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Boston, MA: Harvard Business School Press.</w:t>
      </w:r>
    </w:p>
    <w:p xmlns:wp14="http://schemas.microsoft.com/office/word/2010/wordml" w:rsidP="461F0D8B" wp14:paraId="00CE4A85" wp14:textId="7497ACD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Preuss, H. (2007) ‘The conceptualisation and measurement of mega sport event legacies’,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Sport &amp; Tourism</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12(3–4), pp. 207–228. Available at: </w:t>
      </w:r>
      <w:hyperlink r:id="R06a20b97a2c6437e">
        <w:r w:rsidRPr="461F0D8B" w:rsidR="1E4541BB">
          <w:rPr>
            <w:rStyle w:val="Hyperlink"/>
            <w:b w:val="0"/>
            <w:bCs w:val="0"/>
            <w:i w:val="0"/>
            <w:iCs w:val="0"/>
            <w:caps w:val="0"/>
            <w:smallCaps w:val="0"/>
            <w:strike w:val="0"/>
            <w:dstrike w:val="0"/>
            <w:noProof w:val="0"/>
            <w:lang w:val="en-GB"/>
          </w:rPr>
          <w:t>https://doi.org/10.1080/14775080701736957</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10 July 2026).</w:t>
      </w:r>
    </w:p>
    <w:p xmlns:wp14="http://schemas.microsoft.com/office/word/2010/wordml" w:rsidP="461F0D8B" wp14:paraId="6E258F70" wp14:textId="3EA2EDC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Reuters (2024a) ‘High costs, safety worries hurt Paris Games bookings’, 4 July. Available at: </w:t>
      </w:r>
      <w:hyperlink r:id="R716863e55abb4770">
        <w:r w:rsidRPr="461F0D8B" w:rsidR="1E4541BB">
          <w:rPr>
            <w:rStyle w:val="Hyperlink"/>
            <w:b w:val="0"/>
            <w:bCs w:val="0"/>
            <w:i w:val="0"/>
            <w:iCs w:val="0"/>
            <w:caps w:val="0"/>
            <w:smallCaps w:val="0"/>
            <w:strike w:val="0"/>
            <w:dstrike w:val="0"/>
            <w:noProof w:val="0"/>
            <w:lang w:val="en-GB"/>
          </w:rPr>
          <w:t>https://www.reuters.com/sports/olympics/olympics-high-costs-safety-worries-hurt-paris-games-bookings-2024-07-04/</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063F2683" wp14:textId="40F4725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Reuters (2024b) ‘Paris hotel operators cut prices in last-ditch attempt to lure Olympics travelers’, 30 July. Available at: </w:t>
      </w:r>
      <w:hyperlink r:id="Ra1e142b4e1934079">
        <w:r w:rsidRPr="461F0D8B" w:rsidR="1E4541BB">
          <w:rPr>
            <w:rStyle w:val="Hyperlink"/>
            <w:b w:val="0"/>
            <w:bCs w:val="0"/>
            <w:i w:val="0"/>
            <w:iCs w:val="0"/>
            <w:caps w:val="0"/>
            <w:smallCaps w:val="0"/>
            <w:strike w:val="0"/>
            <w:dstrike w:val="0"/>
            <w:noProof w:val="0"/>
            <w:lang w:val="en-GB"/>
          </w:rPr>
          <w:t>https://www.reuters.com/world/europe/paris-hotel-operators-cut-prices-last-ditch-attempt-lure-olympics-travelers-2024-07-30/</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9 July 2026).</w:t>
      </w:r>
    </w:p>
    <w:p xmlns:wp14="http://schemas.microsoft.com/office/word/2010/wordml" w:rsidP="461F0D8B" wp14:paraId="08FB349E" wp14:textId="1D630E4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Ritchie, J.R.B. (1999) ‘Lessons learned, lessons learning: insights from the Calgary and Salt Lake City Olympic Winter Games’,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Visions in Leisure and Business</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18(1), pp. 4–13. Available at: </w:t>
      </w:r>
      <w:hyperlink r:id="Rbf32e1bdc76440d5">
        <w:r w:rsidRPr="461F0D8B" w:rsidR="1E4541BB">
          <w:rPr>
            <w:rStyle w:val="Hyperlink"/>
            <w:b w:val="0"/>
            <w:bCs w:val="0"/>
            <w:i w:val="0"/>
            <w:iCs w:val="0"/>
            <w:caps w:val="0"/>
            <w:smallCaps w:val="0"/>
            <w:strike w:val="0"/>
            <w:dstrike w:val="0"/>
            <w:noProof w:val="0"/>
            <w:lang w:val="en-GB"/>
          </w:rPr>
          <w:t>https://scholarworks.bgsu.edu/visions/vol18/iss1/2/</w:t>
        </w:r>
      </w:hyperlink>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10 July 2026).</w:t>
      </w:r>
    </w:p>
    <w:p xmlns:wp14="http://schemas.microsoft.com/office/word/2010/wordml" w:rsidP="461F0D8B" wp14:paraId="689BB6E2" wp14:textId="28CA3AF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Ritchie, J.R.B. and Crouch, G.I. (2003) </w:t>
      </w:r>
      <w:r w:rsidRPr="461F0D8B" w:rsidR="1E4541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Competitive Destination: A Sustainable Tourism Perspective</w:t>
      </w:r>
      <w:r w:rsidRPr="461F0D8B" w:rsidR="1E454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Wallingford: CABI Publishing.</w:t>
      </w:r>
    </w:p>
    <w:p xmlns:wp14="http://schemas.microsoft.com/office/word/2010/wordml" wp14:paraId="5E5787A5" wp14:textId="0F1DBC7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28679F"/>
    <w:rsid w:val="1E4541BB"/>
    <w:rsid w:val="461F0D8B"/>
    <w:rsid w:val="4FD59EEA"/>
    <w:rsid w:val="5721D793"/>
    <w:rsid w:val="59286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40B6"/>
  <w15:chartTrackingRefBased/>
  <w15:docId w15:val="{E291A247-9855-4EF0-9F3F-E2BEB1D870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61F0D8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61F0D8B"/>
    <w:rPr>
      <w:color w:val="467886"/>
      <w:u w:val="single"/>
    </w:rPr>
  </w:style>
  <w:style w:type="paragraph" w:styleId="TOC2">
    <w:uiPriority w:val="39"/>
    <w:name w:val="toc 2"/>
    <w:basedOn w:val="Normal"/>
    <w:next w:val="Normal"/>
    <w:unhideWhenUsed/>
    <w:rsid w:val="461F0D8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64752673" /><Relationship Type="http://schemas.openxmlformats.org/officeDocument/2006/relationships/hyperlink" Target="https://doi.org/10.1016/j.jdmm.2020.100536" TargetMode="External" Id="R668d4a2b2dcd4f0a" /><Relationship Type="http://schemas.openxmlformats.org/officeDocument/2006/relationships/hyperlink" Target="https://doi.org/10.1111/j.1541-0064.1980.tb00970.x" TargetMode="External" Id="R8cbdba41f7124839" /><Relationship Type="http://schemas.openxmlformats.org/officeDocument/2006/relationships/hyperlink" Target="https://www.paris.fr/en/pages/olympic-games-opening-ceremony-answering-your-questions-27668" TargetMode="External" Id="R61805c152d134fdf" /><Relationship Type="http://schemas.openxmlformats.org/officeDocument/2006/relationships/hyperlink" Target="https://www.paris.fr/en/pages/the-paris-2024-games-in-numbers-28797" TargetMode="External" Id="R043e7a13893f4e9f" /><Relationship Type="http://schemas.openxmlformats.org/officeDocument/2006/relationships/hyperlink" Target="https://doi.org/10.1016/j.tourman.2011.01.011" TargetMode="External" Id="R963cad4b6e58447f" /><Relationship Type="http://schemas.openxmlformats.org/officeDocument/2006/relationships/hyperlink" Target="https://www.ecologie.gouv.fr/sites/default/files/publications/thema_essentiel_39_jo_games_2025.pdf" TargetMode="External" Id="R40f290cc22114c98" /><Relationship Type="http://schemas.openxmlformats.org/officeDocument/2006/relationships/hyperlink" Target="https://doi.org/10.1016/j.annals.2006.01.005" TargetMode="External" Id="Rff82b9183cdd4eed" /><Relationship Type="http://schemas.openxmlformats.org/officeDocument/2006/relationships/hyperlink" Target="https://doi.org/10.1111/j.1467-954X.2006.00653.x" TargetMode="External" Id="R7069187e43ae4516" /><Relationship Type="http://schemas.openxmlformats.org/officeDocument/2006/relationships/hyperlink" Target="https://doi.org/10.1787/d7938b7f-en" TargetMode="External" Id="R24aaa561a36b4893" /><Relationship Type="http://schemas.openxmlformats.org/officeDocument/2006/relationships/hyperlink" Target="https://parisjetaime.com/eng/convention/article/tourism-in-paris-key-figures-a1749" TargetMode="External" Id="Rd9b748af444f495b" /><Relationship Type="http://schemas.openxmlformats.org/officeDocument/2006/relationships/hyperlink" Target="https://files.parisjetaime.com/media/pre%CC%81-bilan%20des%20JO_EN.pdf" TargetMode="External" Id="R3f4a1b1c43974032" /><Relationship Type="http://schemas.openxmlformats.org/officeDocument/2006/relationships/hyperlink" Target="https://doi.org/10.1080/14775080701736957" TargetMode="External" Id="R06a20b97a2c6437e" /><Relationship Type="http://schemas.openxmlformats.org/officeDocument/2006/relationships/hyperlink" Target="https://www.reuters.com/sports/olympics/olympics-high-costs-safety-worries-hurt-paris-games-bookings-2024-07-04/" TargetMode="External" Id="R716863e55abb4770" /><Relationship Type="http://schemas.openxmlformats.org/officeDocument/2006/relationships/hyperlink" Target="https://www.reuters.com/world/europe/paris-hotel-operators-cut-prices-last-ditch-attempt-lure-olympics-travelers-2024-07-30/" TargetMode="External" Id="Ra1e142b4e1934079" /><Relationship Type="http://schemas.openxmlformats.org/officeDocument/2006/relationships/hyperlink" Target="https://scholarworks.bgsu.edu/visions/vol18/iss1/2/" TargetMode="External" Id="Rbf32e1bdc76440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Crookes (2305429)</dc:creator>
  <keywords/>
  <dc:description/>
  <lastModifiedBy>Tamara Crookes (2305429)</lastModifiedBy>
  <revision>2</revision>
  <dcterms:created xsi:type="dcterms:W3CDTF">2026-07-16T18:36:03.2796065Z</dcterms:created>
  <dcterms:modified xsi:type="dcterms:W3CDTF">2026-07-16T18:38:51.1674901Z</dcterms:modified>
</coreProperties>
</file>