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85970" w14:textId="77777777" w:rsidR="00BD2927" w:rsidRPr="00BD2927" w:rsidRDefault="00BD2927" w:rsidP="00BD2927">
      <w:pPr>
        <w:spacing w:line="360" w:lineRule="auto"/>
        <w:jc w:val="center"/>
        <w:rPr>
          <w:rFonts w:eastAsia="Times New Roman"/>
          <w:b/>
          <w:bCs/>
          <w:sz w:val="32"/>
          <w:szCs w:val="32"/>
        </w:rPr>
      </w:pPr>
    </w:p>
    <w:p w14:paraId="0EDFF97E" w14:textId="77777777" w:rsidR="00BD2927" w:rsidRPr="00BD2927" w:rsidRDefault="00BD2927" w:rsidP="00BD2927">
      <w:pPr>
        <w:spacing w:line="360" w:lineRule="auto"/>
        <w:jc w:val="center"/>
        <w:rPr>
          <w:rFonts w:eastAsia="Times New Roman"/>
          <w:b/>
          <w:bCs/>
          <w:sz w:val="32"/>
          <w:szCs w:val="32"/>
        </w:rPr>
      </w:pPr>
    </w:p>
    <w:p w14:paraId="7659FF8A" w14:textId="77777777" w:rsidR="00BD2927" w:rsidRPr="00BD2927" w:rsidRDefault="00BD2927" w:rsidP="00BD2927">
      <w:pPr>
        <w:spacing w:line="360" w:lineRule="auto"/>
        <w:jc w:val="center"/>
        <w:rPr>
          <w:rFonts w:eastAsia="Times New Roman"/>
          <w:b/>
          <w:bCs/>
          <w:sz w:val="32"/>
          <w:szCs w:val="32"/>
        </w:rPr>
      </w:pPr>
    </w:p>
    <w:p w14:paraId="2824CEE9" w14:textId="417310D8" w:rsidR="0088074C" w:rsidRPr="00BD2927" w:rsidRDefault="00BD2927" w:rsidP="00BD2927">
      <w:pPr>
        <w:spacing w:line="360" w:lineRule="auto"/>
        <w:jc w:val="center"/>
        <w:rPr>
          <w:rFonts w:eastAsia="Times New Roman"/>
          <w:b/>
          <w:bCs/>
          <w:sz w:val="32"/>
          <w:szCs w:val="32"/>
        </w:rPr>
      </w:pPr>
      <w:r w:rsidRPr="00BD2927">
        <w:rPr>
          <w:rFonts w:eastAsia="Times New Roman"/>
          <w:b/>
          <w:bCs/>
          <w:sz w:val="32"/>
          <w:szCs w:val="32"/>
        </w:rPr>
        <w:t>MODULE: ENTREPRENEURSHIP</w:t>
      </w:r>
    </w:p>
    <w:p w14:paraId="2722934B" w14:textId="77777777" w:rsidR="0088074C" w:rsidRPr="00BD2927" w:rsidRDefault="0088074C" w:rsidP="00BD2927">
      <w:pPr>
        <w:spacing w:line="360" w:lineRule="auto"/>
        <w:jc w:val="center"/>
        <w:rPr>
          <w:rFonts w:eastAsia="Times New Roman"/>
          <w:b/>
          <w:bCs/>
          <w:sz w:val="32"/>
          <w:szCs w:val="32"/>
        </w:rPr>
      </w:pPr>
    </w:p>
    <w:p w14:paraId="07AC555E" w14:textId="77777777" w:rsidR="00BD2927" w:rsidRPr="00BD2927" w:rsidRDefault="00BD2927" w:rsidP="00BD2927">
      <w:pPr>
        <w:spacing w:line="360" w:lineRule="auto"/>
        <w:jc w:val="center"/>
        <w:rPr>
          <w:rFonts w:eastAsia="Times New Roman"/>
          <w:b/>
          <w:bCs/>
          <w:sz w:val="32"/>
          <w:szCs w:val="32"/>
        </w:rPr>
      </w:pPr>
      <w:r w:rsidRPr="00BD2927">
        <w:rPr>
          <w:rFonts w:eastAsia="Times New Roman"/>
          <w:b/>
          <w:bCs/>
          <w:sz w:val="32"/>
          <w:szCs w:val="32"/>
        </w:rPr>
        <w:t>MODULE CODE: LCBB5013</w:t>
      </w:r>
    </w:p>
    <w:p w14:paraId="1C57D02F" w14:textId="77777777" w:rsidR="00BD2927" w:rsidRPr="00BD2927" w:rsidRDefault="00BD2927" w:rsidP="00BD2927">
      <w:pPr>
        <w:spacing w:line="360" w:lineRule="auto"/>
        <w:jc w:val="center"/>
        <w:rPr>
          <w:rFonts w:eastAsia="Times New Roman"/>
          <w:b/>
          <w:bCs/>
          <w:sz w:val="32"/>
          <w:szCs w:val="32"/>
        </w:rPr>
      </w:pPr>
    </w:p>
    <w:p w14:paraId="74796522" w14:textId="03791F3D" w:rsidR="0088074C" w:rsidRPr="00BD2927" w:rsidRDefault="00BD2927" w:rsidP="00BD2927">
      <w:pPr>
        <w:spacing w:line="360" w:lineRule="auto"/>
        <w:jc w:val="center"/>
        <w:rPr>
          <w:rFonts w:eastAsia="Times New Roman"/>
          <w:b/>
          <w:bCs/>
          <w:sz w:val="32"/>
          <w:szCs w:val="32"/>
        </w:rPr>
      </w:pPr>
      <w:r w:rsidRPr="00BD2927">
        <w:rPr>
          <w:b/>
          <w:bCs/>
          <w:sz w:val="32"/>
          <w:szCs w:val="32"/>
        </w:rPr>
        <w:t>Portfolio - 6 elements</w:t>
      </w:r>
      <w:r w:rsidRPr="00BD2927">
        <w:rPr>
          <w:b/>
          <w:bCs/>
          <w:sz w:val="32"/>
          <w:szCs w:val="32"/>
        </w:rPr>
        <w:br w:type="page"/>
      </w:r>
    </w:p>
    <w:bookmarkStart w:id="0" w:name="_ejv29jntypqg" w:colFirst="0" w:colLast="0" w:displacedByCustomXml="next"/>
    <w:bookmarkEnd w:id="0" w:displacedByCustomXml="next"/>
    <w:sdt>
      <w:sdtPr>
        <w:rPr>
          <w:rFonts w:ascii="Arial" w:eastAsia="Arial" w:hAnsi="Arial" w:cs="Arial"/>
          <w:b/>
          <w:bCs/>
          <w:color w:val="000000" w:themeColor="text1"/>
          <w:sz w:val="24"/>
          <w:szCs w:val="24"/>
          <w:lang w:val="en-GB" w:eastAsia="en-IN"/>
        </w:rPr>
        <w:id w:val="1617095600"/>
        <w:docPartObj>
          <w:docPartGallery w:val="Table of Contents"/>
          <w:docPartUnique/>
        </w:docPartObj>
      </w:sdtPr>
      <w:sdtEndPr>
        <w:rPr>
          <w:noProof/>
        </w:rPr>
      </w:sdtEndPr>
      <w:sdtContent>
        <w:p w14:paraId="70306184" w14:textId="256BB5FD" w:rsidR="00BD2927" w:rsidRPr="00D73EE5" w:rsidRDefault="00BD2927" w:rsidP="00D73EE5">
          <w:pPr>
            <w:pStyle w:val="TOCHeading"/>
            <w:spacing w:line="360" w:lineRule="auto"/>
            <w:jc w:val="center"/>
            <w:rPr>
              <w:rFonts w:ascii="Arial" w:hAnsi="Arial" w:cs="Arial"/>
              <w:b/>
              <w:bCs/>
              <w:color w:val="000000" w:themeColor="text1"/>
              <w:sz w:val="24"/>
              <w:szCs w:val="24"/>
            </w:rPr>
          </w:pPr>
          <w:r w:rsidRPr="00D73EE5">
            <w:rPr>
              <w:rFonts w:ascii="Arial" w:hAnsi="Arial" w:cs="Arial"/>
              <w:b/>
              <w:bCs/>
              <w:color w:val="000000" w:themeColor="text1"/>
              <w:sz w:val="24"/>
              <w:szCs w:val="24"/>
            </w:rPr>
            <w:t>Table of Contents</w:t>
          </w:r>
        </w:p>
        <w:p w14:paraId="2F212A3F" w14:textId="48CDE82E" w:rsidR="00D73EE5" w:rsidRPr="00D73EE5" w:rsidRDefault="00BD2927" w:rsidP="00D73EE5">
          <w:pPr>
            <w:pStyle w:val="TOC1"/>
            <w:tabs>
              <w:tab w:val="right" w:leader="dot" w:pos="9019"/>
            </w:tabs>
            <w:spacing w:line="360" w:lineRule="auto"/>
            <w:rPr>
              <w:rFonts w:eastAsiaTheme="minorEastAsia"/>
              <w:noProof/>
              <w:kern w:val="2"/>
              <w:sz w:val="24"/>
              <w:szCs w:val="24"/>
              <w:lang w:val="en-IN"/>
              <w14:ligatures w14:val="standardContextual"/>
            </w:rPr>
          </w:pPr>
          <w:r w:rsidRPr="00D73EE5">
            <w:rPr>
              <w:color w:val="000000" w:themeColor="text1"/>
              <w:sz w:val="24"/>
              <w:szCs w:val="24"/>
            </w:rPr>
            <w:fldChar w:fldCharType="begin"/>
          </w:r>
          <w:r w:rsidRPr="00D73EE5">
            <w:rPr>
              <w:color w:val="000000" w:themeColor="text1"/>
              <w:sz w:val="24"/>
              <w:szCs w:val="24"/>
            </w:rPr>
            <w:instrText xml:space="preserve"> TOC \o "1-3" \h \z \u </w:instrText>
          </w:r>
          <w:r w:rsidRPr="00D73EE5">
            <w:rPr>
              <w:color w:val="000000" w:themeColor="text1"/>
              <w:sz w:val="24"/>
              <w:szCs w:val="24"/>
            </w:rPr>
            <w:fldChar w:fldCharType="separate"/>
          </w:r>
          <w:hyperlink w:anchor="_Toc223619093" w:history="1">
            <w:r w:rsidR="00D73EE5" w:rsidRPr="00D73EE5">
              <w:rPr>
                <w:rStyle w:val="Hyperlink"/>
                <w:noProof/>
                <w:sz w:val="24"/>
                <w:szCs w:val="24"/>
              </w:rPr>
              <w:t>Element 1: Business Idea, Products/Services, Objectives and USP</w:t>
            </w:r>
            <w:r w:rsidR="00D73EE5" w:rsidRPr="00D73EE5">
              <w:rPr>
                <w:noProof/>
                <w:webHidden/>
                <w:sz w:val="24"/>
                <w:szCs w:val="24"/>
              </w:rPr>
              <w:tab/>
            </w:r>
            <w:r w:rsidR="00D73EE5" w:rsidRPr="00D73EE5">
              <w:rPr>
                <w:noProof/>
                <w:webHidden/>
                <w:sz w:val="24"/>
                <w:szCs w:val="24"/>
              </w:rPr>
              <w:fldChar w:fldCharType="begin"/>
            </w:r>
            <w:r w:rsidR="00D73EE5" w:rsidRPr="00D73EE5">
              <w:rPr>
                <w:noProof/>
                <w:webHidden/>
                <w:sz w:val="24"/>
                <w:szCs w:val="24"/>
              </w:rPr>
              <w:instrText xml:space="preserve"> PAGEREF _Toc223619093 \h </w:instrText>
            </w:r>
            <w:r w:rsidR="00D73EE5" w:rsidRPr="00D73EE5">
              <w:rPr>
                <w:noProof/>
                <w:webHidden/>
                <w:sz w:val="24"/>
                <w:szCs w:val="24"/>
              </w:rPr>
            </w:r>
            <w:r w:rsidR="00D73EE5" w:rsidRPr="00D73EE5">
              <w:rPr>
                <w:noProof/>
                <w:webHidden/>
                <w:sz w:val="24"/>
                <w:szCs w:val="24"/>
              </w:rPr>
              <w:fldChar w:fldCharType="separate"/>
            </w:r>
            <w:r w:rsidR="00D73EE5" w:rsidRPr="00D73EE5">
              <w:rPr>
                <w:noProof/>
                <w:webHidden/>
                <w:sz w:val="24"/>
                <w:szCs w:val="24"/>
              </w:rPr>
              <w:t>3</w:t>
            </w:r>
            <w:r w:rsidR="00D73EE5" w:rsidRPr="00D73EE5">
              <w:rPr>
                <w:noProof/>
                <w:webHidden/>
                <w:sz w:val="24"/>
                <w:szCs w:val="24"/>
              </w:rPr>
              <w:fldChar w:fldCharType="end"/>
            </w:r>
          </w:hyperlink>
        </w:p>
        <w:p w14:paraId="265E72A7" w14:textId="244D0E38"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094" w:history="1">
            <w:r w:rsidRPr="00D73EE5">
              <w:rPr>
                <w:rStyle w:val="Hyperlink"/>
                <w:noProof/>
                <w:sz w:val="24"/>
                <w:szCs w:val="24"/>
              </w:rPr>
              <w:t>1.1 Business Concept and Rationale</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_Toc223619094 \h </w:instrText>
            </w:r>
            <w:r w:rsidRPr="00D73EE5">
              <w:rPr>
                <w:noProof/>
                <w:webHidden/>
                <w:sz w:val="24"/>
                <w:szCs w:val="24"/>
              </w:rPr>
            </w:r>
            <w:r w:rsidRPr="00D73EE5">
              <w:rPr>
                <w:noProof/>
                <w:webHidden/>
                <w:sz w:val="24"/>
                <w:szCs w:val="24"/>
              </w:rPr>
              <w:fldChar w:fldCharType="separate"/>
            </w:r>
            <w:r w:rsidRPr="00D73EE5">
              <w:rPr>
                <w:noProof/>
                <w:webHidden/>
                <w:sz w:val="24"/>
                <w:szCs w:val="24"/>
              </w:rPr>
              <w:t>3</w:t>
            </w:r>
            <w:r w:rsidRPr="00D73EE5">
              <w:rPr>
                <w:noProof/>
                <w:webHidden/>
                <w:sz w:val="24"/>
                <w:szCs w:val="24"/>
              </w:rPr>
              <w:fldChar w:fldCharType="end"/>
            </w:r>
          </w:hyperlink>
        </w:p>
        <w:p w14:paraId="10613A40" w14:textId="69633F78"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095" w:history="1">
            <w:r w:rsidRPr="00D73EE5">
              <w:rPr>
                <w:rStyle w:val="Hyperlink"/>
                <w:noProof/>
                <w:sz w:val="24"/>
                <w:szCs w:val="24"/>
              </w:rPr>
              <w:t>1.2 Products and Services</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_Toc223619095 \h </w:instrText>
            </w:r>
            <w:r w:rsidRPr="00D73EE5">
              <w:rPr>
                <w:noProof/>
                <w:webHidden/>
                <w:sz w:val="24"/>
                <w:szCs w:val="24"/>
              </w:rPr>
            </w:r>
            <w:r w:rsidRPr="00D73EE5">
              <w:rPr>
                <w:noProof/>
                <w:webHidden/>
                <w:sz w:val="24"/>
                <w:szCs w:val="24"/>
              </w:rPr>
              <w:fldChar w:fldCharType="separate"/>
            </w:r>
            <w:r w:rsidRPr="00D73EE5">
              <w:rPr>
                <w:noProof/>
                <w:webHidden/>
                <w:sz w:val="24"/>
                <w:szCs w:val="24"/>
              </w:rPr>
              <w:t>3</w:t>
            </w:r>
            <w:r w:rsidRPr="00D73EE5">
              <w:rPr>
                <w:noProof/>
                <w:webHidden/>
                <w:sz w:val="24"/>
                <w:szCs w:val="24"/>
              </w:rPr>
              <w:fldChar w:fldCharType="end"/>
            </w:r>
          </w:hyperlink>
        </w:p>
        <w:p w14:paraId="7D046AF5" w14:textId="0EDFA62E"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096" w:history="1">
            <w:r w:rsidRPr="00D73EE5">
              <w:rPr>
                <w:rStyle w:val="Hyperlink"/>
                <w:noProof/>
                <w:sz w:val="24"/>
                <w:szCs w:val="24"/>
              </w:rPr>
              <w:t>1.3 Business Objectives</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_Toc223619096 \h </w:instrText>
            </w:r>
            <w:r w:rsidRPr="00D73EE5">
              <w:rPr>
                <w:noProof/>
                <w:webHidden/>
                <w:sz w:val="24"/>
                <w:szCs w:val="24"/>
              </w:rPr>
            </w:r>
            <w:r w:rsidRPr="00D73EE5">
              <w:rPr>
                <w:noProof/>
                <w:webHidden/>
                <w:sz w:val="24"/>
                <w:szCs w:val="24"/>
              </w:rPr>
              <w:fldChar w:fldCharType="separate"/>
            </w:r>
            <w:r w:rsidRPr="00D73EE5">
              <w:rPr>
                <w:noProof/>
                <w:webHidden/>
                <w:sz w:val="24"/>
                <w:szCs w:val="24"/>
              </w:rPr>
              <w:t>4</w:t>
            </w:r>
            <w:r w:rsidRPr="00D73EE5">
              <w:rPr>
                <w:noProof/>
                <w:webHidden/>
                <w:sz w:val="24"/>
                <w:szCs w:val="24"/>
              </w:rPr>
              <w:fldChar w:fldCharType="end"/>
            </w:r>
          </w:hyperlink>
        </w:p>
        <w:p w14:paraId="2D8844AC" w14:textId="7FCCA6E4"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097" w:history="1">
            <w:r w:rsidRPr="00D73EE5">
              <w:rPr>
                <w:rStyle w:val="Hyperlink"/>
                <w:noProof/>
                <w:sz w:val="24"/>
                <w:szCs w:val="24"/>
              </w:rPr>
              <w:t>1.4 Unique Selling Point (USP)</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_Toc223619097 \h </w:instrText>
            </w:r>
            <w:r w:rsidRPr="00D73EE5">
              <w:rPr>
                <w:noProof/>
                <w:webHidden/>
                <w:sz w:val="24"/>
                <w:szCs w:val="24"/>
              </w:rPr>
            </w:r>
            <w:r w:rsidRPr="00D73EE5">
              <w:rPr>
                <w:noProof/>
                <w:webHidden/>
                <w:sz w:val="24"/>
                <w:szCs w:val="24"/>
              </w:rPr>
              <w:fldChar w:fldCharType="separate"/>
            </w:r>
            <w:r w:rsidRPr="00D73EE5">
              <w:rPr>
                <w:noProof/>
                <w:webHidden/>
                <w:sz w:val="24"/>
                <w:szCs w:val="24"/>
              </w:rPr>
              <w:t>4</w:t>
            </w:r>
            <w:r w:rsidRPr="00D73EE5">
              <w:rPr>
                <w:noProof/>
                <w:webHidden/>
                <w:sz w:val="24"/>
                <w:szCs w:val="24"/>
              </w:rPr>
              <w:fldChar w:fldCharType="end"/>
            </w:r>
          </w:hyperlink>
        </w:p>
        <w:p w14:paraId="5FBF4423" w14:textId="40F1FA8E" w:rsidR="00D73EE5" w:rsidRPr="00D73EE5" w:rsidRDefault="00D73EE5" w:rsidP="00D73EE5">
          <w:pPr>
            <w:pStyle w:val="TOC1"/>
            <w:tabs>
              <w:tab w:val="right" w:leader="dot" w:pos="9019"/>
            </w:tabs>
            <w:spacing w:line="360" w:lineRule="auto"/>
            <w:rPr>
              <w:rFonts w:eastAsiaTheme="minorEastAsia"/>
              <w:noProof/>
              <w:kern w:val="2"/>
              <w:sz w:val="24"/>
              <w:szCs w:val="24"/>
              <w:lang w:val="en-IN"/>
              <w14:ligatures w14:val="standardContextual"/>
            </w:rPr>
          </w:pPr>
          <w:hyperlink w:anchor="_Toc223619098" w:history="1">
            <w:r w:rsidRPr="00D73EE5">
              <w:rPr>
                <w:rStyle w:val="Hyperlink"/>
                <w:noProof/>
                <w:sz w:val="24"/>
                <w:szCs w:val="24"/>
              </w:rPr>
              <w:t>Element 2: Business Environment and Competitor Analysis</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_Toc223619098 \h </w:instrText>
            </w:r>
            <w:r w:rsidRPr="00D73EE5">
              <w:rPr>
                <w:noProof/>
                <w:webHidden/>
                <w:sz w:val="24"/>
                <w:szCs w:val="24"/>
              </w:rPr>
            </w:r>
            <w:r w:rsidRPr="00D73EE5">
              <w:rPr>
                <w:noProof/>
                <w:webHidden/>
                <w:sz w:val="24"/>
                <w:szCs w:val="24"/>
              </w:rPr>
              <w:fldChar w:fldCharType="separate"/>
            </w:r>
            <w:r w:rsidRPr="00D73EE5">
              <w:rPr>
                <w:noProof/>
                <w:webHidden/>
                <w:sz w:val="24"/>
                <w:szCs w:val="24"/>
              </w:rPr>
              <w:t>5</w:t>
            </w:r>
            <w:r w:rsidRPr="00D73EE5">
              <w:rPr>
                <w:noProof/>
                <w:webHidden/>
                <w:sz w:val="24"/>
                <w:szCs w:val="24"/>
              </w:rPr>
              <w:fldChar w:fldCharType="end"/>
            </w:r>
          </w:hyperlink>
        </w:p>
        <w:p w14:paraId="47A5E1C2" w14:textId="3328F50D"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099" w:history="1">
            <w:r w:rsidRPr="00D73EE5">
              <w:rPr>
                <w:rStyle w:val="Hyperlink"/>
                <w:noProof/>
                <w:sz w:val="24"/>
                <w:szCs w:val="24"/>
              </w:rPr>
              <w:t>2.1 PESTLE Analysis</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_Toc223619099 \h </w:instrText>
            </w:r>
            <w:r w:rsidRPr="00D73EE5">
              <w:rPr>
                <w:noProof/>
                <w:webHidden/>
                <w:sz w:val="24"/>
                <w:szCs w:val="24"/>
              </w:rPr>
            </w:r>
            <w:r w:rsidRPr="00D73EE5">
              <w:rPr>
                <w:noProof/>
                <w:webHidden/>
                <w:sz w:val="24"/>
                <w:szCs w:val="24"/>
              </w:rPr>
              <w:fldChar w:fldCharType="separate"/>
            </w:r>
            <w:r w:rsidRPr="00D73EE5">
              <w:rPr>
                <w:noProof/>
                <w:webHidden/>
                <w:sz w:val="24"/>
                <w:szCs w:val="24"/>
              </w:rPr>
              <w:t>5</w:t>
            </w:r>
            <w:r w:rsidRPr="00D73EE5">
              <w:rPr>
                <w:noProof/>
                <w:webHidden/>
                <w:sz w:val="24"/>
                <w:szCs w:val="24"/>
              </w:rPr>
              <w:fldChar w:fldCharType="end"/>
            </w:r>
          </w:hyperlink>
        </w:p>
        <w:p w14:paraId="41D2B0A9" w14:textId="55103C44"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100" w:history="1">
            <w:r w:rsidRPr="00D73EE5">
              <w:rPr>
                <w:rStyle w:val="Hyperlink"/>
                <w:noProof/>
                <w:sz w:val="24"/>
                <w:szCs w:val="24"/>
              </w:rPr>
              <w:t>2.2 SWOT Analysis</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_Toc223619100 \h </w:instrText>
            </w:r>
            <w:r w:rsidRPr="00D73EE5">
              <w:rPr>
                <w:noProof/>
                <w:webHidden/>
                <w:sz w:val="24"/>
                <w:szCs w:val="24"/>
              </w:rPr>
            </w:r>
            <w:r w:rsidRPr="00D73EE5">
              <w:rPr>
                <w:noProof/>
                <w:webHidden/>
                <w:sz w:val="24"/>
                <w:szCs w:val="24"/>
              </w:rPr>
              <w:fldChar w:fldCharType="separate"/>
            </w:r>
            <w:r w:rsidRPr="00D73EE5">
              <w:rPr>
                <w:noProof/>
                <w:webHidden/>
                <w:sz w:val="24"/>
                <w:szCs w:val="24"/>
              </w:rPr>
              <w:t>7</w:t>
            </w:r>
            <w:r w:rsidRPr="00D73EE5">
              <w:rPr>
                <w:noProof/>
                <w:webHidden/>
                <w:sz w:val="24"/>
                <w:szCs w:val="24"/>
              </w:rPr>
              <w:fldChar w:fldCharType="end"/>
            </w:r>
          </w:hyperlink>
        </w:p>
        <w:p w14:paraId="4AD00D6C" w14:textId="6C3D53AB" w:rsidR="00D73EE5" w:rsidRPr="00D73EE5" w:rsidRDefault="00D73EE5" w:rsidP="00D73EE5">
          <w:pPr>
            <w:pStyle w:val="TOC1"/>
            <w:tabs>
              <w:tab w:val="right" w:leader="dot" w:pos="9019"/>
            </w:tabs>
            <w:spacing w:line="360" w:lineRule="auto"/>
            <w:rPr>
              <w:rFonts w:eastAsiaTheme="minorEastAsia"/>
              <w:noProof/>
              <w:kern w:val="2"/>
              <w:sz w:val="24"/>
              <w:szCs w:val="24"/>
              <w:lang w:val="en-IN"/>
              <w14:ligatures w14:val="standardContextual"/>
            </w:rPr>
          </w:pPr>
          <w:hyperlink w:anchor="_Toc223619101" w:history="1">
            <w:r w:rsidRPr="00D73EE5">
              <w:rPr>
                <w:rStyle w:val="Hyperlink"/>
                <w:noProof/>
                <w:sz w:val="24"/>
                <w:szCs w:val="24"/>
              </w:rPr>
              <w:t>Element 3: 4Ps, Market Segmentation and Marketing Strategies</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_Toc223619101 \h </w:instrText>
            </w:r>
            <w:r w:rsidRPr="00D73EE5">
              <w:rPr>
                <w:noProof/>
                <w:webHidden/>
                <w:sz w:val="24"/>
                <w:szCs w:val="24"/>
              </w:rPr>
            </w:r>
            <w:r w:rsidRPr="00D73EE5">
              <w:rPr>
                <w:noProof/>
                <w:webHidden/>
                <w:sz w:val="24"/>
                <w:szCs w:val="24"/>
              </w:rPr>
              <w:fldChar w:fldCharType="separate"/>
            </w:r>
            <w:r w:rsidRPr="00D73EE5">
              <w:rPr>
                <w:noProof/>
                <w:webHidden/>
                <w:sz w:val="24"/>
                <w:szCs w:val="24"/>
              </w:rPr>
              <w:t>8</w:t>
            </w:r>
            <w:r w:rsidRPr="00D73EE5">
              <w:rPr>
                <w:noProof/>
                <w:webHidden/>
                <w:sz w:val="24"/>
                <w:szCs w:val="24"/>
              </w:rPr>
              <w:fldChar w:fldCharType="end"/>
            </w:r>
          </w:hyperlink>
        </w:p>
        <w:p w14:paraId="2A9FD3C2" w14:textId="619F604C"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102" w:history="1">
            <w:r w:rsidRPr="00D73EE5">
              <w:rPr>
                <w:rStyle w:val="Hyperlink"/>
                <w:noProof/>
                <w:sz w:val="24"/>
                <w:szCs w:val="24"/>
              </w:rPr>
              <w:t>3.1 Market Segmentation</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_Toc223619102 \h </w:instrText>
            </w:r>
            <w:r w:rsidRPr="00D73EE5">
              <w:rPr>
                <w:noProof/>
                <w:webHidden/>
                <w:sz w:val="24"/>
                <w:szCs w:val="24"/>
              </w:rPr>
            </w:r>
            <w:r w:rsidRPr="00D73EE5">
              <w:rPr>
                <w:noProof/>
                <w:webHidden/>
                <w:sz w:val="24"/>
                <w:szCs w:val="24"/>
              </w:rPr>
              <w:fldChar w:fldCharType="separate"/>
            </w:r>
            <w:r w:rsidRPr="00D73EE5">
              <w:rPr>
                <w:noProof/>
                <w:webHidden/>
                <w:sz w:val="24"/>
                <w:szCs w:val="24"/>
              </w:rPr>
              <w:t>8</w:t>
            </w:r>
            <w:r w:rsidRPr="00D73EE5">
              <w:rPr>
                <w:noProof/>
                <w:webHidden/>
                <w:sz w:val="24"/>
                <w:szCs w:val="24"/>
              </w:rPr>
              <w:fldChar w:fldCharType="end"/>
            </w:r>
          </w:hyperlink>
        </w:p>
        <w:p w14:paraId="508B860D" w14:textId="7D9D63B2"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103" w:history="1">
            <w:r w:rsidRPr="00D73EE5">
              <w:rPr>
                <w:rStyle w:val="Hyperlink"/>
                <w:noProof/>
                <w:sz w:val="24"/>
                <w:szCs w:val="24"/>
              </w:rPr>
              <w:t>3.2 The 4Ps of Marketing</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_Toc223619103 \h </w:instrText>
            </w:r>
            <w:r w:rsidRPr="00D73EE5">
              <w:rPr>
                <w:noProof/>
                <w:webHidden/>
                <w:sz w:val="24"/>
                <w:szCs w:val="24"/>
              </w:rPr>
            </w:r>
            <w:r w:rsidRPr="00D73EE5">
              <w:rPr>
                <w:noProof/>
                <w:webHidden/>
                <w:sz w:val="24"/>
                <w:szCs w:val="24"/>
              </w:rPr>
              <w:fldChar w:fldCharType="separate"/>
            </w:r>
            <w:r w:rsidRPr="00D73EE5">
              <w:rPr>
                <w:noProof/>
                <w:webHidden/>
                <w:sz w:val="24"/>
                <w:szCs w:val="24"/>
              </w:rPr>
              <w:t>9</w:t>
            </w:r>
            <w:r w:rsidRPr="00D73EE5">
              <w:rPr>
                <w:noProof/>
                <w:webHidden/>
                <w:sz w:val="24"/>
                <w:szCs w:val="24"/>
              </w:rPr>
              <w:fldChar w:fldCharType="end"/>
            </w:r>
          </w:hyperlink>
        </w:p>
        <w:p w14:paraId="13A292FE" w14:textId="08681467"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104" w:history="1">
            <w:r w:rsidRPr="00D73EE5">
              <w:rPr>
                <w:rStyle w:val="Hyperlink"/>
                <w:noProof/>
                <w:sz w:val="24"/>
                <w:szCs w:val="24"/>
              </w:rPr>
              <w:t>3.3 Online Marketing Strategy</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_Toc223619104 \h </w:instrText>
            </w:r>
            <w:r w:rsidRPr="00D73EE5">
              <w:rPr>
                <w:noProof/>
                <w:webHidden/>
                <w:sz w:val="24"/>
                <w:szCs w:val="24"/>
              </w:rPr>
            </w:r>
            <w:r w:rsidRPr="00D73EE5">
              <w:rPr>
                <w:noProof/>
                <w:webHidden/>
                <w:sz w:val="24"/>
                <w:szCs w:val="24"/>
              </w:rPr>
              <w:fldChar w:fldCharType="separate"/>
            </w:r>
            <w:r w:rsidRPr="00D73EE5">
              <w:rPr>
                <w:noProof/>
                <w:webHidden/>
                <w:sz w:val="24"/>
                <w:szCs w:val="24"/>
              </w:rPr>
              <w:t>11</w:t>
            </w:r>
            <w:r w:rsidRPr="00D73EE5">
              <w:rPr>
                <w:noProof/>
                <w:webHidden/>
                <w:sz w:val="24"/>
                <w:szCs w:val="24"/>
              </w:rPr>
              <w:fldChar w:fldCharType="end"/>
            </w:r>
          </w:hyperlink>
        </w:p>
        <w:p w14:paraId="5EEDCDD3" w14:textId="7C2065AE" w:rsidR="00D73EE5" w:rsidRPr="00D73EE5" w:rsidRDefault="00D73EE5" w:rsidP="00D73EE5">
          <w:pPr>
            <w:pStyle w:val="TOC1"/>
            <w:tabs>
              <w:tab w:val="right" w:leader="dot" w:pos="9019"/>
            </w:tabs>
            <w:spacing w:line="360" w:lineRule="auto"/>
            <w:rPr>
              <w:rFonts w:eastAsiaTheme="minorEastAsia"/>
              <w:noProof/>
              <w:kern w:val="2"/>
              <w:sz w:val="24"/>
              <w:szCs w:val="24"/>
              <w:lang w:val="en-IN"/>
              <w14:ligatures w14:val="standardContextual"/>
            </w:rPr>
          </w:pPr>
          <w:hyperlink w:anchor="_Toc223619105" w:history="1">
            <w:r w:rsidRPr="00D73EE5">
              <w:rPr>
                <w:rStyle w:val="Hyperlink"/>
                <w:noProof/>
                <w:sz w:val="24"/>
                <w:szCs w:val="24"/>
              </w:rPr>
              <w:t>Element 4: Legal, Management and Financial Planning</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_Toc223619105 \h </w:instrText>
            </w:r>
            <w:r w:rsidRPr="00D73EE5">
              <w:rPr>
                <w:noProof/>
                <w:webHidden/>
                <w:sz w:val="24"/>
                <w:szCs w:val="24"/>
              </w:rPr>
            </w:r>
            <w:r w:rsidRPr="00D73EE5">
              <w:rPr>
                <w:noProof/>
                <w:webHidden/>
                <w:sz w:val="24"/>
                <w:szCs w:val="24"/>
              </w:rPr>
              <w:fldChar w:fldCharType="separate"/>
            </w:r>
            <w:r w:rsidRPr="00D73EE5">
              <w:rPr>
                <w:noProof/>
                <w:webHidden/>
                <w:sz w:val="24"/>
                <w:szCs w:val="24"/>
              </w:rPr>
              <w:t>11</w:t>
            </w:r>
            <w:r w:rsidRPr="00D73EE5">
              <w:rPr>
                <w:noProof/>
                <w:webHidden/>
                <w:sz w:val="24"/>
                <w:szCs w:val="24"/>
              </w:rPr>
              <w:fldChar w:fldCharType="end"/>
            </w:r>
          </w:hyperlink>
        </w:p>
        <w:p w14:paraId="63FDF04A" w14:textId="01C1B56E"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106" w:history="1">
            <w:r w:rsidRPr="00D73EE5">
              <w:rPr>
                <w:rStyle w:val="Hyperlink"/>
                <w:noProof/>
                <w:sz w:val="24"/>
                <w:szCs w:val="24"/>
              </w:rPr>
              <w:t>4.1 Legal Structure (UK Context)</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_Toc223619106 \h </w:instrText>
            </w:r>
            <w:r w:rsidRPr="00D73EE5">
              <w:rPr>
                <w:noProof/>
                <w:webHidden/>
                <w:sz w:val="24"/>
                <w:szCs w:val="24"/>
              </w:rPr>
            </w:r>
            <w:r w:rsidRPr="00D73EE5">
              <w:rPr>
                <w:noProof/>
                <w:webHidden/>
                <w:sz w:val="24"/>
                <w:szCs w:val="24"/>
              </w:rPr>
              <w:fldChar w:fldCharType="separate"/>
            </w:r>
            <w:r w:rsidRPr="00D73EE5">
              <w:rPr>
                <w:noProof/>
                <w:webHidden/>
                <w:sz w:val="24"/>
                <w:szCs w:val="24"/>
              </w:rPr>
              <w:t>11</w:t>
            </w:r>
            <w:r w:rsidRPr="00D73EE5">
              <w:rPr>
                <w:noProof/>
                <w:webHidden/>
                <w:sz w:val="24"/>
                <w:szCs w:val="24"/>
              </w:rPr>
              <w:fldChar w:fldCharType="end"/>
            </w:r>
          </w:hyperlink>
        </w:p>
        <w:p w14:paraId="1FF84284" w14:textId="3AC86612"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107" w:history="1">
            <w:r w:rsidRPr="00D73EE5">
              <w:rPr>
                <w:rStyle w:val="Hyperlink"/>
                <w:noProof/>
                <w:sz w:val="24"/>
                <w:szCs w:val="24"/>
              </w:rPr>
              <w:t>4.2 Justification of Legal Structure</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_Toc223619107 \h </w:instrText>
            </w:r>
            <w:r w:rsidRPr="00D73EE5">
              <w:rPr>
                <w:noProof/>
                <w:webHidden/>
                <w:sz w:val="24"/>
                <w:szCs w:val="24"/>
              </w:rPr>
            </w:r>
            <w:r w:rsidRPr="00D73EE5">
              <w:rPr>
                <w:noProof/>
                <w:webHidden/>
                <w:sz w:val="24"/>
                <w:szCs w:val="24"/>
              </w:rPr>
              <w:fldChar w:fldCharType="separate"/>
            </w:r>
            <w:r w:rsidRPr="00D73EE5">
              <w:rPr>
                <w:noProof/>
                <w:webHidden/>
                <w:sz w:val="24"/>
                <w:szCs w:val="24"/>
              </w:rPr>
              <w:t>12</w:t>
            </w:r>
            <w:r w:rsidRPr="00D73EE5">
              <w:rPr>
                <w:noProof/>
                <w:webHidden/>
                <w:sz w:val="24"/>
                <w:szCs w:val="24"/>
              </w:rPr>
              <w:fldChar w:fldCharType="end"/>
            </w:r>
          </w:hyperlink>
        </w:p>
        <w:p w14:paraId="121C908E" w14:textId="728E5426"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108" w:history="1">
            <w:r w:rsidRPr="00D73EE5">
              <w:rPr>
                <w:rStyle w:val="Hyperlink"/>
                <w:noProof/>
                <w:sz w:val="24"/>
                <w:szCs w:val="24"/>
              </w:rPr>
              <w:t>4.3 Organisational Structure</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_Toc223619108 \h </w:instrText>
            </w:r>
            <w:r w:rsidRPr="00D73EE5">
              <w:rPr>
                <w:noProof/>
                <w:webHidden/>
                <w:sz w:val="24"/>
                <w:szCs w:val="24"/>
              </w:rPr>
            </w:r>
            <w:r w:rsidRPr="00D73EE5">
              <w:rPr>
                <w:noProof/>
                <w:webHidden/>
                <w:sz w:val="24"/>
                <w:szCs w:val="24"/>
              </w:rPr>
              <w:fldChar w:fldCharType="separate"/>
            </w:r>
            <w:r w:rsidRPr="00D73EE5">
              <w:rPr>
                <w:noProof/>
                <w:webHidden/>
                <w:sz w:val="24"/>
                <w:szCs w:val="24"/>
              </w:rPr>
              <w:t>13</w:t>
            </w:r>
            <w:r w:rsidRPr="00D73EE5">
              <w:rPr>
                <w:noProof/>
                <w:webHidden/>
                <w:sz w:val="24"/>
                <w:szCs w:val="24"/>
              </w:rPr>
              <w:fldChar w:fldCharType="end"/>
            </w:r>
          </w:hyperlink>
        </w:p>
        <w:p w14:paraId="6CE25FD0" w14:textId="690D7C36"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109" w:history="1">
            <w:r w:rsidRPr="00D73EE5">
              <w:rPr>
                <w:rStyle w:val="Hyperlink"/>
                <w:noProof/>
                <w:sz w:val="24"/>
                <w:szCs w:val="24"/>
              </w:rPr>
              <w:t>4.4 Financial Planning</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_Toc223619109 \h </w:instrText>
            </w:r>
            <w:r w:rsidRPr="00D73EE5">
              <w:rPr>
                <w:noProof/>
                <w:webHidden/>
                <w:sz w:val="24"/>
                <w:szCs w:val="24"/>
              </w:rPr>
            </w:r>
            <w:r w:rsidRPr="00D73EE5">
              <w:rPr>
                <w:noProof/>
                <w:webHidden/>
                <w:sz w:val="24"/>
                <w:szCs w:val="24"/>
              </w:rPr>
              <w:fldChar w:fldCharType="separate"/>
            </w:r>
            <w:r w:rsidRPr="00D73EE5">
              <w:rPr>
                <w:noProof/>
                <w:webHidden/>
                <w:sz w:val="24"/>
                <w:szCs w:val="24"/>
              </w:rPr>
              <w:t>13</w:t>
            </w:r>
            <w:r w:rsidRPr="00D73EE5">
              <w:rPr>
                <w:noProof/>
                <w:webHidden/>
                <w:sz w:val="24"/>
                <w:szCs w:val="24"/>
              </w:rPr>
              <w:fldChar w:fldCharType="end"/>
            </w:r>
          </w:hyperlink>
        </w:p>
        <w:p w14:paraId="4382B2A9" w14:textId="071FE3F0" w:rsidR="00D73EE5" w:rsidRPr="00D73EE5" w:rsidRDefault="00D73EE5" w:rsidP="00D73EE5">
          <w:pPr>
            <w:pStyle w:val="TOC2"/>
            <w:tabs>
              <w:tab w:val="right" w:leader="dot" w:pos="9019"/>
            </w:tabs>
            <w:spacing w:line="360" w:lineRule="auto"/>
            <w:rPr>
              <w:rFonts w:eastAsiaTheme="minorEastAsia"/>
              <w:noProof/>
              <w:kern w:val="2"/>
              <w:sz w:val="24"/>
              <w:szCs w:val="24"/>
              <w:lang w:val="en-IN"/>
              <w14:ligatures w14:val="standardContextual"/>
            </w:rPr>
          </w:pPr>
          <w:hyperlink w:anchor="_Toc223619110" w:history="1">
            <w:r w:rsidRPr="00D73EE5">
              <w:rPr>
                <w:rStyle w:val="Hyperlink"/>
                <w:noProof/>
                <w:sz w:val="24"/>
                <w:szCs w:val="24"/>
              </w:rPr>
              <w:t>4.5 Funding Sources</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_Toc223619110 \h </w:instrText>
            </w:r>
            <w:r w:rsidRPr="00D73EE5">
              <w:rPr>
                <w:noProof/>
                <w:webHidden/>
                <w:sz w:val="24"/>
                <w:szCs w:val="24"/>
              </w:rPr>
            </w:r>
            <w:r w:rsidRPr="00D73EE5">
              <w:rPr>
                <w:noProof/>
                <w:webHidden/>
                <w:sz w:val="24"/>
                <w:szCs w:val="24"/>
              </w:rPr>
              <w:fldChar w:fldCharType="separate"/>
            </w:r>
            <w:r w:rsidRPr="00D73EE5">
              <w:rPr>
                <w:noProof/>
                <w:webHidden/>
                <w:sz w:val="24"/>
                <w:szCs w:val="24"/>
              </w:rPr>
              <w:t>14</w:t>
            </w:r>
            <w:r w:rsidRPr="00D73EE5">
              <w:rPr>
                <w:noProof/>
                <w:webHidden/>
                <w:sz w:val="24"/>
                <w:szCs w:val="24"/>
              </w:rPr>
              <w:fldChar w:fldCharType="end"/>
            </w:r>
          </w:hyperlink>
        </w:p>
        <w:p w14:paraId="080CE03B" w14:textId="3753CA0A" w:rsidR="00D73EE5" w:rsidRPr="00D73EE5" w:rsidRDefault="00D73EE5" w:rsidP="00D73EE5">
          <w:pPr>
            <w:pStyle w:val="TOC1"/>
            <w:tabs>
              <w:tab w:val="right" w:leader="dot" w:pos="9019"/>
            </w:tabs>
            <w:spacing w:line="360" w:lineRule="auto"/>
            <w:rPr>
              <w:rFonts w:eastAsiaTheme="minorEastAsia"/>
              <w:noProof/>
              <w:kern w:val="2"/>
              <w:sz w:val="24"/>
              <w:szCs w:val="24"/>
              <w:lang w:val="en-IN"/>
              <w14:ligatures w14:val="standardContextual"/>
            </w:rPr>
          </w:pPr>
          <w:hyperlink w:anchor="_Toc223619111" w:history="1">
            <w:r w:rsidRPr="00D73EE5">
              <w:rPr>
                <w:rStyle w:val="Hyperlink"/>
                <w:noProof/>
                <w:sz w:val="24"/>
                <w:szCs w:val="24"/>
              </w:rPr>
              <w:t>References</w:t>
            </w:r>
            <w:r w:rsidRPr="00D73EE5">
              <w:rPr>
                <w:noProof/>
                <w:webHidden/>
                <w:sz w:val="24"/>
                <w:szCs w:val="24"/>
              </w:rPr>
              <w:tab/>
            </w:r>
            <w:r w:rsidRPr="00D73EE5">
              <w:rPr>
                <w:noProof/>
                <w:webHidden/>
                <w:sz w:val="24"/>
                <w:szCs w:val="24"/>
              </w:rPr>
              <w:fldChar w:fldCharType="begin"/>
            </w:r>
            <w:r w:rsidRPr="00D73EE5">
              <w:rPr>
                <w:noProof/>
                <w:webHidden/>
                <w:sz w:val="24"/>
                <w:szCs w:val="24"/>
              </w:rPr>
              <w:instrText xml:space="preserve"> PAGEREF _Toc223619111 \h </w:instrText>
            </w:r>
            <w:r w:rsidRPr="00D73EE5">
              <w:rPr>
                <w:noProof/>
                <w:webHidden/>
                <w:sz w:val="24"/>
                <w:szCs w:val="24"/>
              </w:rPr>
            </w:r>
            <w:r w:rsidRPr="00D73EE5">
              <w:rPr>
                <w:noProof/>
                <w:webHidden/>
                <w:sz w:val="24"/>
                <w:szCs w:val="24"/>
              </w:rPr>
              <w:fldChar w:fldCharType="separate"/>
            </w:r>
            <w:r w:rsidRPr="00D73EE5">
              <w:rPr>
                <w:noProof/>
                <w:webHidden/>
                <w:sz w:val="24"/>
                <w:szCs w:val="24"/>
              </w:rPr>
              <w:t>15</w:t>
            </w:r>
            <w:r w:rsidRPr="00D73EE5">
              <w:rPr>
                <w:noProof/>
                <w:webHidden/>
                <w:sz w:val="24"/>
                <w:szCs w:val="24"/>
              </w:rPr>
              <w:fldChar w:fldCharType="end"/>
            </w:r>
          </w:hyperlink>
        </w:p>
        <w:p w14:paraId="0B1A0A41" w14:textId="7102DAF2" w:rsidR="00BD2927" w:rsidRDefault="00BD2927" w:rsidP="00D73EE5">
          <w:pPr>
            <w:spacing w:line="360" w:lineRule="auto"/>
            <w:jc w:val="center"/>
          </w:pPr>
          <w:r w:rsidRPr="00D73EE5">
            <w:rPr>
              <w:b/>
              <w:bCs/>
              <w:noProof/>
              <w:color w:val="000000" w:themeColor="text1"/>
              <w:sz w:val="24"/>
              <w:szCs w:val="24"/>
            </w:rPr>
            <w:fldChar w:fldCharType="end"/>
          </w:r>
        </w:p>
      </w:sdtContent>
    </w:sdt>
    <w:p w14:paraId="79B38463" w14:textId="77777777" w:rsidR="00BD2927" w:rsidRDefault="00BD2927">
      <w:pPr>
        <w:rPr>
          <w:rFonts w:eastAsia="Times New Roman"/>
          <w:b/>
          <w:bCs/>
          <w:sz w:val="24"/>
          <w:szCs w:val="24"/>
        </w:rPr>
      </w:pPr>
      <w:r>
        <w:rPr>
          <w:rFonts w:eastAsia="Times New Roman"/>
          <w:b/>
          <w:bCs/>
          <w:sz w:val="24"/>
          <w:szCs w:val="24"/>
        </w:rPr>
        <w:br w:type="page"/>
      </w:r>
    </w:p>
    <w:p w14:paraId="7029AEBA" w14:textId="547A7A52" w:rsidR="0088074C" w:rsidRPr="00BD2927" w:rsidRDefault="00000000" w:rsidP="00BD2927">
      <w:pPr>
        <w:pStyle w:val="Heading1"/>
      </w:pPr>
      <w:bookmarkStart w:id="1" w:name="_Toc223619093"/>
      <w:r w:rsidRPr="00BD2927">
        <w:lastRenderedPageBreak/>
        <w:t>Element 1: Business Idea, Products/Services, Objectives and USP</w:t>
      </w:r>
      <w:bookmarkEnd w:id="1"/>
      <w:r w:rsidRPr="00BD2927">
        <w:t xml:space="preserve"> </w:t>
      </w:r>
    </w:p>
    <w:p w14:paraId="0A210CA3" w14:textId="77777777" w:rsidR="0088074C" w:rsidRPr="00BD2927" w:rsidRDefault="00000000" w:rsidP="00BD2927">
      <w:pPr>
        <w:pStyle w:val="Heading2"/>
        <w:rPr>
          <w:b w:val="0"/>
        </w:rPr>
      </w:pPr>
      <w:bookmarkStart w:id="2" w:name="_t5lptsw28dh6" w:colFirst="0" w:colLast="0"/>
      <w:bookmarkStart w:id="3" w:name="_Toc223619094"/>
      <w:bookmarkEnd w:id="2"/>
      <w:r w:rsidRPr="00BD2927">
        <w:t>1.1 Business Concept and Rationale</w:t>
      </w:r>
      <w:bookmarkEnd w:id="3"/>
    </w:p>
    <w:p w14:paraId="30EE6E75" w14:textId="0906FE7B" w:rsidR="0088074C" w:rsidRPr="00BD2927" w:rsidRDefault="00000000">
      <w:pPr>
        <w:spacing w:line="360" w:lineRule="auto"/>
        <w:jc w:val="both"/>
        <w:rPr>
          <w:rFonts w:eastAsia="Times New Roman"/>
          <w:sz w:val="24"/>
          <w:szCs w:val="24"/>
        </w:rPr>
      </w:pPr>
      <w:r w:rsidRPr="00BD2927">
        <w:rPr>
          <w:rFonts w:eastAsia="Times New Roman"/>
          <w:sz w:val="24"/>
          <w:szCs w:val="24"/>
        </w:rPr>
        <w:t xml:space="preserve">Aurea Aesthetics is a UK-based luxury </w:t>
      </w:r>
      <w:r w:rsidR="00BD2927" w:rsidRPr="00BD2927">
        <w:rPr>
          <w:rFonts w:eastAsia="Times New Roman"/>
          <w:sz w:val="24"/>
          <w:szCs w:val="24"/>
        </w:rPr>
        <w:t>non-surgical</w:t>
      </w:r>
      <w:r w:rsidRPr="00BD2927">
        <w:rPr>
          <w:rFonts w:eastAsia="Times New Roman"/>
          <w:sz w:val="24"/>
          <w:szCs w:val="24"/>
        </w:rPr>
        <w:t xml:space="preserve"> cosmetic clinic that focuses on facial aesthetics and high-tech skin treatments. The intended business objectives will focus on the operations in a developing medical aesthetics sector and will be placed as a luxury, high-quality, and client-centred medical aesthetics company that will not lose a clinical safety layer. The clinic will attract the high-end customer who would adopt professionalism, confidence and natural-looking results instead of the discounted prices.</w:t>
      </w:r>
    </w:p>
    <w:p w14:paraId="46103C8B" w14:textId="77777777" w:rsidR="0088074C" w:rsidRPr="00BD2927" w:rsidRDefault="00000000">
      <w:pPr>
        <w:spacing w:line="360" w:lineRule="auto"/>
        <w:jc w:val="both"/>
        <w:rPr>
          <w:rFonts w:eastAsia="Times New Roman"/>
          <w:sz w:val="24"/>
          <w:szCs w:val="24"/>
        </w:rPr>
      </w:pPr>
      <w:r w:rsidRPr="00BD2927">
        <w:rPr>
          <w:rFonts w:eastAsia="Times New Roman"/>
          <w:sz w:val="24"/>
          <w:szCs w:val="24"/>
        </w:rPr>
        <w:t>The technological development, the strength of social media, and the evolving concepts of beauty have been the main contributors to the significant growth of the aesthetics market in the UK that was observed in the past ten years. Cosmetic surgery has been made more dangerous than the surgical procedure since it is not risky, there is a shorter recovery period and it is relatively cheap. The trend highlights the existence of high market opportunities of new entrants who are in a good position to address the rising consumer expectations. However, the increasing market saturation particularly the low-cost players has equally augmented the rivalry and the price elasticity (Burns, 2022).</w:t>
      </w:r>
    </w:p>
    <w:p w14:paraId="77EF899E" w14:textId="77777777" w:rsidR="0088074C" w:rsidRPr="00BD2927" w:rsidRDefault="00000000">
      <w:pPr>
        <w:spacing w:line="360" w:lineRule="auto"/>
        <w:jc w:val="both"/>
        <w:rPr>
          <w:rFonts w:eastAsia="Times New Roman"/>
          <w:sz w:val="24"/>
          <w:szCs w:val="24"/>
        </w:rPr>
      </w:pPr>
      <w:r w:rsidRPr="00BD2927">
        <w:rPr>
          <w:rFonts w:eastAsia="Times New Roman"/>
          <w:sz w:val="24"/>
          <w:szCs w:val="24"/>
        </w:rPr>
        <w:t>In order to deal with this challenge, Aurea Aesthetics will implement a differentiation strategy in accordance with the competitive strategy framework of Michael Porter. Instead of cost competition, the clinic is concentrating on personalised consultations, high clinical standards, and luxury branding to generate value addition. This is a strategic positioning that eliminates the competition based on price and customer loyalty in the long term. The main business idea is the combination of medical knowledge and high-quality service atmosphere, which attracts the clients and concerns not only their appearance but also their experience.</w:t>
      </w:r>
    </w:p>
    <w:p w14:paraId="3B7F6C88" w14:textId="77777777" w:rsidR="0088074C" w:rsidRPr="00BD2927" w:rsidRDefault="00000000" w:rsidP="00BD2927">
      <w:pPr>
        <w:pStyle w:val="Heading2"/>
      </w:pPr>
      <w:bookmarkStart w:id="4" w:name="_z1bv7dwuh0vo" w:colFirst="0" w:colLast="0"/>
      <w:bookmarkStart w:id="5" w:name="_Toc223619095"/>
      <w:bookmarkEnd w:id="4"/>
      <w:r w:rsidRPr="00BD2927">
        <w:t>1.2 Products and Services</w:t>
      </w:r>
      <w:bookmarkEnd w:id="5"/>
    </w:p>
    <w:p w14:paraId="22737A3F"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The list of non-surgical cosmetic surgeries to be offered by Aurea Aesthetics will be well selected and will predominantly involve procedures that are in high demand and repeatable. The service line consists of wellness-based, facial injectables, skin rejuvenation procedures, and aesthetic solutions. The clinic is not providing the total </w:t>
      </w:r>
      <w:r w:rsidRPr="00BD2927">
        <w:rPr>
          <w:rFonts w:eastAsia="Times New Roman"/>
          <w:sz w:val="24"/>
          <w:szCs w:val="24"/>
        </w:rPr>
        <w:lastRenderedPageBreak/>
        <w:t>range of low-margin services but concentrates on high-quality treatments in the long-term achievement of its premium brand positioning and profitability objectives.</w:t>
      </w:r>
    </w:p>
    <w:p w14:paraId="43257863"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The service provision is not only the physical treatment on the marketing front. Philip Kotler and Kevin Keller acknowledge the fact that services are made of core, actual and augmented elements. Confidence and improved self-image is the primary product in the instance of Aurea Aesthetics. The aesthetic procedure provided by a qualified practitioner is the actual product whereas the augmented product contains the consultation process, aftercare of the treatment, the clinic atmosphere and the trust that is formed between the two parties, the practitioner and the client. With the reinforcement of the augmented element, Aurea Aesthetics enhances the perceived value and diminishes commodification usually attached to the non-surgical aesthetic services.</w:t>
      </w:r>
    </w:p>
    <w:p w14:paraId="0F883BF8" w14:textId="77777777" w:rsidR="0088074C" w:rsidRPr="00BD2927" w:rsidRDefault="00000000" w:rsidP="00BD2927">
      <w:pPr>
        <w:pStyle w:val="Heading2"/>
      </w:pPr>
      <w:bookmarkStart w:id="6" w:name="_edu3hqyqt3ct" w:colFirst="0" w:colLast="0"/>
      <w:bookmarkStart w:id="7" w:name="_Toc223619096"/>
      <w:bookmarkEnd w:id="6"/>
      <w:r w:rsidRPr="00BD2927">
        <w:t>1.3 Business Objectives</w:t>
      </w:r>
      <w:bookmarkEnd w:id="7"/>
    </w:p>
    <w:p w14:paraId="78714FF0"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The SMART framework is applied to organize the business objectives of Aurea Aesthetics to make it clear, measurable, and strategic. Short term, the objective of the clinic will be to break-even within six months of operation and at the same time, gain a loyal clientele and develop an effective brand presence in the digital platform. These goals are important in securing competence in the market and stability early.</w:t>
      </w:r>
    </w:p>
    <w:p w14:paraId="2E14A8E5"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In the medium term one to three years Aurea Aesthetics aims to develop a yearly revenue growth, hire an extra practitioner and launch supplementary retail skincare items. Productivity will also be boosted in terms of profitability. Over the long run, the business will geographically diversify through the establishment of a second clinic facility, build accredited aesthetic training courses and have a developed reputation as a market leader in this region. Expansion will be well controlled to prevent the risk of over expansion, which is also one of the main reasons of small business failure as found by Bridge and O’Neill.</w:t>
      </w:r>
    </w:p>
    <w:p w14:paraId="69A012A9" w14:textId="77777777" w:rsidR="0088074C" w:rsidRPr="00BD2927" w:rsidRDefault="00000000" w:rsidP="00BD2927">
      <w:pPr>
        <w:pStyle w:val="Heading2"/>
      </w:pPr>
      <w:bookmarkStart w:id="8" w:name="_jn2bg63rh5w7" w:colFirst="0" w:colLast="0"/>
      <w:bookmarkStart w:id="9" w:name="_Toc223619097"/>
      <w:bookmarkEnd w:id="8"/>
      <w:r w:rsidRPr="00BD2927">
        <w:t>1.4 Unique Selling Point (USP)</w:t>
      </w:r>
      <w:bookmarkEnd w:id="9"/>
    </w:p>
    <w:p w14:paraId="3CF8C373" w14:textId="77777777" w:rsidR="0088074C" w:rsidRPr="00BD2927" w:rsidRDefault="00000000">
      <w:pPr>
        <w:spacing w:line="360" w:lineRule="auto"/>
        <w:jc w:val="both"/>
        <w:rPr>
          <w:rFonts w:eastAsia="Times New Roman"/>
          <w:sz w:val="24"/>
          <w:szCs w:val="24"/>
        </w:rPr>
      </w:pPr>
      <w:r w:rsidRPr="00BD2927">
        <w:rPr>
          <w:rFonts w:eastAsia="Times New Roman"/>
          <w:sz w:val="24"/>
          <w:szCs w:val="24"/>
        </w:rPr>
        <w:t xml:space="preserve">The distinct selling point of Aurea Aesthetics is that it promises to provide the luxury aesthetic treatments using clinical accuracy and using a personal approach. This is a </w:t>
      </w:r>
      <w:r w:rsidRPr="00BD2927">
        <w:rPr>
          <w:rFonts w:eastAsia="Times New Roman"/>
          <w:sz w:val="24"/>
          <w:szCs w:val="24"/>
        </w:rPr>
        <w:lastRenderedPageBreak/>
        <w:t>positioning aimed at a distinct gap of low cost independent injectors versus large corporate clinic chains. Most of the competitors are using the promotional pricing and discounts, but Aurea Aesthetics plans to differentiate the business with custom treatment planning, natural enhancement philosophy, high-quality interior design, strict safety, and aftercare. This will promote brand equity, which as per the brand equity theory by Aaker, and minimise exposure to price competition.</w:t>
      </w:r>
    </w:p>
    <w:p w14:paraId="2E6ED564" w14:textId="5CB1E622" w:rsidR="0088074C" w:rsidRPr="00BD2927" w:rsidRDefault="00000000" w:rsidP="00BD2927">
      <w:pPr>
        <w:pStyle w:val="Heading1"/>
      </w:pPr>
      <w:bookmarkStart w:id="10" w:name="_jfz75hanzdta" w:colFirst="0" w:colLast="0"/>
      <w:bookmarkStart w:id="11" w:name="_Toc223619098"/>
      <w:bookmarkEnd w:id="10"/>
      <w:r w:rsidRPr="00BD2927">
        <w:t>Element 2: Business Environment and Competitor Analysis</w:t>
      </w:r>
      <w:bookmarkEnd w:id="11"/>
      <w:r w:rsidRPr="00BD2927">
        <w:t xml:space="preserve"> </w:t>
      </w:r>
    </w:p>
    <w:p w14:paraId="6CFD2329" w14:textId="77777777" w:rsidR="0088074C" w:rsidRPr="00BD2927" w:rsidRDefault="00000000" w:rsidP="00BD2927">
      <w:pPr>
        <w:pStyle w:val="Heading2"/>
      </w:pPr>
      <w:bookmarkStart w:id="12" w:name="_k4ohjs536q5w" w:colFirst="0" w:colLast="0"/>
      <w:bookmarkStart w:id="13" w:name="_Toc223619099"/>
      <w:bookmarkEnd w:id="12"/>
      <w:r w:rsidRPr="00BD2927">
        <w:t>2.1 PESTLE Analysis</w:t>
      </w:r>
      <w:bookmarkEnd w:id="13"/>
    </w:p>
    <w:p w14:paraId="463AC0D3" w14:textId="77777777" w:rsidR="0088074C" w:rsidRPr="00BD2927" w:rsidRDefault="00000000">
      <w:pPr>
        <w:pStyle w:val="Heading4"/>
        <w:keepNext w:val="0"/>
        <w:keepLines w:val="0"/>
        <w:spacing w:before="240" w:after="40" w:line="360" w:lineRule="auto"/>
        <w:jc w:val="both"/>
        <w:rPr>
          <w:rFonts w:eastAsia="Times New Roman"/>
          <w:b/>
          <w:bCs/>
          <w:color w:val="000000"/>
        </w:rPr>
      </w:pPr>
      <w:bookmarkStart w:id="14" w:name="_wtdcmxqaefe" w:colFirst="0" w:colLast="0"/>
      <w:bookmarkEnd w:id="14"/>
      <w:r w:rsidRPr="00BD2927">
        <w:rPr>
          <w:rFonts w:eastAsia="Times New Roman"/>
          <w:b/>
          <w:bCs/>
          <w:color w:val="000000"/>
        </w:rPr>
        <w:t>Political Factors</w:t>
      </w:r>
    </w:p>
    <w:p w14:paraId="57042BE7"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Political environment is also a major determinant to the operating conditions of the UK aesthetics industry. The government of the UK in the Department of Health and Social Care, has suggested to come up with tougher terms in the licensing and regulation of non-surgical cosmetic procedures. These suggested reforms will enhance patient safety since only the qualified and properly trained practitioners will be allowed to administer aesthetic treatments. Although there is the risk of greater regulation leading to higher compliance costs of new and existing clinics, it will result in significant barriers to entry (Hajipour </w:t>
      </w:r>
      <w:r w:rsidRPr="00BD2927">
        <w:rPr>
          <w:rFonts w:eastAsia="Times New Roman"/>
          <w:i/>
          <w:iCs/>
          <w:sz w:val="24"/>
          <w:szCs w:val="24"/>
        </w:rPr>
        <w:t xml:space="preserve">et al. </w:t>
      </w:r>
      <w:r w:rsidRPr="00BD2927">
        <w:rPr>
          <w:rFonts w:eastAsia="Times New Roman"/>
          <w:sz w:val="24"/>
          <w:szCs w:val="24"/>
        </w:rPr>
        <w:t xml:space="preserve">2023)). This is an opportunity as well as a challenge to Aurea Aesthetics. </w:t>
      </w:r>
    </w:p>
    <w:p w14:paraId="5615212C" w14:textId="77777777" w:rsidR="0088074C" w:rsidRPr="00BD2927" w:rsidRDefault="00000000">
      <w:pPr>
        <w:spacing w:before="240" w:after="240" w:line="360" w:lineRule="auto"/>
        <w:jc w:val="both"/>
        <w:rPr>
          <w:rFonts w:eastAsia="Times New Roman"/>
          <w:b/>
          <w:bCs/>
          <w:color w:val="000000"/>
        </w:rPr>
      </w:pPr>
      <w:r w:rsidRPr="00BD2927">
        <w:rPr>
          <w:rFonts w:eastAsia="Times New Roman"/>
          <w:b/>
          <w:bCs/>
          <w:color w:val="000000"/>
        </w:rPr>
        <w:t>Economic Factors</w:t>
      </w:r>
    </w:p>
    <w:p w14:paraId="03A6702D" w14:textId="59689C6C"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The economic situation also has a major impact on the demand of aesthetic treatments as these services are mostly classified as discretionary spending. At times of economic distress or economic downturn, consumers might cut down on spending on the </w:t>
      </w:r>
      <w:r w:rsidR="00BD2927" w:rsidRPr="00BD2927">
        <w:rPr>
          <w:rFonts w:eastAsia="Times New Roman"/>
          <w:sz w:val="24"/>
          <w:szCs w:val="24"/>
        </w:rPr>
        <w:t>non-essential</w:t>
      </w:r>
      <w:r w:rsidRPr="00BD2927">
        <w:rPr>
          <w:rFonts w:eastAsia="Times New Roman"/>
          <w:sz w:val="24"/>
          <w:szCs w:val="24"/>
        </w:rPr>
        <w:t xml:space="preserve"> services. Welter </w:t>
      </w:r>
      <w:r w:rsidRPr="00BD2927">
        <w:rPr>
          <w:rFonts w:eastAsia="Times New Roman"/>
          <w:i/>
          <w:iCs/>
          <w:sz w:val="24"/>
          <w:szCs w:val="24"/>
        </w:rPr>
        <w:t xml:space="preserve">et al. </w:t>
      </w:r>
      <w:r w:rsidRPr="00BD2927">
        <w:rPr>
          <w:rFonts w:eastAsia="Times New Roman"/>
          <w:sz w:val="24"/>
          <w:szCs w:val="24"/>
        </w:rPr>
        <w:t xml:space="preserve">(2021) mentioned that people tend to keep on spending on little luxury goods even in times of economic recessions. Cosmetic surgery that is not done through surgery is sometimes viewed as cheap luxuries, as opposed to exorbitant, thus offering some protection against economic instability. However, Aurea Aesthetics will have to take wise approaches to the financial planning, such as keeping contingency reserves and keeping the fixed costs at bay. This will aid </w:t>
      </w:r>
      <w:r w:rsidRPr="00BD2927">
        <w:rPr>
          <w:rFonts w:eastAsia="Times New Roman"/>
          <w:sz w:val="24"/>
          <w:szCs w:val="24"/>
        </w:rPr>
        <w:lastRenderedPageBreak/>
        <w:t>in reducing the chances of the volatile demand and make the operations sustainable in cases of economic turmoil.</w:t>
      </w:r>
    </w:p>
    <w:p w14:paraId="232A2400" w14:textId="77777777" w:rsidR="0088074C" w:rsidRPr="00BD2927" w:rsidRDefault="00000000">
      <w:pPr>
        <w:pStyle w:val="Heading4"/>
        <w:keepNext w:val="0"/>
        <w:keepLines w:val="0"/>
        <w:spacing w:before="240" w:after="40" w:line="360" w:lineRule="auto"/>
        <w:jc w:val="both"/>
        <w:rPr>
          <w:rFonts w:eastAsia="Times New Roman"/>
          <w:b/>
          <w:bCs/>
          <w:color w:val="000000"/>
        </w:rPr>
      </w:pPr>
      <w:bookmarkStart w:id="15" w:name="_pg87htf9botv" w:colFirst="0" w:colLast="0"/>
      <w:bookmarkEnd w:id="15"/>
      <w:r w:rsidRPr="00BD2927">
        <w:rPr>
          <w:rFonts w:eastAsia="Times New Roman"/>
          <w:b/>
          <w:bCs/>
          <w:color w:val="000000"/>
        </w:rPr>
        <w:t>Social Factors</w:t>
      </w:r>
    </w:p>
    <w:p w14:paraId="22B3C993"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The aesthetics industry is especially prone to social and cultural influences. Instagram and Tik Tok, as social media platforms, operate in the centre of influencing beauty ideals, raising awareness about cosmetic procedures, and promoting aesthetic surgery as the norm. Fashion items like glass skin and preventative anti-ageing have brought a demand among younger generations (Mishra and Tripathi, 2021). Nonetheless, a trend to authenticity and natural appearance has been gaining momentum in society, with cosmetic results being more likely to be criticized as overfilled or unnatural. This dynamic buyer mentality is very much in line with the philosophy of Aurea Aesthetics of a delicate natural enhancement. </w:t>
      </w:r>
    </w:p>
    <w:p w14:paraId="6648E15E" w14:textId="77777777" w:rsidR="0088074C" w:rsidRPr="00BD2927" w:rsidRDefault="00000000">
      <w:pPr>
        <w:spacing w:before="240" w:after="240" w:line="360" w:lineRule="auto"/>
        <w:jc w:val="both"/>
        <w:rPr>
          <w:rFonts w:eastAsia="Times New Roman"/>
          <w:b/>
          <w:bCs/>
          <w:color w:val="000000"/>
        </w:rPr>
      </w:pPr>
      <w:r w:rsidRPr="00BD2927">
        <w:rPr>
          <w:rFonts w:eastAsia="Times New Roman"/>
          <w:b/>
          <w:bCs/>
          <w:color w:val="000000"/>
        </w:rPr>
        <w:t>Technological Factors</w:t>
      </w:r>
    </w:p>
    <w:p w14:paraId="14FAD29B"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Medical aesthetics is an industry that is growing and innovating due to technological advancement. The development of injectable formulations, skin boasters, and regeneration therapies have increased the results of the treatment and safety rates. Also, digital technologies in online booking systems, customer relationship management (CRM) systems, and automated follow-up systems enhance operational effectiveness and retention. In the case of Aurea Aesthetics, modern technology should not be a choice but a necessity in order to remain competitive (Rane</w:t>
      </w:r>
      <w:r w:rsidRPr="00BD2927">
        <w:rPr>
          <w:rFonts w:eastAsia="Times New Roman"/>
          <w:i/>
          <w:iCs/>
          <w:sz w:val="24"/>
          <w:szCs w:val="24"/>
        </w:rPr>
        <w:t xml:space="preserve"> et al. </w:t>
      </w:r>
      <w:r w:rsidRPr="00BD2927">
        <w:rPr>
          <w:rFonts w:eastAsia="Times New Roman"/>
          <w:sz w:val="24"/>
          <w:szCs w:val="24"/>
        </w:rPr>
        <w:t>2024). Lack of digital systems integration may lead to inefficiency, poor customer satisfaction and loss of customers to competitors who have adopted advanced technology. Investment in technology is therefore strategic in that it facilitates the quality of services and the business performance in the long-term.</w:t>
      </w:r>
    </w:p>
    <w:p w14:paraId="756E36A8" w14:textId="77777777" w:rsidR="0088074C" w:rsidRPr="00BD2927" w:rsidRDefault="00000000">
      <w:pPr>
        <w:pStyle w:val="Heading4"/>
        <w:keepNext w:val="0"/>
        <w:keepLines w:val="0"/>
        <w:spacing w:before="240" w:after="40" w:line="360" w:lineRule="auto"/>
        <w:jc w:val="both"/>
        <w:rPr>
          <w:rFonts w:eastAsia="Times New Roman"/>
          <w:b/>
          <w:bCs/>
          <w:color w:val="000000"/>
        </w:rPr>
      </w:pPr>
      <w:bookmarkStart w:id="16" w:name="_wus6dv4cnklh" w:colFirst="0" w:colLast="0"/>
      <w:bookmarkEnd w:id="16"/>
      <w:r w:rsidRPr="00BD2927">
        <w:rPr>
          <w:rFonts w:eastAsia="Times New Roman"/>
          <w:b/>
          <w:bCs/>
          <w:color w:val="000000"/>
        </w:rPr>
        <w:t>Environmental Factors</w:t>
      </w:r>
    </w:p>
    <w:p w14:paraId="2033CDA2"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The impact of aesthetic clinics on the environment is relatively small in comparison with other healthcare areas, but environmental consideration is gradually becoming significant in the eyes of consumers. Medical waste produced in clinics is 1-use consumables and packaging in the case of injectable treatment. Eco-friendly branding, responsible disposal of waste, and sustainable sourcing of products are some of the </w:t>
      </w:r>
      <w:r w:rsidRPr="00BD2927">
        <w:rPr>
          <w:rFonts w:eastAsia="Times New Roman"/>
          <w:sz w:val="24"/>
          <w:szCs w:val="24"/>
        </w:rPr>
        <w:lastRenderedPageBreak/>
        <w:t>environmental conscious practices that can have a positive effect on brand image. In the case of Aurea Aesthetics, including sustainability communication as a part of its branding can be a success factor among ethically conscious consumers and can help the company to be a differentiator in the competitive market.</w:t>
      </w:r>
    </w:p>
    <w:p w14:paraId="7E648A67" w14:textId="77777777" w:rsidR="0088074C" w:rsidRPr="00BD2927" w:rsidRDefault="00000000">
      <w:pPr>
        <w:pStyle w:val="Heading4"/>
        <w:keepNext w:val="0"/>
        <w:keepLines w:val="0"/>
        <w:spacing w:before="240" w:after="40" w:line="360" w:lineRule="auto"/>
        <w:jc w:val="both"/>
        <w:rPr>
          <w:rFonts w:eastAsia="Times New Roman"/>
          <w:b/>
          <w:bCs/>
          <w:color w:val="000000"/>
        </w:rPr>
      </w:pPr>
      <w:bookmarkStart w:id="17" w:name="_veqif4ikvem0" w:colFirst="0" w:colLast="0"/>
      <w:bookmarkEnd w:id="17"/>
      <w:r w:rsidRPr="00BD2927">
        <w:rPr>
          <w:rFonts w:eastAsia="Times New Roman"/>
          <w:b/>
          <w:bCs/>
          <w:color w:val="000000"/>
        </w:rPr>
        <w:t>Legal Factors</w:t>
      </w:r>
    </w:p>
    <w:p w14:paraId="721E875A"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The law and regulations offer rigid compliance laws to aesthetic clinics that are in use in the UK. Aurea Aesthetics will need to comply with the Data Protection Act 2018, and they will be obligated to comply with the full scope of GDPR regulations regarding working with clients. Moreover, professional indemnity is also an obligatory insurance that covers the business and the clients. Violation of such legal provisions may lead to monetary fines, loss of reputation or even termination of license to operate which would be extremely destructive in a sector where trust and credibility is paramount.</w:t>
      </w:r>
    </w:p>
    <w:p w14:paraId="183B844E" w14:textId="77777777" w:rsidR="0088074C" w:rsidRPr="00BD2927" w:rsidRDefault="00000000" w:rsidP="00BD2927">
      <w:pPr>
        <w:pStyle w:val="Heading2"/>
      </w:pPr>
      <w:bookmarkStart w:id="18" w:name="_86ku0j18ekt6" w:colFirst="0" w:colLast="0"/>
      <w:bookmarkStart w:id="19" w:name="_Toc223619100"/>
      <w:bookmarkEnd w:id="18"/>
      <w:r w:rsidRPr="00BD2927">
        <w:t>2.2 SWOT Analysis</w:t>
      </w:r>
      <w:bookmarkEnd w:id="19"/>
    </w:p>
    <w:p w14:paraId="3E4F5A82" w14:textId="77777777" w:rsidR="0088074C" w:rsidRPr="00BD2927" w:rsidRDefault="00000000">
      <w:pPr>
        <w:spacing w:before="240" w:after="240" w:line="360" w:lineRule="auto"/>
        <w:jc w:val="both"/>
        <w:rPr>
          <w:rFonts w:eastAsia="Times New Roman"/>
          <w:b/>
          <w:bCs/>
          <w:i/>
          <w:iCs/>
          <w:sz w:val="24"/>
          <w:szCs w:val="24"/>
        </w:rPr>
      </w:pPr>
      <w:r w:rsidRPr="00BD2927">
        <w:rPr>
          <w:rFonts w:eastAsia="Times New Roman"/>
          <w:b/>
          <w:bCs/>
          <w:i/>
          <w:iCs/>
          <w:sz w:val="24"/>
          <w:szCs w:val="24"/>
        </w:rPr>
        <w:t>Strengths</w:t>
      </w:r>
    </w:p>
    <w:p w14:paraId="05501395"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Aurea Aesthetics has a number of internal strengths that it can use in its competitiveness. The premium branding that is evident in the clinic helps to distinguish it among the low-cost providers and attract clients who want to receive quality and exclusivity. Increased market potential is also supported by the increasing demand of non-surgical aesthetic treatments and the high lifetime value of the repeat clients will also increase revenue stability in the long run (Larsen, 2022). Moreover, the credibility of the personal brand creator of the clinic, also adds to trust and credibility, which is also an essential success factor in medical aesthetics.</w:t>
      </w:r>
    </w:p>
    <w:p w14:paraId="6C0BF33F" w14:textId="77777777" w:rsidR="0088074C" w:rsidRPr="00BD2927" w:rsidRDefault="00000000">
      <w:pPr>
        <w:spacing w:before="240" w:after="240" w:line="360" w:lineRule="auto"/>
        <w:jc w:val="both"/>
        <w:rPr>
          <w:rFonts w:eastAsia="Times New Roman"/>
          <w:b/>
          <w:bCs/>
          <w:i/>
          <w:iCs/>
          <w:sz w:val="24"/>
          <w:szCs w:val="24"/>
        </w:rPr>
      </w:pPr>
      <w:r w:rsidRPr="00BD2927">
        <w:rPr>
          <w:rFonts w:eastAsia="Times New Roman"/>
          <w:b/>
          <w:bCs/>
          <w:i/>
          <w:iCs/>
          <w:sz w:val="24"/>
          <w:szCs w:val="24"/>
        </w:rPr>
        <w:t>Weaknesses</w:t>
      </w:r>
    </w:p>
    <w:p w14:paraId="217FB9F7"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Although these are the strengths, the business has a number of internal constraints. There is the high fixed cost related to high-end premises, equipment as well as insurance, which puts financial strain especially at the start of the operation. The reputation of the clinic is also directly associated with the experience of the practitioner and his or her credibility, which makes them dependent on the performance of the practitioner (Bruder, 2021). Additionally , the short term is likely to be limited by lack </w:t>
      </w:r>
      <w:r w:rsidRPr="00BD2927">
        <w:rPr>
          <w:rFonts w:eastAsia="Times New Roman"/>
          <w:sz w:val="24"/>
          <w:szCs w:val="24"/>
        </w:rPr>
        <w:lastRenderedPageBreak/>
        <w:t>of initial capital to conduct marketing, hire additional staff, and scale fast. These shortcomings underline the need to exercise due financial management and slow but steady expansion.</w:t>
      </w:r>
    </w:p>
    <w:p w14:paraId="3C0DF8CB" w14:textId="77777777" w:rsidR="0088074C" w:rsidRPr="00BD2927" w:rsidRDefault="00000000">
      <w:pPr>
        <w:spacing w:before="240" w:after="240" w:line="360" w:lineRule="auto"/>
        <w:jc w:val="both"/>
        <w:rPr>
          <w:rFonts w:eastAsia="Times New Roman"/>
          <w:b/>
          <w:bCs/>
          <w:i/>
          <w:iCs/>
          <w:sz w:val="24"/>
          <w:szCs w:val="24"/>
        </w:rPr>
      </w:pPr>
      <w:r w:rsidRPr="00BD2927">
        <w:rPr>
          <w:rFonts w:eastAsia="Times New Roman"/>
          <w:b/>
          <w:bCs/>
          <w:i/>
          <w:iCs/>
          <w:sz w:val="24"/>
          <w:szCs w:val="24"/>
        </w:rPr>
        <w:t>Opportunities</w:t>
      </w:r>
    </w:p>
    <w:p w14:paraId="7F0E6932"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Aurea Aesthetics has a huge number of growth opportunities posed by the external environment. The further growth of the aesthetics market leaves the possibility of market penetration. Practices like retail skincare, and programs and plans of membership provide more sources of revenue (Ratten, 2023). The influencer partnerships and online collaborations may increase brand recognition and trust, whereas the possibility of building an aesthetic training school is a longer-term diversification prospect. The opportunities allow the business to go beyond the delivery of the core services in addition to enhancing brand authority.</w:t>
      </w:r>
    </w:p>
    <w:p w14:paraId="66E6A11E" w14:textId="77777777" w:rsidR="0088074C" w:rsidRPr="00BD2927" w:rsidRDefault="00000000">
      <w:pPr>
        <w:spacing w:before="240" w:after="240" w:line="360" w:lineRule="auto"/>
        <w:jc w:val="both"/>
        <w:rPr>
          <w:rFonts w:eastAsia="Times New Roman"/>
          <w:b/>
          <w:bCs/>
          <w:i/>
          <w:iCs/>
          <w:sz w:val="24"/>
          <w:szCs w:val="24"/>
        </w:rPr>
      </w:pPr>
      <w:r w:rsidRPr="00BD2927">
        <w:rPr>
          <w:rFonts w:eastAsia="Times New Roman"/>
          <w:b/>
          <w:bCs/>
          <w:i/>
          <w:iCs/>
          <w:sz w:val="24"/>
          <w:szCs w:val="24"/>
        </w:rPr>
        <w:t>Threats</w:t>
      </w:r>
    </w:p>
    <w:p w14:paraId="38BFE2C7" w14:textId="0B05B488"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Aurea Aesthetics is likely to be affected by several external threats to its long-term performance. Competition is heightened by market saturation especially in urban </w:t>
      </w:r>
      <w:r w:rsidR="00BD2927" w:rsidRPr="00BD2927">
        <w:rPr>
          <w:rFonts w:eastAsia="Times New Roman"/>
          <w:sz w:val="24"/>
          <w:szCs w:val="24"/>
        </w:rPr>
        <w:t>centres</w:t>
      </w:r>
      <w:r w:rsidRPr="00BD2927">
        <w:rPr>
          <w:rFonts w:eastAsia="Times New Roman"/>
          <w:sz w:val="24"/>
          <w:szCs w:val="24"/>
        </w:rPr>
        <w:t xml:space="preserve"> and this puts pressure on differentiation. Premium positioning is threatened by aggressive price competition by discount-led clinics, and the current regulatory transformations are likely to make compliance more expensive. Furthermore, negative reviews on the Internet or poor treatment results may be extremely destructive to reputation because of the exposure and power of online sources. </w:t>
      </w:r>
    </w:p>
    <w:p w14:paraId="346BAED5" w14:textId="77777777" w:rsidR="0088074C" w:rsidRPr="00BD2927" w:rsidRDefault="00000000" w:rsidP="00BD2927">
      <w:pPr>
        <w:pStyle w:val="Heading1"/>
      </w:pPr>
      <w:bookmarkStart w:id="20" w:name="_53ets4nxfl3" w:colFirst="0" w:colLast="0"/>
      <w:bookmarkStart w:id="21" w:name="_Toc223619101"/>
      <w:bookmarkEnd w:id="20"/>
      <w:r w:rsidRPr="00BD2927">
        <w:t>Element 3: 4Ps, Market Segmentation and Marketing Strategies</w:t>
      </w:r>
      <w:bookmarkEnd w:id="21"/>
    </w:p>
    <w:p w14:paraId="221EE03F" w14:textId="77777777" w:rsidR="0088074C" w:rsidRPr="00BD2927" w:rsidRDefault="00000000" w:rsidP="00BD2927">
      <w:pPr>
        <w:pStyle w:val="Heading2"/>
      </w:pPr>
      <w:bookmarkStart w:id="22" w:name="_gj1ct6pr86r1" w:colFirst="0" w:colLast="0"/>
      <w:bookmarkStart w:id="23" w:name="_Toc223619102"/>
      <w:bookmarkEnd w:id="22"/>
      <w:r w:rsidRPr="00BD2927">
        <w:t>3.1 Market Segmentation</w:t>
      </w:r>
      <w:bookmarkEnd w:id="23"/>
    </w:p>
    <w:p w14:paraId="158D9393"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A successful market segmentation will assist organisations to better serve the targeted customer groups by identifying the groups and allocating resources to maximize marketing and target market segments. Philip Kotler and Kevin Keller find the conclusion that segmentation will allow the company to tailor value propositions to the needs of individual consumers, enhance relevance and the conversion rate. As per Arnett (2024), the segmentation approach in the scenario of Aurea Aesthetics should be targeted as the medical aesthetic market is competitive and service sensitive.</w:t>
      </w:r>
    </w:p>
    <w:p w14:paraId="73633B33"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lastRenderedPageBreak/>
        <w:t xml:space="preserve">In terms of demographics the target market mainly comprises women aged 25-40 years with a middle-to upper-middle income range with most of them being urban professionals. This group generally enjoys more disposable income, keen understanding of beauty trends, and is more ready to spend on services that relate to beauty. One of the secondary demographic groups is men aged between 30-45 years who want the use of unobtrusive anti-ageing treatments (Sarkar </w:t>
      </w:r>
      <w:r w:rsidRPr="00BD2927">
        <w:rPr>
          <w:rFonts w:eastAsia="Times New Roman"/>
          <w:i/>
          <w:iCs/>
          <w:sz w:val="24"/>
          <w:szCs w:val="24"/>
        </w:rPr>
        <w:t>et al.</w:t>
      </w:r>
      <w:r w:rsidRPr="00BD2927">
        <w:rPr>
          <w:rFonts w:eastAsia="Times New Roman"/>
          <w:sz w:val="24"/>
          <w:szCs w:val="24"/>
        </w:rPr>
        <w:t xml:space="preserve"> 2024). This is indicative of the increasing social tolerance of the male aesthetic consumption and widening demand in the traditional female markets.</w:t>
      </w:r>
    </w:p>
    <w:p w14:paraId="40E31AB3"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The segmentation by psychology is further used to narrow down on the target market with reference to lifestyle and values. Aurea Aesthetics aims at people who are appearance conscious, confidence conscious and who are affected by the trends of digital beauty. These consumers attach much importance on luxurious experiences and customised services as opposed to transactional and low-cost treatments (Nuseir </w:t>
      </w:r>
      <w:r w:rsidRPr="00BD2927">
        <w:rPr>
          <w:rFonts w:eastAsia="Times New Roman"/>
          <w:i/>
          <w:iCs/>
          <w:sz w:val="24"/>
          <w:szCs w:val="24"/>
        </w:rPr>
        <w:t>et al.</w:t>
      </w:r>
      <w:r w:rsidRPr="00BD2927">
        <w:rPr>
          <w:rFonts w:eastAsia="Times New Roman"/>
          <w:sz w:val="24"/>
          <w:szCs w:val="24"/>
        </w:rPr>
        <w:t xml:space="preserve"> 2023). The desired behavioural traits of the target customers include repeat buying behaviour, loyalty-related attitudes and choice based on social evidence like online reviews and before and after outcomes.</w:t>
      </w:r>
    </w:p>
    <w:p w14:paraId="63841294"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The main target market is thus digitally active women between the age of 25 and 40 but who want to subtly change their appearance in a high-end and clinically secure setting. The targeted marketing strategy can help Aurea Aesthetics to create specific marketing messages, reinforce brand resonance, and record a greater conversion rate without resorting to the wasteful nature of mass marketing.</w:t>
      </w:r>
    </w:p>
    <w:p w14:paraId="5CC99187" w14:textId="77777777" w:rsidR="0088074C" w:rsidRPr="00BD2927" w:rsidRDefault="00000000" w:rsidP="00BD2927">
      <w:pPr>
        <w:pStyle w:val="Heading2"/>
      </w:pPr>
      <w:bookmarkStart w:id="24" w:name="_9ftt7udcg5pk" w:colFirst="0" w:colLast="0"/>
      <w:bookmarkStart w:id="25" w:name="_Toc223619103"/>
      <w:bookmarkEnd w:id="24"/>
      <w:r w:rsidRPr="00BD2927">
        <w:t>3.2 The 4Ps of Marketing</w:t>
      </w:r>
      <w:bookmarkEnd w:id="25"/>
    </w:p>
    <w:p w14:paraId="3BE0D91C" w14:textId="77777777" w:rsidR="0088074C" w:rsidRPr="00BD2927" w:rsidRDefault="00000000">
      <w:pPr>
        <w:spacing w:before="240" w:after="240" w:line="360" w:lineRule="auto"/>
        <w:jc w:val="both"/>
        <w:rPr>
          <w:rFonts w:eastAsia="Times New Roman"/>
          <w:b/>
          <w:bCs/>
          <w:sz w:val="24"/>
          <w:szCs w:val="24"/>
        </w:rPr>
      </w:pPr>
      <w:r w:rsidRPr="00BD2927">
        <w:rPr>
          <w:rFonts w:eastAsia="Times New Roman"/>
          <w:b/>
          <w:bCs/>
          <w:sz w:val="24"/>
          <w:szCs w:val="24"/>
        </w:rPr>
        <w:t>Product</w:t>
      </w:r>
    </w:p>
    <w:p w14:paraId="3BF5E4AF"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The service based bundle is what can be considered the product offering used by Aurea Aesthetics instead of a procedure on its own. According to the theory of services marketing, the main advantage that will be offered is the feeling of increased confidence and boosted self-image. The injectable or advanced skin treatment performed by a qualified practitioner is the actual product, whereas the personalised consultations, in depth after care support, and a luxury clinic environment are the augmented products. The clinic enhances patient experience, safety, and trust, </w:t>
      </w:r>
      <w:r w:rsidRPr="00BD2927">
        <w:rPr>
          <w:rFonts w:eastAsia="Times New Roman"/>
          <w:sz w:val="24"/>
          <w:szCs w:val="24"/>
        </w:rPr>
        <w:lastRenderedPageBreak/>
        <w:t>lowering the price sensitivity and increasing the relations with the clients in the long-term.</w:t>
      </w:r>
    </w:p>
    <w:p w14:paraId="6352DB6C" w14:textId="77777777" w:rsidR="0088074C" w:rsidRPr="00BD2927" w:rsidRDefault="00000000">
      <w:pPr>
        <w:spacing w:before="240" w:after="240" w:line="360" w:lineRule="auto"/>
        <w:jc w:val="both"/>
        <w:rPr>
          <w:rFonts w:eastAsia="Times New Roman"/>
          <w:b/>
          <w:bCs/>
          <w:sz w:val="24"/>
          <w:szCs w:val="24"/>
        </w:rPr>
      </w:pPr>
      <w:r w:rsidRPr="00BD2927">
        <w:rPr>
          <w:rFonts w:eastAsia="Times New Roman"/>
          <w:b/>
          <w:bCs/>
          <w:sz w:val="24"/>
          <w:szCs w:val="24"/>
        </w:rPr>
        <w:t>Price</w:t>
      </w:r>
    </w:p>
    <w:p w14:paraId="7CB8B3DE"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The pricing of the products in Aurea Aesthetics is a value-based premium pricing strategy that is consistent with the luxury positioning. According to Kotler and Keller, price is a quality indicator especially in services that are experience based and credence like medical aesthetics. Pricing will be thus charged a bit higher than the average in the market in keeping with clinical experience, individual care and high-end environment. The discount-based tactics will be discouraged to avoid the dilution of the brands and their association with cheap service providers. Instead, perceived value will be augmented by loyalty points, and treatment packages which will provide the savings without sacrificing the high end brand image. Price competition alone would go against the clinic differentiation strategy and deteriorate the long-term positioning (Kassab, 2023).</w:t>
      </w:r>
    </w:p>
    <w:p w14:paraId="54D95298" w14:textId="77777777" w:rsidR="0088074C" w:rsidRPr="00BD2927" w:rsidRDefault="00000000">
      <w:pPr>
        <w:spacing w:before="240" w:after="240" w:line="360" w:lineRule="auto"/>
        <w:jc w:val="both"/>
        <w:rPr>
          <w:rFonts w:eastAsia="Times New Roman"/>
          <w:b/>
          <w:bCs/>
          <w:sz w:val="24"/>
          <w:szCs w:val="24"/>
        </w:rPr>
      </w:pPr>
      <w:r w:rsidRPr="00BD2927">
        <w:rPr>
          <w:rFonts w:eastAsia="Times New Roman"/>
          <w:b/>
          <w:bCs/>
          <w:sz w:val="24"/>
          <w:szCs w:val="24"/>
        </w:rPr>
        <w:t>Place</w:t>
      </w:r>
    </w:p>
    <w:p w14:paraId="3042704E"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The physical and online availability is targeted in the place aspect of the marketing mix. Aurea Aesthetics will be based in a strategically located urban location that is easily accessible to its target market and that enhances the rightful brand image. Besides the physical location, the clinic also reaches out to the online environment, which is represented by its online site or the social media, such as Instagram and Tik Tok. A conveniently online booking system will aid ease, lessen administrative strain, and develop the customer experience as a whole (Dermawan </w:t>
      </w:r>
      <w:r w:rsidRPr="00BD2927">
        <w:rPr>
          <w:rFonts w:eastAsia="Times New Roman"/>
          <w:i/>
          <w:iCs/>
          <w:sz w:val="24"/>
          <w:szCs w:val="24"/>
        </w:rPr>
        <w:t>et al.</w:t>
      </w:r>
      <w:r w:rsidRPr="00BD2927">
        <w:rPr>
          <w:rFonts w:eastAsia="Times New Roman"/>
          <w:sz w:val="24"/>
          <w:szCs w:val="24"/>
        </w:rPr>
        <w:t xml:space="preserve"> 2023). In service business, the location of the business is not as important as accessibility and smooth digital interaction in customer choice.</w:t>
      </w:r>
    </w:p>
    <w:p w14:paraId="7FDB2711" w14:textId="77777777" w:rsidR="0088074C" w:rsidRPr="00BD2927" w:rsidRDefault="00000000">
      <w:pPr>
        <w:spacing w:before="240" w:after="240" w:line="360" w:lineRule="auto"/>
        <w:jc w:val="both"/>
        <w:rPr>
          <w:rFonts w:eastAsia="Times New Roman"/>
          <w:b/>
          <w:bCs/>
          <w:sz w:val="24"/>
          <w:szCs w:val="24"/>
        </w:rPr>
      </w:pPr>
      <w:r w:rsidRPr="00BD2927">
        <w:rPr>
          <w:rFonts w:eastAsia="Times New Roman"/>
          <w:b/>
          <w:bCs/>
          <w:sz w:val="24"/>
          <w:szCs w:val="24"/>
        </w:rPr>
        <w:t>Promotion</w:t>
      </w:r>
    </w:p>
    <w:p w14:paraId="1576A300"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Aurea Aesthetics will utilize more online than offline promotion due to the nature of media consumption habits of the target market. The promotion will be made through educational content, before and after case study and genuine testimonies of clients that will create trust and credibility. Selective influence collaborations will be applied to reach more people, yet still keep the brand in check, and referral schemes will be </w:t>
      </w:r>
      <w:r w:rsidRPr="00BD2927">
        <w:rPr>
          <w:rFonts w:eastAsia="Times New Roman"/>
          <w:sz w:val="24"/>
          <w:szCs w:val="24"/>
        </w:rPr>
        <w:lastRenderedPageBreak/>
        <w:t xml:space="preserve">applied to promote through word of mouth (Kasem </w:t>
      </w:r>
      <w:r w:rsidRPr="00BD2927">
        <w:rPr>
          <w:rFonts w:eastAsia="Times New Roman"/>
          <w:i/>
          <w:iCs/>
          <w:sz w:val="24"/>
          <w:szCs w:val="24"/>
        </w:rPr>
        <w:t>et al.</w:t>
      </w:r>
      <w:r w:rsidRPr="00BD2927">
        <w:rPr>
          <w:rFonts w:eastAsia="Times New Roman"/>
          <w:sz w:val="24"/>
          <w:szCs w:val="24"/>
        </w:rPr>
        <w:t xml:space="preserve"> 2024). Medical aesthetics is one area where content marketing contributes especially greatly in that it makes the clinic look as an authority on the subject and helps lessen the risk perceived with the treatments. Instead of hard selling messages, it will focus its promotion on competence, openness and integrity.</w:t>
      </w:r>
    </w:p>
    <w:p w14:paraId="0357F92A" w14:textId="77777777" w:rsidR="0088074C" w:rsidRPr="00BD2927" w:rsidRDefault="00000000" w:rsidP="00BD2927">
      <w:pPr>
        <w:pStyle w:val="Heading2"/>
      </w:pPr>
      <w:bookmarkStart w:id="26" w:name="_bn41onved9qp" w:colFirst="0" w:colLast="0"/>
      <w:bookmarkStart w:id="27" w:name="_Toc223619104"/>
      <w:bookmarkEnd w:id="26"/>
      <w:r w:rsidRPr="00BD2927">
        <w:t>3.3 Online Marketing Strategy</w:t>
      </w:r>
      <w:bookmarkEnd w:id="27"/>
      <w:r w:rsidRPr="00BD2927">
        <w:t xml:space="preserve"> </w:t>
      </w:r>
    </w:p>
    <w:p w14:paraId="60FE82A5"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The Aurea Aesthetics promotional plan will be based on digital marketing as it is cost-effective and makes targeted promotional efforts, especially with small businesses. Chaffey and Ellis-Chadwick suggest that the digital channels assist organisations to reach into niche groups and the output can be measured and is relatively cheap. Social media marketing will focus on this strategy and the key platforms will be Instagram and Tik Tok. Education using video-based explanations and treatment change proves quite beneficial when it comes to reaching more people and assuring share in the aesthetic business (Olson</w:t>
      </w:r>
      <w:r w:rsidRPr="00BD2927">
        <w:rPr>
          <w:rFonts w:eastAsia="Times New Roman"/>
          <w:i/>
          <w:iCs/>
          <w:sz w:val="24"/>
          <w:szCs w:val="24"/>
        </w:rPr>
        <w:t xml:space="preserve"> et al. </w:t>
      </w:r>
      <w:r w:rsidRPr="00BD2927">
        <w:rPr>
          <w:rFonts w:eastAsia="Times New Roman"/>
          <w:sz w:val="24"/>
          <w:szCs w:val="24"/>
        </w:rPr>
        <w:t>2021).</w:t>
      </w:r>
    </w:p>
    <w:p w14:paraId="1EE6CB3C"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However, the strategic effects of overutilizing the social media sites are the alteration of the algorithm, the erosion of organic reach, and reliance on the platform. Aurea Aesthetics will incorporate its digital strategy to incorporate email marketing and search engine optimisation as a means of overcoming such risks (Adiyono</w:t>
      </w:r>
      <w:r w:rsidRPr="00BD2927">
        <w:rPr>
          <w:rFonts w:eastAsia="Times New Roman"/>
          <w:i/>
          <w:iCs/>
          <w:sz w:val="24"/>
          <w:szCs w:val="24"/>
        </w:rPr>
        <w:t xml:space="preserve"> et al. </w:t>
      </w:r>
      <w:r w:rsidRPr="00BD2927">
        <w:rPr>
          <w:rFonts w:eastAsia="Times New Roman"/>
          <w:sz w:val="24"/>
          <w:szCs w:val="24"/>
        </w:rPr>
        <w:t>2021). The seasonal and skincare education, repeat-booking will be expressed through email marketing through the personalised communication. Reichheld and Sasser study shows that retention marketing is significantly less expensive than customer acquisition, this is in favor of email as a relationship building tool.</w:t>
      </w:r>
    </w:p>
    <w:p w14:paraId="170F87BA" w14:textId="77777777" w:rsidR="0088074C" w:rsidRPr="00BD2927" w:rsidRDefault="00000000" w:rsidP="00BD2927">
      <w:pPr>
        <w:pStyle w:val="Heading1"/>
      </w:pPr>
      <w:bookmarkStart w:id="28" w:name="_6appbaxozysm" w:colFirst="0" w:colLast="0"/>
      <w:bookmarkStart w:id="29" w:name="_Toc223619105"/>
      <w:bookmarkEnd w:id="28"/>
      <w:r w:rsidRPr="00BD2927">
        <w:t>Element 4: Legal, Management and Financial Planning</w:t>
      </w:r>
      <w:bookmarkEnd w:id="29"/>
      <w:r w:rsidRPr="00BD2927">
        <w:t xml:space="preserve"> </w:t>
      </w:r>
    </w:p>
    <w:p w14:paraId="49D6B69F" w14:textId="77777777" w:rsidR="0088074C" w:rsidRPr="00BD2927" w:rsidRDefault="00000000" w:rsidP="00BD2927">
      <w:pPr>
        <w:pStyle w:val="Heading2"/>
      </w:pPr>
      <w:bookmarkStart w:id="30" w:name="_p20qnhqsylu1" w:colFirst="0" w:colLast="0"/>
      <w:bookmarkStart w:id="31" w:name="_Toc223619106"/>
      <w:bookmarkEnd w:id="30"/>
      <w:r w:rsidRPr="00BD2927">
        <w:t>4.1 Legal Structure (UK Context)</w:t>
      </w:r>
      <w:bookmarkEnd w:id="31"/>
    </w:p>
    <w:p w14:paraId="4D28D99D"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Entrepreneurs starting a business in the UK can select between various types of legal structures each having a different legal and financial implication. A limited company refers to a legal person that is independent of its owners and the owners have a limited liability where personal possessions cannot be used to pay off the business debts. Conversely, a sole trader form includes the commercial and the individual being </w:t>
      </w:r>
      <w:r w:rsidRPr="00BD2927">
        <w:rPr>
          <w:rFonts w:eastAsia="Times New Roman"/>
          <w:sz w:val="24"/>
          <w:szCs w:val="24"/>
        </w:rPr>
        <w:lastRenderedPageBreak/>
        <w:t>identical in the eyes of the law, that is the individual takes full personal responsibility in case of debt. In a partnership, two or more people share the ownership, profits and liabilities and hence are prone to exposure to risks when the roles are not well outlined.</w:t>
      </w:r>
    </w:p>
    <w:p w14:paraId="33312C6F"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 xml:space="preserve">Franchise structure enables a company to run under an established brand and business model, usually at a fee and as well as periodic royalties. This is beneficial in minimizing market entry risk, but restricts strategic freedom. An online business uses digital platforms with little physical presence and thus the overheads are minimal, this is not the case with a regulated face-to-face business like medical aesthetics (Purnomo, 2023). The profits of a social enterprise are reinvested into a social or environmental cause and the interests of the shareholders are not primary in a social enterprise. </w:t>
      </w:r>
    </w:p>
    <w:p w14:paraId="00827459" w14:textId="77777777" w:rsidR="0088074C" w:rsidRPr="00BD2927" w:rsidRDefault="00000000" w:rsidP="00BD2927">
      <w:pPr>
        <w:pStyle w:val="Heading2"/>
      </w:pPr>
      <w:bookmarkStart w:id="32" w:name="_o8uu4xs2mcl6" w:colFirst="0" w:colLast="0"/>
      <w:bookmarkStart w:id="33" w:name="_Toc223619107"/>
      <w:bookmarkEnd w:id="32"/>
      <w:r w:rsidRPr="00BD2927">
        <w:t>4.2 Justification of Legal Structure</w:t>
      </w:r>
      <w:bookmarkEnd w:id="33"/>
    </w:p>
    <w:p w14:paraId="27B61B87" w14:textId="77777777" w:rsidR="0088074C" w:rsidRPr="00BD2927" w:rsidRDefault="00000000">
      <w:pPr>
        <w:spacing w:line="360" w:lineRule="auto"/>
        <w:jc w:val="both"/>
        <w:rPr>
          <w:rFonts w:eastAsia="Times New Roman"/>
          <w:sz w:val="24"/>
          <w:szCs w:val="24"/>
        </w:rPr>
      </w:pPr>
      <w:r w:rsidRPr="00BD2927">
        <w:rPr>
          <w:rFonts w:eastAsia="Times New Roman"/>
          <w:sz w:val="24"/>
          <w:szCs w:val="24"/>
        </w:rPr>
        <w:t>Aurea Aesthetics will be a limited business, and such a structure will best fit operational, financial, and regulatory needs of the medical aesthetics business. Limited personal liability is also one of the main benefits of a limited company and it is especially valuable because medical risks and legal claims that could be possible in the course of cosmetic procedures can be significant. This is a type of structure which cushions the personal property of the owner against failure of the business or lawsuits (Sahlman, 2022).</w:t>
      </w:r>
    </w:p>
    <w:p w14:paraId="104ACF6E" w14:textId="77777777" w:rsidR="0088074C" w:rsidRPr="00BD2927" w:rsidRDefault="00000000">
      <w:pPr>
        <w:spacing w:line="360" w:lineRule="auto"/>
        <w:jc w:val="both"/>
        <w:rPr>
          <w:rFonts w:eastAsia="Times New Roman"/>
          <w:sz w:val="24"/>
          <w:szCs w:val="24"/>
        </w:rPr>
      </w:pPr>
      <w:r w:rsidRPr="00BD2927">
        <w:rPr>
          <w:rFonts w:eastAsia="Times New Roman"/>
          <w:sz w:val="24"/>
          <w:szCs w:val="24"/>
        </w:rPr>
        <w:t>Being a limited company also boosts business credibility especially in the face of clients, suppliers, insurers, and financial institutions. The patients stand higher chances believing in a formally incorporated clinic particularly in a field where adherence and professionalism are paramount. Furthermore, potential tax efficiencies apply to the limited companies in terms of corporation tax planning and dividend arrangements. External financing is more likely to be obtained, since lenders and investors will tend to view a business incorporated as more stable and transparent (Olujobi, 2021). Lastly, the small firm setup is favorable towards the long-term scalability of the firm and it is easier to expand the clinic facilities or establish more training academies in future. Due to the financial and clinical risks of aesthetics, the protection of limited liability is thus necessary.</w:t>
      </w:r>
    </w:p>
    <w:p w14:paraId="21047595" w14:textId="77777777" w:rsidR="0088074C" w:rsidRPr="00BD2927" w:rsidRDefault="00000000" w:rsidP="00BD2927">
      <w:pPr>
        <w:pStyle w:val="Heading2"/>
      </w:pPr>
      <w:bookmarkStart w:id="34" w:name="_kk6m1oxzicti" w:colFirst="0" w:colLast="0"/>
      <w:bookmarkStart w:id="35" w:name="_Toc223619108"/>
      <w:bookmarkEnd w:id="34"/>
      <w:r w:rsidRPr="00BD2927">
        <w:lastRenderedPageBreak/>
        <w:t>4.3 Organisational Structure</w:t>
      </w:r>
      <w:bookmarkEnd w:id="35"/>
    </w:p>
    <w:p w14:paraId="431FA351" w14:textId="77777777" w:rsidR="0088074C" w:rsidRPr="00BD2927" w:rsidRDefault="00000000">
      <w:pPr>
        <w:spacing w:line="360" w:lineRule="auto"/>
        <w:jc w:val="both"/>
        <w:rPr>
          <w:rFonts w:eastAsia="Times New Roman"/>
          <w:sz w:val="24"/>
          <w:szCs w:val="24"/>
        </w:rPr>
      </w:pPr>
      <w:r w:rsidRPr="00BD2927">
        <w:rPr>
          <w:rFonts w:eastAsia="Times New Roman"/>
          <w:sz w:val="24"/>
          <w:szCs w:val="24"/>
        </w:rPr>
        <w:t>Aurea Aesthetics will operate under a lean organisational structure at least in the first year of operations in order to ensure that it is able to manage the cost and operational efficiency. The owner-director will be responsible in general for strategic decision-making, compliance, and financial management. Treatment and upkeep of clinical standards will be carried out by an aesthetic practitioner (Cosenz and Bivona, 2021). A part-time employee will be involved to handle administration and reception services and keep the business running smoothly with clients. A freelance marketing assistant will assist in marketing activities, which will be flexible and will not be subject to full-time salary.</w:t>
      </w:r>
    </w:p>
    <w:p w14:paraId="2FC935E1" w14:textId="77777777" w:rsidR="0088074C" w:rsidRPr="00BD2927" w:rsidRDefault="00000000">
      <w:pPr>
        <w:spacing w:line="360" w:lineRule="auto"/>
        <w:jc w:val="both"/>
        <w:rPr>
          <w:rFonts w:eastAsia="Times New Roman"/>
          <w:sz w:val="24"/>
          <w:szCs w:val="24"/>
        </w:rPr>
      </w:pPr>
      <w:r w:rsidRPr="00BD2927">
        <w:rPr>
          <w:rFonts w:eastAsia="Times New Roman"/>
          <w:sz w:val="24"/>
          <w:szCs w:val="24"/>
        </w:rPr>
        <w:t>The owner can undertake several roles in the early stages such as practitioner, manager, and marketer. This strategy saves by saving labour and gives more control over the quality of services and brand positioning. The organisational structure may be extended to support the growing business with more practitioners and full-time support staff as the client demand grows.</w:t>
      </w:r>
    </w:p>
    <w:p w14:paraId="5524B3A2" w14:textId="77777777" w:rsidR="0088074C" w:rsidRPr="00BD2927" w:rsidRDefault="00000000" w:rsidP="00BD2927">
      <w:pPr>
        <w:pStyle w:val="Heading2"/>
      </w:pPr>
      <w:bookmarkStart w:id="36" w:name="_ecg8yflndyz" w:colFirst="0" w:colLast="0"/>
      <w:bookmarkStart w:id="37" w:name="_Toc223619109"/>
      <w:bookmarkEnd w:id="36"/>
      <w:r w:rsidRPr="00BD2927">
        <w:t>4.4 Financial Planning</w:t>
      </w:r>
      <w:bookmarkEnd w:id="37"/>
    </w:p>
    <w:p w14:paraId="7C0C1ED9"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Aurea Aesthetics is not sustainable without proper financial planning because its fixed costs are high especially in terms of delivering premium services. The start-up costs are projected to be about 30000 pounds, which includes premises, equipment, stock, compliance, and initial marketing. Table 1 describes these costs.</w:t>
      </w:r>
    </w:p>
    <w:p w14:paraId="7808523B" w14:textId="77777777" w:rsidR="0088074C" w:rsidRPr="00BD2927" w:rsidRDefault="00000000" w:rsidP="00BD2927">
      <w:pPr>
        <w:pStyle w:val="Heading4"/>
        <w:keepNext w:val="0"/>
        <w:keepLines w:val="0"/>
        <w:spacing w:before="240" w:after="40" w:line="360" w:lineRule="auto"/>
        <w:jc w:val="center"/>
        <w:rPr>
          <w:rFonts w:eastAsia="Times New Roman"/>
          <w:b/>
          <w:bCs/>
          <w:color w:val="000000"/>
        </w:rPr>
      </w:pPr>
      <w:bookmarkStart w:id="38" w:name="_au1sfosds698" w:colFirst="0" w:colLast="0"/>
      <w:bookmarkEnd w:id="38"/>
      <w:r w:rsidRPr="00BD2927">
        <w:rPr>
          <w:rFonts w:eastAsia="Times New Roman"/>
          <w:b/>
          <w:bCs/>
          <w:color w:val="000000"/>
        </w:rPr>
        <w:t>Table 1: Estimated Start-Up Costs</w:t>
      </w:r>
    </w:p>
    <w:tbl>
      <w:tblPr>
        <w:tblStyle w:val="a"/>
        <w:tblW w:w="517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685"/>
        <w:gridCol w:w="2490"/>
      </w:tblGrid>
      <w:tr w:rsidR="0088074C" w:rsidRPr="00BD2927" w14:paraId="1C3722AC" w14:textId="77777777" w:rsidTr="00BD2927">
        <w:trPr>
          <w:trHeight w:val="435"/>
          <w:jc w:val="center"/>
        </w:trPr>
        <w:tc>
          <w:tcPr>
            <w:tcW w:w="2685"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F225235" w14:textId="77777777" w:rsidR="0088074C" w:rsidRPr="00BD2927" w:rsidRDefault="00000000">
            <w:pPr>
              <w:spacing w:before="240" w:after="160" w:line="360" w:lineRule="auto"/>
              <w:jc w:val="both"/>
              <w:rPr>
                <w:rFonts w:eastAsia="Times New Roman"/>
                <w:b/>
                <w:bCs/>
                <w:sz w:val="24"/>
                <w:szCs w:val="24"/>
              </w:rPr>
            </w:pPr>
            <w:r w:rsidRPr="00BD2927">
              <w:rPr>
                <w:rFonts w:eastAsia="Times New Roman"/>
                <w:b/>
                <w:bCs/>
                <w:sz w:val="24"/>
                <w:szCs w:val="24"/>
              </w:rPr>
              <w:t>Cost Category</w:t>
            </w:r>
          </w:p>
        </w:tc>
        <w:tc>
          <w:tcPr>
            <w:tcW w:w="2490" w:type="dxa"/>
            <w:tcBorders>
              <w:top w:val="single" w:sz="4" w:space="0" w:color="000000"/>
              <w:left w:val="nil"/>
              <w:bottom w:val="single" w:sz="4" w:space="0" w:color="000000"/>
              <w:right w:val="single" w:sz="4" w:space="0" w:color="000000"/>
            </w:tcBorders>
            <w:tcMar>
              <w:top w:w="0" w:type="dxa"/>
              <w:left w:w="100" w:type="dxa"/>
              <w:bottom w:w="0" w:type="dxa"/>
              <w:right w:w="100" w:type="dxa"/>
            </w:tcMar>
          </w:tcPr>
          <w:p w14:paraId="22B8879C" w14:textId="77777777" w:rsidR="0088074C" w:rsidRPr="00BD2927" w:rsidRDefault="00000000">
            <w:pPr>
              <w:spacing w:before="240" w:after="160" w:line="360" w:lineRule="auto"/>
              <w:jc w:val="both"/>
              <w:rPr>
                <w:rFonts w:eastAsia="Times New Roman"/>
                <w:b/>
                <w:bCs/>
                <w:sz w:val="24"/>
                <w:szCs w:val="24"/>
              </w:rPr>
            </w:pPr>
            <w:r w:rsidRPr="00BD2927">
              <w:rPr>
                <w:rFonts w:eastAsia="Times New Roman"/>
                <w:b/>
                <w:bCs/>
                <w:sz w:val="24"/>
                <w:szCs w:val="24"/>
              </w:rPr>
              <w:t>Estimated Amount (£)</w:t>
            </w:r>
          </w:p>
        </w:tc>
      </w:tr>
      <w:tr w:rsidR="0088074C" w:rsidRPr="00BD2927" w14:paraId="02EB40E0" w14:textId="77777777" w:rsidTr="00BD2927">
        <w:trPr>
          <w:trHeight w:val="435"/>
          <w:jc w:val="center"/>
        </w:trPr>
        <w:tc>
          <w:tcPr>
            <w:tcW w:w="268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A39E067"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t>Premises deposit</w:t>
            </w:r>
          </w:p>
        </w:tc>
        <w:tc>
          <w:tcPr>
            <w:tcW w:w="2490" w:type="dxa"/>
            <w:tcBorders>
              <w:top w:val="nil"/>
              <w:left w:val="nil"/>
              <w:bottom w:val="single" w:sz="4" w:space="0" w:color="000000"/>
              <w:right w:val="single" w:sz="4" w:space="0" w:color="000000"/>
            </w:tcBorders>
            <w:tcMar>
              <w:top w:w="0" w:type="dxa"/>
              <w:left w:w="100" w:type="dxa"/>
              <w:bottom w:w="0" w:type="dxa"/>
              <w:right w:w="100" w:type="dxa"/>
            </w:tcMar>
          </w:tcPr>
          <w:p w14:paraId="69628092"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t>4,000</w:t>
            </w:r>
          </w:p>
        </w:tc>
      </w:tr>
      <w:tr w:rsidR="0088074C" w:rsidRPr="00BD2927" w14:paraId="46115138" w14:textId="77777777" w:rsidTr="00BD2927">
        <w:trPr>
          <w:trHeight w:val="435"/>
          <w:jc w:val="center"/>
        </w:trPr>
        <w:tc>
          <w:tcPr>
            <w:tcW w:w="268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16249111"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t>Refurbishment</w:t>
            </w:r>
          </w:p>
        </w:tc>
        <w:tc>
          <w:tcPr>
            <w:tcW w:w="2490" w:type="dxa"/>
            <w:tcBorders>
              <w:top w:val="nil"/>
              <w:left w:val="nil"/>
              <w:bottom w:val="single" w:sz="4" w:space="0" w:color="000000"/>
              <w:right w:val="single" w:sz="4" w:space="0" w:color="000000"/>
            </w:tcBorders>
            <w:tcMar>
              <w:top w:w="0" w:type="dxa"/>
              <w:left w:w="100" w:type="dxa"/>
              <w:bottom w:w="0" w:type="dxa"/>
              <w:right w:w="100" w:type="dxa"/>
            </w:tcMar>
          </w:tcPr>
          <w:p w14:paraId="13DDFBCB"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t>5,000</w:t>
            </w:r>
          </w:p>
        </w:tc>
      </w:tr>
      <w:tr w:rsidR="0088074C" w:rsidRPr="00BD2927" w14:paraId="6287D2D3" w14:textId="77777777" w:rsidTr="00BD2927">
        <w:trPr>
          <w:trHeight w:val="435"/>
          <w:jc w:val="center"/>
        </w:trPr>
        <w:tc>
          <w:tcPr>
            <w:tcW w:w="268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2165AD35"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t>Equipment</w:t>
            </w:r>
          </w:p>
        </w:tc>
        <w:tc>
          <w:tcPr>
            <w:tcW w:w="2490" w:type="dxa"/>
            <w:tcBorders>
              <w:top w:val="nil"/>
              <w:left w:val="nil"/>
              <w:bottom w:val="single" w:sz="4" w:space="0" w:color="000000"/>
              <w:right w:val="single" w:sz="4" w:space="0" w:color="000000"/>
            </w:tcBorders>
            <w:tcMar>
              <w:top w:w="0" w:type="dxa"/>
              <w:left w:w="100" w:type="dxa"/>
              <w:bottom w:w="0" w:type="dxa"/>
              <w:right w:w="100" w:type="dxa"/>
            </w:tcMar>
          </w:tcPr>
          <w:p w14:paraId="54B29841"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t>8,000</w:t>
            </w:r>
          </w:p>
        </w:tc>
      </w:tr>
      <w:tr w:rsidR="0088074C" w:rsidRPr="00BD2927" w14:paraId="5DED01FD" w14:textId="77777777" w:rsidTr="00BD2927">
        <w:trPr>
          <w:trHeight w:val="435"/>
          <w:jc w:val="center"/>
        </w:trPr>
        <w:tc>
          <w:tcPr>
            <w:tcW w:w="268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0FAFC0FF"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lastRenderedPageBreak/>
              <w:t>Initial stock</w:t>
            </w:r>
          </w:p>
        </w:tc>
        <w:tc>
          <w:tcPr>
            <w:tcW w:w="2490" w:type="dxa"/>
            <w:tcBorders>
              <w:top w:val="nil"/>
              <w:left w:val="nil"/>
              <w:bottom w:val="single" w:sz="4" w:space="0" w:color="000000"/>
              <w:right w:val="single" w:sz="4" w:space="0" w:color="000000"/>
            </w:tcBorders>
            <w:tcMar>
              <w:top w:w="0" w:type="dxa"/>
              <w:left w:w="100" w:type="dxa"/>
              <w:bottom w:w="0" w:type="dxa"/>
              <w:right w:w="100" w:type="dxa"/>
            </w:tcMar>
          </w:tcPr>
          <w:p w14:paraId="648BB008"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t>5,000</w:t>
            </w:r>
          </w:p>
        </w:tc>
      </w:tr>
      <w:tr w:rsidR="0088074C" w:rsidRPr="00BD2927" w14:paraId="7D8E5185" w14:textId="77777777" w:rsidTr="00BD2927">
        <w:trPr>
          <w:trHeight w:val="435"/>
          <w:jc w:val="center"/>
        </w:trPr>
        <w:tc>
          <w:tcPr>
            <w:tcW w:w="268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68723401"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t>Insurance and licences</w:t>
            </w:r>
          </w:p>
        </w:tc>
        <w:tc>
          <w:tcPr>
            <w:tcW w:w="2490" w:type="dxa"/>
            <w:tcBorders>
              <w:top w:val="nil"/>
              <w:left w:val="nil"/>
              <w:bottom w:val="single" w:sz="4" w:space="0" w:color="000000"/>
              <w:right w:val="single" w:sz="4" w:space="0" w:color="000000"/>
            </w:tcBorders>
            <w:tcMar>
              <w:top w:w="0" w:type="dxa"/>
              <w:left w:w="100" w:type="dxa"/>
              <w:bottom w:w="0" w:type="dxa"/>
              <w:right w:w="100" w:type="dxa"/>
            </w:tcMar>
          </w:tcPr>
          <w:p w14:paraId="0041F630"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t>2,000</w:t>
            </w:r>
          </w:p>
        </w:tc>
      </w:tr>
      <w:tr w:rsidR="0088074C" w:rsidRPr="00BD2927" w14:paraId="126538C1" w14:textId="77777777" w:rsidTr="00BD2927">
        <w:trPr>
          <w:trHeight w:val="435"/>
          <w:jc w:val="center"/>
        </w:trPr>
        <w:tc>
          <w:tcPr>
            <w:tcW w:w="268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7DA6376"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t>Marketing and promotion</w:t>
            </w:r>
          </w:p>
        </w:tc>
        <w:tc>
          <w:tcPr>
            <w:tcW w:w="2490" w:type="dxa"/>
            <w:tcBorders>
              <w:top w:val="nil"/>
              <w:left w:val="nil"/>
              <w:bottom w:val="single" w:sz="4" w:space="0" w:color="000000"/>
              <w:right w:val="single" w:sz="4" w:space="0" w:color="000000"/>
            </w:tcBorders>
            <w:tcMar>
              <w:top w:w="0" w:type="dxa"/>
              <w:left w:w="100" w:type="dxa"/>
              <w:bottom w:w="0" w:type="dxa"/>
              <w:right w:w="100" w:type="dxa"/>
            </w:tcMar>
          </w:tcPr>
          <w:p w14:paraId="70268FBD"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t>2,000</w:t>
            </w:r>
          </w:p>
        </w:tc>
      </w:tr>
      <w:tr w:rsidR="0088074C" w:rsidRPr="00BD2927" w14:paraId="00B86D70" w14:textId="77777777" w:rsidTr="00BD2927">
        <w:trPr>
          <w:trHeight w:val="435"/>
          <w:jc w:val="center"/>
        </w:trPr>
        <w:tc>
          <w:tcPr>
            <w:tcW w:w="268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503EF797"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t>Working capital</w:t>
            </w:r>
          </w:p>
        </w:tc>
        <w:tc>
          <w:tcPr>
            <w:tcW w:w="2490" w:type="dxa"/>
            <w:tcBorders>
              <w:top w:val="nil"/>
              <w:left w:val="nil"/>
              <w:bottom w:val="single" w:sz="4" w:space="0" w:color="000000"/>
              <w:right w:val="single" w:sz="4" w:space="0" w:color="000000"/>
            </w:tcBorders>
            <w:tcMar>
              <w:top w:w="0" w:type="dxa"/>
              <w:left w:w="100" w:type="dxa"/>
              <w:bottom w:w="0" w:type="dxa"/>
              <w:right w:w="100" w:type="dxa"/>
            </w:tcMar>
          </w:tcPr>
          <w:p w14:paraId="1AAD2D88" w14:textId="77777777" w:rsidR="0088074C" w:rsidRPr="00BD2927" w:rsidRDefault="00000000">
            <w:pPr>
              <w:spacing w:before="240" w:after="160" w:line="360" w:lineRule="auto"/>
              <w:jc w:val="both"/>
              <w:rPr>
                <w:rFonts w:eastAsia="Times New Roman"/>
                <w:sz w:val="24"/>
                <w:szCs w:val="24"/>
              </w:rPr>
            </w:pPr>
            <w:r w:rsidRPr="00BD2927">
              <w:rPr>
                <w:rFonts w:eastAsia="Times New Roman"/>
                <w:sz w:val="24"/>
                <w:szCs w:val="24"/>
              </w:rPr>
              <w:t>4,000</w:t>
            </w:r>
          </w:p>
        </w:tc>
      </w:tr>
      <w:tr w:rsidR="0088074C" w:rsidRPr="00BD2927" w14:paraId="051C1B44" w14:textId="77777777" w:rsidTr="00BD2927">
        <w:trPr>
          <w:trHeight w:val="435"/>
          <w:jc w:val="center"/>
        </w:trPr>
        <w:tc>
          <w:tcPr>
            <w:tcW w:w="2685" w:type="dxa"/>
            <w:tcBorders>
              <w:top w:val="nil"/>
              <w:left w:val="single" w:sz="4" w:space="0" w:color="000000"/>
              <w:bottom w:val="single" w:sz="4" w:space="0" w:color="000000"/>
              <w:right w:val="single" w:sz="4" w:space="0" w:color="000000"/>
            </w:tcBorders>
            <w:tcMar>
              <w:top w:w="0" w:type="dxa"/>
              <w:left w:w="100" w:type="dxa"/>
              <w:bottom w:w="0" w:type="dxa"/>
              <w:right w:w="100" w:type="dxa"/>
            </w:tcMar>
          </w:tcPr>
          <w:p w14:paraId="3E4B098D" w14:textId="77777777" w:rsidR="0088074C" w:rsidRPr="00BD2927" w:rsidRDefault="00000000">
            <w:pPr>
              <w:spacing w:before="240" w:after="160" w:line="360" w:lineRule="auto"/>
              <w:jc w:val="both"/>
              <w:rPr>
                <w:rFonts w:eastAsia="Times New Roman"/>
                <w:b/>
                <w:bCs/>
                <w:sz w:val="24"/>
                <w:szCs w:val="24"/>
              </w:rPr>
            </w:pPr>
            <w:r w:rsidRPr="00BD2927">
              <w:rPr>
                <w:rFonts w:eastAsia="Times New Roman"/>
                <w:b/>
                <w:bCs/>
                <w:sz w:val="24"/>
                <w:szCs w:val="24"/>
              </w:rPr>
              <w:t>Total</w:t>
            </w:r>
          </w:p>
        </w:tc>
        <w:tc>
          <w:tcPr>
            <w:tcW w:w="2490" w:type="dxa"/>
            <w:tcBorders>
              <w:top w:val="nil"/>
              <w:left w:val="nil"/>
              <w:bottom w:val="single" w:sz="4" w:space="0" w:color="000000"/>
              <w:right w:val="single" w:sz="4" w:space="0" w:color="000000"/>
            </w:tcBorders>
            <w:tcMar>
              <w:top w:w="0" w:type="dxa"/>
              <w:left w:w="100" w:type="dxa"/>
              <w:bottom w:w="0" w:type="dxa"/>
              <w:right w:w="100" w:type="dxa"/>
            </w:tcMar>
          </w:tcPr>
          <w:p w14:paraId="5FBA31FA" w14:textId="77777777" w:rsidR="0088074C" w:rsidRPr="00BD2927" w:rsidRDefault="00000000">
            <w:pPr>
              <w:spacing w:before="240" w:after="160" w:line="360" w:lineRule="auto"/>
              <w:jc w:val="both"/>
              <w:rPr>
                <w:rFonts w:eastAsia="Times New Roman"/>
                <w:b/>
                <w:bCs/>
                <w:sz w:val="24"/>
                <w:szCs w:val="24"/>
              </w:rPr>
            </w:pPr>
            <w:r w:rsidRPr="00BD2927">
              <w:rPr>
                <w:rFonts w:eastAsia="Times New Roman"/>
                <w:b/>
                <w:bCs/>
                <w:sz w:val="24"/>
                <w:szCs w:val="24"/>
              </w:rPr>
              <w:t>30,000</w:t>
            </w:r>
          </w:p>
        </w:tc>
      </w:tr>
    </w:tbl>
    <w:p w14:paraId="224EB235" w14:textId="77777777" w:rsidR="0088074C" w:rsidRPr="00BD2927" w:rsidRDefault="0088074C">
      <w:pPr>
        <w:spacing w:line="360" w:lineRule="auto"/>
        <w:jc w:val="both"/>
        <w:rPr>
          <w:rFonts w:eastAsia="Times New Roman"/>
          <w:sz w:val="24"/>
          <w:szCs w:val="24"/>
        </w:rPr>
      </w:pPr>
    </w:p>
    <w:p w14:paraId="40175F10"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Both variable and fixed costs have to be included in revenue projections. Rent, insurance, utilities, and software subscription are fixed costs and do not change in relation to the volume of treatment. Variable costs are consumables and injectable products that mainly vary with the client demand. According to the break-even analysis, the average number of required treatments every month is about 35 to 45, which is necessary to meet the fixed operational expenses. This volume can be achieved as realistic in terms of the demands of the market and the premium positioning of the clinic, which should be ensured by efficient marketing and client retention strategies.</w:t>
      </w:r>
    </w:p>
    <w:p w14:paraId="5BA6D169" w14:textId="77777777" w:rsidR="0088074C" w:rsidRPr="00BD2927" w:rsidRDefault="00000000" w:rsidP="00BD2927">
      <w:pPr>
        <w:pStyle w:val="Heading2"/>
      </w:pPr>
      <w:bookmarkStart w:id="39" w:name="_ujrawntqjy9m" w:colFirst="0" w:colLast="0"/>
      <w:bookmarkStart w:id="40" w:name="_Toc223619110"/>
      <w:bookmarkEnd w:id="39"/>
      <w:r w:rsidRPr="00BD2927">
        <w:t>4.5 Funding Sources</w:t>
      </w:r>
      <w:bookmarkEnd w:id="40"/>
    </w:p>
    <w:p w14:paraId="29BC98DD" w14:textId="77777777" w:rsidR="0088074C" w:rsidRPr="00BD2927" w:rsidRDefault="00000000">
      <w:pPr>
        <w:spacing w:before="240" w:after="240" w:line="360" w:lineRule="auto"/>
        <w:jc w:val="both"/>
        <w:rPr>
          <w:rFonts w:eastAsia="Times New Roman"/>
          <w:sz w:val="24"/>
          <w:szCs w:val="24"/>
        </w:rPr>
      </w:pPr>
      <w:r w:rsidRPr="00BD2927">
        <w:rPr>
          <w:rFonts w:eastAsia="Times New Roman"/>
          <w:sz w:val="24"/>
          <w:szCs w:val="24"/>
        </w:rPr>
        <w:t>A balanced combination of financing sources will be used to reduce the risk of financial risk and enhance its flexibility at Aurora Aesthetics. Initial capital will be presented by personal savings and will indicate the commitment of the owner to the prospective lenders. A bank loan can be added to the start-up funding especially to finance equipment and refurbishment fees. Moreover, the UK Government Start-Up Loan Scheme also provides easy access to financing opportunities as well as mentoring services to start-ups. High value equipment can also be financed by asset finance whereby expenses are compiled over a period of time as opposed to paying at the time of acquisition.</w:t>
      </w:r>
    </w:p>
    <w:p w14:paraId="2D3F1EAB" w14:textId="76B44D55" w:rsidR="0088074C" w:rsidRPr="00BD2927" w:rsidRDefault="00BD2927" w:rsidP="00BD2927">
      <w:pPr>
        <w:pStyle w:val="Heading1"/>
      </w:pPr>
      <w:bookmarkStart w:id="41" w:name="_gpj9i42javud" w:colFirst="0" w:colLast="0"/>
      <w:bookmarkStart w:id="42" w:name="_Toc223619111"/>
      <w:bookmarkEnd w:id="41"/>
      <w:r>
        <w:lastRenderedPageBreak/>
        <w:t>References</w:t>
      </w:r>
      <w:bookmarkEnd w:id="42"/>
      <w:r>
        <w:t xml:space="preserve"> </w:t>
      </w:r>
    </w:p>
    <w:p w14:paraId="7218C553" w14:textId="77777777" w:rsidR="00BD2927" w:rsidRPr="009F0693" w:rsidRDefault="00BD2927" w:rsidP="00BD2927">
      <w:pPr>
        <w:spacing w:line="360" w:lineRule="auto"/>
        <w:jc w:val="both"/>
        <w:rPr>
          <w:sz w:val="24"/>
          <w:szCs w:val="24"/>
        </w:rPr>
      </w:pPr>
      <w:r w:rsidRPr="009F0693">
        <w:rPr>
          <w:sz w:val="24"/>
          <w:szCs w:val="24"/>
        </w:rPr>
        <w:t>Adiyono, N.G., Rahmat, T.Y. and Anindita, R., 2021. Digital marketing strategies to increase online business sales through social media. </w:t>
      </w:r>
      <w:r w:rsidRPr="009F0693">
        <w:rPr>
          <w:i/>
          <w:iCs/>
          <w:sz w:val="24"/>
          <w:szCs w:val="24"/>
        </w:rPr>
        <w:t>Journal of Humanities, Social Science, Public Administration and Management (HUSOCPUMENT)</w:t>
      </w:r>
      <w:r w:rsidRPr="009F0693">
        <w:rPr>
          <w:sz w:val="24"/>
          <w:szCs w:val="24"/>
        </w:rPr>
        <w:t>, </w:t>
      </w:r>
      <w:r w:rsidRPr="009F0693">
        <w:rPr>
          <w:i/>
          <w:iCs/>
          <w:sz w:val="24"/>
          <w:szCs w:val="24"/>
        </w:rPr>
        <w:t>1</w:t>
      </w:r>
      <w:r w:rsidRPr="009F0693">
        <w:rPr>
          <w:sz w:val="24"/>
          <w:szCs w:val="24"/>
        </w:rPr>
        <w:t>(2), pp.31-37.</w:t>
      </w:r>
    </w:p>
    <w:p w14:paraId="3B5706D3" w14:textId="77777777" w:rsidR="00BD2927" w:rsidRPr="009F0693" w:rsidRDefault="00BD2927" w:rsidP="00BD2927">
      <w:pPr>
        <w:spacing w:line="360" w:lineRule="auto"/>
        <w:jc w:val="both"/>
        <w:rPr>
          <w:sz w:val="24"/>
          <w:szCs w:val="24"/>
        </w:rPr>
      </w:pPr>
      <w:r w:rsidRPr="009F0693">
        <w:rPr>
          <w:sz w:val="24"/>
          <w:szCs w:val="24"/>
        </w:rPr>
        <w:t>Arnett, D.B., 2024. Market segmentation strategy, target markets, and competitors: a resource-advantage theory perspective. </w:t>
      </w:r>
      <w:r w:rsidRPr="009F0693">
        <w:rPr>
          <w:i/>
          <w:iCs/>
          <w:sz w:val="24"/>
          <w:szCs w:val="24"/>
        </w:rPr>
        <w:t>Journal of Marketing Management</w:t>
      </w:r>
      <w:r w:rsidRPr="009F0693">
        <w:rPr>
          <w:sz w:val="24"/>
          <w:szCs w:val="24"/>
        </w:rPr>
        <w:t>, </w:t>
      </w:r>
      <w:r w:rsidRPr="009F0693">
        <w:rPr>
          <w:i/>
          <w:iCs/>
          <w:sz w:val="24"/>
          <w:szCs w:val="24"/>
        </w:rPr>
        <w:t>40</w:t>
      </w:r>
      <w:r w:rsidRPr="009F0693">
        <w:rPr>
          <w:sz w:val="24"/>
          <w:szCs w:val="24"/>
        </w:rPr>
        <w:t>(13-14), pp.1269-1285.</w:t>
      </w:r>
    </w:p>
    <w:p w14:paraId="14ADA84B" w14:textId="77777777" w:rsidR="00BD2927" w:rsidRPr="009F0693" w:rsidRDefault="00BD2927" w:rsidP="00BD2927">
      <w:pPr>
        <w:spacing w:line="360" w:lineRule="auto"/>
        <w:jc w:val="both"/>
        <w:rPr>
          <w:sz w:val="24"/>
          <w:szCs w:val="24"/>
        </w:rPr>
      </w:pPr>
      <w:r w:rsidRPr="009F0693">
        <w:rPr>
          <w:sz w:val="24"/>
          <w:szCs w:val="24"/>
        </w:rPr>
        <w:t>Bruder, I., 2021. A social mission is not enough: Reflecting the normative foundations of social entrepreneurship. </w:t>
      </w:r>
      <w:r w:rsidRPr="009F0693">
        <w:rPr>
          <w:i/>
          <w:iCs/>
          <w:sz w:val="24"/>
          <w:szCs w:val="24"/>
        </w:rPr>
        <w:t>Journal of Business Ethics</w:t>
      </w:r>
      <w:r w:rsidRPr="009F0693">
        <w:rPr>
          <w:sz w:val="24"/>
          <w:szCs w:val="24"/>
        </w:rPr>
        <w:t>, </w:t>
      </w:r>
      <w:r w:rsidRPr="009F0693">
        <w:rPr>
          <w:i/>
          <w:iCs/>
          <w:sz w:val="24"/>
          <w:szCs w:val="24"/>
        </w:rPr>
        <w:t>174</w:t>
      </w:r>
      <w:r w:rsidRPr="009F0693">
        <w:rPr>
          <w:sz w:val="24"/>
          <w:szCs w:val="24"/>
        </w:rPr>
        <w:t>(3), pp.487-505.</w:t>
      </w:r>
    </w:p>
    <w:p w14:paraId="651DFE57" w14:textId="77777777" w:rsidR="00BD2927" w:rsidRPr="009F0693" w:rsidRDefault="00BD2927" w:rsidP="00BD2927">
      <w:pPr>
        <w:spacing w:line="360" w:lineRule="auto"/>
        <w:jc w:val="both"/>
        <w:rPr>
          <w:sz w:val="24"/>
          <w:szCs w:val="24"/>
        </w:rPr>
      </w:pPr>
      <w:r w:rsidRPr="009F0693">
        <w:rPr>
          <w:sz w:val="24"/>
          <w:szCs w:val="24"/>
        </w:rPr>
        <w:t>Burns, P., 2022. </w:t>
      </w:r>
      <w:r w:rsidRPr="009F0693">
        <w:rPr>
          <w:i/>
          <w:iCs/>
          <w:sz w:val="24"/>
          <w:szCs w:val="24"/>
        </w:rPr>
        <w:t>Entrepreneurship and small business</w:t>
      </w:r>
      <w:r w:rsidRPr="009F0693">
        <w:rPr>
          <w:sz w:val="24"/>
          <w:szCs w:val="24"/>
        </w:rPr>
        <w:t>. Bloomsbury Publishing.</w:t>
      </w:r>
    </w:p>
    <w:p w14:paraId="4AB3392E" w14:textId="77777777" w:rsidR="00BD2927" w:rsidRPr="009F0693" w:rsidRDefault="00BD2927" w:rsidP="00BD2927">
      <w:pPr>
        <w:spacing w:line="360" w:lineRule="auto"/>
        <w:jc w:val="both"/>
        <w:rPr>
          <w:sz w:val="24"/>
          <w:szCs w:val="24"/>
        </w:rPr>
      </w:pPr>
      <w:r w:rsidRPr="009F0693">
        <w:rPr>
          <w:sz w:val="24"/>
          <w:szCs w:val="24"/>
        </w:rPr>
        <w:t>Cosenz, F. and Bivona, E., 2021. Fostering growth patterns of SMEs through business model innovation. A tailored dynamic business modelling approach. </w:t>
      </w:r>
      <w:r w:rsidRPr="009F0693">
        <w:rPr>
          <w:i/>
          <w:iCs/>
          <w:sz w:val="24"/>
          <w:szCs w:val="24"/>
        </w:rPr>
        <w:t>Journal of Business Research</w:t>
      </w:r>
      <w:r w:rsidRPr="009F0693">
        <w:rPr>
          <w:sz w:val="24"/>
          <w:szCs w:val="24"/>
        </w:rPr>
        <w:t>, </w:t>
      </w:r>
      <w:r w:rsidRPr="009F0693">
        <w:rPr>
          <w:i/>
          <w:iCs/>
          <w:sz w:val="24"/>
          <w:szCs w:val="24"/>
        </w:rPr>
        <w:t>130</w:t>
      </w:r>
      <w:r w:rsidRPr="009F0693">
        <w:rPr>
          <w:sz w:val="24"/>
          <w:szCs w:val="24"/>
        </w:rPr>
        <w:t>, pp.658-669.</w:t>
      </w:r>
    </w:p>
    <w:p w14:paraId="58A570ED" w14:textId="77777777" w:rsidR="00BD2927" w:rsidRPr="009F0693" w:rsidRDefault="00BD2927" w:rsidP="00BD2927">
      <w:pPr>
        <w:spacing w:line="360" w:lineRule="auto"/>
        <w:jc w:val="both"/>
        <w:rPr>
          <w:sz w:val="24"/>
          <w:szCs w:val="24"/>
        </w:rPr>
      </w:pPr>
      <w:r w:rsidRPr="009F0693">
        <w:rPr>
          <w:sz w:val="24"/>
          <w:szCs w:val="24"/>
        </w:rPr>
        <w:t>Dermawan, M., Rini, E.S., Sembiring, M.T. and Budiman, I., 2023, June. SWOT Analysis and Marketing Mix 4P Model as a Method to Develop Strategic Plan for Newly Marketed Agricultural Corn Seed Product. In </w:t>
      </w:r>
      <w:r w:rsidRPr="009F0693">
        <w:rPr>
          <w:i/>
          <w:iCs/>
          <w:sz w:val="24"/>
          <w:szCs w:val="24"/>
        </w:rPr>
        <w:t>IOP Conference Series: Earth and Environmental Science</w:t>
      </w:r>
      <w:r w:rsidRPr="009F0693">
        <w:rPr>
          <w:sz w:val="24"/>
          <w:szCs w:val="24"/>
        </w:rPr>
        <w:t> (Vol. 1188, No. 1, p. 012027). IOP Publishing.</w:t>
      </w:r>
    </w:p>
    <w:p w14:paraId="5DEA1E6B" w14:textId="77777777" w:rsidR="00BD2927" w:rsidRPr="009F0693" w:rsidRDefault="00BD2927" w:rsidP="00BD2927">
      <w:pPr>
        <w:spacing w:line="360" w:lineRule="auto"/>
        <w:jc w:val="both"/>
        <w:rPr>
          <w:sz w:val="24"/>
          <w:szCs w:val="24"/>
        </w:rPr>
      </w:pPr>
      <w:r w:rsidRPr="009F0693">
        <w:rPr>
          <w:sz w:val="24"/>
          <w:szCs w:val="24"/>
        </w:rPr>
        <w:t>Hajipour, V., Hekmat, S. and Amini, M., 2023. A value-oriented Artificial Intelligence-as-a-Service business plan using integrated tools and services. </w:t>
      </w:r>
      <w:r w:rsidRPr="009F0693">
        <w:rPr>
          <w:i/>
          <w:iCs/>
          <w:sz w:val="24"/>
          <w:szCs w:val="24"/>
        </w:rPr>
        <w:t>Decision Analytics Journal</w:t>
      </w:r>
      <w:r w:rsidRPr="009F0693">
        <w:rPr>
          <w:sz w:val="24"/>
          <w:szCs w:val="24"/>
        </w:rPr>
        <w:t>, </w:t>
      </w:r>
      <w:r w:rsidRPr="009F0693">
        <w:rPr>
          <w:i/>
          <w:iCs/>
          <w:sz w:val="24"/>
          <w:szCs w:val="24"/>
        </w:rPr>
        <w:t>8</w:t>
      </w:r>
      <w:r w:rsidRPr="009F0693">
        <w:rPr>
          <w:sz w:val="24"/>
          <w:szCs w:val="24"/>
        </w:rPr>
        <w:t>, p.100302.</w:t>
      </w:r>
    </w:p>
    <w:p w14:paraId="799DE568" w14:textId="77777777" w:rsidR="00BD2927" w:rsidRPr="009F0693" w:rsidRDefault="00BD2927" w:rsidP="00BD2927">
      <w:pPr>
        <w:spacing w:line="360" w:lineRule="auto"/>
        <w:jc w:val="both"/>
        <w:rPr>
          <w:sz w:val="24"/>
          <w:szCs w:val="24"/>
        </w:rPr>
      </w:pPr>
      <w:r w:rsidRPr="009F0693">
        <w:rPr>
          <w:sz w:val="24"/>
          <w:szCs w:val="24"/>
        </w:rPr>
        <w:t>Kasem, M.S., Hamada, M. and Taj-Eddin, I., 2024. Customer profiling, segmentation, and sales prediction using AI in direct marketing. </w:t>
      </w:r>
      <w:r w:rsidRPr="009F0693">
        <w:rPr>
          <w:i/>
          <w:iCs/>
          <w:sz w:val="24"/>
          <w:szCs w:val="24"/>
        </w:rPr>
        <w:t>Neural Computing and Applications</w:t>
      </w:r>
      <w:r w:rsidRPr="009F0693">
        <w:rPr>
          <w:sz w:val="24"/>
          <w:szCs w:val="24"/>
        </w:rPr>
        <w:t>, </w:t>
      </w:r>
      <w:r w:rsidRPr="009F0693">
        <w:rPr>
          <w:i/>
          <w:iCs/>
          <w:sz w:val="24"/>
          <w:szCs w:val="24"/>
        </w:rPr>
        <w:t>36</w:t>
      </w:r>
      <w:r w:rsidRPr="009F0693">
        <w:rPr>
          <w:sz w:val="24"/>
          <w:szCs w:val="24"/>
        </w:rPr>
        <w:t>(9), pp.4995-5005.</w:t>
      </w:r>
    </w:p>
    <w:p w14:paraId="3976AE42" w14:textId="77777777" w:rsidR="00BD2927" w:rsidRPr="009F0693" w:rsidRDefault="00BD2927" w:rsidP="00BD2927">
      <w:pPr>
        <w:spacing w:line="360" w:lineRule="auto"/>
        <w:jc w:val="both"/>
        <w:rPr>
          <w:sz w:val="24"/>
          <w:szCs w:val="24"/>
        </w:rPr>
      </w:pPr>
      <w:r w:rsidRPr="009F0693">
        <w:rPr>
          <w:sz w:val="24"/>
          <w:szCs w:val="24"/>
        </w:rPr>
        <w:t>Kassab, A., 2023. Emerging trends in marketing strategy: A comprehensive analysis of 4Ps.</w:t>
      </w:r>
    </w:p>
    <w:p w14:paraId="1907EDF9" w14:textId="77777777" w:rsidR="00BD2927" w:rsidRPr="009F0693" w:rsidRDefault="00BD2927" w:rsidP="00BD2927">
      <w:pPr>
        <w:spacing w:line="360" w:lineRule="auto"/>
        <w:jc w:val="both"/>
        <w:rPr>
          <w:sz w:val="24"/>
          <w:szCs w:val="24"/>
        </w:rPr>
      </w:pPr>
      <w:r w:rsidRPr="009F0693">
        <w:rPr>
          <w:sz w:val="24"/>
          <w:szCs w:val="24"/>
        </w:rPr>
        <w:t>Larsen, I.B., 2022. Fostering an entrepreneurial mindset: A typology for aligning instructional strategies with three dominant entrepreneurial mindset conceptualizations. </w:t>
      </w:r>
      <w:r w:rsidRPr="009F0693">
        <w:rPr>
          <w:i/>
          <w:iCs/>
          <w:sz w:val="24"/>
          <w:szCs w:val="24"/>
        </w:rPr>
        <w:t>Industry and Higher Education</w:t>
      </w:r>
      <w:r w:rsidRPr="009F0693">
        <w:rPr>
          <w:sz w:val="24"/>
          <w:szCs w:val="24"/>
        </w:rPr>
        <w:t>, </w:t>
      </w:r>
      <w:r w:rsidRPr="009F0693">
        <w:rPr>
          <w:i/>
          <w:iCs/>
          <w:sz w:val="24"/>
          <w:szCs w:val="24"/>
        </w:rPr>
        <w:t>36</w:t>
      </w:r>
      <w:r w:rsidRPr="009F0693">
        <w:rPr>
          <w:sz w:val="24"/>
          <w:szCs w:val="24"/>
        </w:rPr>
        <w:t>(3), pp.236-251.</w:t>
      </w:r>
    </w:p>
    <w:p w14:paraId="604134AF" w14:textId="77777777" w:rsidR="00BD2927" w:rsidRPr="009F0693" w:rsidRDefault="00BD2927" w:rsidP="00BD2927">
      <w:pPr>
        <w:spacing w:line="360" w:lineRule="auto"/>
        <w:jc w:val="both"/>
        <w:rPr>
          <w:sz w:val="24"/>
          <w:szCs w:val="24"/>
        </w:rPr>
      </w:pPr>
      <w:r w:rsidRPr="009F0693">
        <w:rPr>
          <w:sz w:val="24"/>
          <w:szCs w:val="24"/>
        </w:rPr>
        <w:t>Mishra, S. and Tripathi, A.R., 2021. AI business model: an integrative business approach. </w:t>
      </w:r>
      <w:r w:rsidRPr="009F0693">
        <w:rPr>
          <w:i/>
          <w:iCs/>
          <w:sz w:val="24"/>
          <w:szCs w:val="24"/>
        </w:rPr>
        <w:t>Journal of Innovation and Entrepreneurship</w:t>
      </w:r>
      <w:r w:rsidRPr="009F0693">
        <w:rPr>
          <w:sz w:val="24"/>
          <w:szCs w:val="24"/>
        </w:rPr>
        <w:t>, </w:t>
      </w:r>
      <w:r w:rsidRPr="009F0693">
        <w:rPr>
          <w:i/>
          <w:iCs/>
          <w:sz w:val="24"/>
          <w:szCs w:val="24"/>
        </w:rPr>
        <w:t>10</w:t>
      </w:r>
      <w:r w:rsidRPr="009F0693">
        <w:rPr>
          <w:sz w:val="24"/>
          <w:szCs w:val="24"/>
        </w:rPr>
        <w:t>(1), p.18.</w:t>
      </w:r>
    </w:p>
    <w:p w14:paraId="408F0580" w14:textId="77777777" w:rsidR="00BD2927" w:rsidRPr="009F0693" w:rsidRDefault="00BD2927" w:rsidP="00BD2927">
      <w:pPr>
        <w:spacing w:line="360" w:lineRule="auto"/>
        <w:jc w:val="both"/>
        <w:rPr>
          <w:sz w:val="24"/>
          <w:szCs w:val="24"/>
        </w:rPr>
      </w:pPr>
      <w:r w:rsidRPr="009F0693">
        <w:rPr>
          <w:sz w:val="24"/>
          <w:szCs w:val="24"/>
        </w:rPr>
        <w:t xml:space="preserve">Nuseir, M.T., El </w:t>
      </w:r>
      <w:proofErr w:type="spellStart"/>
      <w:r w:rsidRPr="009F0693">
        <w:rPr>
          <w:sz w:val="24"/>
          <w:szCs w:val="24"/>
        </w:rPr>
        <w:t>Refae</w:t>
      </w:r>
      <w:proofErr w:type="spellEnd"/>
      <w:r w:rsidRPr="009F0693">
        <w:rPr>
          <w:sz w:val="24"/>
          <w:szCs w:val="24"/>
        </w:rPr>
        <w:t xml:space="preserve">, G.A., </w:t>
      </w:r>
      <w:proofErr w:type="spellStart"/>
      <w:r w:rsidRPr="009F0693">
        <w:rPr>
          <w:sz w:val="24"/>
          <w:szCs w:val="24"/>
        </w:rPr>
        <w:t>Aljumah</w:t>
      </w:r>
      <w:proofErr w:type="spellEnd"/>
      <w:r w:rsidRPr="009F0693">
        <w:rPr>
          <w:sz w:val="24"/>
          <w:szCs w:val="24"/>
        </w:rPr>
        <w:t xml:space="preserve">, A., Alshurideh, M., </w:t>
      </w:r>
      <w:proofErr w:type="spellStart"/>
      <w:r w:rsidRPr="009F0693">
        <w:rPr>
          <w:sz w:val="24"/>
          <w:szCs w:val="24"/>
        </w:rPr>
        <w:t>Urabi</w:t>
      </w:r>
      <w:proofErr w:type="spellEnd"/>
      <w:r w:rsidRPr="009F0693">
        <w:rPr>
          <w:sz w:val="24"/>
          <w:szCs w:val="24"/>
        </w:rPr>
        <w:t xml:space="preserve">, S. and Kurdi, B.A., 2023. Digital marketing strategies and the impact on customer experience: A </w:t>
      </w:r>
      <w:r w:rsidRPr="009F0693">
        <w:rPr>
          <w:sz w:val="24"/>
          <w:szCs w:val="24"/>
        </w:rPr>
        <w:lastRenderedPageBreak/>
        <w:t>systematic review. </w:t>
      </w:r>
      <w:r w:rsidRPr="009F0693">
        <w:rPr>
          <w:i/>
          <w:iCs/>
          <w:sz w:val="24"/>
          <w:szCs w:val="24"/>
        </w:rPr>
        <w:t>The effect of information technology on business and marketing intelligence systems</w:t>
      </w:r>
      <w:r w:rsidRPr="009F0693">
        <w:rPr>
          <w:sz w:val="24"/>
          <w:szCs w:val="24"/>
        </w:rPr>
        <w:t>, pp.21-44.</w:t>
      </w:r>
    </w:p>
    <w:p w14:paraId="49D2D6DE" w14:textId="77777777" w:rsidR="00BD2927" w:rsidRPr="009F0693" w:rsidRDefault="00BD2927" w:rsidP="00BD2927">
      <w:pPr>
        <w:spacing w:line="360" w:lineRule="auto"/>
        <w:jc w:val="both"/>
        <w:rPr>
          <w:sz w:val="24"/>
          <w:szCs w:val="24"/>
        </w:rPr>
      </w:pPr>
      <w:r w:rsidRPr="009F0693">
        <w:rPr>
          <w:sz w:val="24"/>
          <w:szCs w:val="24"/>
        </w:rPr>
        <w:t>Olson, E.M., Olson, K.M., Czaplewski, A.J. and Key, T.M., 2021. Business strategy and the management of digital marketing. </w:t>
      </w:r>
      <w:r w:rsidRPr="009F0693">
        <w:rPr>
          <w:i/>
          <w:iCs/>
          <w:sz w:val="24"/>
          <w:szCs w:val="24"/>
        </w:rPr>
        <w:t>Business horizons</w:t>
      </w:r>
      <w:r w:rsidRPr="009F0693">
        <w:rPr>
          <w:sz w:val="24"/>
          <w:szCs w:val="24"/>
        </w:rPr>
        <w:t>, </w:t>
      </w:r>
      <w:r w:rsidRPr="009F0693">
        <w:rPr>
          <w:i/>
          <w:iCs/>
          <w:sz w:val="24"/>
          <w:szCs w:val="24"/>
        </w:rPr>
        <w:t>64</w:t>
      </w:r>
      <w:r w:rsidRPr="009F0693">
        <w:rPr>
          <w:sz w:val="24"/>
          <w:szCs w:val="24"/>
        </w:rPr>
        <w:t>(2), pp.285-293.</w:t>
      </w:r>
    </w:p>
    <w:p w14:paraId="3889D48C" w14:textId="77777777" w:rsidR="00BD2927" w:rsidRPr="009F0693" w:rsidRDefault="00BD2927" w:rsidP="00BD2927">
      <w:pPr>
        <w:spacing w:line="360" w:lineRule="auto"/>
        <w:jc w:val="both"/>
        <w:rPr>
          <w:sz w:val="24"/>
          <w:szCs w:val="24"/>
        </w:rPr>
      </w:pPr>
      <w:r w:rsidRPr="009F0693">
        <w:rPr>
          <w:sz w:val="24"/>
          <w:szCs w:val="24"/>
        </w:rPr>
        <w:t>Olujobi, O.J., 2021. Combating insolvency and business recovery problems in the oil industry: proposal for improvement in Nigeria's insolvency and bankruptcy legal framework. </w:t>
      </w:r>
      <w:r w:rsidRPr="009F0693">
        <w:rPr>
          <w:i/>
          <w:iCs/>
          <w:sz w:val="24"/>
          <w:szCs w:val="24"/>
        </w:rPr>
        <w:t>Heliyon</w:t>
      </w:r>
      <w:r w:rsidRPr="009F0693">
        <w:rPr>
          <w:sz w:val="24"/>
          <w:szCs w:val="24"/>
        </w:rPr>
        <w:t>, </w:t>
      </w:r>
      <w:r w:rsidRPr="009F0693">
        <w:rPr>
          <w:i/>
          <w:iCs/>
          <w:sz w:val="24"/>
          <w:szCs w:val="24"/>
        </w:rPr>
        <w:t>7</w:t>
      </w:r>
      <w:r w:rsidRPr="009F0693">
        <w:rPr>
          <w:sz w:val="24"/>
          <w:szCs w:val="24"/>
        </w:rPr>
        <w:t>(2).</w:t>
      </w:r>
    </w:p>
    <w:p w14:paraId="1AABC6CB" w14:textId="77777777" w:rsidR="00BD2927" w:rsidRPr="009F0693" w:rsidRDefault="00BD2927" w:rsidP="00BD2927">
      <w:pPr>
        <w:spacing w:line="360" w:lineRule="auto"/>
        <w:jc w:val="both"/>
        <w:rPr>
          <w:sz w:val="24"/>
          <w:szCs w:val="24"/>
        </w:rPr>
      </w:pPr>
      <w:r w:rsidRPr="009F0693">
        <w:rPr>
          <w:sz w:val="24"/>
          <w:szCs w:val="24"/>
        </w:rPr>
        <w:t>Purnomo, Y.J., 2023. Digital marketing strategy to increase sales conversion on e-commerce platforms. </w:t>
      </w:r>
      <w:r w:rsidRPr="009F0693">
        <w:rPr>
          <w:i/>
          <w:iCs/>
          <w:sz w:val="24"/>
          <w:szCs w:val="24"/>
        </w:rPr>
        <w:t>Journal of Contemporary Administration and Management (ADMAN)</w:t>
      </w:r>
      <w:r w:rsidRPr="009F0693">
        <w:rPr>
          <w:sz w:val="24"/>
          <w:szCs w:val="24"/>
        </w:rPr>
        <w:t>, </w:t>
      </w:r>
      <w:r w:rsidRPr="009F0693">
        <w:rPr>
          <w:i/>
          <w:iCs/>
          <w:sz w:val="24"/>
          <w:szCs w:val="24"/>
        </w:rPr>
        <w:t>1</w:t>
      </w:r>
      <w:r w:rsidRPr="009F0693">
        <w:rPr>
          <w:sz w:val="24"/>
          <w:szCs w:val="24"/>
        </w:rPr>
        <w:t>(2), pp.54-62.</w:t>
      </w:r>
    </w:p>
    <w:p w14:paraId="4AF61B9C" w14:textId="77777777" w:rsidR="00BD2927" w:rsidRPr="009F0693" w:rsidRDefault="00BD2927" w:rsidP="00BD2927">
      <w:pPr>
        <w:spacing w:line="360" w:lineRule="auto"/>
        <w:jc w:val="both"/>
        <w:rPr>
          <w:sz w:val="24"/>
          <w:szCs w:val="24"/>
        </w:rPr>
      </w:pPr>
      <w:r w:rsidRPr="009F0693">
        <w:rPr>
          <w:sz w:val="24"/>
          <w:szCs w:val="24"/>
        </w:rPr>
        <w:t>Rane, N.L., Paramesha, M., Choudhary, S.P. and Rane, J., 2024. Artificial intelligence, machine learning, and deep learning for advanced business strategies: a review. </w:t>
      </w:r>
      <w:r w:rsidRPr="009F0693">
        <w:rPr>
          <w:i/>
          <w:iCs/>
          <w:sz w:val="24"/>
          <w:szCs w:val="24"/>
        </w:rPr>
        <w:t>Partners Universal International Innovation Journal</w:t>
      </w:r>
      <w:r w:rsidRPr="009F0693">
        <w:rPr>
          <w:sz w:val="24"/>
          <w:szCs w:val="24"/>
        </w:rPr>
        <w:t>, </w:t>
      </w:r>
      <w:r w:rsidRPr="009F0693">
        <w:rPr>
          <w:i/>
          <w:iCs/>
          <w:sz w:val="24"/>
          <w:szCs w:val="24"/>
        </w:rPr>
        <w:t>2</w:t>
      </w:r>
      <w:r w:rsidRPr="009F0693">
        <w:rPr>
          <w:sz w:val="24"/>
          <w:szCs w:val="24"/>
        </w:rPr>
        <w:t>(3), pp.147-171.</w:t>
      </w:r>
    </w:p>
    <w:p w14:paraId="5E8DFC8C" w14:textId="77777777" w:rsidR="00BD2927" w:rsidRPr="009F0693" w:rsidRDefault="00BD2927" w:rsidP="00BD2927">
      <w:pPr>
        <w:spacing w:line="360" w:lineRule="auto"/>
        <w:jc w:val="both"/>
        <w:rPr>
          <w:sz w:val="24"/>
          <w:szCs w:val="24"/>
        </w:rPr>
      </w:pPr>
      <w:r w:rsidRPr="009F0693">
        <w:rPr>
          <w:sz w:val="24"/>
          <w:szCs w:val="24"/>
        </w:rPr>
        <w:t>Ratten, V., 2023. Entrepreneurship: Definitions, opportunities, challenges, and future directions. </w:t>
      </w:r>
      <w:r w:rsidRPr="009F0693">
        <w:rPr>
          <w:i/>
          <w:iCs/>
          <w:sz w:val="24"/>
          <w:szCs w:val="24"/>
        </w:rPr>
        <w:t>Global Business and Organizational Excellence</w:t>
      </w:r>
      <w:r w:rsidRPr="009F0693">
        <w:rPr>
          <w:sz w:val="24"/>
          <w:szCs w:val="24"/>
        </w:rPr>
        <w:t>, </w:t>
      </w:r>
      <w:r w:rsidRPr="009F0693">
        <w:rPr>
          <w:i/>
          <w:iCs/>
          <w:sz w:val="24"/>
          <w:szCs w:val="24"/>
        </w:rPr>
        <w:t>42</w:t>
      </w:r>
      <w:r w:rsidRPr="009F0693">
        <w:rPr>
          <w:sz w:val="24"/>
          <w:szCs w:val="24"/>
        </w:rPr>
        <w:t>(5), pp.79-90.</w:t>
      </w:r>
    </w:p>
    <w:p w14:paraId="081E6EA4" w14:textId="77777777" w:rsidR="00BD2927" w:rsidRPr="009F0693" w:rsidRDefault="00BD2927" w:rsidP="00BD2927">
      <w:pPr>
        <w:spacing w:line="360" w:lineRule="auto"/>
        <w:jc w:val="both"/>
        <w:rPr>
          <w:sz w:val="24"/>
          <w:szCs w:val="24"/>
        </w:rPr>
      </w:pPr>
      <w:r w:rsidRPr="009F0693">
        <w:rPr>
          <w:sz w:val="24"/>
          <w:szCs w:val="24"/>
        </w:rPr>
        <w:t>Sahlman, W.A., 2022. The structure and governance of venture-capital organizations. In </w:t>
      </w:r>
      <w:r w:rsidRPr="009F0693">
        <w:rPr>
          <w:i/>
          <w:iCs/>
          <w:sz w:val="24"/>
          <w:szCs w:val="24"/>
        </w:rPr>
        <w:t>Venture capital</w:t>
      </w:r>
      <w:r w:rsidRPr="009F0693">
        <w:rPr>
          <w:sz w:val="24"/>
          <w:szCs w:val="24"/>
        </w:rPr>
        <w:t> (pp. 3-51). Routledge.</w:t>
      </w:r>
    </w:p>
    <w:p w14:paraId="12872CA6" w14:textId="77777777" w:rsidR="00BD2927" w:rsidRPr="009F0693" w:rsidRDefault="00BD2927" w:rsidP="00BD2927">
      <w:pPr>
        <w:spacing w:line="360" w:lineRule="auto"/>
        <w:jc w:val="both"/>
        <w:rPr>
          <w:sz w:val="24"/>
          <w:szCs w:val="24"/>
        </w:rPr>
      </w:pPr>
      <w:r w:rsidRPr="009F0693">
        <w:rPr>
          <w:sz w:val="24"/>
          <w:szCs w:val="24"/>
        </w:rPr>
        <w:t>Sarkar, M., Puja, A.R. and Chowdhury, F.R., 2024. Optimizing marketing strategies with RFM method and K-means clustering-based AI customer segmentation analysis. </w:t>
      </w:r>
      <w:r w:rsidRPr="009F0693">
        <w:rPr>
          <w:i/>
          <w:iCs/>
          <w:sz w:val="24"/>
          <w:szCs w:val="24"/>
        </w:rPr>
        <w:t>Journal of Business and Management Studies</w:t>
      </w:r>
      <w:r w:rsidRPr="009F0693">
        <w:rPr>
          <w:sz w:val="24"/>
          <w:szCs w:val="24"/>
        </w:rPr>
        <w:t>, </w:t>
      </w:r>
      <w:r w:rsidRPr="009F0693">
        <w:rPr>
          <w:i/>
          <w:iCs/>
          <w:sz w:val="24"/>
          <w:szCs w:val="24"/>
        </w:rPr>
        <w:t>6</w:t>
      </w:r>
      <w:r w:rsidRPr="009F0693">
        <w:rPr>
          <w:sz w:val="24"/>
          <w:szCs w:val="24"/>
        </w:rPr>
        <w:t>(2), pp.54-60.</w:t>
      </w:r>
    </w:p>
    <w:p w14:paraId="66C89014" w14:textId="77777777" w:rsidR="00BD2927" w:rsidRPr="009F0693" w:rsidRDefault="00BD2927" w:rsidP="00BD2927">
      <w:pPr>
        <w:spacing w:line="360" w:lineRule="auto"/>
        <w:jc w:val="both"/>
        <w:rPr>
          <w:sz w:val="24"/>
          <w:szCs w:val="24"/>
        </w:rPr>
      </w:pPr>
      <w:r w:rsidRPr="009F0693">
        <w:rPr>
          <w:sz w:val="24"/>
          <w:szCs w:val="24"/>
        </w:rPr>
        <w:t xml:space="preserve">Welter, C., </w:t>
      </w:r>
      <w:proofErr w:type="spellStart"/>
      <w:r w:rsidRPr="009F0693">
        <w:rPr>
          <w:sz w:val="24"/>
          <w:szCs w:val="24"/>
        </w:rPr>
        <w:t>Scrimpshire</w:t>
      </w:r>
      <w:proofErr w:type="spellEnd"/>
      <w:r w:rsidRPr="009F0693">
        <w:rPr>
          <w:sz w:val="24"/>
          <w:szCs w:val="24"/>
        </w:rPr>
        <w:t xml:space="preserve">, A., Tolonen, D. and Obrimah, E., 2021. The road to entrepreneurial success: business plans, lean startup, or </w:t>
      </w:r>
      <w:proofErr w:type="gramStart"/>
      <w:r w:rsidRPr="009F0693">
        <w:rPr>
          <w:sz w:val="24"/>
          <w:szCs w:val="24"/>
        </w:rPr>
        <w:t>both?.</w:t>
      </w:r>
      <w:proofErr w:type="gramEnd"/>
      <w:r w:rsidRPr="009F0693">
        <w:rPr>
          <w:sz w:val="24"/>
          <w:szCs w:val="24"/>
        </w:rPr>
        <w:t> </w:t>
      </w:r>
      <w:r w:rsidRPr="009F0693">
        <w:rPr>
          <w:i/>
          <w:iCs/>
          <w:sz w:val="24"/>
          <w:szCs w:val="24"/>
        </w:rPr>
        <w:t>New England Journal of Entrepreneurship</w:t>
      </w:r>
      <w:r w:rsidRPr="009F0693">
        <w:rPr>
          <w:sz w:val="24"/>
          <w:szCs w:val="24"/>
        </w:rPr>
        <w:t>, </w:t>
      </w:r>
      <w:r w:rsidRPr="009F0693">
        <w:rPr>
          <w:i/>
          <w:iCs/>
          <w:sz w:val="24"/>
          <w:szCs w:val="24"/>
        </w:rPr>
        <w:t>24</w:t>
      </w:r>
      <w:r w:rsidRPr="009F0693">
        <w:rPr>
          <w:sz w:val="24"/>
          <w:szCs w:val="24"/>
        </w:rPr>
        <w:t>(1), pp.21-42.</w:t>
      </w:r>
    </w:p>
    <w:p w14:paraId="58FA5783" w14:textId="77777777" w:rsidR="0088074C" w:rsidRPr="00BD2927" w:rsidRDefault="0088074C">
      <w:pPr>
        <w:spacing w:before="240" w:after="240" w:line="360" w:lineRule="auto"/>
        <w:jc w:val="both"/>
        <w:rPr>
          <w:rFonts w:eastAsia="Times New Roman"/>
          <w:sz w:val="24"/>
          <w:szCs w:val="24"/>
        </w:rPr>
      </w:pPr>
    </w:p>
    <w:p w14:paraId="16FC3215" w14:textId="77777777" w:rsidR="0088074C" w:rsidRPr="00BD2927" w:rsidRDefault="0088074C">
      <w:pPr>
        <w:spacing w:before="240" w:after="240" w:line="360" w:lineRule="auto"/>
        <w:jc w:val="both"/>
        <w:rPr>
          <w:rFonts w:eastAsia="Times New Roman"/>
          <w:sz w:val="24"/>
          <w:szCs w:val="24"/>
        </w:rPr>
      </w:pPr>
    </w:p>
    <w:p w14:paraId="6419FBE9" w14:textId="77777777" w:rsidR="0088074C" w:rsidRPr="00BD2927" w:rsidRDefault="0088074C">
      <w:pPr>
        <w:spacing w:line="360" w:lineRule="auto"/>
        <w:jc w:val="both"/>
        <w:rPr>
          <w:rFonts w:eastAsia="Times New Roman"/>
          <w:sz w:val="24"/>
          <w:szCs w:val="24"/>
        </w:rPr>
      </w:pPr>
    </w:p>
    <w:sectPr w:rsidR="0088074C" w:rsidRPr="00BD2927" w:rsidSect="00BD2927">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19FC9" w14:textId="77777777" w:rsidR="00BD4D56" w:rsidRDefault="00BD4D56">
      <w:pPr>
        <w:spacing w:line="240" w:lineRule="auto"/>
      </w:pPr>
      <w:r>
        <w:separator/>
      </w:r>
    </w:p>
  </w:endnote>
  <w:endnote w:type="continuationSeparator" w:id="0">
    <w:p w14:paraId="09C7D4B4" w14:textId="77777777" w:rsidR="00BD4D56" w:rsidRDefault="00BD4D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7787E56-1D9E-4224-AE9B-F56E8A47DF33}"/>
  </w:font>
  <w:font w:name="Cambria">
    <w:panose1 w:val="02040503050406030204"/>
    <w:charset w:val="00"/>
    <w:family w:val="roman"/>
    <w:pitch w:val="variable"/>
    <w:sig w:usb0="E00006FF" w:usb1="420024FF" w:usb2="02000000" w:usb3="00000000" w:csb0="0000019F" w:csb1="00000000"/>
    <w:embedRegular r:id="rId2" w:fontKey="{C355C541-FC11-414D-8373-43C672D761E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2693600"/>
      <w:docPartObj>
        <w:docPartGallery w:val="Page Numbers (Bottom of Page)"/>
        <w:docPartUnique/>
      </w:docPartObj>
    </w:sdtPr>
    <w:sdtEndPr>
      <w:rPr>
        <w:noProof/>
      </w:rPr>
    </w:sdtEndPr>
    <w:sdtContent>
      <w:p w14:paraId="68CB4849" w14:textId="115004A3" w:rsidR="00BD2927" w:rsidRDefault="00BD29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388CDD" w14:textId="77777777" w:rsidR="00BD2927" w:rsidRDefault="00BD2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E14CD" w14:textId="77777777" w:rsidR="00BD4D56" w:rsidRDefault="00BD4D56">
      <w:pPr>
        <w:spacing w:line="240" w:lineRule="auto"/>
      </w:pPr>
      <w:r>
        <w:separator/>
      </w:r>
    </w:p>
  </w:footnote>
  <w:footnote w:type="continuationSeparator" w:id="0">
    <w:p w14:paraId="22767E32" w14:textId="77777777" w:rsidR="00BD4D56" w:rsidRDefault="00BD4D5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074C"/>
    <w:rsid w:val="001650AD"/>
    <w:rsid w:val="0088074C"/>
    <w:rsid w:val="009E5AD6"/>
    <w:rsid w:val="00A8704D"/>
    <w:rsid w:val="00BD2927"/>
    <w:rsid w:val="00BD4D56"/>
    <w:rsid w:val="00D73EE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2CA2C"/>
  <w15:docId w15:val="{84FF58F0-F7E1-4A8C-BE15-E6FC18363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uiPriority w:val="9"/>
    <w:qFormat/>
    <w:rsid w:val="00BD2927"/>
    <w:pPr>
      <w:keepNext w:val="0"/>
      <w:keepLines w:val="0"/>
      <w:spacing w:after="80" w:line="360" w:lineRule="auto"/>
      <w:jc w:val="both"/>
      <w:outlineLvl w:val="0"/>
    </w:pPr>
    <w:rPr>
      <w:rFonts w:eastAsia="Times New Roman"/>
      <w:szCs w:val="24"/>
    </w:rPr>
  </w:style>
  <w:style w:type="paragraph" w:styleId="Heading2">
    <w:name w:val="heading 2"/>
    <w:basedOn w:val="Normal"/>
    <w:next w:val="Normal"/>
    <w:uiPriority w:val="9"/>
    <w:unhideWhenUsed/>
    <w:qFormat/>
    <w:rsid w:val="00BD2927"/>
    <w:pPr>
      <w:keepNext/>
      <w:keepLines/>
      <w:spacing w:before="480" w:after="240"/>
      <w:outlineLvl w:val="1"/>
    </w:pPr>
    <w:rPr>
      <w:b/>
      <w:sz w:val="24"/>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BD2927"/>
    <w:pPr>
      <w:tabs>
        <w:tab w:val="center" w:pos="4513"/>
        <w:tab w:val="right" w:pos="9026"/>
      </w:tabs>
      <w:spacing w:line="240" w:lineRule="auto"/>
    </w:pPr>
  </w:style>
  <w:style w:type="character" w:customStyle="1" w:styleId="HeaderChar">
    <w:name w:val="Header Char"/>
    <w:basedOn w:val="DefaultParagraphFont"/>
    <w:link w:val="Header"/>
    <w:uiPriority w:val="99"/>
    <w:rsid w:val="00BD2927"/>
  </w:style>
  <w:style w:type="paragraph" w:styleId="Footer">
    <w:name w:val="footer"/>
    <w:basedOn w:val="Normal"/>
    <w:link w:val="FooterChar"/>
    <w:uiPriority w:val="99"/>
    <w:unhideWhenUsed/>
    <w:rsid w:val="00BD2927"/>
    <w:pPr>
      <w:tabs>
        <w:tab w:val="center" w:pos="4513"/>
        <w:tab w:val="right" w:pos="9026"/>
      </w:tabs>
      <w:spacing w:line="240" w:lineRule="auto"/>
    </w:pPr>
  </w:style>
  <w:style w:type="character" w:customStyle="1" w:styleId="FooterChar">
    <w:name w:val="Footer Char"/>
    <w:basedOn w:val="DefaultParagraphFont"/>
    <w:link w:val="Footer"/>
    <w:uiPriority w:val="99"/>
    <w:rsid w:val="00BD2927"/>
  </w:style>
  <w:style w:type="paragraph" w:styleId="TOCHeading">
    <w:name w:val="TOC Heading"/>
    <w:basedOn w:val="Heading1"/>
    <w:next w:val="Normal"/>
    <w:uiPriority w:val="39"/>
    <w:unhideWhenUsed/>
    <w:qFormat/>
    <w:rsid w:val="00BD2927"/>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D2927"/>
    <w:pPr>
      <w:spacing w:after="100"/>
    </w:pPr>
  </w:style>
  <w:style w:type="paragraph" w:styleId="TOC2">
    <w:name w:val="toc 2"/>
    <w:basedOn w:val="Normal"/>
    <w:next w:val="Normal"/>
    <w:autoRedefine/>
    <w:uiPriority w:val="39"/>
    <w:unhideWhenUsed/>
    <w:rsid w:val="00BD2927"/>
    <w:pPr>
      <w:spacing w:after="100"/>
      <w:ind w:left="220"/>
    </w:pPr>
  </w:style>
  <w:style w:type="character" w:styleId="Hyperlink">
    <w:name w:val="Hyperlink"/>
    <w:basedOn w:val="DefaultParagraphFont"/>
    <w:uiPriority w:val="99"/>
    <w:unhideWhenUsed/>
    <w:rsid w:val="00BD29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4898E-A9DE-4B6C-9368-B1753308C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4590</Words>
  <Characters>26165</Characters>
  <Application>Microsoft Office Word</Application>
  <DocSecurity>0</DocSecurity>
  <Lines>218</Lines>
  <Paragraphs>61</Paragraphs>
  <ScaleCrop>false</ScaleCrop>
  <Company/>
  <LinksUpToDate>false</LinksUpToDate>
  <CharactersWithSpaces>30694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dcterms:created xsi:type="dcterms:W3CDTF">2026-03-04T11:42:00Z</dcterms:created>
  <dcterms:modified xsi:type="dcterms:W3CDTF">2026-03-05T10:34:00Z</dcterms:modified>
</cp:coreProperties>
</file>