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2F7" w:rsidRPr="00440728" w:rsidRDefault="0053074A" w:rsidP="00D562F7">
      <w:pPr>
        <w:spacing w:before="100" w:beforeAutospacing="1" w:after="100" w:afterAutospacing="1" w:line="411" w:lineRule="atLeast"/>
        <w:jc w:val="both"/>
        <w:rPr>
          <w:rFonts w:ascii="Times New Roman" w:eastAsia="Times New Roman" w:hAnsi="Times New Roman" w:cs="Times New Roman"/>
          <w:b/>
          <w:color w:val="000000"/>
          <w:sz w:val="28"/>
          <w:szCs w:val="28"/>
          <w:lang w:eastAsia="en-GB"/>
        </w:rPr>
      </w:pPr>
      <w:r w:rsidRPr="00440728">
        <w:rPr>
          <w:rFonts w:ascii="Times New Roman" w:eastAsia="Times New Roman" w:hAnsi="Times New Roman" w:cs="Times New Roman"/>
          <w:b/>
          <w:color w:val="000000"/>
          <w:sz w:val="28"/>
          <w:szCs w:val="28"/>
          <w:lang w:eastAsia="en-GB"/>
        </w:rPr>
        <w:t>Types of Narrative Research</w:t>
      </w:r>
      <w:bookmarkStart w:id="0" w:name="_GoBack"/>
      <w:bookmarkEnd w:id="0"/>
    </w:p>
    <w:p w:rsidR="00D562F7" w:rsidRPr="004324F2" w:rsidRDefault="00D562F7" w:rsidP="00D562F7">
      <w:pPr>
        <w:numPr>
          <w:ilvl w:val="0"/>
          <w:numId w:val="1"/>
        </w:numPr>
        <w:spacing w:before="100" w:beforeAutospacing="1" w:after="100" w:afterAutospacing="1" w:line="411" w:lineRule="atLeast"/>
        <w:jc w:val="both"/>
        <w:rPr>
          <w:rFonts w:ascii="Times New Roman" w:eastAsia="Times New Roman" w:hAnsi="Times New Roman" w:cs="Times New Roman"/>
          <w:color w:val="000000"/>
          <w:sz w:val="28"/>
          <w:szCs w:val="28"/>
          <w:lang w:eastAsia="en-GB"/>
        </w:rPr>
      </w:pPr>
      <w:r w:rsidRPr="004324F2">
        <w:rPr>
          <w:rFonts w:ascii="Times New Roman" w:eastAsia="Times New Roman" w:hAnsi="Times New Roman" w:cs="Times New Roman"/>
          <w:color w:val="000000"/>
          <w:sz w:val="28"/>
          <w:szCs w:val="28"/>
          <w:lang w:eastAsia="en-GB"/>
        </w:rPr>
        <w:t xml:space="preserve">A </w:t>
      </w:r>
      <w:r w:rsidRPr="004324F2">
        <w:rPr>
          <w:rFonts w:ascii="Times New Roman" w:eastAsia="Times New Roman" w:hAnsi="Times New Roman" w:cs="Times New Roman"/>
          <w:b/>
          <w:bCs/>
          <w:i/>
          <w:iCs/>
          <w:color w:val="000000"/>
          <w:sz w:val="28"/>
          <w:szCs w:val="28"/>
          <w:lang w:eastAsia="en-GB"/>
        </w:rPr>
        <w:t>biographical study</w:t>
      </w:r>
      <w:r w:rsidRPr="004324F2">
        <w:rPr>
          <w:rFonts w:ascii="Times New Roman" w:eastAsia="Times New Roman" w:hAnsi="Times New Roman" w:cs="Times New Roman"/>
          <w:color w:val="000000"/>
          <w:sz w:val="28"/>
          <w:szCs w:val="28"/>
          <w:lang w:eastAsia="en-GB"/>
        </w:rPr>
        <w:t xml:space="preserve"> is a form of narrative study in which the researcher writes and records the experiences of another person’s life. An example of a biographical study is </w:t>
      </w:r>
      <w:proofErr w:type="spellStart"/>
      <w:r w:rsidRPr="004324F2">
        <w:rPr>
          <w:rFonts w:ascii="Times New Roman" w:eastAsia="Times New Roman" w:hAnsi="Times New Roman" w:cs="Times New Roman"/>
          <w:color w:val="000000"/>
          <w:sz w:val="28"/>
          <w:szCs w:val="28"/>
          <w:lang w:eastAsia="en-GB"/>
        </w:rPr>
        <w:t>Ruohotie-Lyhty’s</w:t>
      </w:r>
      <w:proofErr w:type="spellEnd"/>
      <w:r w:rsidRPr="004324F2">
        <w:rPr>
          <w:rFonts w:ascii="Times New Roman" w:eastAsia="Times New Roman" w:hAnsi="Times New Roman" w:cs="Times New Roman"/>
          <w:color w:val="000000"/>
          <w:sz w:val="28"/>
          <w:szCs w:val="28"/>
          <w:lang w:eastAsia="en-GB"/>
        </w:rPr>
        <w:t xml:space="preserve"> (2013) exploration of professional identity of two newly qualified language teachers in Finland. Through contrasting experiences (a painful and an easy beginning), the stories offer insights into the role of reflection on life experiences as a useful means of supporting identity development.</w:t>
      </w:r>
    </w:p>
    <w:p w:rsidR="00D562F7" w:rsidRPr="004324F2" w:rsidRDefault="00D562F7" w:rsidP="00D562F7">
      <w:pPr>
        <w:numPr>
          <w:ilvl w:val="0"/>
          <w:numId w:val="1"/>
        </w:numPr>
        <w:spacing w:before="100" w:beforeAutospacing="1" w:after="100" w:afterAutospacing="1" w:line="411" w:lineRule="atLeast"/>
        <w:jc w:val="both"/>
        <w:rPr>
          <w:rFonts w:ascii="Times New Roman" w:eastAsia="Times New Roman" w:hAnsi="Times New Roman" w:cs="Times New Roman"/>
          <w:color w:val="000000"/>
          <w:sz w:val="28"/>
          <w:szCs w:val="28"/>
          <w:lang w:eastAsia="en-GB"/>
        </w:rPr>
      </w:pPr>
      <w:proofErr w:type="spellStart"/>
      <w:r w:rsidRPr="004324F2">
        <w:rPr>
          <w:rFonts w:ascii="Times New Roman" w:eastAsia="Times New Roman" w:hAnsi="Times New Roman" w:cs="Times New Roman"/>
          <w:b/>
          <w:bCs/>
          <w:i/>
          <w:iCs/>
          <w:color w:val="000000"/>
          <w:sz w:val="28"/>
          <w:szCs w:val="28"/>
          <w:lang w:eastAsia="en-GB"/>
        </w:rPr>
        <w:t>Autoethnography</w:t>
      </w:r>
      <w:proofErr w:type="spellEnd"/>
      <w:r w:rsidRPr="004324F2">
        <w:rPr>
          <w:rFonts w:ascii="Times New Roman" w:eastAsia="Times New Roman" w:hAnsi="Times New Roman" w:cs="Times New Roman"/>
          <w:color w:val="000000"/>
          <w:sz w:val="28"/>
          <w:szCs w:val="28"/>
          <w:lang w:eastAsia="en-GB"/>
        </w:rPr>
        <w:t xml:space="preserve"> is written and recorded by the individuals who are the subject of the study (Ellis, 2004; </w:t>
      </w:r>
      <w:proofErr w:type="spellStart"/>
      <w:r w:rsidRPr="004324F2">
        <w:rPr>
          <w:rFonts w:ascii="Times New Roman" w:eastAsia="Times New Roman" w:hAnsi="Times New Roman" w:cs="Times New Roman"/>
          <w:color w:val="000000"/>
          <w:sz w:val="28"/>
          <w:szCs w:val="28"/>
          <w:lang w:eastAsia="en-GB"/>
        </w:rPr>
        <w:t>Muncey</w:t>
      </w:r>
      <w:proofErr w:type="spellEnd"/>
      <w:r w:rsidRPr="004324F2">
        <w:rPr>
          <w:rFonts w:ascii="Times New Roman" w:eastAsia="Times New Roman" w:hAnsi="Times New Roman" w:cs="Times New Roman"/>
          <w:color w:val="000000"/>
          <w:sz w:val="28"/>
          <w:szCs w:val="28"/>
          <w:lang w:eastAsia="en-GB"/>
        </w:rPr>
        <w:t xml:space="preserve">, 2010). </w:t>
      </w:r>
      <w:proofErr w:type="spellStart"/>
      <w:r w:rsidRPr="004324F2">
        <w:rPr>
          <w:rFonts w:ascii="Times New Roman" w:eastAsia="Times New Roman" w:hAnsi="Times New Roman" w:cs="Times New Roman"/>
          <w:color w:val="000000"/>
          <w:sz w:val="28"/>
          <w:szCs w:val="28"/>
          <w:lang w:eastAsia="en-GB"/>
        </w:rPr>
        <w:t>Muncey</w:t>
      </w:r>
      <w:proofErr w:type="spellEnd"/>
      <w:r w:rsidRPr="004324F2">
        <w:rPr>
          <w:rFonts w:ascii="Times New Roman" w:eastAsia="Times New Roman" w:hAnsi="Times New Roman" w:cs="Times New Roman"/>
          <w:color w:val="000000"/>
          <w:sz w:val="28"/>
          <w:szCs w:val="28"/>
          <w:lang w:eastAsia="en-GB"/>
        </w:rPr>
        <w:t xml:space="preserve"> (2010) defines </w:t>
      </w:r>
      <w:proofErr w:type="spellStart"/>
      <w:r w:rsidRPr="004324F2">
        <w:rPr>
          <w:rFonts w:ascii="Times New Roman" w:eastAsia="Times New Roman" w:hAnsi="Times New Roman" w:cs="Times New Roman"/>
          <w:i/>
          <w:iCs/>
          <w:color w:val="000000"/>
          <w:sz w:val="28"/>
          <w:szCs w:val="28"/>
          <w:lang w:eastAsia="en-GB"/>
        </w:rPr>
        <w:t>autoethnography</w:t>
      </w:r>
      <w:proofErr w:type="spellEnd"/>
      <w:r w:rsidRPr="004324F2">
        <w:rPr>
          <w:rFonts w:ascii="Times New Roman" w:eastAsia="Times New Roman" w:hAnsi="Times New Roman" w:cs="Times New Roman"/>
          <w:color w:val="000000"/>
          <w:sz w:val="28"/>
          <w:szCs w:val="28"/>
          <w:lang w:eastAsia="en-GB"/>
        </w:rPr>
        <w:t xml:space="preserve"> as the idea of multiple layers of consciousness, the vulnerable self, </w:t>
      </w:r>
      <w:proofErr w:type="gramStart"/>
      <w:r w:rsidRPr="004324F2">
        <w:rPr>
          <w:rFonts w:ascii="Times New Roman" w:eastAsia="Times New Roman" w:hAnsi="Times New Roman" w:cs="Times New Roman"/>
          <w:color w:val="000000"/>
          <w:sz w:val="28"/>
          <w:szCs w:val="28"/>
          <w:lang w:eastAsia="en-GB"/>
        </w:rPr>
        <w:t>the</w:t>
      </w:r>
      <w:proofErr w:type="gramEnd"/>
      <w:r w:rsidRPr="004324F2">
        <w:rPr>
          <w:rFonts w:ascii="Times New Roman" w:eastAsia="Times New Roman" w:hAnsi="Times New Roman" w:cs="Times New Roman"/>
          <w:color w:val="000000"/>
          <w:sz w:val="28"/>
          <w:szCs w:val="28"/>
          <w:lang w:eastAsia="en-GB"/>
        </w:rPr>
        <w:t xml:space="preserve"> coherent self, critiquing the self in social contexts, the subversion of dominant discourses, and the evocative potential. They contain the personal story of the author as well as the larger cultural meaning for the individual’s story. An example of </w:t>
      </w:r>
      <w:proofErr w:type="spellStart"/>
      <w:r w:rsidRPr="004324F2">
        <w:rPr>
          <w:rFonts w:ascii="Times New Roman" w:eastAsia="Times New Roman" w:hAnsi="Times New Roman" w:cs="Times New Roman"/>
          <w:color w:val="000000"/>
          <w:sz w:val="28"/>
          <w:szCs w:val="28"/>
          <w:lang w:eastAsia="en-GB"/>
        </w:rPr>
        <w:t>autoethnography</w:t>
      </w:r>
      <w:proofErr w:type="spellEnd"/>
      <w:r w:rsidRPr="004324F2">
        <w:rPr>
          <w:rFonts w:ascii="Times New Roman" w:eastAsia="Times New Roman" w:hAnsi="Times New Roman" w:cs="Times New Roman"/>
          <w:color w:val="000000"/>
          <w:sz w:val="28"/>
          <w:szCs w:val="28"/>
          <w:lang w:eastAsia="en-GB"/>
        </w:rPr>
        <w:t xml:space="preserve"> is Ellis’ (1993) personal exploration of the family drama enacted in the aftermath of the author’s brother’s death in an airplane crash. Her story about childhood interactions with her brother, the crash, and the context for which he was traveling—to visit the author—their adulthood relationship, and the experience of going to the family home for the funeral followed by her return to her home as well as other issues shed light on her personal and professional life.</w:t>
      </w:r>
    </w:p>
    <w:p w:rsidR="00D562F7" w:rsidRPr="004324F2" w:rsidRDefault="00D562F7" w:rsidP="00D562F7">
      <w:pPr>
        <w:numPr>
          <w:ilvl w:val="0"/>
          <w:numId w:val="1"/>
        </w:numPr>
        <w:spacing w:before="100" w:beforeAutospacing="1" w:after="100" w:afterAutospacing="1" w:line="411" w:lineRule="atLeast"/>
        <w:jc w:val="both"/>
        <w:rPr>
          <w:rFonts w:ascii="Times New Roman" w:eastAsia="Times New Roman" w:hAnsi="Times New Roman" w:cs="Times New Roman"/>
          <w:color w:val="000000"/>
          <w:sz w:val="28"/>
          <w:szCs w:val="28"/>
          <w:lang w:eastAsia="en-GB"/>
        </w:rPr>
      </w:pPr>
      <w:r w:rsidRPr="004324F2">
        <w:rPr>
          <w:rFonts w:ascii="Times New Roman" w:eastAsia="Times New Roman" w:hAnsi="Times New Roman" w:cs="Times New Roman"/>
          <w:color w:val="000000"/>
          <w:sz w:val="28"/>
          <w:szCs w:val="28"/>
          <w:lang w:eastAsia="en-GB"/>
        </w:rPr>
        <w:t>A life history portrays an individual’s entire life, while a personal experience story is a narrative study of an individual’s personal experience found in single or multiple episodes, private situations, or communal folklore (Denzin, 1989). An exploration of the life history of a Danish academic’s position and perspectives illustrates the complexity of internationalization (</w:t>
      </w:r>
      <w:proofErr w:type="spellStart"/>
      <w:r w:rsidRPr="004324F2">
        <w:rPr>
          <w:rFonts w:ascii="Times New Roman" w:eastAsia="Times New Roman" w:hAnsi="Times New Roman" w:cs="Times New Roman"/>
          <w:color w:val="000000"/>
          <w:sz w:val="28"/>
          <w:szCs w:val="28"/>
          <w:lang w:eastAsia="en-GB"/>
        </w:rPr>
        <w:t>Fabricius</w:t>
      </w:r>
      <w:proofErr w:type="spellEnd"/>
      <w:r w:rsidRPr="004324F2">
        <w:rPr>
          <w:rFonts w:ascii="Times New Roman" w:eastAsia="Times New Roman" w:hAnsi="Times New Roman" w:cs="Times New Roman"/>
          <w:color w:val="000000"/>
          <w:sz w:val="28"/>
          <w:szCs w:val="28"/>
          <w:lang w:eastAsia="en-GB"/>
        </w:rPr>
        <w:t>, 2014).</w:t>
      </w:r>
    </w:p>
    <w:p w:rsidR="00D562F7" w:rsidRPr="004324F2" w:rsidRDefault="00D562F7" w:rsidP="00D562F7">
      <w:pPr>
        <w:numPr>
          <w:ilvl w:val="0"/>
          <w:numId w:val="1"/>
        </w:numPr>
        <w:spacing w:before="100" w:beforeAutospacing="1" w:after="100" w:afterAutospacing="1" w:line="411" w:lineRule="atLeast"/>
        <w:jc w:val="both"/>
        <w:rPr>
          <w:rFonts w:ascii="Times New Roman" w:eastAsia="Times New Roman" w:hAnsi="Times New Roman" w:cs="Times New Roman"/>
          <w:color w:val="000000"/>
          <w:sz w:val="28"/>
          <w:szCs w:val="28"/>
          <w:lang w:eastAsia="en-GB"/>
        </w:rPr>
      </w:pPr>
      <w:r w:rsidRPr="004324F2">
        <w:rPr>
          <w:rFonts w:ascii="Times New Roman" w:eastAsia="Times New Roman" w:hAnsi="Times New Roman" w:cs="Times New Roman"/>
          <w:color w:val="000000"/>
          <w:sz w:val="28"/>
          <w:szCs w:val="28"/>
          <w:lang w:eastAsia="en-GB"/>
        </w:rPr>
        <w:t xml:space="preserve">An </w:t>
      </w:r>
      <w:r w:rsidRPr="004324F2">
        <w:rPr>
          <w:rFonts w:ascii="Times New Roman" w:eastAsia="Times New Roman" w:hAnsi="Times New Roman" w:cs="Times New Roman"/>
          <w:b/>
          <w:bCs/>
          <w:i/>
          <w:iCs/>
          <w:color w:val="000000"/>
          <w:sz w:val="28"/>
          <w:szCs w:val="28"/>
          <w:lang w:eastAsia="en-GB"/>
        </w:rPr>
        <w:t>oral history</w:t>
      </w:r>
      <w:r w:rsidRPr="004324F2">
        <w:rPr>
          <w:rFonts w:ascii="Times New Roman" w:eastAsia="Times New Roman" w:hAnsi="Times New Roman" w:cs="Times New Roman"/>
          <w:color w:val="000000"/>
          <w:sz w:val="28"/>
          <w:szCs w:val="28"/>
          <w:lang w:eastAsia="en-GB"/>
        </w:rPr>
        <w:t xml:space="preserve"> consists of gathering personal reflections of events and their causes and effects from one individual or several individuals (Plummer, 1983). Narrative studies may have a specific contextual focus, such as stories told by teachers or children in classrooms (</w:t>
      </w:r>
      <w:proofErr w:type="spellStart"/>
      <w:r w:rsidRPr="004324F2">
        <w:rPr>
          <w:rFonts w:ascii="Times New Roman" w:eastAsia="Times New Roman" w:hAnsi="Times New Roman" w:cs="Times New Roman"/>
          <w:color w:val="000000"/>
          <w:sz w:val="28"/>
          <w:szCs w:val="28"/>
          <w:lang w:eastAsia="en-GB"/>
        </w:rPr>
        <w:t>Ollerenshaw</w:t>
      </w:r>
      <w:proofErr w:type="spellEnd"/>
      <w:r w:rsidRPr="004324F2">
        <w:rPr>
          <w:rFonts w:ascii="Times New Roman" w:eastAsia="Times New Roman" w:hAnsi="Times New Roman" w:cs="Times New Roman"/>
          <w:color w:val="000000"/>
          <w:sz w:val="28"/>
          <w:szCs w:val="28"/>
          <w:lang w:eastAsia="en-GB"/>
        </w:rPr>
        <w:t xml:space="preserve"> &amp; Creswell, 2002) or the stories told about organizations (</w:t>
      </w:r>
      <w:proofErr w:type="spellStart"/>
      <w:r w:rsidRPr="004324F2">
        <w:rPr>
          <w:rFonts w:ascii="Times New Roman" w:eastAsia="Times New Roman" w:hAnsi="Times New Roman" w:cs="Times New Roman"/>
          <w:color w:val="000000"/>
          <w:sz w:val="28"/>
          <w:szCs w:val="28"/>
          <w:lang w:eastAsia="en-GB"/>
        </w:rPr>
        <w:t>Czarniawska</w:t>
      </w:r>
      <w:proofErr w:type="spellEnd"/>
      <w:r w:rsidRPr="004324F2">
        <w:rPr>
          <w:rFonts w:ascii="Times New Roman" w:eastAsia="Times New Roman" w:hAnsi="Times New Roman" w:cs="Times New Roman"/>
          <w:color w:val="000000"/>
          <w:sz w:val="28"/>
          <w:szCs w:val="28"/>
          <w:lang w:eastAsia="en-GB"/>
        </w:rPr>
        <w:t xml:space="preserve">, </w:t>
      </w:r>
      <w:r w:rsidRPr="004324F2">
        <w:rPr>
          <w:rFonts w:ascii="Times New Roman" w:eastAsia="Times New Roman" w:hAnsi="Times New Roman" w:cs="Times New Roman"/>
          <w:color w:val="000000"/>
          <w:sz w:val="28"/>
          <w:szCs w:val="28"/>
          <w:lang w:eastAsia="en-GB"/>
        </w:rPr>
        <w:lastRenderedPageBreak/>
        <w:t xml:space="preserve">2004). Oral history may draw upon diverse research methods and be guided by interpretive framework </w:t>
      </w:r>
      <w:r w:rsidRPr="004324F2">
        <w:rPr>
          <w:rFonts w:ascii="Times New Roman" w:hAnsi="Times New Roman" w:cs="Times New Roman"/>
          <w:color w:val="000000"/>
          <w:sz w:val="28"/>
          <w:szCs w:val="28"/>
        </w:rPr>
        <w:t>such as social justice (</w:t>
      </w:r>
      <w:proofErr w:type="spellStart"/>
      <w:r w:rsidRPr="004324F2">
        <w:rPr>
          <w:rFonts w:ascii="Times New Roman" w:hAnsi="Times New Roman" w:cs="Times New Roman"/>
          <w:color w:val="000000"/>
          <w:sz w:val="28"/>
          <w:szCs w:val="28"/>
        </w:rPr>
        <w:t>Janesick</w:t>
      </w:r>
      <w:proofErr w:type="spellEnd"/>
      <w:r w:rsidRPr="004324F2">
        <w:rPr>
          <w:rFonts w:ascii="Times New Roman" w:hAnsi="Times New Roman" w:cs="Times New Roman"/>
          <w:color w:val="000000"/>
          <w:sz w:val="28"/>
          <w:szCs w:val="28"/>
        </w:rPr>
        <w:t xml:space="preserve">, 2013). The framework may advocate for Latin Americans through using </w:t>
      </w:r>
      <w:proofErr w:type="spellStart"/>
      <w:r w:rsidRPr="004324F2">
        <w:rPr>
          <w:rFonts w:ascii="Times New Roman" w:hAnsi="Times New Roman" w:cs="Times New Roman"/>
          <w:i/>
          <w:iCs/>
          <w:color w:val="000000"/>
          <w:sz w:val="28"/>
          <w:szCs w:val="28"/>
        </w:rPr>
        <w:t>testimonios</w:t>
      </w:r>
      <w:proofErr w:type="spellEnd"/>
      <w:r w:rsidRPr="004324F2">
        <w:rPr>
          <w:rFonts w:ascii="Times New Roman" w:hAnsi="Times New Roman" w:cs="Times New Roman"/>
          <w:color w:val="000000"/>
          <w:sz w:val="28"/>
          <w:szCs w:val="28"/>
        </w:rPr>
        <w:t xml:space="preserve"> (Beverly, 2005), or report stories of women using feminist interpretations (see, e.g., Personal Narratives Group, 1989), a lens that shows how women’s voices are muted, multiple, and contradictory (Chase, 2005). It may be told to disrupt the dominant discourse around teenage pregnancy (</w:t>
      </w:r>
      <w:proofErr w:type="spellStart"/>
      <w:r w:rsidRPr="004324F2">
        <w:rPr>
          <w:rFonts w:ascii="Times New Roman" w:hAnsi="Times New Roman" w:cs="Times New Roman"/>
          <w:color w:val="000000"/>
          <w:sz w:val="28"/>
          <w:szCs w:val="28"/>
        </w:rPr>
        <w:t>Muncey</w:t>
      </w:r>
      <w:proofErr w:type="spellEnd"/>
      <w:r w:rsidRPr="004324F2">
        <w:rPr>
          <w:rFonts w:ascii="Times New Roman" w:hAnsi="Times New Roman" w:cs="Times New Roman"/>
          <w:color w:val="000000"/>
          <w:sz w:val="28"/>
          <w:szCs w:val="28"/>
        </w:rPr>
        <w:t>, 2010) or to highlight the isolation and limited access to maternal care in a rural community (</w:t>
      </w:r>
      <w:proofErr w:type="spellStart"/>
      <w:r w:rsidRPr="004324F2">
        <w:rPr>
          <w:rFonts w:ascii="Times New Roman" w:hAnsi="Times New Roman" w:cs="Times New Roman"/>
          <w:color w:val="000000"/>
          <w:sz w:val="28"/>
          <w:szCs w:val="28"/>
        </w:rPr>
        <w:t>Orkin</w:t>
      </w:r>
      <w:proofErr w:type="spellEnd"/>
      <w:r w:rsidRPr="004324F2">
        <w:rPr>
          <w:rFonts w:ascii="Times New Roman" w:hAnsi="Times New Roman" w:cs="Times New Roman"/>
          <w:color w:val="000000"/>
          <w:sz w:val="28"/>
          <w:szCs w:val="28"/>
        </w:rPr>
        <w:t xml:space="preserve"> &amp; Newberry, 2014). Procedures for Conducting Narrative Research</w:t>
      </w:r>
    </w:p>
    <w:p w:rsidR="00207232" w:rsidRDefault="00207232"/>
    <w:sectPr w:rsidR="00207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47794"/>
    <w:multiLevelType w:val="multilevel"/>
    <w:tmpl w:val="8982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2F7"/>
    <w:rsid w:val="00207232"/>
    <w:rsid w:val="00440728"/>
    <w:rsid w:val="0053074A"/>
    <w:rsid w:val="00D56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2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2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433</Words>
  <Characters>2474</Characters>
  <Application>Microsoft Office Word</Application>
  <DocSecurity>0</DocSecurity>
  <Lines>20</Lines>
  <Paragraphs>5</Paragraphs>
  <ScaleCrop>false</ScaleCrop>
  <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T</cp:lastModifiedBy>
  <cp:revision>3</cp:revision>
  <dcterms:created xsi:type="dcterms:W3CDTF">2019-05-12T22:47:00Z</dcterms:created>
  <dcterms:modified xsi:type="dcterms:W3CDTF">2019-05-12T22:48:00Z</dcterms:modified>
</cp:coreProperties>
</file>