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E7128" w14:textId="77777777" w:rsidR="00ED3B9B" w:rsidRDefault="00ED3B9B" w:rsidP="00ED3B9B">
      <w:pPr>
        <w:rPr>
          <w:rFonts w:ascii="Arial" w:hAnsi="Arial" w:cs="Arial"/>
        </w:rPr>
      </w:pPr>
      <w:r>
        <w:rPr>
          <w:rFonts w:ascii="Arial" w:hAnsi="Arial" w:cs="Arial"/>
        </w:rPr>
        <w:t xml:space="preserve">Name: </w:t>
      </w:r>
      <w:r>
        <w:rPr>
          <w:rFonts w:ascii="Arial" w:hAnsi="Arial" w:cs="Arial"/>
        </w:rPr>
        <w:tab/>
      </w:r>
      <w:r w:rsidRPr="00E77F66">
        <w:rPr>
          <w:rFonts w:ascii="Arial" w:hAnsi="Arial" w:cs="Arial"/>
        </w:rPr>
        <w:t>Njillan Sawaneh</w:t>
      </w:r>
    </w:p>
    <w:p w14:paraId="4627E7FE" w14:textId="77777777" w:rsidR="00ED3B9B" w:rsidRDefault="00ED3B9B" w:rsidP="00ED3B9B">
      <w:pPr>
        <w:rPr>
          <w:rFonts w:ascii="Arial" w:hAnsi="Arial" w:cs="Arial"/>
        </w:rPr>
      </w:pPr>
      <w:r>
        <w:rPr>
          <w:rFonts w:ascii="Arial" w:hAnsi="Arial" w:cs="Arial"/>
        </w:rPr>
        <w:t>Student ID: 2505686</w:t>
      </w:r>
    </w:p>
    <w:p w14:paraId="03FBDAA9" w14:textId="04279E49" w:rsidR="00ED3B9B" w:rsidRDefault="00ED3B9B" w:rsidP="00ED3B9B">
      <w:pPr>
        <w:rPr>
          <w:rFonts w:ascii="Arial" w:hAnsi="Arial" w:cs="Arial"/>
        </w:rPr>
      </w:pPr>
      <w:r>
        <w:rPr>
          <w:rFonts w:ascii="Arial" w:hAnsi="Arial" w:cs="Arial"/>
        </w:rPr>
        <w:t>Module Code: LCHS40</w:t>
      </w:r>
      <w:r>
        <w:rPr>
          <w:rFonts w:ascii="Arial" w:hAnsi="Arial" w:cs="Arial"/>
        </w:rPr>
        <w:t>03</w:t>
      </w:r>
    </w:p>
    <w:p w14:paraId="700041A2" w14:textId="7C1C63EE" w:rsidR="00ED3B9B" w:rsidRDefault="00ED3B9B" w:rsidP="00ED3B9B">
      <w:pPr>
        <w:rPr>
          <w:rFonts w:ascii="Arial" w:hAnsi="Arial" w:cs="Arial"/>
        </w:rPr>
      </w:pPr>
      <w:r>
        <w:rPr>
          <w:rFonts w:ascii="Arial" w:hAnsi="Arial" w:cs="Arial"/>
        </w:rPr>
        <w:t>Module: Introduction to Health</w:t>
      </w:r>
      <w:r>
        <w:rPr>
          <w:rFonts w:ascii="Arial" w:hAnsi="Arial" w:cs="Arial"/>
        </w:rPr>
        <w:t xml:space="preserve"> and Social Care</w:t>
      </w:r>
    </w:p>
    <w:p w14:paraId="336F0832" w14:textId="2EF5C432" w:rsidR="00ED3B9B" w:rsidRDefault="00ED3B9B" w:rsidP="00ED3B9B">
      <w:pPr>
        <w:rPr>
          <w:rFonts w:ascii="Arial" w:hAnsi="Arial" w:cs="Arial"/>
        </w:rPr>
      </w:pPr>
      <w:r>
        <w:rPr>
          <w:rFonts w:ascii="Arial" w:hAnsi="Arial" w:cs="Arial"/>
        </w:rPr>
        <w:t xml:space="preserve">Lecturer: </w:t>
      </w:r>
      <w:r>
        <w:rPr>
          <w:rFonts w:ascii="Arial" w:hAnsi="Arial" w:cs="Arial"/>
        </w:rPr>
        <w:t xml:space="preserve">Mumtaz Goolam </w:t>
      </w:r>
    </w:p>
    <w:p w14:paraId="7E71AA7A" w14:textId="77777777" w:rsidR="00404015" w:rsidRDefault="00404015" w:rsidP="00ED3B9B">
      <w:pPr>
        <w:rPr>
          <w:rFonts w:ascii="Arial" w:hAnsi="Arial" w:cs="Arial"/>
        </w:rPr>
      </w:pPr>
    </w:p>
    <w:p w14:paraId="2327DA42" w14:textId="6A497602" w:rsidR="00404015" w:rsidRDefault="00404015" w:rsidP="00ED3B9B">
      <w:pPr>
        <w:rPr>
          <w:rFonts w:ascii="Arial" w:hAnsi="Arial" w:cs="Arial"/>
          <w:b/>
          <w:bCs/>
          <w:u w:val="single"/>
        </w:rPr>
      </w:pPr>
      <w:r w:rsidRPr="00404015">
        <w:rPr>
          <w:rFonts w:ascii="Arial" w:hAnsi="Arial" w:cs="Arial"/>
          <w:b/>
          <w:bCs/>
          <w:u w:val="single"/>
        </w:rPr>
        <w:t xml:space="preserve">Introduction </w:t>
      </w:r>
    </w:p>
    <w:p w14:paraId="20F66B32" w14:textId="0957E990" w:rsidR="00404015" w:rsidRDefault="00404015" w:rsidP="00ED3B9B">
      <w:pPr>
        <w:rPr>
          <w:rFonts w:ascii="Arial" w:hAnsi="Arial" w:cs="Arial"/>
        </w:rPr>
      </w:pPr>
      <w:r>
        <w:rPr>
          <w:rFonts w:ascii="Arial" w:hAnsi="Arial" w:cs="Arial"/>
        </w:rPr>
        <w:t xml:space="preserve">Mr Ahmed is a 68-year-old male who has just been released out of a hospital after having a stroke. He is accommodating with his wife in a flat ground floor and is assisted three times per day by a domiciliary care agency serving as their personal care, medicine and meal preparation. The first language of </w:t>
      </w:r>
      <w:r w:rsidR="00E602F2">
        <w:rPr>
          <w:rFonts w:ascii="Arial" w:hAnsi="Arial" w:cs="Arial"/>
        </w:rPr>
        <w:t>Mr</w:t>
      </w:r>
      <w:r>
        <w:rPr>
          <w:rFonts w:ascii="Arial" w:hAnsi="Arial" w:cs="Arial"/>
        </w:rPr>
        <w:t xml:space="preserve"> </w:t>
      </w:r>
      <w:r w:rsidR="00E602F2">
        <w:rPr>
          <w:rFonts w:ascii="Arial" w:hAnsi="Arial" w:cs="Arial"/>
        </w:rPr>
        <w:t>Ahmed</w:t>
      </w:r>
      <w:r>
        <w:rPr>
          <w:rFonts w:ascii="Arial" w:hAnsi="Arial" w:cs="Arial"/>
        </w:rPr>
        <w:t xml:space="preserve"> is Bengali and though he speaks some English, he has a problem in complex communication. His wife, a fluent English speaker frequently interacts with medical workers in his place. His interdisciplinary care team comprises of a GP and a district</w:t>
      </w:r>
      <w:r w:rsidR="00E602F2">
        <w:rPr>
          <w:rFonts w:ascii="Arial" w:hAnsi="Arial" w:cs="Arial"/>
        </w:rPr>
        <w:t xml:space="preserve"> nurse and a speech and language therapist. </w:t>
      </w:r>
    </w:p>
    <w:p w14:paraId="22C08136" w14:textId="2285128C" w:rsidR="00E602F2" w:rsidRDefault="00E602F2" w:rsidP="00ED3B9B">
      <w:pPr>
        <w:rPr>
          <w:rFonts w:ascii="Arial" w:hAnsi="Arial" w:cs="Arial"/>
        </w:rPr>
      </w:pPr>
      <w:r>
        <w:rPr>
          <w:rFonts w:ascii="Arial" w:hAnsi="Arial" w:cs="Arial"/>
        </w:rPr>
        <w:t xml:space="preserve">One of the recent negligence issues is the fact that a home visit was missed and the medication was not administered promptly, which is not only concerning but also indicates a problem with care coordination and safety. In this report the main issues concerning communication, administrative skills and record keeping and collaborative working on the care of Mr Ahmed are elaborated upon to emphasise the role of these issues in providing safe, effective and person-centred care. </w:t>
      </w:r>
    </w:p>
    <w:p w14:paraId="5E94480F" w14:textId="5CEE0CB3" w:rsidR="00E602F2" w:rsidRDefault="00E602F2" w:rsidP="00ED3B9B">
      <w:pPr>
        <w:rPr>
          <w:rFonts w:ascii="Arial" w:hAnsi="Arial" w:cs="Arial"/>
          <w:b/>
          <w:bCs/>
          <w:u w:val="single"/>
        </w:rPr>
      </w:pPr>
      <w:r w:rsidRPr="00E602F2">
        <w:rPr>
          <w:rFonts w:ascii="Arial" w:hAnsi="Arial" w:cs="Arial"/>
          <w:b/>
          <w:bCs/>
          <w:u w:val="single"/>
        </w:rPr>
        <w:t>Effective Communication</w:t>
      </w:r>
    </w:p>
    <w:p w14:paraId="07614D20" w14:textId="3764A649" w:rsidR="00E602F2" w:rsidRDefault="00E602F2" w:rsidP="00ED3B9B">
      <w:pPr>
        <w:rPr>
          <w:rFonts w:ascii="Arial" w:hAnsi="Arial" w:cs="Arial"/>
        </w:rPr>
      </w:pPr>
      <w:r>
        <w:rPr>
          <w:rFonts w:ascii="Arial" w:hAnsi="Arial" w:cs="Arial"/>
        </w:rPr>
        <w:t xml:space="preserve">The communication process plays an important part in the context of healthcare because it forms the basis of safe practice, communication with patients and quality of care. In the case of </w:t>
      </w:r>
      <w:r w:rsidR="00CB7DB2">
        <w:rPr>
          <w:rFonts w:ascii="Arial" w:hAnsi="Arial" w:cs="Arial"/>
        </w:rPr>
        <w:t>Mr</w:t>
      </w:r>
      <w:r>
        <w:rPr>
          <w:rFonts w:ascii="Arial" w:hAnsi="Arial" w:cs="Arial"/>
        </w:rPr>
        <w:t xml:space="preserve"> </w:t>
      </w:r>
      <w:r w:rsidR="00CB7DB2">
        <w:rPr>
          <w:rFonts w:ascii="Arial" w:hAnsi="Arial" w:cs="Arial"/>
        </w:rPr>
        <w:t>Ahmed</w:t>
      </w:r>
      <w:r>
        <w:rPr>
          <w:rFonts w:ascii="Arial" w:hAnsi="Arial" w:cs="Arial"/>
        </w:rPr>
        <w:t xml:space="preserve">, the communication difficulties are due mainly to the language barriers and </w:t>
      </w:r>
      <w:r w:rsidR="00CB7DB2">
        <w:rPr>
          <w:rFonts w:ascii="Arial" w:hAnsi="Arial" w:cs="Arial"/>
        </w:rPr>
        <w:t xml:space="preserve">the consequences of the stroke that might result in aphasia and inability to understand or articulate speech. The language barriers can be one of the biggest problems affecting patient safety as misinterpretations could result in the wrong medication use, unaddressed needs or lack of compliance with the care plans. The fact that Mr Ahmed is depending on his wife to communicate with him poses a question of an accuracy, secrecy and independence. The value of the family involvement should not substitute the professional communication support where there is a need. It is encouraged to use trained interpreters to obtain the correct and unbiased communication, especially when the clinical information is applied (NHS England, 2018). The equality act 2010 obliges healthcare providers to make reasonable adaptations to make sure that people are not disavowable because of language or disability. In thus instance it would </w:t>
      </w:r>
      <w:r w:rsidR="00AB7D9F">
        <w:rPr>
          <w:rFonts w:ascii="Arial" w:hAnsi="Arial" w:cs="Arial"/>
        </w:rPr>
        <w:t xml:space="preserve">be beneficial to support Mr Ahmed by offering communication tools, like visual aids, translated documents or the services of interpreters to understand and engage in self-care. </w:t>
      </w:r>
    </w:p>
    <w:p w14:paraId="1F8647A9" w14:textId="5CDA6B50" w:rsidR="00AB7D9F" w:rsidRDefault="00AB7D9F" w:rsidP="00ED3B9B">
      <w:pPr>
        <w:rPr>
          <w:rFonts w:ascii="Arial" w:hAnsi="Arial" w:cs="Arial"/>
        </w:rPr>
      </w:pPr>
      <w:r>
        <w:rPr>
          <w:rFonts w:ascii="Arial" w:hAnsi="Arial" w:cs="Arial"/>
        </w:rPr>
        <w:t xml:space="preserve">The communication models like the Shannon weaver model point towards the effect of barriers (noise) which may interfere with the transmission of messages. The differences in language and metal impairments in the case of Mr Ahmed are the source of noise which decreases the effectiveness of communication. To defeat this, medical workers must resort to simple language, short sentences, repetition and nonverbal communication. Moreover, person centred communication should be used, this entails active listening, giving him more time to respond and due involvement in decision making as much as possible with Mr </w:t>
      </w:r>
      <w:r>
        <w:rPr>
          <w:rFonts w:ascii="Arial" w:hAnsi="Arial" w:cs="Arial"/>
        </w:rPr>
        <w:lastRenderedPageBreak/>
        <w:t xml:space="preserve">ahmed. </w:t>
      </w:r>
      <w:r w:rsidR="006716ED">
        <w:rPr>
          <w:rFonts w:ascii="Arial" w:hAnsi="Arial" w:cs="Arial"/>
        </w:rPr>
        <w:t xml:space="preserve">SLTs contributes to the enhancement of communication skills and train employees on the right methods of communication. It is also important that there is cultural sensitivity, the cultural background of Mr Ahmed can affect the way of communication and his preferences and trust in healthcare services. Observing these factors will foster a positive rapport and lead to better care outcomes. To conclude, a combination of professional interpreter services, communication aids, culture awareness and the application of legal regulations can establish effective communication in the care of Mr Ahmed and provide the latter with safe and inclusive practice. </w:t>
      </w:r>
    </w:p>
    <w:p w14:paraId="1FF4D669" w14:textId="0FA181C9" w:rsidR="006716ED" w:rsidRDefault="00252489" w:rsidP="00ED3B9B">
      <w:pPr>
        <w:rPr>
          <w:rFonts w:ascii="Arial" w:hAnsi="Arial" w:cs="Arial"/>
          <w:b/>
          <w:bCs/>
          <w:u w:val="single"/>
        </w:rPr>
      </w:pPr>
      <w:r w:rsidRPr="00252489">
        <w:rPr>
          <w:rFonts w:ascii="Arial" w:hAnsi="Arial" w:cs="Arial"/>
          <w:b/>
          <w:bCs/>
          <w:u w:val="single"/>
        </w:rPr>
        <w:t>Administrative Skills and Record Keeping</w:t>
      </w:r>
    </w:p>
    <w:p w14:paraId="153334D4" w14:textId="2032C8CC" w:rsidR="00252489" w:rsidRDefault="00252489" w:rsidP="00ED3B9B">
      <w:pPr>
        <w:rPr>
          <w:rFonts w:ascii="Arial" w:hAnsi="Arial" w:cs="Arial"/>
        </w:rPr>
      </w:pPr>
      <w:r>
        <w:rPr>
          <w:rFonts w:ascii="Arial" w:hAnsi="Arial" w:cs="Arial"/>
        </w:rPr>
        <w:t xml:space="preserve">Effective and accurate documentation, the continuity, safety and accountability of healthcare rely on administrative practices. The lack of domiciliary care visit in the situation of Mr Ahmed demonstrates the possible flaws in the scheduling, communication or record keeping mechanisms. Good record keeping will make sure that all multidisciplinary team members will be informed of the current state of the patient, medication and care plan. Substandard documentation may cause severe adverse effects such as errors in medication, lack of coordination of care or oversight. The cause of delayed medication illustrates that administrative failures may have a direct effect on patient safety. </w:t>
      </w:r>
      <w:r w:rsidR="00694F3E">
        <w:rPr>
          <w:rFonts w:ascii="Arial" w:hAnsi="Arial" w:cs="Arial"/>
        </w:rPr>
        <w:t xml:space="preserve">The data protection acts 2018 regulates the process of sharing and storing personal information so that it is confidential and secure. Health professionals should make sure that the records of Mr Ahmed are accurate, updated and distributed to the relevant professionals properly without interfering with the privacy of Mr ahmed. The Caldicott principles also state the patient information is important to protect and facilitate the necessary information exchange to provide care. In the case of Mr Ahmed, it is important to exchange information between the care agency, district nurse and GP on time to avoid gaps in care delivery. </w:t>
      </w:r>
    </w:p>
    <w:p w14:paraId="1773827E" w14:textId="41013275" w:rsidR="00694F3E" w:rsidRDefault="00694F3E" w:rsidP="00ED3B9B">
      <w:pPr>
        <w:rPr>
          <w:rFonts w:ascii="Arial" w:hAnsi="Arial" w:cs="Arial"/>
        </w:rPr>
      </w:pPr>
      <w:r>
        <w:rPr>
          <w:rFonts w:ascii="Arial" w:hAnsi="Arial" w:cs="Arial"/>
        </w:rPr>
        <w:t xml:space="preserve">The professional organisation like the nursing and midwifery council (NMC) code direct practitioners to ensure the record keeping is clear, accurate and up to date. </w:t>
      </w:r>
      <w:r w:rsidR="007D1E68">
        <w:rPr>
          <w:rFonts w:ascii="Arial" w:hAnsi="Arial" w:cs="Arial"/>
        </w:rPr>
        <w:t xml:space="preserve">There should be documentation of care given, medication given, missed visits and concerns raised. The omission to record or undertake corrective action to missed visits may result in safeguarding problems. CQC standards also emphasise the need to have a safe and effective care system. </w:t>
      </w:r>
    </w:p>
    <w:p w14:paraId="32029836" w14:textId="1B0F8B0B" w:rsidR="007D1E68" w:rsidRDefault="007D1E68" w:rsidP="00ED3B9B">
      <w:pPr>
        <w:rPr>
          <w:rFonts w:ascii="Arial" w:hAnsi="Arial" w:cs="Arial"/>
        </w:rPr>
      </w:pPr>
      <w:r>
        <w:rPr>
          <w:rFonts w:ascii="Arial" w:hAnsi="Arial" w:cs="Arial"/>
        </w:rPr>
        <w:t>Providers are required to have strong scheduling systems, personnel responsibility and incident reporting. The missed visit ought to be followed by a review process with a root cause analysis being done to ensure that it does not happen again. Information can be more accurate and accessible using digital system like electronic care records. Risks can be prevented with alerts on missed visitations or times of taking medications. Also, continuity of care can be achieved through clear communication records between professionals.</w:t>
      </w:r>
    </w:p>
    <w:p w14:paraId="3BD3D071" w14:textId="296CF62F" w:rsidR="007D1E68" w:rsidRPr="00252489" w:rsidRDefault="00C01831" w:rsidP="00ED3B9B">
      <w:pPr>
        <w:rPr>
          <w:rFonts w:ascii="Arial" w:hAnsi="Arial" w:cs="Arial"/>
        </w:rPr>
      </w:pPr>
      <w:r>
        <w:rPr>
          <w:rFonts w:ascii="Arial" w:hAnsi="Arial" w:cs="Arial"/>
        </w:rPr>
        <w:t>Finally,</w:t>
      </w:r>
      <w:r w:rsidR="007D1E68">
        <w:rPr>
          <w:rFonts w:ascii="Arial" w:hAnsi="Arial" w:cs="Arial"/>
        </w:rPr>
        <w:t xml:space="preserve"> the administration system and proper records storage play a significant role in helping to facilitate mistakes and secure patient safety. The case involving </w:t>
      </w:r>
      <w:r>
        <w:rPr>
          <w:rFonts w:ascii="Arial" w:hAnsi="Arial" w:cs="Arial"/>
        </w:rPr>
        <w:t>Mr</w:t>
      </w:r>
      <w:r w:rsidR="007D1E68">
        <w:rPr>
          <w:rFonts w:ascii="Arial" w:hAnsi="Arial" w:cs="Arial"/>
        </w:rPr>
        <w:t xml:space="preserve"> </w:t>
      </w:r>
      <w:r>
        <w:rPr>
          <w:rFonts w:ascii="Arial" w:hAnsi="Arial" w:cs="Arial"/>
        </w:rPr>
        <w:t>Ahmed</w:t>
      </w:r>
      <w:r w:rsidR="007D1E68">
        <w:rPr>
          <w:rFonts w:ascii="Arial" w:hAnsi="Arial" w:cs="Arial"/>
        </w:rPr>
        <w:t xml:space="preserve"> in </w:t>
      </w:r>
      <w:r>
        <w:rPr>
          <w:rFonts w:ascii="Arial" w:hAnsi="Arial" w:cs="Arial"/>
        </w:rPr>
        <w:t>his</w:t>
      </w:r>
      <w:r w:rsidR="007D1E68">
        <w:rPr>
          <w:rFonts w:ascii="Arial" w:hAnsi="Arial" w:cs="Arial"/>
        </w:rPr>
        <w:t xml:space="preserve"> care shows the necessity to introduce a better coordination, accountability and legal </w:t>
      </w:r>
      <w:r>
        <w:rPr>
          <w:rFonts w:ascii="Arial" w:hAnsi="Arial" w:cs="Arial"/>
        </w:rPr>
        <w:t>and professional standards.</w:t>
      </w:r>
    </w:p>
    <w:p w14:paraId="54B73687" w14:textId="65F72B7D" w:rsidR="00766C47" w:rsidRDefault="00C01831">
      <w:pPr>
        <w:rPr>
          <w:b/>
          <w:bCs/>
          <w:u w:val="single"/>
        </w:rPr>
      </w:pPr>
      <w:r w:rsidRPr="00C01831">
        <w:rPr>
          <w:b/>
          <w:bCs/>
          <w:u w:val="single"/>
        </w:rPr>
        <w:t>Collaborative Working</w:t>
      </w:r>
    </w:p>
    <w:p w14:paraId="49909277" w14:textId="1FB72B41" w:rsidR="00C01831" w:rsidRDefault="00C01831">
      <w:r>
        <w:t xml:space="preserve">Teamwork will be very necessary in providing an integrated and combined care, especially when the patient needs a complex care as in the case of </w:t>
      </w:r>
      <w:r w:rsidR="00557B36">
        <w:t>Mr</w:t>
      </w:r>
      <w:r>
        <w:t xml:space="preserve"> </w:t>
      </w:r>
      <w:r w:rsidR="00557B36">
        <w:t>Ahmed</w:t>
      </w:r>
      <w:r>
        <w:t>. The care he receives includes several professionals such as GP, district nurse</w:t>
      </w:r>
      <w:r w:rsidR="00557B36">
        <w:t xml:space="preserve">, speech and language therapist and domiciliary care staff. Proper cooperation will mean that his health and wellbeing are considered in every aspect. </w:t>
      </w:r>
      <w:r w:rsidR="00487E3B">
        <w:t xml:space="preserve">Multi agency cooperation allows making decisions together and decreasing care </w:t>
      </w:r>
      <w:r w:rsidR="00487E3B">
        <w:lastRenderedPageBreak/>
        <w:t xml:space="preserve">redundancy and enhancing results. Constant communication among professionals is crucial in the case of Mr Ahmed to improve his recovery, medication control and communication challenges. Shared care plans offer an organised process which makes everyone in a team informed about their duties and responsibilities. </w:t>
      </w:r>
    </w:p>
    <w:p w14:paraId="7DB83215" w14:textId="050EDFB8" w:rsidR="00487E3B" w:rsidRDefault="00487E3B">
      <w:r>
        <w:t xml:space="preserve">Nevertheless, there are issues that may be faced such as ineffective communication, lack of clarity on roles and organizational impediments. The missed care visit implies the lack of coordination which may be caused by the lack of effective communication systems or the absence of accountability. </w:t>
      </w:r>
    </w:p>
    <w:p w14:paraId="487FCB2B" w14:textId="56C9687A" w:rsidR="00487E3B" w:rsidRDefault="00487E3B">
      <w:r>
        <w:t xml:space="preserve">The means of enhancing collaboration are frequent multidisciplinary team (MDT) meetings, documentations and digital communication tools. Creating a key worker or care coordinator will also make continuity and prompt attention of concerns possible. </w:t>
      </w:r>
      <w:r w:rsidR="001D54F2">
        <w:t xml:space="preserve">Collaborative working must also focus on person centred care. Mr Ahmed and his wife should participate in care planning actively with their preferences and needs being taken inro consideration. </w:t>
      </w:r>
    </w:p>
    <w:p w14:paraId="0355ED31" w14:textId="132B9BCC" w:rsidR="001D54F2" w:rsidRDefault="001D54F2">
      <w:r>
        <w:t xml:space="preserve">To conclude, successful teamwork presupposes the effective communication system, participative responsibility and coordinated systems. The reinforcement of these areas can overcome such incidents as the missed visits and enhance the quality of care. </w:t>
      </w:r>
    </w:p>
    <w:p w14:paraId="4A9126FB" w14:textId="14EE38EE" w:rsidR="001D54F2" w:rsidRDefault="001D54F2">
      <w:pPr>
        <w:rPr>
          <w:b/>
          <w:bCs/>
          <w:u w:val="single"/>
        </w:rPr>
      </w:pPr>
      <w:r w:rsidRPr="001D54F2">
        <w:rPr>
          <w:b/>
          <w:bCs/>
          <w:u w:val="single"/>
        </w:rPr>
        <w:t xml:space="preserve">Conclusion </w:t>
      </w:r>
    </w:p>
    <w:p w14:paraId="440BBAA8" w14:textId="522C7E54" w:rsidR="001D54F2" w:rsidRDefault="001D54F2">
      <w:r>
        <w:t xml:space="preserve">The case of Mr Ahmed points to the paramount role that effective communication, strong administrative structures and joint working play in healthcare. The issue of language barriers and stroke related impairment requires individual communication strategies such as the use </w:t>
      </w:r>
      <w:r w:rsidR="00214BF0">
        <w:t xml:space="preserve">of interpreter services and person-centred approaches. The overlooked care visit depicts that the vulnerability of administrative operations and data documentation can undermine patient safety. It is necessary to follow legal and professional framework like the equality act 2010, data protection act 2018 and NMC code to provide care in the most safe and ethical way. Moreover, effective multidisciplinary teamwork is necessary to offer integrated and comprehensive care. </w:t>
      </w:r>
    </w:p>
    <w:p w14:paraId="0BB5E4AE" w14:textId="77777777" w:rsidR="00214BF0" w:rsidRDefault="00214BF0">
      <w:r>
        <w:t>In general, this case highlights the importance of combined systems, effective communication and constant assessment of the care procedures. Such incidents can be learnt and result in better practices and improved outcomes to patients such as Mr Ahmed.</w:t>
      </w:r>
    </w:p>
    <w:p w14:paraId="2F632931" w14:textId="5A6FCBAA" w:rsidR="00214BF0" w:rsidRDefault="00214BF0">
      <w:pPr>
        <w:rPr>
          <w:b/>
          <w:bCs/>
          <w:u w:val="single"/>
        </w:rPr>
      </w:pPr>
      <w:r w:rsidRPr="00214BF0">
        <w:rPr>
          <w:b/>
          <w:bCs/>
          <w:u w:val="single"/>
        </w:rPr>
        <w:t xml:space="preserve">References  </w:t>
      </w:r>
    </w:p>
    <w:p w14:paraId="29F5B303" w14:textId="644C8F4C" w:rsidR="00214BF0" w:rsidRDefault="00676202">
      <w:r>
        <w:t>Care quality commission (CQC) (2021) fundamental standards</w:t>
      </w:r>
    </w:p>
    <w:p w14:paraId="069A700F" w14:textId="3DEA215D" w:rsidR="00676202" w:rsidRDefault="00676202">
      <w:r>
        <w:t>Department of Health (2013) the Caldicott principles. London: DH</w:t>
      </w:r>
    </w:p>
    <w:p w14:paraId="04E68E4A" w14:textId="3CCA5FCD" w:rsidR="00676202" w:rsidRDefault="00676202">
      <w:r>
        <w:t xml:space="preserve">Equality act 2010. London: the stationery office </w:t>
      </w:r>
    </w:p>
    <w:p w14:paraId="73560A1D" w14:textId="27690C89" w:rsidR="00676202" w:rsidRDefault="00676202">
      <w:r>
        <w:t xml:space="preserve">NHS England (2018) guidance on interpreting and translation services </w:t>
      </w:r>
    </w:p>
    <w:p w14:paraId="5A188859" w14:textId="685F0D91" w:rsidR="00676202" w:rsidRDefault="00676202">
      <w:r>
        <w:t>Nursing and midwifery council (2018) the code: professional standards of practice and behaviour for nurses, midwives and nursing associates. London: NMC</w:t>
      </w:r>
    </w:p>
    <w:p w14:paraId="6CF93A91" w14:textId="46A5AEDD" w:rsidR="00676202" w:rsidRDefault="00676202">
      <w:r>
        <w:t xml:space="preserve">Data protection acts 2018. London: the stationery office </w:t>
      </w:r>
    </w:p>
    <w:p w14:paraId="6842FD41" w14:textId="44C25C66" w:rsidR="00676202" w:rsidRDefault="00676202">
      <w:r>
        <w:t>Tuckman, B. (1965) developmental sequence in small groups,</w:t>
      </w:r>
      <w:r w:rsidR="00AA4D56">
        <w:t xml:space="preserve"> psychological bulletin, 63(6), pp. 384-399</w:t>
      </w:r>
    </w:p>
    <w:p w14:paraId="3F86BE09" w14:textId="7DD2CFC8" w:rsidR="00AA4D56" w:rsidRPr="00214BF0" w:rsidRDefault="00AA4D56">
      <w:r>
        <w:lastRenderedPageBreak/>
        <w:t>Shannon, C. and weaver, W. (1949) the mathematical theory of communication. Urbana: university of Illinois press</w:t>
      </w:r>
    </w:p>
    <w:sectPr w:rsidR="00AA4D56" w:rsidRPr="00214B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3B9B"/>
    <w:rsid w:val="001734FB"/>
    <w:rsid w:val="001D54F2"/>
    <w:rsid w:val="00214BF0"/>
    <w:rsid w:val="00252489"/>
    <w:rsid w:val="00404015"/>
    <w:rsid w:val="00487E3B"/>
    <w:rsid w:val="00557B36"/>
    <w:rsid w:val="006716ED"/>
    <w:rsid w:val="00676202"/>
    <w:rsid w:val="00694F3E"/>
    <w:rsid w:val="00766C47"/>
    <w:rsid w:val="007D1E68"/>
    <w:rsid w:val="00AA4D56"/>
    <w:rsid w:val="00AB7D9F"/>
    <w:rsid w:val="00C01831"/>
    <w:rsid w:val="00CB7DB2"/>
    <w:rsid w:val="00E602F2"/>
    <w:rsid w:val="00E64DA9"/>
    <w:rsid w:val="00ED3B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CEF52"/>
  <w15:chartTrackingRefBased/>
  <w15:docId w15:val="{7F0C55A9-13C6-4393-96A4-F10DDD471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B9B"/>
  </w:style>
  <w:style w:type="paragraph" w:styleId="Heading1">
    <w:name w:val="heading 1"/>
    <w:basedOn w:val="Normal"/>
    <w:next w:val="Normal"/>
    <w:link w:val="Heading1Char"/>
    <w:uiPriority w:val="9"/>
    <w:qFormat/>
    <w:rsid w:val="00ED3B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D3B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D3B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3B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3B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3B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3B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3B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3B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B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3B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3B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3B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3B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3B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3B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3B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3B9B"/>
    <w:rPr>
      <w:rFonts w:eastAsiaTheme="majorEastAsia" w:cstheme="majorBidi"/>
      <w:color w:val="272727" w:themeColor="text1" w:themeTint="D8"/>
    </w:rPr>
  </w:style>
  <w:style w:type="paragraph" w:styleId="Title">
    <w:name w:val="Title"/>
    <w:basedOn w:val="Normal"/>
    <w:next w:val="Normal"/>
    <w:link w:val="TitleChar"/>
    <w:uiPriority w:val="10"/>
    <w:qFormat/>
    <w:rsid w:val="00ED3B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3B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3B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3B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3B9B"/>
    <w:pPr>
      <w:spacing w:before="160"/>
      <w:jc w:val="center"/>
    </w:pPr>
    <w:rPr>
      <w:i/>
      <w:iCs/>
      <w:color w:val="404040" w:themeColor="text1" w:themeTint="BF"/>
    </w:rPr>
  </w:style>
  <w:style w:type="character" w:customStyle="1" w:styleId="QuoteChar">
    <w:name w:val="Quote Char"/>
    <w:basedOn w:val="DefaultParagraphFont"/>
    <w:link w:val="Quote"/>
    <w:uiPriority w:val="29"/>
    <w:rsid w:val="00ED3B9B"/>
    <w:rPr>
      <w:i/>
      <w:iCs/>
      <w:color w:val="404040" w:themeColor="text1" w:themeTint="BF"/>
    </w:rPr>
  </w:style>
  <w:style w:type="paragraph" w:styleId="ListParagraph">
    <w:name w:val="List Paragraph"/>
    <w:basedOn w:val="Normal"/>
    <w:uiPriority w:val="34"/>
    <w:qFormat/>
    <w:rsid w:val="00ED3B9B"/>
    <w:pPr>
      <w:ind w:left="720"/>
      <w:contextualSpacing/>
    </w:pPr>
  </w:style>
  <w:style w:type="character" w:styleId="IntenseEmphasis">
    <w:name w:val="Intense Emphasis"/>
    <w:basedOn w:val="DefaultParagraphFont"/>
    <w:uiPriority w:val="21"/>
    <w:qFormat/>
    <w:rsid w:val="00ED3B9B"/>
    <w:rPr>
      <w:i/>
      <w:iCs/>
      <w:color w:val="0F4761" w:themeColor="accent1" w:themeShade="BF"/>
    </w:rPr>
  </w:style>
  <w:style w:type="paragraph" w:styleId="IntenseQuote">
    <w:name w:val="Intense Quote"/>
    <w:basedOn w:val="Normal"/>
    <w:next w:val="Normal"/>
    <w:link w:val="IntenseQuoteChar"/>
    <w:uiPriority w:val="30"/>
    <w:qFormat/>
    <w:rsid w:val="00ED3B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3B9B"/>
    <w:rPr>
      <w:i/>
      <w:iCs/>
      <w:color w:val="0F4761" w:themeColor="accent1" w:themeShade="BF"/>
    </w:rPr>
  </w:style>
  <w:style w:type="character" w:styleId="IntenseReference">
    <w:name w:val="Intense Reference"/>
    <w:basedOn w:val="DefaultParagraphFont"/>
    <w:uiPriority w:val="32"/>
    <w:qFormat/>
    <w:rsid w:val="00ED3B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761fa18504d2c9e093e91bce1ef9476f">
  <xsd:schema xmlns:xsd="http://www.w3.org/2001/XMLSchema" xmlns:xs="http://www.w3.org/2001/XMLSchema" xmlns:p="http://schemas.microsoft.com/office/2006/metadata/properties" xmlns:ns3="3ef5847a-e696-4fee-a2c0-6c3f87568321" targetNamespace="http://schemas.microsoft.com/office/2006/metadata/properties" ma:root="true" ma:fieldsID="9dbddf43a1bda9e7342a47e08632a895"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01A061B8-9CD5-4425-8F6C-A6D45591336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77D2C2-AAD0-41B9-BD39-7E5834EC7958}">
  <ds:schemaRefs>
    <ds:schemaRef ds:uri="http://schemas.microsoft.com/sharepoint/v3/contenttype/forms"/>
  </ds:schemaRefs>
</ds:datastoreItem>
</file>

<file path=customXml/itemProps3.xml><?xml version="1.0" encoding="utf-8"?>
<ds:datastoreItem xmlns:ds="http://schemas.openxmlformats.org/officeDocument/2006/customXml" ds:itemID="{2914384E-3C29-4DFD-A7D1-96EE0EAD5115}">
  <ds:schemaRefs>
    <ds:schemaRef ds:uri="http://schemas.microsoft.com/office/2006/metadata/properties"/>
    <ds:schemaRef ds:uri="http://schemas.microsoft.com/office/infopath/2007/PartnerControls"/>
    <ds:schemaRef ds:uri="3ef5847a-e696-4fee-a2c0-6c3f87568321"/>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4</Pages>
  <Words>1382</Words>
  <Characters>8656</Characters>
  <Application>Microsoft Office Word</Application>
  <DocSecurity>0</DocSecurity>
  <Lines>141</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Njillan Sarjo Sawaneh (2505686)</dc:creator>
  <cp:keywords/>
  <dc:description/>
  <cp:lastModifiedBy>Njillan Sarjo Sawaneh (2505686)</cp:lastModifiedBy>
  <cp:revision>1</cp:revision>
  <dcterms:created xsi:type="dcterms:W3CDTF">2026-03-27T00:55:00Z</dcterms:created>
  <dcterms:modified xsi:type="dcterms:W3CDTF">2026-03-27T03:53:00Z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