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keepNext w:val="0"/>
        <w:keepLines w:val="0"/>
        <w:pageBreakBefore w:val="0"/>
        <w:widowControl/>
        <w:kinsoku/>
        <w:wordWrap/>
        <w:overflowPunct/>
        <w:topLinePunct w:val="0"/>
        <w:autoSpaceDE/>
        <w:autoSpaceDN/>
        <w:bidi w:val="0"/>
        <w:adjustRightInd/>
        <w:snapToGrid/>
        <w:spacing w:after="0" w:line="480" w:lineRule="auto"/>
        <w:jc w:val="center"/>
        <w:textAlignment w:val="auto"/>
        <w:outlineLvl w:val="0"/>
        <w:rPr>
          <w:rFonts w:hint="default" w:ascii="Times New Roman" w:hAnsi="Times New Roman" w:cs="Times New Roman"/>
          <w:b/>
          <w:bCs/>
          <w:color w:val="C00000"/>
          <w:sz w:val="44"/>
          <w:szCs w:val="44"/>
        </w:rPr>
      </w:pPr>
      <w:r>
        <w:rPr>
          <w:rFonts w:hint="default" w:ascii="Times New Roman" w:hAnsi="Times New Roman" w:cs="Times New Roman"/>
          <w:b/>
          <w:bCs/>
          <w:color w:val="C00000"/>
          <w:sz w:val="44"/>
          <w:szCs w:val="44"/>
        </w:rPr>
        <w:t>Comprehensive strategic analysis of Ford</w:t>
      </w:r>
    </w:p>
    <w:p>
      <w:pPr>
        <w:pStyle w:val="2"/>
        <w:rPr>
          <w:rFonts w:hint="default" w:ascii="Times New Roman" w:hAnsi="Times New Roman" w:cs="Times New Roman"/>
          <w:sz w:val="24"/>
          <w:szCs w:val="24"/>
        </w:rPr>
      </w:pPr>
    </w:p>
    <w:p>
      <w:pPr>
        <w:pStyle w:val="2"/>
        <w:rPr>
          <w:rFonts w:hint="eastAsia" w:ascii="Times New Roman" w:hAnsi="Times New Roman" w:eastAsia="宋体" w:cs="Times New Roman"/>
          <w:sz w:val="24"/>
          <w:szCs w:val="24"/>
          <w:lang w:eastAsia="zh-CN"/>
        </w:rPr>
      </w:pP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eastAsia="zh-CN"/>
        </w:rPr>
        <w:drawing>
          <wp:inline distT="0" distB="0" distL="114300" distR="114300">
            <wp:extent cx="2853055" cy="3169920"/>
            <wp:effectExtent l="0" t="0" r="12065" b="0"/>
            <wp:docPr id="5" name="图片 5" descr="微信图片_202212121744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微信图片_20221212174449"/>
                    <pic:cNvPicPr>
                      <a:picLocks noChangeAspect="1"/>
                    </pic:cNvPicPr>
                  </pic:nvPicPr>
                  <pic:blipFill>
                    <a:blip r:embed="rId8"/>
                    <a:stretch>
                      <a:fillRect/>
                    </a:stretch>
                  </pic:blipFill>
                  <pic:spPr>
                    <a:xfrm>
                      <a:off x="0" y="0"/>
                      <a:ext cx="2853055" cy="3169920"/>
                    </a:xfrm>
                    <a:prstGeom prst="rect">
                      <a:avLst/>
                    </a:prstGeom>
                  </pic:spPr>
                </pic:pic>
              </a:graphicData>
            </a:graphic>
          </wp:inline>
        </w:drawing>
      </w:r>
    </w:p>
    <w:p>
      <w:pPr>
        <w:pStyle w:val="2"/>
        <w:rPr>
          <w:rFonts w:hint="default" w:ascii="Times New Roman" w:hAnsi="Times New Roman" w:cs="Times New Roman"/>
          <w:sz w:val="24"/>
          <w:szCs w:val="24"/>
        </w:rPr>
      </w:pPr>
    </w:p>
    <w:p>
      <w:pPr>
        <w:pStyle w:val="2"/>
        <w:keepNext w:val="0"/>
        <w:keepLines w:val="0"/>
        <w:pageBreakBefore w:val="0"/>
        <w:widowControl/>
        <w:kinsoku/>
        <w:overflowPunct/>
        <w:topLinePunct w:val="0"/>
        <w:autoSpaceDE/>
        <w:autoSpaceDN/>
        <w:bidi w:val="0"/>
        <w:adjustRightInd/>
        <w:snapToGrid/>
        <w:spacing w:line="480" w:lineRule="auto"/>
        <w:jc w:val="center"/>
        <w:textAlignment w:val="auto"/>
        <w:rPr>
          <w:rFonts w:hint="default" w:ascii="Times New Roman" w:hAnsi="Times New Roman" w:eastAsia="宋体" w:cs="Times New Roman"/>
          <w:color w:val="C00000"/>
          <w:sz w:val="24"/>
          <w:szCs w:val="24"/>
          <w:lang w:val="en-US" w:eastAsia="zh-CN"/>
        </w:rPr>
      </w:pPr>
    </w:p>
    <w:p>
      <w:pPr>
        <w:pStyle w:val="2"/>
        <w:keepNext w:val="0"/>
        <w:keepLines w:val="0"/>
        <w:pageBreakBefore w:val="0"/>
        <w:widowControl/>
        <w:kinsoku/>
        <w:overflowPunct/>
        <w:topLinePunct w:val="0"/>
        <w:autoSpaceDE/>
        <w:autoSpaceDN/>
        <w:bidi w:val="0"/>
        <w:adjustRightInd/>
        <w:snapToGrid/>
        <w:spacing w:line="480" w:lineRule="auto"/>
        <w:jc w:val="center"/>
        <w:textAlignment w:val="auto"/>
        <w:rPr>
          <w:rFonts w:hint="eastAsia" w:ascii="Times New Roman" w:hAnsi="Times New Roman" w:eastAsia="宋体" w:cs="Times New Roman"/>
          <w:b/>
          <w:bCs/>
          <w:color w:val="C00000"/>
          <w:sz w:val="30"/>
          <w:szCs w:val="30"/>
          <w:lang w:val="en-US" w:eastAsia="zh-CN"/>
        </w:rPr>
      </w:pPr>
      <w:r>
        <w:rPr>
          <w:rFonts w:hint="eastAsia" w:ascii="Times New Roman" w:hAnsi="Times New Roman" w:eastAsia="宋体" w:cs="Times New Roman"/>
          <w:b/>
          <w:bCs/>
          <w:color w:val="C00000"/>
          <w:sz w:val="30"/>
          <w:szCs w:val="30"/>
          <w:lang w:val="en-US" w:eastAsia="zh-CN"/>
        </w:rPr>
        <w:t>December 2022</w:t>
      </w:r>
    </w:p>
    <w:p>
      <w:pPr>
        <w:pStyle w:val="2"/>
        <w:keepNext w:val="0"/>
        <w:keepLines w:val="0"/>
        <w:pageBreakBefore w:val="0"/>
        <w:widowControl/>
        <w:kinsoku/>
        <w:overflowPunct/>
        <w:topLinePunct w:val="0"/>
        <w:autoSpaceDE/>
        <w:autoSpaceDN/>
        <w:bidi w:val="0"/>
        <w:adjustRightInd/>
        <w:snapToGrid/>
        <w:spacing w:line="480" w:lineRule="auto"/>
        <w:jc w:val="center"/>
        <w:textAlignment w:val="auto"/>
        <w:rPr>
          <w:rFonts w:hint="default" w:ascii="Times New Roman" w:hAnsi="Times New Roman" w:eastAsia="宋体" w:cs="Times New Roman"/>
          <w:color w:val="C00000"/>
          <w:sz w:val="24"/>
          <w:szCs w:val="24"/>
          <w:lang w:val="en-US" w:eastAsia="zh-CN"/>
        </w:rPr>
      </w:pPr>
      <w:bookmarkStart w:id="27" w:name="_GoBack"/>
      <w:bookmarkEnd w:id="27"/>
    </w:p>
    <w:p>
      <w:pPr>
        <w:pStyle w:val="2"/>
        <w:keepNext w:val="0"/>
        <w:keepLines w:val="0"/>
        <w:pageBreakBefore w:val="0"/>
        <w:widowControl/>
        <w:kinsoku/>
        <w:overflowPunct/>
        <w:topLinePunct w:val="0"/>
        <w:autoSpaceDE/>
        <w:autoSpaceDN/>
        <w:bidi w:val="0"/>
        <w:adjustRightInd/>
        <w:snapToGrid/>
        <w:spacing w:line="480" w:lineRule="auto"/>
        <w:jc w:val="center"/>
        <w:textAlignment w:val="auto"/>
        <w:rPr>
          <w:rFonts w:hint="default" w:ascii="Times New Roman" w:hAnsi="Times New Roman" w:eastAsia="宋体" w:cs="Times New Roman"/>
          <w:color w:val="C00000"/>
          <w:sz w:val="24"/>
          <w:szCs w:val="24"/>
          <w:lang w:val="en-US" w:eastAsia="zh-CN"/>
        </w:rPr>
      </w:pPr>
    </w:p>
    <w:p>
      <w:pPr>
        <w:keepNext w:val="0"/>
        <w:keepLines w:val="0"/>
        <w:pageBreakBefore w:val="0"/>
        <w:widowControl/>
        <w:shd w:val="clear"/>
        <w:kinsoku/>
        <w:wordWrap/>
        <w:overflowPunct/>
        <w:topLinePunct w:val="0"/>
        <w:autoSpaceDE/>
        <w:autoSpaceDN/>
        <w:bidi w:val="0"/>
        <w:adjustRightInd/>
        <w:snapToGrid/>
        <w:spacing w:line="480" w:lineRule="auto"/>
        <w:ind w:left="1918" w:leftChars="872" w:firstLine="0" w:firstLineChars="0"/>
        <w:jc w:val="left"/>
        <w:textAlignment w:val="auto"/>
        <w:rPr>
          <w:rFonts w:hint="eastAsia" w:ascii="Times New Roman" w:hAnsi="Times New Roman" w:eastAsia="宋体" w:cs="Times New Roman"/>
          <w:sz w:val="28"/>
          <w:szCs w:val="28"/>
          <w:highlight w:val="none"/>
          <w:lang w:val="en-US" w:eastAsia="zh-CN"/>
        </w:rPr>
      </w:pPr>
      <w:r>
        <w:rPr>
          <w:rFonts w:hint="eastAsia" w:ascii="Times New Roman" w:hAnsi="Times New Roman" w:eastAsia="宋体" w:cs="Times New Roman"/>
          <w:sz w:val="28"/>
          <w:szCs w:val="28"/>
          <w:highlight w:val="none"/>
          <w:lang w:val="en-US" w:eastAsia="zh-CN"/>
        </w:rPr>
        <w:t>Module</w:t>
      </w:r>
      <w:r>
        <w:rPr>
          <w:rFonts w:hint="default" w:ascii="Times New Roman" w:hAnsi="Times New Roman" w:cs="Times New Roman"/>
          <w:sz w:val="28"/>
          <w:szCs w:val="28"/>
          <w:highlight w:val="none"/>
        </w:rPr>
        <w:t xml:space="preserve"> Name: </w:t>
      </w:r>
      <w:r>
        <w:rPr>
          <w:rFonts w:hint="eastAsia" w:ascii="Times New Roman" w:hAnsi="Times New Roman" w:eastAsia="宋体" w:cs="Times New Roman"/>
          <w:color w:val="C00000"/>
          <w:sz w:val="28"/>
          <w:szCs w:val="28"/>
          <w:highlight w:val="none"/>
          <w:lang w:val="en-US" w:eastAsia="zh-CN"/>
        </w:rPr>
        <w:t>Strategic Management(BMMB7013)</w:t>
      </w:r>
      <w:r>
        <w:rPr>
          <w:rFonts w:hint="eastAsia" w:ascii="Times New Roman" w:hAnsi="Times New Roman" w:eastAsia="宋体" w:cs="Times New Roman"/>
          <w:sz w:val="28"/>
          <w:szCs w:val="28"/>
          <w:highlight w:val="none"/>
          <w:lang w:val="en-US" w:eastAsia="zh-CN"/>
        </w:rPr>
        <w:t xml:space="preserve">    </w:t>
      </w:r>
    </w:p>
    <w:p>
      <w:pPr>
        <w:keepNext w:val="0"/>
        <w:keepLines w:val="0"/>
        <w:pageBreakBefore w:val="0"/>
        <w:widowControl/>
        <w:shd w:val="clear"/>
        <w:kinsoku/>
        <w:wordWrap/>
        <w:overflowPunct/>
        <w:topLinePunct w:val="0"/>
        <w:autoSpaceDE/>
        <w:autoSpaceDN/>
        <w:bidi w:val="0"/>
        <w:adjustRightInd/>
        <w:snapToGrid/>
        <w:spacing w:line="480" w:lineRule="auto"/>
        <w:ind w:left="1918" w:leftChars="872" w:firstLine="0" w:firstLineChars="0"/>
        <w:jc w:val="left"/>
        <w:textAlignment w:val="auto"/>
        <w:rPr>
          <w:rFonts w:hint="default" w:ascii="Times New Roman" w:hAnsi="Times New Roman" w:cs="Times New Roman"/>
          <w:sz w:val="28"/>
          <w:szCs w:val="28"/>
          <w:highlight w:val="none"/>
          <w:lang w:val="en-US"/>
        </w:rPr>
      </w:pPr>
      <w:r>
        <w:rPr>
          <w:rFonts w:hint="eastAsia" w:ascii="Times New Roman" w:hAnsi="Times New Roman" w:eastAsia="宋体" w:cs="Times New Roman"/>
          <w:sz w:val="28"/>
          <w:szCs w:val="28"/>
          <w:highlight w:val="none"/>
          <w:lang w:val="en-US" w:eastAsia="zh-CN"/>
        </w:rPr>
        <w:t xml:space="preserve">Name: </w:t>
      </w:r>
      <w:r>
        <w:rPr>
          <w:rFonts w:hint="eastAsia" w:ascii="Times New Roman" w:hAnsi="Times New Roman" w:eastAsia="宋体" w:cs="Times New Roman"/>
          <w:color w:val="C00000"/>
          <w:sz w:val="28"/>
          <w:szCs w:val="28"/>
          <w:highlight w:val="none"/>
          <w:lang w:val="en-US" w:eastAsia="zh-CN"/>
        </w:rPr>
        <w:t>Xiaoyu Zhang(2216733)</w:t>
      </w:r>
    </w:p>
    <w:p>
      <w:pPr>
        <w:keepNext w:val="0"/>
        <w:keepLines w:val="0"/>
        <w:pageBreakBefore w:val="0"/>
        <w:widowControl/>
        <w:shd w:val="clear"/>
        <w:kinsoku/>
        <w:wordWrap/>
        <w:overflowPunct/>
        <w:topLinePunct w:val="0"/>
        <w:autoSpaceDE/>
        <w:autoSpaceDN/>
        <w:bidi w:val="0"/>
        <w:adjustRightInd/>
        <w:snapToGrid/>
        <w:spacing w:line="480" w:lineRule="auto"/>
        <w:ind w:firstLine="1960" w:firstLineChars="700"/>
        <w:jc w:val="left"/>
        <w:textAlignment w:val="auto"/>
        <w:rPr>
          <w:rFonts w:hint="default" w:ascii="Times New Roman" w:hAnsi="Times New Roman" w:cs="Times New Roman"/>
          <w:sz w:val="28"/>
          <w:szCs w:val="28"/>
          <w:highlight w:val="none"/>
        </w:rPr>
        <w:sectPr>
          <w:headerReference r:id="rId5" w:type="default"/>
          <w:footerReference r:id="rId6" w:type="default"/>
          <w:pgSz w:w="11906" w:h="16838"/>
          <w:pgMar w:top="1440" w:right="1440" w:bottom="1440" w:left="1440" w:header="708" w:footer="708" w:gutter="0"/>
          <w:pgNumType w:fmt="decimal"/>
          <w:cols w:space="708" w:num="1"/>
          <w:docGrid w:linePitch="360" w:charSpace="0"/>
        </w:sectPr>
      </w:pPr>
      <w:r>
        <w:rPr>
          <w:rFonts w:hint="default" w:ascii="Times New Roman" w:hAnsi="Times New Roman" w:cs="Times New Roman"/>
          <w:sz w:val="28"/>
          <w:szCs w:val="28"/>
          <w:highlight w:val="none"/>
        </w:rPr>
        <w:t xml:space="preserve">Signature: </w:t>
      </w:r>
    </w:p>
    <w:p>
      <w:pPr>
        <w:pStyle w:val="2"/>
        <w:keepNext w:val="0"/>
        <w:keepLines w:val="0"/>
        <w:pageBreakBefore w:val="0"/>
        <w:widowControl/>
        <w:kinsoku/>
        <w:wordWrap/>
        <w:overflowPunct/>
        <w:topLinePunct w:val="0"/>
        <w:autoSpaceDE/>
        <w:autoSpaceDN/>
        <w:bidi w:val="0"/>
        <w:adjustRightInd/>
        <w:snapToGrid/>
        <w:spacing w:after="0" w:line="480" w:lineRule="auto"/>
        <w:jc w:val="center"/>
        <w:textAlignment w:val="auto"/>
        <w:outlineLvl w:val="0"/>
        <w:rPr>
          <w:rFonts w:hint="default" w:ascii="Times New Roman" w:hAnsi="Times New Roman" w:cs="Times New Roman"/>
          <w:b/>
          <w:bCs/>
          <w:sz w:val="24"/>
          <w:szCs w:val="24"/>
        </w:rPr>
      </w:pPr>
      <w:bookmarkStart w:id="0" w:name="_Toc15294"/>
      <w:r>
        <w:rPr>
          <w:rFonts w:hint="default" w:ascii="Times New Roman" w:hAnsi="Times New Roman" w:cs="Times New Roman"/>
          <w:b/>
          <w:bCs/>
          <w:sz w:val="24"/>
          <w:szCs w:val="24"/>
        </w:rPr>
        <w:t>Comprehensive strategic analysis of Ford</w:t>
      </w:r>
      <w:bookmarkEnd w:id="0"/>
    </w:p>
    <w:p>
      <w:pPr>
        <w:pStyle w:val="8"/>
        <w:keepNext w:val="0"/>
        <w:keepLines w:val="0"/>
        <w:pageBreakBefore w:val="0"/>
        <w:widowControl/>
        <w:suppressLineNumbers w:val="0"/>
        <w:kinsoku/>
        <w:wordWrap/>
        <w:overflowPunct/>
        <w:topLinePunct w:val="0"/>
        <w:autoSpaceDE/>
        <w:autoSpaceDN/>
        <w:bidi w:val="0"/>
        <w:adjustRightInd/>
        <w:snapToGrid w:val="0"/>
        <w:spacing w:before="294" w:beforeAutospacing="0" w:after="294" w:afterAutospacing="0" w:line="480" w:lineRule="auto"/>
        <w:ind w:left="0" w:right="0"/>
        <w:jc w:val="center"/>
        <w:textAlignment w:val="auto"/>
        <w:outlineLvl w:val="0"/>
        <w:rPr>
          <w:rFonts w:hint="default" w:ascii="Times New Roman" w:hAnsi="Times New Roman" w:cs="Times New Roman"/>
          <w:b/>
          <w:bCs/>
          <w:sz w:val="24"/>
          <w:szCs w:val="24"/>
        </w:rPr>
      </w:pPr>
      <w:bookmarkStart w:id="1" w:name="_Toc2807"/>
      <w:bookmarkStart w:id="2" w:name="_Toc833"/>
      <w:bookmarkStart w:id="3" w:name="_Toc23588"/>
      <w:bookmarkStart w:id="4" w:name="_Toc16081"/>
      <w:r>
        <w:rPr>
          <w:rFonts w:hint="default" w:ascii="Times New Roman" w:hAnsi="Times New Roman" w:cs="Times New Roman"/>
          <w:b/>
          <w:bCs/>
          <w:sz w:val="24"/>
          <w:szCs w:val="24"/>
        </w:rPr>
        <w:t>Executive summary</w:t>
      </w:r>
      <w:bookmarkEnd w:id="1"/>
      <w:bookmarkEnd w:id="2"/>
      <w:bookmarkEnd w:id="3"/>
      <w:bookmarkEnd w:id="4"/>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Ford Motor Company is a global automobile manufacturer with a history of 100 years. Since the last century, it has gradually entered emerging markets such as Asia-Pacific (Asia and Oceania). In the past ten years, it has developed rapidly. A series of R&amp;D centers of production equipment and technology have been set up, and they occupy a place in the Asia-Pacific automobile market. As an important part of Ford Motor Company, Ford Motor Company's production equipment and Asia-Pacific technology research and development center, North America's economy is stable, Europe is weak, and Asia-Pacific region's economy is developing rapidly, making it increasingly important in three major regions of the world. Therefore, the development strategy of Ford Motor Company is very important for Ford Motor Company to win in the Asia-Pacific region and even the global market (McKinsey, 2020).</w:t>
      </w:r>
    </w:p>
    <w:p>
      <w:pPr>
        <w:keepNext w:val="0"/>
        <w:keepLines w:val="0"/>
        <w:pageBreakBefore w:val="0"/>
        <w:widowControl/>
        <w:kinsoku/>
        <w:wordWrap/>
        <w:overflowPunct/>
        <w:topLinePunct w:val="0"/>
        <w:autoSpaceDE/>
        <w:autoSpaceDN/>
        <w:bidi w:val="0"/>
        <w:adjustRightInd/>
        <w:snapToGrid/>
        <w:spacing w:line="480" w:lineRule="auto"/>
        <w:ind w:firstLine="480" w:firstLineChars="200"/>
        <w:jc w:val="both"/>
        <w:textAlignment w:val="auto"/>
        <w:rPr>
          <w:rFonts w:hint="default" w:ascii="Times New Roman" w:hAnsi="Times New Roman" w:cs="Times New Roman" w:eastAsiaTheme="minorHAnsi"/>
          <w:sz w:val="24"/>
          <w:szCs w:val="24"/>
          <w:lang w:val="en-US" w:eastAsia="zh-CN" w:bidi="ar-SA"/>
        </w:rPr>
      </w:pPr>
      <w:r>
        <w:rPr>
          <w:rFonts w:hint="default" w:ascii="Times New Roman" w:hAnsi="Times New Roman" w:cs="Times New Roman" w:eastAsiaTheme="minorHAnsi"/>
          <w:sz w:val="24"/>
          <w:szCs w:val="24"/>
          <w:lang w:val="en-US" w:eastAsia="zh-CN" w:bidi="ar-SA"/>
        </w:rPr>
        <w:t>Therefore, the emergency project team invited by Ford's senior management and stakeholders provides the following report to analyze the impact and change of COVID-19 on Ford, which will depend on our comprehensive strategic analysis of Ford, including external and internal analysis, as well as a strict assessment of the strategic choice of more personalized customer service and the broad impact of global strategy.</w:t>
      </w:r>
    </w:p>
    <w:p>
      <w:pPr>
        <w:rPr>
          <w:rFonts w:hint="default" w:ascii="Times New Roman" w:hAnsi="Times New Roman" w:cs="Times New Roman"/>
          <w:b/>
          <w:bCs/>
          <w:sz w:val="24"/>
          <w:szCs w:val="24"/>
        </w:rPr>
      </w:pPr>
      <w:r>
        <w:rPr>
          <w:rFonts w:hint="default" w:ascii="Times New Roman" w:hAnsi="Times New Roman" w:cs="Times New Roman"/>
          <w:b/>
          <w:bCs/>
          <w:sz w:val="24"/>
          <w:szCs w:val="24"/>
        </w:rPr>
        <w:br w:type="page"/>
      </w:r>
    </w:p>
    <w:sdt>
      <w:sdtPr>
        <w:rPr>
          <w:rFonts w:hint="default" w:ascii="宋体" w:hAnsi="宋体" w:eastAsia="宋体" w:cstheme="minorBidi"/>
          <w:sz w:val="24"/>
          <w:szCs w:val="24"/>
          <w:lang w:val="en-US" w:eastAsia="en-US" w:bidi="ar-SA"/>
        </w:rPr>
        <w:id w:val="147465008"/>
        <w15:color w:val="DBDBDB"/>
        <w:docPartObj>
          <w:docPartGallery w:val="Table of Contents"/>
          <w:docPartUnique/>
        </w:docPartObj>
      </w:sdtPr>
      <w:sdtEndPr>
        <w:rPr>
          <w:rFonts w:hint="default" w:ascii="宋体" w:hAnsi="宋体" w:eastAsia="宋体" w:cstheme="minorBidi"/>
          <w:sz w:val="24"/>
          <w:szCs w:val="24"/>
          <w:lang w:val="en-US" w:eastAsia="en-US" w:bidi="ar-SA"/>
        </w:rPr>
      </w:sdtEndPr>
      <w:sdtContent>
        <w:p>
          <w:pPr>
            <w:spacing w:before="0" w:beforeLines="0" w:after="0" w:afterLines="0" w:line="240" w:lineRule="auto"/>
            <w:ind w:left="0" w:leftChars="0" w:right="0" w:rightChars="0" w:firstLine="0" w:firstLineChars="0"/>
            <w:jc w:val="center"/>
            <w:rPr>
              <w:rFonts w:hint="default" w:eastAsia="宋体"/>
              <w:sz w:val="24"/>
              <w:szCs w:val="24"/>
              <w:lang w:val="en-US" w:eastAsia="zh-CN"/>
            </w:rPr>
          </w:pPr>
          <w:r>
            <w:rPr>
              <w:rFonts w:hint="eastAsia" w:ascii="宋体" w:hAnsi="宋体" w:eastAsia="宋体" w:cstheme="minorBidi"/>
              <w:sz w:val="24"/>
              <w:szCs w:val="24"/>
              <w:lang w:val="en-US" w:eastAsia="zh-CN" w:bidi="ar-SA"/>
            </w:rPr>
            <w:t>CONTENTS</w:t>
          </w:r>
        </w:p>
        <w:p>
          <w:pPr>
            <w:pStyle w:val="6"/>
            <w:tabs>
              <w:tab w:val="right" w:leader="dot" w:pos="9026"/>
            </w:tabs>
            <w:rPr>
              <w:sz w:val="24"/>
              <w:szCs w:val="24"/>
            </w:rPr>
          </w:pPr>
          <w:r>
            <w:rPr>
              <w:sz w:val="24"/>
              <w:szCs w:val="24"/>
            </w:rPr>
            <w:fldChar w:fldCharType="begin"/>
          </w:r>
          <w:r>
            <w:rPr>
              <w:sz w:val="24"/>
              <w:szCs w:val="24"/>
            </w:rPr>
            <w:instrText xml:space="preserve">TOC \o "1-3" \h \u </w:instrText>
          </w:r>
          <w:r>
            <w:rPr>
              <w:sz w:val="24"/>
              <w:szCs w:val="24"/>
            </w:rPr>
            <w:fldChar w:fldCharType="separate"/>
          </w:r>
          <w:r>
            <w:rPr>
              <w:sz w:val="24"/>
              <w:szCs w:val="24"/>
            </w:rPr>
            <w:fldChar w:fldCharType="begin"/>
          </w:r>
          <w:r>
            <w:rPr>
              <w:sz w:val="24"/>
              <w:szCs w:val="24"/>
            </w:rPr>
            <w:instrText xml:space="preserve"> HYPERLINK \l _Toc22129 </w:instrText>
          </w:r>
          <w:r>
            <w:rPr>
              <w:sz w:val="24"/>
              <w:szCs w:val="24"/>
            </w:rPr>
            <w:fldChar w:fldCharType="separate"/>
          </w:r>
          <w:r>
            <w:rPr>
              <w:rFonts w:hint="default" w:ascii="Times New Roman" w:hAnsi="Times New Roman" w:cs="Times New Roman"/>
              <w:sz w:val="24"/>
              <w:szCs w:val="24"/>
            </w:rPr>
            <w:t>BMMB70</w:t>
          </w:r>
          <w:r>
            <w:rPr>
              <w:rFonts w:hint="eastAsia" w:ascii="Times New Roman" w:hAnsi="Times New Roman" w:eastAsia="宋体" w:cs="Times New Roman"/>
              <w:sz w:val="24"/>
              <w:szCs w:val="24"/>
              <w:lang w:val="en-US" w:eastAsia="zh-CN"/>
            </w:rPr>
            <w:t>13</w:t>
          </w:r>
          <w:r>
            <w:rPr>
              <w:rFonts w:hint="default" w:ascii="Times New Roman" w:hAnsi="Times New Roman" w:cs="Times New Roman"/>
              <w:sz w:val="24"/>
              <w:szCs w:val="24"/>
            </w:rPr>
            <w:t xml:space="preserve"> – Strategic Management</w:t>
          </w:r>
          <w:r>
            <w:rPr>
              <w:sz w:val="24"/>
              <w:szCs w:val="24"/>
            </w:rPr>
            <w:tab/>
          </w:r>
          <w:r>
            <w:rPr>
              <w:sz w:val="24"/>
              <w:szCs w:val="24"/>
            </w:rPr>
            <w:fldChar w:fldCharType="begin"/>
          </w:r>
          <w:r>
            <w:rPr>
              <w:sz w:val="24"/>
              <w:szCs w:val="24"/>
            </w:rPr>
            <w:instrText xml:space="preserve"> PAGEREF _Toc22129 \h </w:instrText>
          </w:r>
          <w:r>
            <w:rPr>
              <w:sz w:val="24"/>
              <w:szCs w:val="24"/>
            </w:rPr>
            <w:fldChar w:fldCharType="separate"/>
          </w:r>
          <w:r>
            <w:rPr>
              <w:sz w:val="24"/>
              <w:szCs w:val="24"/>
            </w:rPr>
            <w:t>1</w:t>
          </w:r>
          <w:r>
            <w:rPr>
              <w:sz w:val="24"/>
              <w:szCs w:val="24"/>
            </w:rPr>
            <w:fldChar w:fldCharType="end"/>
          </w:r>
          <w:r>
            <w:rPr>
              <w:sz w:val="24"/>
              <w:szCs w:val="24"/>
            </w:rPr>
            <w:fldChar w:fldCharType="end"/>
          </w:r>
        </w:p>
        <w:p>
          <w:pPr>
            <w:pStyle w:val="6"/>
            <w:tabs>
              <w:tab w:val="right" w:leader="dot" w:pos="9026"/>
            </w:tabs>
            <w:rPr>
              <w:sz w:val="24"/>
              <w:szCs w:val="24"/>
            </w:rPr>
          </w:pPr>
          <w:r>
            <w:rPr>
              <w:sz w:val="24"/>
              <w:szCs w:val="24"/>
            </w:rPr>
            <w:fldChar w:fldCharType="begin"/>
          </w:r>
          <w:r>
            <w:rPr>
              <w:sz w:val="24"/>
              <w:szCs w:val="24"/>
            </w:rPr>
            <w:instrText xml:space="preserve"> HYPERLINK \l _Toc32254 </w:instrText>
          </w:r>
          <w:r>
            <w:rPr>
              <w:sz w:val="24"/>
              <w:szCs w:val="24"/>
            </w:rPr>
            <w:fldChar w:fldCharType="separate"/>
          </w:r>
          <w:r>
            <w:rPr>
              <w:rFonts w:hint="default" w:ascii="Times New Roman" w:hAnsi="Times New Roman" w:cs="Times New Roman"/>
              <w:bCs/>
              <w:sz w:val="24"/>
              <w:szCs w:val="24"/>
            </w:rPr>
            <w:t xml:space="preserve">1 </w:t>
          </w:r>
          <w:r>
            <w:rPr>
              <w:rFonts w:hint="eastAsia" w:ascii="Times New Roman" w:hAnsi="Times New Roman" w:eastAsia="宋体" w:cs="Times New Roman"/>
              <w:bCs/>
              <w:sz w:val="24"/>
              <w:szCs w:val="24"/>
              <w:lang w:val="en-US" w:eastAsia="zh-CN"/>
            </w:rPr>
            <w:t>Introduction</w:t>
          </w:r>
          <w:r>
            <w:rPr>
              <w:sz w:val="24"/>
              <w:szCs w:val="24"/>
            </w:rPr>
            <w:tab/>
          </w:r>
          <w:r>
            <w:rPr>
              <w:sz w:val="24"/>
              <w:szCs w:val="24"/>
            </w:rPr>
            <w:fldChar w:fldCharType="begin"/>
          </w:r>
          <w:r>
            <w:rPr>
              <w:sz w:val="24"/>
              <w:szCs w:val="24"/>
            </w:rPr>
            <w:instrText xml:space="preserve"> PAGEREF _Toc32254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6"/>
            <w:tabs>
              <w:tab w:val="right" w:leader="dot" w:pos="9026"/>
            </w:tabs>
            <w:rPr>
              <w:sz w:val="24"/>
              <w:szCs w:val="24"/>
            </w:rPr>
          </w:pPr>
          <w:r>
            <w:rPr>
              <w:sz w:val="24"/>
              <w:szCs w:val="24"/>
            </w:rPr>
            <w:fldChar w:fldCharType="begin"/>
          </w:r>
          <w:r>
            <w:rPr>
              <w:sz w:val="24"/>
              <w:szCs w:val="24"/>
            </w:rPr>
            <w:instrText xml:space="preserve"> HYPERLINK \l _Toc29567 </w:instrText>
          </w:r>
          <w:r>
            <w:rPr>
              <w:sz w:val="24"/>
              <w:szCs w:val="24"/>
            </w:rPr>
            <w:fldChar w:fldCharType="separate"/>
          </w:r>
          <w:r>
            <w:rPr>
              <w:rFonts w:hint="eastAsia" w:ascii="Times New Roman" w:hAnsi="Times New Roman" w:eastAsia="宋体" w:cs="Times New Roman"/>
              <w:bCs/>
              <w:sz w:val="24"/>
              <w:szCs w:val="24"/>
              <w:lang w:val="en-US" w:eastAsia="zh-CN"/>
            </w:rPr>
            <w:t>2 Comprehensive strategic analysis including internal and external</w:t>
          </w:r>
          <w:r>
            <w:rPr>
              <w:sz w:val="24"/>
              <w:szCs w:val="24"/>
            </w:rPr>
            <w:tab/>
          </w:r>
          <w:r>
            <w:rPr>
              <w:sz w:val="24"/>
              <w:szCs w:val="24"/>
            </w:rPr>
            <w:fldChar w:fldCharType="begin"/>
          </w:r>
          <w:r>
            <w:rPr>
              <w:sz w:val="24"/>
              <w:szCs w:val="24"/>
            </w:rPr>
            <w:instrText xml:space="preserve"> PAGEREF _Toc29567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7"/>
            <w:tabs>
              <w:tab w:val="right" w:leader="dot" w:pos="9026"/>
            </w:tabs>
            <w:rPr>
              <w:sz w:val="24"/>
              <w:szCs w:val="24"/>
            </w:rPr>
          </w:pPr>
          <w:r>
            <w:rPr>
              <w:sz w:val="24"/>
              <w:szCs w:val="24"/>
            </w:rPr>
            <w:fldChar w:fldCharType="begin"/>
          </w:r>
          <w:r>
            <w:rPr>
              <w:sz w:val="24"/>
              <w:szCs w:val="24"/>
            </w:rPr>
            <w:instrText xml:space="preserve"> HYPERLINK \l _Toc5442 </w:instrText>
          </w:r>
          <w:r>
            <w:rPr>
              <w:sz w:val="24"/>
              <w:szCs w:val="24"/>
            </w:rPr>
            <w:fldChar w:fldCharType="separate"/>
          </w:r>
          <w:r>
            <w:rPr>
              <w:rFonts w:hint="eastAsia" w:ascii="Times New Roman" w:hAnsi="Times New Roman" w:cs="Times New Roman"/>
              <w:sz w:val="24"/>
              <w:szCs w:val="24"/>
              <w:lang w:val="en-US" w:eastAsia="zh-CN"/>
            </w:rPr>
            <w:t>2.1 Macro environment analysis</w:t>
          </w:r>
          <w:r>
            <w:rPr>
              <w:sz w:val="24"/>
              <w:szCs w:val="24"/>
            </w:rPr>
            <w:tab/>
          </w:r>
          <w:r>
            <w:rPr>
              <w:sz w:val="24"/>
              <w:szCs w:val="24"/>
            </w:rPr>
            <w:fldChar w:fldCharType="begin"/>
          </w:r>
          <w:r>
            <w:rPr>
              <w:sz w:val="24"/>
              <w:szCs w:val="24"/>
            </w:rPr>
            <w:instrText xml:space="preserve"> PAGEREF _Toc5442 \h </w:instrText>
          </w:r>
          <w:r>
            <w:rPr>
              <w:sz w:val="24"/>
              <w:szCs w:val="24"/>
            </w:rPr>
            <w:fldChar w:fldCharType="separate"/>
          </w:r>
          <w:r>
            <w:rPr>
              <w:sz w:val="24"/>
              <w:szCs w:val="24"/>
            </w:rPr>
            <w:t>5</w:t>
          </w:r>
          <w:r>
            <w:rPr>
              <w:sz w:val="24"/>
              <w:szCs w:val="24"/>
            </w:rPr>
            <w:fldChar w:fldCharType="end"/>
          </w:r>
          <w:r>
            <w:rPr>
              <w:sz w:val="24"/>
              <w:szCs w:val="24"/>
            </w:rPr>
            <w:fldChar w:fldCharType="end"/>
          </w:r>
        </w:p>
        <w:p>
          <w:pPr>
            <w:pStyle w:val="3"/>
            <w:tabs>
              <w:tab w:val="right" w:leader="dot" w:pos="9026"/>
            </w:tabs>
            <w:rPr>
              <w:sz w:val="24"/>
              <w:szCs w:val="24"/>
            </w:rPr>
          </w:pPr>
          <w:r>
            <w:rPr>
              <w:sz w:val="24"/>
              <w:szCs w:val="24"/>
            </w:rPr>
            <w:fldChar w:fldCharType="begin"/>
          </w:r>
          <w:r>
            <w:rPr>
              <w:sz w:val="24"/>
              <w:szCs w:val="24"/>
            </w:rPr>
            <w:instrText xml:space="preserve"> HYPERLINK \l _Toc11990 </w:instrText>
          </w:r>
          <w:r>
            <w:rPr>
              <w:sz w:val="24"/>
              <w:szCs w:val="24"/>
            </w:rPr>
            <w:fldChar w:fldCharType="separate"/>
          </w:r>
          <w:r>
            <w:rPr>
              <w:rFonts w:hint="default" w:ascii="Wingdings" w:hAnsi="Wingdings" w:cs="Times New Roman"/>
              <w:sz w:val="24"/>
              <w:szCs w:val="24"/>
              <w:lang w:val="en-US" w:eastAsia="zh-CN"/>
            </w:rPr>
            <w:t xml:space="preserve"> </w:t>
          </w:r>
          <w:r>
            <w:rPr>
              <w:rFonts w:hint="eastAsia" w:ascii="Times New Roman" w:hAnsi="Times New Roman" w:cs="Times New Roman"/>
              <w:sz w:val="24"/>
              <w:szCs w:val="24"/>
              <w:lang w:val="en-US" w:eastAsia="zh-CN"/>
            </w:rPr>
            <w:t>Political environment</w:t>
          </w:r>
          <w:r>
            <w:rPr>
              <w:sz w:val="24"/>
              <w:szCs w:val="24"/>
            </w:rPr>
            <w:tab/>
          </w:r>
          <w:r>
            <w:rPr>
              <w:sz w:val="24"/>
              <w:szCs w:val="24"/>
            </w:rPr>
            <w:fldChar w:fldCharType="begin"/>
          </w:r>
          <w:r>
            <w:rPr>
              <w:sz w:val="24"/>
              <w:szCs w:val="24"/>
            </w:rPr>
            <w:instrText xml:space="preserve"> PAGEREF _Toc11990 \h </w:instrText>
          </w:r>
          <w:r>
            <w:rPr>
              <w:sz w:val="24"/>
              <w:szCs w:val="24"/>
            </w:rPr>
            <w:fldChar w:fldCharType="separate"/>
          </w:r>
          <w:r>
            <w:rPr>
              <w:sz w:val="24"/>
              <w:szCs w:val="24"/>
            </w:rPr>
            <w:t>5</w:t>
          </w:r>
          <w:r>
            <w:rPr>
              <w:sz w:val="24"/>
              <w:szCs w:val="24"/>
            </w:rPr>
            <w:fldChar w:fldCharType="end"/>
          </w:r>
          <w:r>
            <w:rPr>
              <w:sz w:val="24"/>
              <w:szCs w:val="24"/>
            </w:rPr>
            <w:fldChar w:fldCharType="end"/>
          </w:r>
        </w:p>
        <w:p>
          <w:pPr>
            <w:pStyle w:val="3"/>
            <w:tabs>
              <w:tab w:val="right" w:leader="dot" w:pos="9026"/>
            </w:tabs>
            <w:rPr>
              <w:sz w:val="24"/>
              <w:szCs w:val="24"/>
            </w:rPr>
          </w:pPr>
          <w:r>
            <w:rPr>
              <w:sz w:val="24"/>
              <w:szCs w:val="24"/>
            </w:rPr>
            <w:fldChar w:fldCharType="begin"/>
          </w:r>
          <w:r>
            <w:rPr>
              <w:sz w:val="24"/>
              <w:szCs w:val="24"/>
            </w:rPr>
            <w:instrText xml:space="preserve"> HYPERLINK \l _Toc5230 </w:instrText>
          </w:r>
          <w:r>
            <w:rPr>
              <w:sz w:val="24"/>
              <w:szCs w:val="24"/>
            </w:rPr>
            <w:fldChar w:fldCharType="separate"/>
          </w:r>
          <w:r>
            <w:rPr>
              <w:rFonts w:hint="default" w:ascii="Wingdings" w:hAnsi="Wingdings" w:cs="Times New Roman"/>
              <w:sz w:val="24"/>
              <w:szCs w:val="24"/>
              <w:lang w:val="en-US" w:eastAsia="zh-CN"/>
            </w:rPr>
            <w:t xml:space="preserve"> </w:t>
          </w:r>
          <w:r>
            <w:rPr>
              <w:rFonts w:hint="eastAsia" w:ascii="Times New Roman" w:hAnsi="Times New Roman" w:cs="Times New Roman"/>
              <w:sz w:val="24"/>
              <w:szCs w:val="24"/>
              <w:lang w:val="en-US" w:eastAsia="zh-CN"/>
            </w:rPr>
            <w:t>Economic environment</w:t>
          </w:r>
          <w:r>
            <w:rPr>
              <w:sz w:val="24"/>
              <w:szCs w:val="24"/>
            </w:rPr>
            <w:tab/>
          </w:r>
          <w:r>
            <w:rPr>
              <w:sz w:val="24"/>
              <w:szCs w:val="24"/>
            </w:rPr>
            <w:fldChar w:fldCharType="begin"/>
          </w:r>
          <w:r>
            <w:rPr>
              <w:sz w:val="24"/>
              <w:szCs w:val="24"/>
            </w:rPr>
            <w:instrText xml:space="preserve"> PAGEREF _Toc5230 \h </w:instrText>
          </w:r>
          <w:r>
            <w:rPr>
              <w:sz w:val="24"/>
              <w:szCs w:val="24"/>
            </w:rPr>
            <w:fldChar w:fldCharType="separate"/>
          </w:r>
          <w:r>
            <w:rPr>
              <w:sz w:val="24"/>
              <w:szCs w:val="24"/>
            </w:rPr>
            <w:t>5</w:t>
          </w:r>
          <w:r>
            <w:rPr>
              <w:sz w:val="24"/>
              <w:szCs w:val="24"/>
            </w:rPr>
            <w:fldChar w:fldCharType="end"/>
          </w:r>
          <w:r>
            <w:rPr>
              <w:sz w:val="24"/>
              <w:szCs w:val="24"/>
            </w:rPr>
            <w:fldChar w:fldCharType="end"/>
          </w:r>
        </w:p>
        <w:p>
          <w:pPr>
            <w:pStyle w:val="3"/>
            <w:tabs>
              <w:tab w:val="right" w:leader="dot" w:pos="9026"/>
            </w:tabs>
            <w:rPr>
              <w:sz w:val="24"/>
              <w:szCs w:val="24"/>
            </w:rPr>
          </w:pPr>
          <w:r>
            <w:rPr>
              <w:sz w:val="24"/>
              <w:szCs w:val="24"/>
            </w:rPr>
            <w:fldChar w:fldCharType="begin"/>
          </w:r>
          <w:r>
            <w:rPr>
              <w:sz w:val="24"/>
              <w:szCs w:val="24"/>
            </w:rPr>
            <w:instrText xml:space="preserve"> HYPERLINK \l _Toc32732 </w:instrText>
          </w:r>
          <w:r>
            <w:rPr>
              <w:sz w:val="24"/>
              <w:szCs w:val="24"/>
            </w:rPr>
            <w:fldChar w:fldCharType="separate"/>
          </w:r>
          <w:r>
            <w:rPr>
              <w:rFonts w:hint="default" w:ascii="Wingdings" w:hAnsi="Wingdings" w:cs="Times New Roman"/>
              <w:sz w:val="24"/>
              <w:szCs w:val="24"/>
              <w:lang w:val="en-US" w:eastAsia="zh-CN"/>
            </w:rPr>
            <w:t xml:space="preserve"> </w:t>
          </w:r>
          <w:r>
            <w:rPr>
              <w:rFonts w:hint="eastAsia" w:ascii="Times New Roman" w:hAnsi="Times New Roman" w:cs="Times New Roman"/>
              <w:sz w:val="24"/>
              <w:szCs w:val="24"/>
              <w:lang w:val="en-US" w:eastAsia="zh-CN"/>
            </w:rPr>
            <w:t>Social and cultural environment</w:t>
          </w:r>
          <w:r>
            <w:rPr>
              <w:sz w:val="24"/>
              <w:szCs w:val="24"/>
            </w:rPr>
            <w:tab/>
          </w:r>
          <w:r>
            <w:rPr>
              <w:sz w:val="24"/>
              <w:szCs w:val="24"/>
            </w:rPr>
            <w:fldChar w:fldCharType="begin"/>
          </w:r>
          <w:r>
            <w:rPr>
              <w:sz w:val="24"/>
              <w:szCs w:val="24"/>
            </w:rPr>
            <w:instrText xml:space="preserve"> PAGEREF _Toc32732 \h </w:instrText>
          </w:r>
          <w:r>
            <w:rPr>
              <w:sz w:val="24"/>
              <w:szCs w:val="24"/>
            </w:rPr>
            <w:fldChar w:fldCharType="separate"/>
          </w:r>
          <w:r>
            <w:rPr>
              <w:sz w:val="24"/>
              <w:szCs w:val="24"/>
            </w:rPr>
            <w:t>6</w:t>
          </w:r>
          <w:r>
            <w:rPr>
              <w:sz w:val="24"/>
              <w:szCs w:val="24"/>
            </w:rPr>
            <w:fldChar w:fldCharType="end"/>
          </w:r>
          <w:r>
            <w:rPr>
              <w:sz w:val="24"/>
              <w:szCs w:val="24"/>
            </w:rPr>
            <w:fldChar w:fldCharType="end"/>
          </w:r>
        </w:p>
        <w:p>
          <w:pPr>
            <w:pStyle w:val="3"/>
            <w:tabs>
              <w:tab w:val="right" w:leader="dot" w:pos="9026"/>
            </w:tabs>
            <w:rPr>
              <w:sz w:val="24"/>
              <w:szCs w:val="24"/>
            </w:rPr>
          </w:pPr>
          <w:r>
            <w:rPr>
              <w:sz w:val="24"/>
              <w:szCs w:val="24"/>
            </w:rPr>
            <w:fldChar w:fldCharType="begin"/>
          </w:r>
          <w:r>
            <w:rPr>
              <w:sz w:val="24"/>
              <w:szCs w:val="24"/>
            </w:rPr>
            <w:instrText xml:space="preserve"> HYPERLINK \l _Toc3935 </w:instrText>
          </w:r>
          <w:r>
            <w:rPr>
              <w:sz w:val="24"/>
              <w:szCs w:val="24"/>
            </w:rPr>
            <w:fldChar w:fldCharType="separate"/>
          </w:r>
          <w:r>
            <w:rPr>
              <w:rFonts w:hint="default" w:ascii="Wingdings" w:hAnsi="Wingdings" w:cs="Times New Roman"/>
              <w:sz w:val="24"/>
              <w:szCs w:val="24"/>
              <w:lang w:val="en-US" w:eastAsia="zh-CN"/>
            </w:rPr>
            <w:t xml:space="preserve"> </w:t>
          </w:r>
          <w:r>
            <w:rPr>
              <w:rFonts w:hint="eastAsia" w:ascii="Times New Roman" w:hAnsi="Times New Roman" w:cs="Times New Roman"/>
              <w:sz w:val="24"/>
              <w:szCs w:val="24"/>
              <w:lang w:val="en-US" w:eastAsia="zh-CN"/>
            </w:rPr>
            <w:t>Technical environment</w:t>
          </w:r>
          <w:r>
            <w:rPr>
              <w:sz w:val="24"/>
              <w:szCs w:val="24"/>
            </w:rPr>
            <w:tab/>
          </w:r>
          <w:r>
            <w:rPr>
              <w:sz w:val="24"/>
              <w:szCs w:val="24"/>
            </w:rPr>
            <w:fldChar w:fldCharType="begin"/>
          </w:r>
          <w:r>
            <w:rPr>
              <w:sz w:val="24"/>
              <w:szCs w:val="24"/>
            </w:rPr>
            <w:instrText xml:space="preserve"> PAGEREF _Toc3935 \h </w:instrText>
          </w:r>
          <w:r>
            <w:rPr>
              <w:sz w:val="24"/>
              <w:szCs w:val="24"/>
            </w:rPr>
            <w:fldChar w:fldCharType="separate"/>
          </w:r>
          <w:r>
            <w:rPr>
              <w:sz w:val="24"/>
              <w:szCs w:val="24"/>
            </w:rPr>
            <w:t>8</w:t>
          </w:r>
          <w:r>
            <w:rPr>
              <w:sz w:val="24"/>
              <w:szCs w:val="24"/>
            </w:rPr>
            <w:fldChar w:fldCharType="end"/>
          </w:r>
          <w:r>
            <w:rPr>
              <w:sz w:val="24"/>
              <w:szCs w:val="24"/>
            </w:rPr>
            <w:fldChar w:fldCharType="end"/>
          </w:r>
        </w:p>
        <w:p>
          <w:pPr>
            <w:pStyle w:val="7"/>
            <w:tabs>
              <w:tab w:val="right" w:leader="dot" w:pos="9026"/>
            </w:tabs>
            <w:rPr>
              <w:sz w:val="24"/>
              <w:szCs w:val="24"/>
            </w:rPr>
          </w:pPr>
          <w:r>
            <w:rPr>
              <w:sz w:val="24"/>
              <w:szCs w:val="24"/>
            </w:rPr>
            <w:fldChar w:fldCharType="begin"/>
          </w:r>
          <w:r>
            <w:rPr>
              <w:sz w:val="24"/>
              <w:szCs w:val="24"/>
            </w:rPr>
            <w:instrText xml:space="preserve"> HYPERLINK \l _Toc14370 </w:instrText>
          </w:r>
          <w:r>
            <w:rPr>
              <w:sz w:val="24"/>
              <w:szCs w:val="24"/>
            </w:rPr>
            <w:fldChar w:fldCharType="separate"/>
          </w:r>
          <w:r>
            <w:rPr>
              <w:rFonts w:hint="eastAsia" w:ascii="Times New Roman" w:hAnsi="Times New Roman" w:cs="Times New Roman"/>
              <w:sz w:val="24"/>
              <w:szCs w:val="24"/>
              <w:lang w:val="en-US" w:eastAsia="zh-CN"/>
            </w:rPr>
            <w:t>2.2 Micro strategic analysis</w:t>
          </w:r>
          <w:r>
            <w:rPr>
              <w:sz w:val="24"/>
              <w:szCs w:val="24"/>
            </w:rPr>
            <w:tab/>
          </w:r>
          <w:r>
            <w:rPr>
              <w:sz w:val="24"/>
              <w:szCs w:val="24"/>
            </w:rPr>
            <w:fldChar w:fldCharType="begin"/>
          </w:r>
          <w:r>
            <w:rPr>
              <w:sz w:val="24"/>
              <w:szCs w:val="24"/>
            </w:rPr>
            <w:instrText xml:space="preserve"> PAGEREF _Toc14370 \h </w:instrText>
          </w:r>
          <w:r>
            <w:rPr>
              <w:sz w:val="24"/>
              <w:szCs w:val="24"/>
            </w:rPr>
            <w:fldChar w:fldCharType="separate"/>
          </w:r>
          <w:r>
            <w:rPr>
              <w:sz w:val="24"/>
              <w:szCs w:val="24"/>
            </w:rPr>
            <w:t>9</w:t>
          </w:r>
          <w:r>
            <w:rPr>
              <w:sz w:val="24"/>
              <w:szCs w:val="24"/>
            </w:rPr>
            <w:fldChar w:fldCharType="end"/>
          </w:r>
          <w:r>
            <w:rPr>
              <w:sz w:val="24"/>
              <w:szCs w:val="24"/>
            </w:rPr>
            <w:fldChar w:fldCharType="end"/>
          </w:r>
        </w:p>
        <w:p>
          <w:pPr>
            <w:pStyle w:val="3"/>
            <w:tabs>
              <w:tab w:val="right" w:leader="dot" w:pos="9026"/>
            </w:tabs>
            <w:rPr>
              <w:sz w:val="24"/>
              <w:szCs w:val="24"/>
            </w:rPr>
          </w:pPr>
          <w:r>
            <w:rPr>
              <w:sz w:val="24"/>
              <w:szCs w:val="24"/>
            </w:rPr>
            <w:fldChar w:fldCharType="begin"/>
          </w:r>
          <w:r>
            <w:rPr>
              <w:sz w:val="24"/>
              <w:szCs w:val="24"/>
            </w:rPr>
            <w:instrText xml:space="preserve"> HYPERLINK \l _Toc4576 </w:instrText>
          </w:r>
          <w:r>
            <w:rPr>
              <w:sz w:val="24"/>
              <w:szCs w:val="24"/>
            </w:rPr>
            <w:fldChar w:fldCharType="separate"/>
          </w:r>
          <w:r>
            <w:rPr>
              <w:rFonts w:hint="default" w:ascii="Wingdings" w:hAnsi="Wingdings" w:cs="Times New Roman"/>
              <w:sz w:val="24"/>
              <w:szCs w:val="24"/>
              <w:lang w:val="en-US" w:eastAsia="zh-CN"/>
            </w:rPr>
            <w:t xml:space="preserve"> </w:t>
          </w:r>
          <w:r>
            <w:rPr>
              <w:rFonts w:hint="eastAsia" w:ascii="Times New Roman" w:hAnsi="Times New Roman" w:cs="Times New Roman"/>
              <w:sz w:val="24"/>
              <w:szCs w:val="24"/>
              <w:lang w:val="en-US" w:eastAsia="zh-CN"/>
            </w:rPr>
            <w:t>Strength</w:t>
          </w:r>
          <w:r>
            <w:rPr>
              <w:sz w:val="24"/>
              <w:szCs w:val="24"/>
            </w:rPr>
            <w:tab/>
          </w:r>
          <w:r>
            <w:rPr>
              <w:sz w:val="24"/>
              <w:szCs w:val="24"/>
            </w:rPr>
            <w:fldChar w:fldCharType="begin"/>
          </w:r>
          <w:r>
            <w:rPr>
              <w:sz w:val="24"/>
              <w:szCs w:val="24"/>
            </w:rPr>
            <w:instrText xml:space="preserve"> PAGEREF _Toc4576 \h </w:instrText>
          </w:r>
          <w:r>
            <w:rPr>
              <w:sz w:val="24"/>
              <w:szCs w:val="24"/>
            </w:rPr>
            <w:fldChar w:fldCharType="separate"/>
          </w:r>
          <w:r>
            <w:rPr>
              <w:sz w:val="24"/>
              <w:szCs w:val="24"/>
            </w:rPr>
            <w:t>9</w:t>
          </w:r>
          <w:r>
            <w:rPr>
              <w:sz w:val="24"/>
              <w:szCs w:val="24"/>
            </w:rPr>
            <w:fldChar w:fldCharType="end"/>
          </w:r>
          <w:r>
            <w:rPr>
              <w:sz w:val="24"/>
              <w:szCs w:val="24"/>
            </w:rPr>
            <w:fldChar w:fldCharType="end"/>
          </w:r>
        </w:p>
        <w:p>
          <w:pPr>
            <w:pStyle w:val="3"/>
            <w:tabs>
              <w:tab w:val="right" w:leader="dot" w:pos="9026"/>
            </w:tabs>
            <w:rPr>
              <w:sz w:val="24"/>
              <w:szCs w:val="24"/>
            </w:rPr>
          </w:pPr>
          <w:r>
            <w:rPr>
              <w:sz w:val="24"/>
              <w:szCs w:val="24"/>
            </w:rPr>
            <w:fldChar w:fldCharType="begin"/>
          </w:r>
          <w:r>
            <w:rPr>
              <w:sz w:val="24"/>
              <w:szCs w:val="24"/>
            </w:rPr>
            <w:instrText xml:space="preserve"> HYPERLINK \l _Toc15041 </w:instrText>
          </w:r>
          <w:r>
            <w:rPr>
              <w:sz w:val="24"/>
              <w:szCs w:val="24"/>
            </w:rPr>
            <w:fldChar w:fldCharType="separate"/>
          </w:r>
          <w:r>
            <w:rPr>
              <w:rFonts w:hint="default" w:ascii="Wingdings" w:hAnsi="Wingdings" w:cs="Times New Roman"/>
              <w:sz w:val="24"/>
              <w:szCs w:val="24"/>
              <w:lang w:val="en-US" w:eastAsia="zh-CN"/>
            </w:rPr>
            <w:t xml:space="preserve"> </w:t>
          </w:r>
          <w:r>
            <w:rPr>
              <w:rFonts w:hint="eastAsia" w:ascii="Times New Roman" w:hAnsi="Times New Roman" w:cs="Times New Roman"/>
              <w:sz w:val="24"/>
              <w:szCs w:val="24"/>
              <w:lang w:val="en-US" w:eastAsia="zh-CN"/>
            </w:rPr>
            <w:t>Weakness</w:t>
          </w:r>
          <w:r>
            <w:rPr>
              <w:sz w:val="24"/>
              <w:szCs w:val="24"/>
            </w:rPr>
            <w:tab/>
          </w:r>
          <w:r>
            <w:rPr>
              <w:sz w:val="24"/>
              <w:szCs w:val="24"/>
            </w:rPr>
            <w:fldChar w:fldCharType="begin"/>
          </w:r>
          <w:r>
            <w:rPr>
              <w:sz w:val="24"/>
              <w:szCs w:val="24"/>
            </w:rPr>
            <w:instrText xml:space="preserve"> PAGEREF _Toc15041 \h </w:instrText>
          </w:r>
          <w:r>
            <w:rPr>
              <w:sz w:val="24"/>
              <w:szCs w:val="24"/>
            </w:rPr>
            <w:fldChar w:fldCharType="separate"/>
          </w:r>
          <w:r>
            <w:rPr>
              <w:sz w:val="24"/>
              <w:szCs w:val="24"/>
            </w:rPr>
            <w:t>10</w:t>
          </w:r>
          <w:r>
            <w:rPr>
              <w:sz w:val="24"/>
              <w:szCs w:val="24"/>
            </w:rPr>
            <w:fldChar w:fldCharType="end"/>
          </w:r>
          <w:r>
            <w:rPr>
              <w:sz w:val="24"/>
              <w:szCs w:val="24"/>
            </w:rPr>
            <w:fldChar w:fldCharType="end"/>
          </w:r>
        </w:p>
        <w:p>
          <w:pPr>
            <w:pStyle w:val="3"/>
            <w:tabs>
              <w:tab w:val="right" w:leader="dot" w:pos="9026"/>
            </w:tabs>
            <w:rPr>
              <w:sz w:val="24"/>
              <w:szCs w:val="24"/>
            </w:rPr>
          </w:pPr>
          <w:r>
            <w:rPr>
              <w:sz w:val="24"/>
              <w:szCs w:val="24"/>
            </w:rPr>
            <w:fldChar w:fldCharType="begin"/>
          </w:r>
          <w:r>
            <w:rPr>
              <w:sz w:val="24"/>
              <w:szCs w:val="24"/>
            </w:rPr>
            <w:instrText xml:space="preserve"> HYPERLINK \l _Toc18236 </w:instrText>
          </w:r>
          <w:r>
            <w:rPr>
              <w:sz w:val="24"/>
              <w:szCs w:val="24"/>
            </w:rPr>
            <w:fldChar w:fldCharType="separate"/>
          </w:r>
          <w:r>
            <w:rPr>
              <w:rFonts w:hint="default" w:ascii="Wingdings" w:hAnsi="Wingdings" w:cs="Times New Roman"/>
              <w:sz w:val="24"/>
              <w:szCs w:val="24"/>
              <w:lang w:val="en-US" w:eastAsia="zh-CN"/>
            </w:rPr>
            <w:t xml:space="preserve"> </w:t>
          </w:r>
          <w:r>
            <w:rPr>
              <w:rFonts w:hint="eastAsia" w:ascii="Times New Roman" w:hAnsi="Times New Roman" w:cs="Times New Roman"/>
              <w:sz w:val="24"/>
              <w:szCs w:val="24"/>
              <w:lang w:val="en-US" w:eastAsia="zh-CN"/>
            </w:rPr>
            <w:t>Opportunity</w:t>
          </w:r>
          <w:r>
            <w:rPr>
              <w:sz w:val="24"/>
              <w:szCs w:val="24"/>
            </w:rPr>
            <w:tab/>
          </w:r>
          <w:r>
            <w:rPr>
              <w:sz w:val="24"/>
              <w:szCs w:val="24"/>
            </w:rPr>
            <w:fldChar w:fldCharType="begin"/>
          </w:r>
          <w:r>
            <w:rPr>
              <w:sz w:val="24"/>
              <w:szCs w:val="24"/>
            </w:rPr>
            <w:instrText xml:space="preserve"> PAGEREF _Toc18236 \h </w:instrText>
          </w:r>
          <w:r>
            <w:rPr>
              <w:sz w:val="24"/>
              <w:szCs w:val="24"/>
            </w:rPr>
            <w:fldChar w:fldCharType="separate"/>
          </w:r>
          <w:r>
            <w:rPr>
              <w:sz w:val="24"/>
              <w:szCs w:val="24"/>
            </w:rPr>
            <w:t>11</w:t>
          </w:r>
          <w:r>
            <w:rPr>
              <w:sz w:val="24"/>
              <w:szCs w:val="24"/>
            </w:rPr>
            <w:fldChar w:fldCharType="end"/>
          </w:r>
          <w:r>
            <w:rPr>
              <w:sz w:val="24"/>
              <w:szCs w:val="24"/>
            </w:rPr>
            <w:fldChar w:fldCharType="end"/>
          </w:r>
        </w:p>
        <w:p>
          <w:pPr>
            <w:pStyle w:val="3"/>
            <w:tabs>
              <w:tab w:val="right" w:leader="dot" w:pos="9026"/>
            </w:tabs>
            <w:rPr>
              <w:sz w:val="24"/>
              <w:szCs w:val="24"/>
            </w:rPr>
          </w:pPr>
          <w:r>
            <w:rPr>
              <w:sz w:val="24"/>
              <w:szCs w:val="24"/>
            </w:rPr>
            <w:fldChar w:fldCharType="begin"/>
          </w:r>
          <w:r>
            <w:rPr>
              <w:sz w:val="24"/>
              <w:szCs w:val="24"/>
            </w:rPr>
            <w:instrText xml:space="preserve"> HYPERLINK \l _Toc20517 </w:instrText>
          </w:r>
          <w:r>
            <w:rPr>
              <w:sz w:val="24"/>
              <w:szCs w:val="24"/>
            </w:rPr>
            <w:fldChar w:fldCharType="separate"/>
          </w:r>
          <w:r>
            <w:rPr>
              <w:rFonts w:hint="default" w:ascii="Wingdings" w:hAnsi="Wingdings" w:cs="Times New Roman"/>
              <w:sz w:val="24"/>
              <w:szCs w:val="24"/>
              <w:lang w:val="en-US" w:eastAsia="zh-CN"/>
            </w:rPr>
            <w:t xml:space="preserve"> </w:t>
          </w:r>
          <w:r>
            <w:rPr>
              <w:rFonts w:hint="eastAsia" w:ascii="Times New Roman" w:hAnsi="Times New Roman" w:cs="Times New Roman"/>
              <w:sz w:val="24"/>
              <w:szCs w:val="24"/>
              <w:lang w:val="en-US" w:eastAsia="zh-CN"/>
            </w:rPr>
            <w:t>Threat</w:t>
          </w:r>
          <w:r>
            <w:rPr>
              <w:sz w:val="24"/>
              <w:szCs w:val="24"/>
            </w:rPr>
            <w:tab/>
          </w:r>
          <w:r>
            <w:rPr>
              <w:sz w:val="24"/>
              <w:szCs w:val="24"/>
            </w:rPr>
            <w:fldChar w:fldCharType="begin"/>
          </w:r>
          <w:r>
            <w:rPr>
              <w:sz w:val="24"/>
              <w:szCs w:val="24"/>
            </w:rPr>
            <w:instrText xml:space="preserve"> PAGEREF _Toc20517 \h </w:instrText>
          </w:r>
          <w:r>
            <w:rPr>
              <w:sz w:val="24"/>
              <w:szCs w:val="24"/>
            </w:rPr>
            <w:fldChar w:fldCharType="separate"/>
          </w:r>
          <w:r>
            <w:rPr>
              <w:sz w:val="24"/>
              <w:szCs w:val="24"/>
            </w:rPr>
            <w:t>12</w:t>
          </w:r>
          <w:r>
            <w:rPr>
              <w:sz w:val="24"/>
              <w:szCs w:val="24"/>
            </w:rPr>
            <w:fldChar w:fldCharType="end"/>
          </w:r>
          <w:r>
            <w:rPr>
              <w:sz w:val="24"/>
              <w:szCs w:val="24"/>
            </w:rPr>
            <w:fldChar w:fldCharType="end"/>
          </w:r>
        </w:p>
        <w:p>
          <w:pPr>
            <w:pStyle w:val="6"/>
            <w:tabs>
              <w:tab w:val="right" w:leader="dot" w:pos="9026"/>
            </w:tabs>
            <w:rPr>
              <w:sz w:val="24"/>
              <w:szCs w:val="24"/>
            </w:rPr>
          </w:pPr>
          <w:r>
            <w:rPr>
              <w:sz w:val="24"/>
              <w:szCs w:val="24"/>
            </w:rPr>
            <w:fldChar w:fldCharType="begin"/>
          </w:r>
          <w:r>
            <w:rPr>
              <w:sz w:val="24"/>
              <w:szCs w:val="24"/>
            </w:rPr>
            <w:instrText xml:space="preserve"> HYPERLINK \l _Toc8016 </w:instrText>
          </w:r>
          <w:r>
            <w:rPr>
              <w:sz w:val="24"/>
              <w:szCs w:val="24"/>
            </w:rPr>
            <w:fldChar w:fldCharType="separate"/>
          </w:r>
          <w:r>
            <w:rPr>
              <w:rFonts w:hint="eastAsia" w:ascii="Times New Roman" w:hAnsi="Times New Roman" w:eastAsia="宋体" w:cs="Times New Roman"/>
              <w:bCs/>
              <w:sz w:val="24"/>
              <w:szCs w:val="24"/>
              <w:lang w:val="en-US" w:eastAsia="zh-CN"/>
            </w:rPr>
            <w:t>3 Assessment of strategic options</w:t>
          </w:r>
          <w:r>
            <w:rPr>
              <w:sz w:val="24"/>
              <w:szCs w:val="24"/>
            </w:rPr>
            <w:tab/>
          </w:r>
          <w:r>
            <w:rPr>
              <w:sz w:val="24"/>
              <w:szCs w:val="24"/>
            </w:rPr>
            <w:fldChar w:fldCharType="begin"/>
          </w:r>
          <w:r>
            <w:rPr>
              <w:sz w:val="24"/>
              <w:szCs w:val="24"/>
            </w:rPr>
            <w:instrText xml:space="preserve"> PAGEREF _Toc8016 \h </w:instrText>
          </w:r>
          <w:r>
            <w:rPr>
              <w:sz w:val="24"/>
              <w:szCs w:val="24"/>
            </w:rPr>
            <w:fldChar w:fldCharType="separate"/>
          </w:r>
          <w:r>
            <w:rPr>
              <w:sz w:val="24"/>
              <w:szCs w:val="24"/>
            </w:rPr>
            <w:t>13</w:t>
          </w:r>
          <w:r>
            <w:rPr>
              <w:sz w:val="24"/>
              <w:szCs w:val="24"/>
            </w:rPr>
            <w:fldChar w:fldCharType="end"/>
          </w:r>
          <w:r>
            <w:rPr>
              <w:sz w:val="24"/>
              <w:szCs w:val="24"/>
            </w:rPr>
            <w:fldChar w:fldCharType="end"/>
          </w:r>
        </w:p>
        <w:p>
          <w:pPr>
            <w:pStyle w:val="7"/>
            <w:tabs>
              <w:tab w:val="right" w:leader="dot" w:pos="9026"/>
            </w:tabs>
            <w:rPr>
              <w:sz w:val="24"/>
              <w:szCs w:val="24"/>
            </w:rPr>
          </w:pPr>
          <w:r>
            <w:rPr>
              <w:sz w:val="24"/>
              <w:szCs w:val="24"/>
            </w:rPr>
            <w:fldChar w:fldCharType="begin"/>
          </w:r>
          <w:r>
            <w:rPr>
              <w:sz w:val="24"/>
              <w:szCs w:val="24"/>
            </w:rPr>
            <w:instrText xml:space="preserve"> HYPERLINK \l _Toc21836 </w:instrText>
          </w:r>
          <w:r>
            <w:rPr>
              <w:sz w:val="24"/>
              <w:szCs w:val="24"/>
            </w:rPr>
            <w:fldChar w:fldCharType="separate"/>
          </w:r>
          <w:r>
            <w:rPr>
              <w:rFonts w:hint="default" w:ascii="Wingdings" w:hAnsi="Wingdings" w:cs="Times New Roman"/>
              <w:sz w:val="24"/>
              <w:szCs w:val="24"/>
              <w:lang w:val="en-US" w:eastAsia="zh-CN"/>
            </w:rPr>
            <w:t xml:space="preserve"> </w:t>
          </w:r>
          <w:r>
            <w:rPr>
              <w:rFonts w:hint="default" w:ascii="Times New Roman" w:hAnsi="Times New Roman" w:cs="Times New Roman"/>
              <w:sz w:val="24"/>
              <w:szCs w:val="24"/>
              <w:lang w:val="en-US" w:eastAsia="zh-CN"/>
            </w:rPr>
            <w:t>Market disequilibrium</w:t>
          </w:r>
          <w:r>
            <w:rPr>
              <w:sz w:val="24"/>
              <w:szCs w:val="24"/>
            </w:rPr>
            <w:tab/>
          </w:r>
          <w:r>
            <w:rPr>
              <w:sz w:val="24"/>
              <w:szCs w:val="24"/>
            </w:rPr>
            <w:fldChar w:fldCharType="begin"/>
          </w:r>
          <w:r>
            <w:rPr>
              <w:sz w:val="24"/>
              <w:szCs w:val="24"/>
            </w:rPr>
            <w:instrText xml:space="preserve"> PAGEREF _Toc21836 \h </w:instrText>
          </w:r>
          <w:r>
            <w:rPr>
              <w:sz w:val="24"/>
              <w:szCs w:val="24"/>
            </w:rPr>
            <w:fldChar w:fldCharType="separate"/>
          </w:r>
          <w:r>
            <w:rPr>
              <w:sz w:val="24"/>
              <w:szCs w:val="24"/>
            </w:rPr>
            <w:t>13</w:t>
          </w:r>
          <w:r>
            <w:rPr>
              <w:sz w:val="24"/>
              <w:szCs w:val="24"/>
            </w:rPr>
            <w:fldChar w:fldCharType="end"/>
          </w:r>
          <w:r>
            <w:rPr>
              <w:sz w:val="24"/>
              <w:szCs w:val="24"/>
            </w:rPr>
            <w:fldChar w:fldCharType="end"/>
          </w:r>
        </w:p>
        <w:p>
          <w:pPr>
            <w:pStyle w:val="7"/>
            <w:tabs>
              <w:tab w:val="right" w:leader="dot" w:pos="9026"/>
            </w:tabs>
            <w:rPr>
              <w:sz w:val="24"/>
              <w:szCs w:val="24"/>
            </w:rPr>
          </w:pPr>
          <w:r>
            <w:rPr>
              <w:sz w:val="24"/>
              <w:szCs w:val="24"/>
            </w:rPr>
            <w:fldChar w:fldCharType="begin"/>
          </w:r>
          <w:r>
            <w:rPr>
              <w:sz w:val="24"/>
              <w:szCs w:val="24"/>
            </w:rPr>
            <w:instrText xml:space="preserve"> HYPERLINK \l _Toc25937 </w:instrText>
          </w:r>
          <w:r>
            <w:rPr>
              <w:sz w:val="24"/>
              <w:szCs w:val="24"/>
            </w:rPr>
            <w:fldChar w:fldCharType="separate"/>
          </w:r>
          <w:r>
            <w:rPr>
              <w:rFonts w:hint="default" w:ascii="Wingdings" w:hAnsi="Wingdings" w:cs="Times New Roman"/>
              <w:sz w:val="24"/>
              <w:szCs w:val="24"/>
              <w:lang w:val="en-US" w:eastAsia="zh-CN"/>
            </w:rPr>
            <w:t xml:space="preserve"> </w:t>
          </w:r>
          <w:r>
            <w:rPr>
              <w:rFonts w:hint="eastAsia" w:ascii="Times New Roman" w:hAnsi="Times New Roman" w:cs="Times New Roman"/>
              <w:sz w:val="24"/>
              <w:szCs w:val="24"/>
              <w:lang w:val="en-US" w:eastAsia="zh-CN"/>
            </w:rPr>
            <w:t>Customer needs do not match</w:t>
          </w:r>
          <w:r>
            <w:rPr>
              <w:sz w:val="24"/>
              <w:szCs w:val="24"/>
            </w:rPr>
            <w:tab/>
          </w:r>
          <w:r>
            <w:rPr>
              <w:sz w:val="24"/>
              <w:szCs w:val="24"/>
            </w:rPr>
            <w:fldChar w:fldCharType="begin"/>
          </w:r>
          <w:r>
            <w:rPr>
              <w:sz w:val="24"/>
              <w:szCs w:val="24"/>
            </w:rPr>
            <w:instrText xml:space="preserve"> PAGEREF _Toc25937 \h </w:instrText>
          </w:r>
          <w:r>
            <w:rPr>
              <w:sz w:val="24"/>
              <w:szCs w:val="24"/>
            </w:rPr>
            <w:fldChar w:fldCharType="separate"/>
          </w:r>
          <w:r>
            <w:rPr>
              <w:sz w:val="24"/>
              <w:szCs w:val="24"/>
            </w:rPr>
            <w:t>14</w:t>
          </w:r>
          <w:r>
            <w:rPr>
              <w:sz w:val="24"/>
              <w:szCs w:val="24"/>
            </w:rPr>
            <w:fldChar w:fldCharType="end"/>
          </w:r>
          <w:r>
            <w:rPr>
              <w:sz w:val="24"/>
              <w:szCs w:val="24"/>
            </w:rPr>
            <w:fldChar w:fldCharType="end"/>
          </w:r>
        </w:p>
        <w:p>
          <w:pPr>
            <w:pStyle w:val="7"/>
            <w:tabs>
              <w:tab w:val="right" w:leader="dot" w:pos="9026"/>
            </w:tabs>
            <w:rPr>
              <w:sz w:val="24"/>
              <w:szCs w:val="24"/>
            </w:rPr>
          </w:pPr>
          <w:r>
            <w:rPr>
              <w:sz w:val="24"/>
              <w:szCs w:val="24"/>
            </w:rPr>
            <w:fldChar w:fldCharType="begin"/>
          </w:r>
          <w:r>
            <w:rPr>
              <w:sz w:val="24"/>
              <w:szCs w:val="24"/>
            </w:rPr>
            <w:instrText xml:space="preserve"> HYPERLINK \l _Toc2561 </w:instrText>
          </w:r>
          <w:r>
            <w:rPr>
              <w:sz w:val="24"/>
              <w:szCs w:val="24"/>
            </w:rPr>
            <w:fldChar w:fldCharType="separate"/>
          </w:r>
          <w:r>
            <w:rPr>
              <w:rFonts w:hint="default" w:ascii="Wingdings" w:hAnsi="Wingdings" w:cs="Times New Roman"/>
              <w:sz w:val="24"/>
              <w:szCs w:val="24"/>
              <w:lang w:val="en-US" w:eastAsia="zh-CN"/>
            </w:rPr>
            <w:t xml:space="preserve"> </w:t>
          </w:r>
          <w:r>
            <w:rPr>
              <w:rFonts w:hint="eastAsia" w:ascii="Times New Roman" w:hAnsi="Times New Roman" w:cs="Times New Roman"/>
              <w:sz w:val="24"/>
              <w:szCs w:val="24"/>
              <w:lang w:val="en-US" w:eastAsia="zh-CN"/>
            </w:rPr>
            <w:t>Vertical management of strategy</w:t>
          </w:r>
          <w:r>
            <w:rPr>
              <w:sz w:val="24"/>
              <w:szCs w:val="24"/>
            </w:rPr>
            <w:tab/>
          </w:r>
          <w:r>
            <w:rPr>
              <w:sz w:val="24"/>
              <w:szCs w:val="24"/>
            </w:rPr>
            <w:fldChar w:fldCharType="begin"/>
          </w:r>
          <w:r>
            <w:rPr>
              <w:sz w:val="24"/>
              <w:szCs w:val="24"/>
            </w:rPr>
            <w:instrText xml:space="preserve"> PAGEREF _Toc2561 \h </w:instrText>
          </w:r>
          <w:r>
            <w:rPr>
              <w:sz w:val="24"/>
              <w:szCs w:val="24"/>
            </w:rPr>
            <w:fldChar w:fldCharType="separate"/>
          </w:r>
          <w:r>
            <w:rPr>
              <w:sz w:val="24"/>
              <w:szCs w:val="24"/>
            </w:rPr>
            <w:t>15</w:t>
          </w:r>
          <w:r>
            <w:rPr>
              <w:sz w:val="24"/>
              <w:szCs w:val="24"/>
            </w:rPr>
            <w:fldChar w:fldCharType="end"/>
          </w:r>
          <w:r>
            <w:rPr>
              <w:sz w:val="24"/>
              <w:szCs w:val="24"/>
            </w:rPr>
            <w:fldChar w:fldCharType="end"/>
          </w:r>
        </w:p>
        <w:p>
          <w:pPr>
            <w:pStyle w:val="6"/>
            <w:tabs>
              <w:tab w:val="right" w:leader="dot" w:pos="9026"/>
            </w:tabs>
            <w:rPr>
              <w:sz w:val="24"/>
              <w:szCs w:val="24"/>
            </w:rPr>
          </w:pPr>
          <w:r>
            <w:rPr>
              <w:sz w:val="24"/>
              <w:szCs w:val="24"/>
            </w:rPr>
            <w:fldChar w:fldCharType="begin"/>
          </w:r>
          <w:r>
            <w:rPr>
              <w:sz w:val="24"/>
              <w:szCs w:val="24"/>
            </w:rPr>
            <w:instrText xml:space="preserve"> HYPERLINK \l _Toc7589 </w:instrText>
          </w:r>
          <w:r>
            <w:rPr>
              <w:sz w:val="24"/>
              <w:szCs w:val="24"/>
            </w:rPr>
            <w:fldChar w:fldCharType="separate"/>
          </w:r>
          <w:r>
            <w:rPr>
              <w:rFonts w:hint="eastAsia" w:ascii="Times New Roman" w:hAnsi="Times New Roman" w:eastAsia="宋体" w:cs="Times New Roman"/>
              <w:bCs/>
              <w:sz w:val="24"/>
              <w:szCs w:val="24"/>
              <w:lang w:val="en-US" w:eastAsia="zh-CN"/>
            </w:rPr>
            <w:t>4 Influence and Strategy of Strategic Organization</w:t>
          </w:r>
          <w:r>
            <w:rPr>
              <w:sz w:val="24"/>
              <w:szCs w:val="24"/>
            </w:rPr>
            <w:tab/>
          </w:r>
          <w:r>
            <w:rPr>
              <w:sz w:val="24"/>
              <w:szCs w:val="24"/>
            </w:rPr>
            <w:fldChar w:fldCharType="begin"/>
          </w:r>
          <w:r>
            <w:rPr>
              <w:sz w:val="24"/>
              <w:szCs w:val="24"/>
            </w:rPr>
            <w:instrText xml:space="preserve"> PAGEREF _Toc7589 \h </w:instrText>
          </w:r>
          <w:r>
            <w:rPr>
              <w:sz w:val="24"/>
              <w:szCs w:val="24"/>
            </w:rPr>
            <w:fldChar w:fldCharType="separate"/>
          </w:r>
          <w:r>
            <w:rPr>
              <w:sz w:val="24"/>
              <w:szCs w:val="24"/>
            </w:rPr>
            <w:t>15</w:t>
          </w:r>
          <w:r>
            <w:rPr>
              <w:sz w:val="24"/>
              <w:szCs w:val="24"/>
            </w:rPr>
            <w:fldChar w:fldCharType="end"/>
          </w:r>
          <w:r>
            <w:rPr>
              <w:sz w:val="24"/>
              <w:szCs w:val="24"/>
            </w:rPr>
            <w:fldChar w:fldCharType="end"/>
          </w:r>
        </w:p>
        <w:p>
          <w:pPr>
            <w:pStyle w:val="7"/>
            <w:tabs>
              <w:tab w:val="right" w:leader="dot" w:pos="9026"/>
            </w:tabs>
            <w:rPr>
              <w:sz w:val="24"/>
              <w:szCs w:val="24"/>
            </w:rPr>
          </w:pPr>
          <w:r>
            <w:rPr>
              <w:sz w:val="24"/>
              <w:szCs w:val="24"/>
            </w:rPr>
            <w:fldChar w:fldCharType="begin"/>
          </w:r>
          <w:r>
            <w:rPr>
              <w:sz w:val="24"/>
              <w:szCs w:val="24"/>
            </w:rPr>
            <w:instrText xml:space="preserve"> HYPERLINK \l _Toc7633 </w:instrText>
          </w:r>
          <w:r>
            <w:rPr>
              <w:sz w:val="24"/>
              <w:szCs w:val="24"/>
            </w:rPr>
            <w:fldChar w:fldCharType="separate"/>
          </w:r>
          <w:r>
            <w:rPr>
              <w:rFonts w:hint="default" w:ascii="Wingdings" w:hAnsi="Wingdings" w:cs="Times New Roman"/>
              <w:sz w:val="24"/>
              <w:szCs w:val="24"/>
              <w:lang w:val="en-US" w:eastAsia="zh-CN"/>
            </w:rPr>
            <w:t xml:space="preserve"> </w:t>
          </w:r>
          <w:r>
            <w:rPr>
              <w:rFonts w:hint="eastAsia" w:ascii="Times New Roman" w:hAnsi="Times New Roman" w:cs="Times New Roman"/>
              <w:sz w:val="24"/>
              <w:szCs w:val="24"/>
              <w:lang w:val="en-US" w:eastAsia="zh-CN"/>
            </w:rPr>
            <w:t>Balancing the market</w:t>
          </w:r>
          <w:r>
            <w:rPr>
              <w:sz w:val="24"/>
              <w:szCs w:val="24"/>
            </w:rPr>
            <w:tab/>
          </w:r>
          <w:r>
            <w:rPr>
              <w:sz w:val="24"/>
              <w:szCs w:val="24"/>
            </w:rPr>
            <w:fldChar w:fldCharType="begin"/>
          </w:r>
          <w:r>
            <w:rPr>
              <w:sz w:val="24"/>
              <w:szCs w:val="24"/>
            </w:rPr>
            <w:instrText xml:space="preserve"> PAGEREF _Toc7633 \h </w:instrText>
          </w:r>
          <w:r>
            <w:rPr>
              <w:sz w:val="24"/>
              <w:szCs w:val="24"/>
            </w:rPr>
            <w:fldChar w:fldCharType="separate"/>
          </w:r>
          <w:r>
            <w:rPr>
              <w:sz w:val="24"/>
              <w:szCs w:val="24"/>
            </w:rPr>
            <w:t>15</w:t>
          </w:r>
          <w:r>
            <w:rPr>
              <w:sz w:val="24"/>
              <w:szCs w:val="24"/>
            </w:rPr>
            <w:fldChar w:fldCharType="end"/>
          </w:r>
          <w:r>
            <w:rPr>
              <w:sz w:val="24"/>
              <w:szCs w:val="24"/>
            </w:rPr>
            <w:fldChar w:fldCharType="end"/>
          </w:r>
        </w:p>
        <w:p>
          <w:pPr>
            <w:pStyle w:val="7"/>
            <w:tabs>
              <w:tab w:val="right" w:leader="dot" w:pos="9026"/>
            </w:tabs>
            <w:rPr>
              <w:sz w:val="24"/>
              <w:szCs w:val="24"/>
            </w:rPr>
          </w:pPr>
          <w:r>
            <w:rPr>
              <w:sz w:val="24"/>
              <w:szCs w:val="24"/>
            </w:rPr>
            <w:fldChar w:fldCharType="begin"/>
          </w:r>
          <w:r>
            <w:rPr>
              <w:sz w:val="24"/>
              <w:szCs w:val="24"/>
            </w:rPr>
            <w:instrText xml:space="preserve"> HYPERLINK \l _Toc27506 </w:instrText>
          </w:r>
          <w:r>
            <w:rPr>
              <w:sz w:val="24"/>
              <w:szCs w:val="24"/>
            </w:rPr>
            <w:fldChar w:fldCharType="separate"/>
          </w:r>
          <w:r>
            <w:rPr>
              <w:rFonts w:hint="default" w:ascii="Wingdings" w:hAnsi="Wingdings" w:cs="Times New Roman"/>
              <w:sz w:val="24"/>
              <w:szCs w:val="24"/>
              <w:lang w:val="en-US" w:eastAsia="zh-CN"/>
            </w:rPr>
            <w:t xml:space="preserve"> </w:t>
          </w:r>
          <w:r>
            <w:rPr>
              <w:rFonts w:hint="eastAsia" w:ascii="Times New Roman" w:hAnsi="Times New Roman" w:cs="Times New Roman"/>
              <w:sz w:val="24"/>
              <w:szCs w:val="24"/>
              <w:lang w:val="en-US" w:eastAsia="zh-CN"/>
            </w:rPr>
            <w:t>Adjust positioning</w:t>
          </w:r>
          <w:r>
            <w:rPr>
              <w:sz w:val="24"/>
              <w:szCs w:val="24"/>
            </w:rPr>
            <w:tab/>
          </w:r>
          <w:r>
            <w:rPr>
              <w:sz w:val="24"/>
              <w:szCs w:val="24"/>
            </w:rPr>
            <w:fldChar w:fldCharType="begin"/>
          </w:r>
          <w:r>
            <w:rPr>
              <w:sz w:val="24"/>
              <w:szCs w:val="24"/>
            </w:rPr>
            <w:instrText xml:space="preserve"> PAGEREF _Toc27506 \h </w:instrText>
          </w:r>
          <w:r>
            <w:rPr>
              <w:sz w:val="24"/>
              <w:szCs w:val="24"/>
            </w:rPr>
            <w:fldChar w:fldCharType="separate"/>
          </w:r>
          <w:r>
            <w:rPr>
              <w:sz w:val="24"/>
              <w:szCs w:val="24"/>
            </w:rPr>
            <w:t>16</w:t>
          </w:r>
          <w:r>
            <w:rPr>
              <w:sz w:val="24"/>
              <w:szCs w:val="24"/>
            </w:rPr>
            <w:fldChar w:fldCharType="end"/>
          </w:r>
          <w:r>
            <w:rPr>
              <w:sz w:val="24"/>
              <w:szCs w:val="24"/>
            </w:rPr>
            <w:fldChar w:fldCharType="end"/>
          </w:r>
        </w:p>
        <w:p>
          <w:pPr>
            <w:pStyle w:val="7"/>
            <w:tabs>
              <w:tab w:val="right" w:leader="dot" w:pos="9026"/>
            </w:tabs>
            <w:rPr>
              <w:sz w:val="24"/>
              <w:szCs w:val="24"/>
            </w:rPr>
          </w:pPr>
          <w:r>
            <w:rPr>
              <w:sz w:val="24"/>
              <w:szCs w:val="24"/>
            </w:rPr>
            <w:fldChar w:fldCharType="begin"/>
          </w:r>
          <w:r>
            <w:rPr>
              <w:sz w:val="24"/>
              <w:szCs w:val="24"/>
            </w:rPr>
            <w:instrText xml:space="preserve"> HYPERLINK \l _Toc22994 </w:instrText>
          </w:r>
          <w:r>
            <w:rPr>
              <w:sz w:val="24"/>
              <w:szCs w:val="24"/>
            </w:rPr>
            <w:fldChar w:fldCharType="separate"/>
          </w:r>
          <w:r>
            <w:rPr>
              <w:rFonts w:hint="default" w:ascii="Wingdings" w:hAnsi="Wingdings" w:cs="Times New Roman"/>
              <w:sz w:val="24"/>
              <w:szCs w:val="24"/>
              <w:lang w:val="en-US" w:eastAsia="zh-CN"/>
            </w:rPr>
            <w:t xml:space="preserve"> </w:t>
          </w:r>
          <w:r>
            <w:rPr>
              <w:rFonts w:hint="eastAsia" w:ascii="Times New Roman" w:hAnsi="Times New Roman" w:cs="Times New Roman"/>
              <w:sz w:val="24"/>
              <w:szCs w:val="24"/>
              <w:lang w:val="en-US" w:eastAsia="zh-CN"/>
            </w:rPr>
            <w:t>Matrix management</w:t>
          </w:r>
          <w:r>
            <w:rPr>
              <w:sz w:val="24"/>
              <w:szCs w:val="24"/>
            </w:rPr>
            <w:tab/>
          </w:r>
          <w:r>
            <w:rPr>
              <w:sz w:val="24"/>
              <w:szCs w:val="24"/>
            </w:rPr>
            <w:fldChar w:fldCharType="begin"/>
          </w:r>
          <w:r>
            <w:rPr>
              <w:sz w:val="24"/>
              <w:szCs w:val="24"/>
            </w:rPr>
            <w:instrText xml:space="preserve"> PAGEREF _Toc22994 \h </w:instrText>
          </w:r>
          <w:r>
            <w:rPr>
              <w:sz w:val="24"/>
              <w:szCs w:val="24"/>
            </w:rPr>
            <w:fldChar w:fldCharType="separate"/>
          </w:r>
          <w:r>
            <w:rPr>
              <w:sz w:val="24"/>
              <w:szCs w:val="24"/>
            </w:rPr>
            <w:t>17</w:t>
          </w:r>
          <w:r>
            <w:rPr>
              <w:sz w:val="24"/>
              <w:szCs w:val="24"/>
            </w:rPr>
            <w:fldChar w:fldCharType="end"/>
          </w:r>
          <w:r>
            <w:rPr>
              <w:sz w:val="24"/>
              <w:szCs w:val="24"/>
            </w:rPr>
            <w:fldChar w:fldCharType="end"/>
          </w:r>
        </w:p>
        <w:p>
          <w:pPr>
            <w:pStyle w:val="6"/>
            <w:tabs>
              <w:tab w:val="right" w:leader="dot" w:pos="9026"/>
            </w:tabs>
            <w:rPr>
              <w:sz w:val="24"/>
              <w:szCs w:val="24"/>
            </w:rPr>
          </w:pPr>
          <w:r>
            <w:rPr>
              <w:sz w:val="24"/>
              <w:szCs w:val="24"/>
            </w:rPr>
            <w:fldChar w:fldCharType="begin"/>
          </w:r>
          <w:r>
            <w:rPr>
              <w:sz w:val="24"/>
              <w:szCs w:val="24"/>
            </w:rPr>
            <w:instrText xml:space="preserve"> HYPERLINK \l _Toc987 </w:instrText>
          </w:r>
          <w:r>
            <w:rPr>
              <w:sz w:val="24"/>
              <w:szCs w:val="24"/>
            </w:rPr>
            <w:fldChar w:fldCharType="separate"/>
          </w:r>
          <w:r>
            <w:rPr>
              <w:rFonts w:hint="eastAsia" w:ascii="Times New Roman" w:hAnsi="Times New Roman" w:eastAsia="宋体" w:cs="Times New Roman"/>
              <w:bCs/>
              <w:sz w:val="24"/>
              <w:szCs w:val="24"/>
              <w:lang w:val="en-US" w:eastAsia="zh-CN"/>
            </w:rPr>
            <w:t>5 Conclusion</w:t>
          </w:r>
          <w:r>
            <w:rPr>
              <w:sz w:val="24"/>
              <w:szCs w:val="24"/>
            </w:rPr>
            <w:tab/>
          </w:r>
          <w:r>
            <w:rPr>
              <w:sz w:val="24"/>
              <w:szCs w:val="24"/>
            </w:rPr>
            <w:fldChar w:fldCharType="begin"/>
          </w:r>
          <w:r>
            <w:rPr>
              <w:sz w:val="24"/>
              <w:szCs w:val="24"/>
            </w:rPr>
            <w:instrText xml:space="preserve"> PAGEREF _Toc987 \h </w:instrText>
          </w:r>
          <w:r>
            <w:rPr>
              <w:sz w:val="24"/>
              <w:szCs w:val="24"/>
            </w:rPr>
            <w:fldChar w:fldCharType="separate"/>
          </w:r>
          <w:r>
            <w:rPr>
              <w:sz w:val="24"/>
              <w:szCs w:val="24"/>
            </w:rPr>
            <w:t>18</w:t>
          </w:r>
          <w:r>
            <w:rPr>
              <w:sz w:val="24"/>
              <w:szCs w:val="24"/>
            </w:rPr>
            <w:fldChar w:fldCharType="end"/>
          </w:r>
          <w:r>
            <w:rPr>
              <w:sz w:val="24"/>
              <w:szCs w:val="24"/>
            </w:rPr>
            <w:fldChar w:fldCharType="end"/>
          </w:r>
        </w:p>
        <w:p>
          <w:pPr>
            <w:pStyle w:val="6"/>
            <w:tabs>
              <w:tab w:val="right" w:leader="dot" w:pos="9026"/>
            </w:tabs>
            <w:rPr>
              <w:sz w:val="24"/>
              <w:szCs w:val="24"/>
            </w:rPr>
          </w:pPr>
          <w:r>
            <w:rPr>
              <w:sz w:val="24"/>
              <w:szCs w:val="24"/>
            </w:rPr>
            <w:fldChar w:fldCharType="begin"/>
          </w:r>
          <w:r>
            <w:rPr>
              <w:sz w:val="24"/>
              <w:szCs w:val="24"/>
            </w:rPr>
            <w:instrText xml:space="preserve"> HYPERLINK \l _Toc30066 </w:instrText>
          </w:r>
          <w:r>
            <w:rPr>
              <w:sz w:val="24"/>
              <w:szCs w:val="24"/>
            </w:rPr>
            <w:fldChar w:fldCharType="separate"/>
          </w:r>
          <w:r>
            <w:rPr>
              <w:rFonts w:hint="eastAsia" w:ascii="Times New Roman" w:hAnsi="Times New Roman" w:eastAsia="宋体" w:cs="Times New Roman"/>
              <w:bCs/>
              <w:sz w:val="24"/>
              <w:szCs w:val="24"/>
              <w:lang w:val="en-US" w:eastAsia="zh-CN"/>
            </w:rPr>
            <w:t>6 References</w:t>
          </w:r>
          <w:r>
            <w:rPr>
              <w:sz w:val="24"/>
              <w:szCs w:val="24"/>
            </w:rPr>
            <w:tab/>
          </w:r>
          <w:r>
            <w:rPr>
              <w:sz w:val="24"/>
              <w:szCs w:val="24"/>
            </w:rPr>
            <w:fldChar w:fldCharType="begin"/>
          </w:r>
          <w:r>
            <w:rPr>
              <w:sz w:val="24"/>
              <w:szCs w:val="24"/>
            </w:rPr>
            <w:instrText xml:space="preserve"> PAGEREF _Toc30066 \h </w:instrText>
          </w:r>
          <w:r>
            <w:rPr>
              <w:sz w:val="24"/>
              <w:szCs w:val="24"/>
            </w:rPr>
            <w:fldChar w:fldCharType="separate"/>
          </w:r>
          <w:r>
            <w:rPr>
              <w:sz w:val="24"/>
              <w:szCs w:val="24"/>
            </w:rPr>
            <w:t>18</w:t>
          </w:r>
          <w:r>
            <w:rPr>
              <w:sz w:val="24"/>
              <w:szCs w:val="24"/>
            </w:rPr>
            <w:fldChar w:fldCharType="end"/>
          </w:r>
          <w:r>
            <w:rPr>
              <w:sz w:val="24"/>
              <w:szCs w:val="24"/>
            </w:rPr>
            <w:fldChar w:fldCharType="end"/>
          </w:r>
        </w:p>
        <w:p>
          <w:pPr>
            <w:rPr>
              <w:sz w:val="24"/>
              <w:szCs w:val="24"/>
            </w:rPr>
          </w:pPr>
          <w:r>
            <w:rPr>
              <w:sz w:val="24"/>
              <w:szCs w:val="24"/>
            </w:rPr>
            <w:fldChar w:fldCharType="end"/>
          </w:r>
        </w:p>
      </w:sdtContent>
    </w:sdt>
    <w:p>
      <w:pPr>
        <w:keepNext w:val="0"/>
        <w:keepLines w:val="0"/>
        <w:pageBreakBefore w:val="0"/>
        <w:widowControl/>
        <w:kinsoku/>
        <w:wordWrap/>
        <w:overflowPunct/>
        <w:topLinePunct w:val="0"/>
        <w:autoSpaceDE/>
        <w:autoSpaceDN/>
        <w:bidi w:val="0"/>
        <w:adjustRightInd/>
        <w:snapToGrid/>
        <w:spacing w:line="480" w:lineRule="auto"/>
        <w:ind w:firstLine="480" w:firstLineChars="200"/>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br w:type="page"/>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eastAsia" w:ascii="Times New Roman" w:hAnsi="Times New Roman" w:eastAsia="宋体" w:cs="Times New Roman"/>
          <w:b/>
          <w:bCs/>
          <w:sz w:val="24"/>
          <w:szCs w:val="24"/>
          <w:lang w:val="en-US" w:eastAsia="zh-CN"/>
        </w:rPr>
      </w:pPr>
      <w:bookmarkStart w:id="5" w:name="_Toc32254"/>
      <w:r>
        <w:rPr>
          <w:rFonts w:hint="default" w:ascii="Times New Roman" w:hAnsi="Times New Roman" w:cs="Times New Roman"/>
          <w:b/>
          <w:bCs/>
          <w:sz w:val="24"/>
          <w:szCs w:val="24"/>
        </w:rPr>
        <w:t xml:space="preserve">1 </w:t>
      </w:r>
      <w:r>
        <w:rPr>
          <w:rFonts w:hint="eastAsia" w:ascii="Times New Roman" w:hAnsi="Times New Roman" w:eastAsia="宋体" w:cs="Times New Roman"/>
          <w:b/>
          <w:bCs/>
          <w:sz w:val="24"/>
          <w:szCs w:val="24"/>
          <w:lang w:val="en-US" w:eastAsia="zh-CN"/>
        </w:rPr>
        <w:t>Introduction</w:t>
      </w:r>
      <w:bookmarkEnd w:id="5"/>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Looking at the history of Ford Motor Company, we can see that Ford Motor Company has always been an international company. Within the first 10 years of its establishment, its cars have been sold to Europe, South Africa and Asia (McKinsey, 2020).</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Ford Motor Company was founded in 1903. A few weeks after its establishment, the company delivered a Model A car to a customer in Canada. In 1908, the Ford Model T, produced by Ford Motor Company, came out. It was the first car for ordinary people. Since then, it has also opened the prelude to the world automobile revolution. In the same year, Ford's first overseas sales agency, the Paris sales agency, was established. In the early days, Ford's development was through continuous improvement of its single product - sedan. The Model T sedan manufactured in 1908 is a considerable improvement over all previous models. In its first year of production, it sold more than 10000 vehicles. In 1927, the Model T sedan began to lose the market to its competitors. Ford also introduced the A sedan, which is popular with several body styles and colors. When the Model A sedan began to lose its market to its competitors, in 1932, Ford Motor Company introduced the V-8 car. Six years later, in 1938, Mercury became a breakthrough for Ford Motor Company to develop the mid-range car market. Ford Motor Company also expanded its regional scope. Its entry into the Canadian market in 1904 proved this. Also in its early development, Ford adopted the concentric diversification strategy. In 1917, it began to produce trucks and tractors, and in 1922, it acquired Lincoln Motor Company.</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Therefore, at the request of stakeholders, this report limits the scope of discussion to the main part of the Asia Pacific region composed of three major countries, China, Thailand and India.</w:t>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eastAsia" w:ascii="Times New Roman" w:hAnsi="Times New Roman" w:eastAsia="宋体" w:cs="Times New Roman"/>
          <w:b/>
          <w:bCs/>
          <w:sz w:val="24"/>
          <w:szCs w:val="24"/>
          <w:lang w:val="en-US" w:eastAsia="zh-CN"/>
        </w:rPr>
      </w:pPr>
      <w:bookmarkStart w:id="6" w:name="_Toc29567"/>
      <w:r>
        <w:rPr>
          <w:rFonts w:hint="eastAsia" w:ascii="Times New Roman" w:hAnsi="Times New Roman" w:eastAsia="宋体" w:cs="Times New Roman"/>
          <w:b/>
          <w:bCs/>
          <w:sz w:val="24"/>
          <w:szCs w:val="24"/>
          <w:lang w:val="en-US" w:eastAsia="zh-CN"/>
        </w:rPr>
        <w:t>2 Comprehensive strategic analysis including internal and external</w:t>
      </w:r>
      <w:bookmarkEnd w:id="6"/>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Facing the challenge of "global competition" and </w:t>
      </w:r>
      <w:r>
        <w:rPr>
          <w:rFonts w:hint="eastAsia" w:ascii="Times New Roman" w:hAnsi="Times New Roman" w:cs="Times New Roman"/>
          <w:sz w:val="24"/>
          <w:szCs w:val="24"/>
          <w:lang w:val="en-US" w:eastAsia="zh-CN"/>
        </w:rPr>
        <w:t>COVID</w:t>
      </w:r>
      <w:r>
        <w:rPr>
          <w:rFonts w:hint="default" w:ascii="Times New Roman" w:hAnsi="Times New Roman" w:cs="Times New Roman"/>
          <w:sz w:val="24"/>
          <w:szCs w:val="24"/>
          <w:lang w:val="en-US" w:eastAsia="zh-CN"/>
        </w:rPr>
        <w:t>-19, Ford, which accounts for 12.9% of the global automobile market share, believes that only the "core" is outstanding and easy to win the competition (Ford, 2022). According to recent media reports, the recent development of American automobile industry has also encountered difficulties due to the general economic weakness and the impact of terrorist incidents. In order to eliminate difficulties as soon as possible and meet the challenge of "global competition", Ford has carried out various integrations of its employees, institutions and products since the second half of 2001, in order to strengthen its core business and reduce costs vigorously. At the same time, she adjusted her business strategy around the world. Therefore, the team made a comprehensive analysis and understanding of Ford's strategy (Chesterton, 2018).</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outlineLvl w:val="1"/>
        <w:rPr>
          <w:rFonts w:hint="eastAsia" w:ascii="Times New Roman" w:hAnsi="Times New Roman" w:cs="Times New Roman"/>
          <w:sz w:val="24"/>
          <w:szCs w:val="24"/>
          <w:lang w:val="en-US" w:eastAsia="zh-CN"/>
        </w:rPr>
      </w:pPr>
      <w:bookmarkStart w:id="7" w:name="_Toc5442"/>
      <w:r>
        <w:rPr>
          <w:rFonts w:hint="eastAsia" w:ascii="Times New Roman" w:hAnsi="Times New Roman" w:cs="Times New Roman"/>
          <w:sz w:val="24"/>
          <w:szCs w:val="24"/>
          <w:lang w:val="en-US" w:eastAsia="zh-CN"/>
        </w:rPr>
        <w:t>2.1 Macro environment analysis</w:t>
      </w:r>
      <w:bookmarkEnd w:id="7"/>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0" w:leftChars="0" w:hanging="420" w:firstLineChars="0"/>
        <w:jc w:val="both"/>
        <w:textAlignment w:val="auto"/>
        <w:outlineLvl w:val="2"/>
        <w:rPr>
          <w:rFonts w:hint="eastAsia" w:ascii="Times New Roman" w:hAnsi="Times New Roman" w:cs="Times New Roman"/>
          <w:sz w:val="24"/>
          <w:szCs w:val="24"/>
          <w:lang w:val="en-US" w:eastAsia="zh-CN"/>
        </w:rPr>
      </w:pPr>
      <w:bookmarkStart w:id="8" w:name="_Toc11990"/>
      <w:r>
        <w:rPr>
          <w:rFonts w:hint="eastAsia" w:ascii="Times New Roman" w:hAnsi="Times New Roman" w:cs="Times New Roman"/>
          <w:sz w:val="24"/>
          <w:szCs w:val="24"/>
          <w:lang w:val="en-US" w:eastAsia="zh-CN"/>
        </w:rPr>
        <w:t>Political environment</w:t>
      </w:r>
      <w:bookmarkEnd w:id="8"/>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Take China, the region with the largest sales volume of Ford Motor in the world, for example, where automobile emission standards have been significantly revised to promote the sales volume of various electric vehicles. China has also formulated a comprehensive framework to urge vehicle manufacturers to achieve the market share targets of 7% in 2020 and 19% in 2025 for pure electric hybrid vehicles and plug-in hybrid vehicles, and further reduce it to 3.2 liters/100km in 2030 (McKinsey, 2020). In fact, for many important cities in the world, they use green energy as a screening method for cars. For example, some countries will prohibit large diesel powered heavy trucks from entering urban areas, bringing more urban pollution. Therefore, from this perspective, the future electric transformation and clean energy transformation are the inevitable trend of the automobile industry, which is a great challenge and opportunity for Ford Motor.</w:t>
      </w: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0" w:leftChars="0" w:hanging="420" w:firstLineChars="0"/>
        <w:jc w:val="both"/>
        <w:textAlignment w:val="auto"/>
        <w:outlineLvl w:val="2"/>
        <w:rPr>
          <w:rFonts w:hint="eastAsia" w:ascii="Times New Roman" w:hAnsi="Times New Roman" w:cs="Times New Roman"/>
          <w:sz w:val="24"/>
          <w:szCs w:val="24"/>
          <w:lang w:val="en-US" w:eastAsia="zh-CN"/>
        </w:rPr>
      </w:pPr>
      <w:bookmarkStart w:id="9" w:name="_Toc5230"/>
      <w:r>
        <w:rPr>
          <w:rFonts w:hint="eastAsia" w:ascii="Times New Roman" w:hAnsi="Times New Roman" w:cs="Times New Roman"/>
          <w:sz w:val="24"/>
          <w:szCs w:val="24"/>
          <w:lang w:val="en-US" w:eastAsia="zh-CN"/>
        </w:rPr>
        <w:t>Economic environment</w:t>
      </w:r>
      <w:bookmarkEnd w:id="9"/>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According to the data released on the official website of Ford Motor, from 2012 to 2015, although the growth rate of the consumer price index decreased year by year, the annual index still exceeded 100 (January 2012). It is generally believed that the amount spent on buying an item is more than the amount spent on buying the same item in the previous year. However, by observing the producer price index of the automobile manufacturing industry, we find that the annual value of the index is less than 100 (Chesterton, 2018). This also shows the dilemma of Ford Motor - the huge competitive pressure and the unknown road of automobile development. Producers are lowering the price of their products every year. Combined with these two things, we can roughly believe that the profit space of automobile manufacturers like Ford has been further compressed, which will be an important issue in their strategic adjustment.</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the passenger car market with more consumers, Ford's SUV sales growth is the most prominent, growing with MPV. But looking at the world environment, under the influence of COVID-19, the automobile industry has experienced a short period of negative growth, which is rare. What we are more aware of is that since 2009, the global automobile market is in a rapid development stage. From 2009 to 2014, many consumers completed the first vehicle configuration (JAN, 2012). Basically, for most consumers, simple buses are the first choice. In the next few years, the basic automobile market has reached a certain degree of saturation, which is reflected in the increasing replacement and upgrading needs of automobile consumers since 2014. Ford's SUV and MPV models have met the specific needs of consumers for replacement and upgrading (McKinsey, 2020). Although it still cannot catch up with basic passenger cars in absolute value, it is also a possible way for automobile manufacturers, There will be more competitors on this track. For Ford, it remains to be seen whether the impact is good or bad.</w:t>
      </w: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0" w:leftChars="0" w:hanging="420" w:firstLineChars="0"/>
        <w:jc w:val="both"/>
        <w:textAlignment w:val="auto"/>
        <w:outlineLvl w:val="2"/>
        <w:rPr>
          <w:rFonts w:hint="eastAsia" w:ascii="Times New Roman" w:hAnsi="Times New Roman" w:cs="Times New Roman"/>
          <w:sz w:val="24"/>
          <w:szCs w:val="24"/>
          <w:lang w:val="en-US" w:eastAsia="zh-CN"/>
        </w:rPr>
      </w:pPr>
      <w:bookmarkStart w:id="10" w:name="_Toc32732"/>
      <w:r>
        <w:rPr>
          <w:rFonts w:hint="eastAsia" w:ascii="Times New Roman" w:hAnsi="Times New Roman" w:cs="Times New Roman"/>
          <w:sz w:val="24"/>
          <w:szCs w:val="24"/>
          <w:lang w:val="en-US" w:eastAsia="zh-CN"/>
        </w:rPr>
        <w:t>Social and cultural environment</w:t>
      </w:r>
      <w:bookmarkEnd w:id="10"/>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Still based on the population data collected by Ford in their strategic planning, we can find that the total population growth in the Asia Pacific region, represented by China, remains at about 7 million new people each year. However, the significant increase in urban population and the significant decline in rural population are the overall trend of the past 5-6 years. It is predicted that this trend will continue in the next five years. The rising dependency ratio of the elderly in other countries in the world shows that the world society has begun to generally transition to an aging social demographic structure. The decline of population has a huge impact on the purchasing power of automobiles.</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addition, our team also learned that McKinsey &amp; Company conducted an automobile consumption survey on more than 3,000 automobile consumers around the world in 2016. Consumption habits will change as follows: On the one hand, in the car purchase market, the appeal of the corresponding private cars will decline. Many car consumers say (about 50%) that cars are necessities, but only one third of them say they need to buy a private car because mobile and shared travel are becoming more and more popular. According to a survey, about 37% of respondents believe that private cars are not a necessary choice, and they prefer to reduce energy consumption and household expenditure by sharing cars. However, the emergence of COVID-19 may have an important impact on this idea. In order to avoid infection as much as possible, 70% of people want to buy a car of their own, but 37% of consumers say they will buy a used car because the price of used cars is very cheap, and they can buy a better car with the same budget. In addition, when asked if they want to upgrade the next car, and their purchase preference is Ford, more than half of consumers plan to upgrade: 37% plan to buy a better brand instead of Ford, and 16% plan to buy a better model of Ford (Chesterton, 2018). These data fully show people's preferences for automobile consumption, and such preferences will also change with people's changes in the automobile market and external environment. Therefore, for Ford's strategic choice, it means that Ford's stakeholders and strategic decision makers must have a certain sensitivity to adjust and update the automobile marketing and R&amp;D strategies in a timely manner according to the changes in the market.</w:t>
      </w: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0" w:leftChars="0" w:hanging="420" w:firstLineChars="0"/>
        <w:jc w:val="both"/>
        <w:textAlignment w:val="auto"/>
        <w:outlineLvl w:val="2"/>
        <w:rPr>
          <w:rFonts w:hint="eastAsia" w:ascii="Times New Roman" w:hAnsi="Times New Roman" w:cs="Times New Roman"/>
          <w:sz w:val="24"/>
          <w:szCs w:val="24"/>
          <w:lang w:val="en-US" w:eastAsia="zh-CN"/>
        </w:rPr>
      </w:pPr>
      <w:bookmarkStart w:id="11" w:name="_Toc3935"/>
      <w:r>
        <w:rPr>
          <w:rFonts w:hint="eastAsia" w:ascii="Times New Roman" w:hAnsi="Times New Roman" w:cs="Times New Roman"/>
          <w:sz w:val="24"/>
          <w:szCs w:val="24"/>
          <w:lang w:val="en-US" w:eastAsia="zh-CN"/>
        </w:rPr>
        <w:t>Technical environment</w:t>
      </w:r>
      <w:bookmarkEnd w:id="11"/>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With regard to the total amount of new energy automobile industry, China has established a leading position, mainly because the market is growing rapidly and battery manufacturing has obvious advantages. In China, more than 90% of lithium batteries are produced locally. On the one hand, government subsidies are limited to enterprises that create value for the local market. On the other hand, foreign battery manufacturers are unable to build factories in China due to qualification restrictions. Compared with China, Japan is at a disadvantage in electric vehicle production, and its share in the world battery production has dropped to the third place, while the United States ranks second. But as far as vehicle manufacturing technology is concerned, the R&amp;D capability of Chinese automobile manufacturers is relatively weak. At present, they are mainly located in low-tech areas, which is a rare opportunity for Ford (McKinsey, 2020).</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Another sales area of Ford in India, the automobile industry has grown. The government will continue to support R&amp;D and encourage investment in the automobile industry. The Indian government has also made a lot of efforts in their automobile industry, and they hope to continuously promote the National Automobile Testing and Research and Development Infrastructure Project (NATRIP) proposed by them to promote the transformation of electric vehicles and new energy vehicles. Although few global organizations will not choose India as their R&amp;D center, due to India's rich population resources and preferential tax policies, many automobile manufacturers hope to expand their own markets in India, including Ford Motor. Ford Motor will focus on green R&amp;D and clean energy before 2030. Such strategic planning will not only help to update the interests of Ford Motor, but also help the development of the automobile industry in the Indian market. It will also be of positive significance to serve the local market and reduce buyer costs.</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outlineLvl w:val="1"/>
        <w:rPr>
          <w:rFonts w:hint="eastAsia" w:ascii="Times New Roman" w:hAnsi="Times New Roman" w:cs="Times New Roman"/>
          <w:sz w:val="24"/>
          <w:szCs w:val="24"/>
          <w:lang w:val="en-US" w:eastAsia="zh-CN"/>
        </w:rPr>
      </w:pPr>
      <w:bookmarkStart w:id="12" w:name="_Toc14370"/>
      <w:r>
        <w:rPr>
          <w:rFonts w:hint="eastAsia" w:ascii="Times New Roman" w:hAnsi="Times New Roman" w:cs="Times New Roman"/>
          <w:sz w:val="24"/>
          <w:szCs w:val="24"/>
          <w:lang w:val="en-US" w:eastAsia="zh-CN"/>
        </w:rPr>
        <w:t>2.2 Micro strategic analysis</w:t>
      </w:r>
      <w:bookmarkEnd w:id="12"/>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0" w:leftChars="0" w:hanging="420" w:firstLineChars="0"/>
        <w:jc w:val="both"/>
        <w:textAlignment w:val="auto"/>
        <w:outlineLvl w:val="2"/>
        <w:rPr>
          <w:rFonts w:hint="eastAsia" w:ascii="Times New Roman" w:hAnsi="Times New Roman" w:cs="Times New Roman"/>
          <w:sz w:val="24"/>
          <w:szCs w:val="24"/>
          <w:lang w:val="en-US" w:eastAsia="zh-CN"/>
        </w:rPr>
      </w:pPr>
      <w:bookmarkStart w:id="13" w:name="_Toc4576"/>
      <w:r>
        <w:rPr>
          <w:rFonts w:hint="eastAsia" w:ascii="Times New Roman" w:hAnsi="Times New Roman" w:cs="Times New Roman"/>
          <w:sz w:val="24"/>
          <w:szCs w:val="24"/>
          <w:lang w:val="en-US" w:eastAsia="zh-CN"/>
        </w:rPr>
        <w:t>Strength</w:t>
      </w:r>
      <w:bookmarkEnd w:id="13"/>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China, Ford Motor Company established Changan Ford Motor Company Limited. Ltd. entered the China automobile market through joint venture with Changan Automobile Group. Changan Ford has five automobile factories, two motor factories and one transmission system factory in China. These five factories are located in Chongqing (central and western regions), Hangzhou (southeast coast) and Harbin (north), covering more developed provinces and cities in China. Changan Ford has an extensive dealer network with 850 dealers all over the country. In 2016, 944,000 cars were produced and sold, an increase of 14% compared with 830,000 cars in 2015. Products cover all levels of automobiles, compact SUVs and urban SUVs. Ford Motor Company also holds a 32% stake in Gangneung Automobile Co., Ltd.. , through a joint venture with Jiangling Group. Jiangling Motors mainly produces Ford brand Quanshun commercial vehicles and Ford full-size SUV launched in 2015 (Chesterton, 2018). Ford Quanshun Commercial Vehicle has been a great success in the field of commercial vehicles. Considering the Ford product lines of Changan Ford and Jiangling Electric, as well as the Ford Mustang and Lincoln models imported this year, the Ford Motor Company's product line in China is relatively complete. Ford Motor Company has a 100% R&amp;D center in China to develop products for China market and Asia-Pacific market. Ford Forester was developed by China Ford Research Center, aiming at the characteristics of China consumers, and immediately became a best-selling model, supporting Changan Ford's sales with the classic Ford focus. The sales volume of Forrest model alone in 2016 was close to 300. In 2000, it accounted for 32% of the total annual sales of Changan Ford.</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As China automobile market plays an important role in the global automobile market, if Ford Motor Company and China develop the same models in other regions at the same time, Changan Ford can take advantage of Changan Ford's advantages in China automobile market to obtain lower prices of parts suppliers.</w:t>
      </w: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0" w:leftChars="0" w:hanging="420" w:firstLineChars="0"/>
        <w:jc w:val="both"/>
        <w:textAlignment w:val="auto"/>
        <w:outlineLvl w:val="2"/>
        <w:rPr>
          <w:rFonts w:hint="eastAsia" w:ascii="Times New Roman" w:hAnsi="Times New Roman" w:cs="Times New Roman"/>
          <w:sz w:val="24"/>
          <w:szCs w:val="24"/>
          <w:lang w:val="en-US" w:eastAsia="zh-CN"/>
        </w:rPr>
      </w:pPr>
      <w:bookmarkStart w:id="14" w:name="_Toc15041"/>
      <w:r>
        <w:rPr>
          <w:rFonts w:hint="eastAsia" w:ascii="Times New Roman" w:hAnsi="Times New Roman" w:cs="Times New Roman"/>
          <w:sz w:val="24"/>
          <w:szCs w:val="24"/>
          <w:lang w:val="en-US" w:eastAsia="zh-CN"/>
        </w:rPr>
        <w:t>Weakness</w:t>
      </w:r>
      <w:bookmarkEnd w:id="14"/>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Compared with Volkswagen and General Motors, Ford later entered the China market. After Volkswagen opened up the China market with Santana in the early years, Ford Motor Company had no new models except the old Ford Fiesta. Until the emergence of classic Ford Focus in 2006, Ford brand was gradually familiar to consumers in China market. Ford also enriched its China models through its 1515 Asia-Pacific Plan (15 models will be put into production by the end of 2015). Although the product line covers a wide range of products, the products at all levels are relatively single, and the maintenance speed of products is obviously slower than that of other large domestic manufacturers. In today's highly competitive automobile market, Ford has no strong competitive advantage. At the end of 2015, Ford Motor Company's share in China's automobile market was the same as that of 2014, which was 4.5%. The improvement of enterprise development benefited from the development of the whole automobile industry (Chesterton, 2018).</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Ford Motor Company's model in developing countries such as China is basically a global synchronous development model (except Ford Focus), which is not specially designed for China market. In the process of cooperation with Changan Ford, Ford Motor Company also has a strong voice in technology research and development. As the design and development of most products of Ford Motor Company are mainly concentrated in North America, Europe or other regions, the parent company of Ford Motor Company requires Changan Ford to choose suppliers as strategic partners of Ford Motor Company's parent company in the process of purchasing many components, which brings certain cost pressure. In addition, in recent years, Ford Motor Company has introduced more full-service suppliers (suppliers provide design solutions) in the product design process, thus weakening the bargaining power of Ford Motor Company in the parts manufacturing process. All these have brought extra cost pressure to Changan Ford Motor Company to manufacture Ford brand cars.</w:t>
      </w: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0" w:leftChars="0" w:hanging="420" w:firstLineChars="0"/>
        <w:jc w:val="both"/>
        <w:textAlignment w:val="auto"/>
        <w:outlineLvl w:val="2"/>
        <w:rPr>
          <w:rFonts w:hint="eastAsia" w:ascii="Times New Roman" w:hAnsi="Times New Roman" w:cs="Times New Roman"/>
          <w:sz w:val="24"/>
          <w:szCs w:val="24"/>
          <w:lang w:val="en-US" w:eastAsia="zh-CN"/>
        </w:rPr>
      </w:pPr>
      <w:bookmarkStart w:id="15" w:name="_Toc18236"/>
      <w:r>
        <w:rPr>
          <w:rFonts w:hint="eastAsia" w:ascii="Times New Roman" w:hAnsi="Times New Roman" w:cs="Times New Roman"/>
          <w:sz w:val="24"/>
          <w:szCs w:val="24"/>
          <w:lang w:val="en-US" w:eastAsia="zh-CN"/>
        </w:rPr>
        <w:t>Opportunity</w:t>
      </w:r>
      <w:bookmarkEnd w:id="15"/>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Ford brand started late in the automobile market of developing countries such as China. At present, Ford Motor is a US funded multinational automobile enterprise that exports the most cars to China every year. This McKinsey survey found that from 2016 to 2020, Ford Motor Company exported nearly 77 billion yuan of finished vehicles and parts to China. Taking Lincoln as an example, Ford has brought three domestic Lincoln luxury models to Chinese consumers within two years. Among them, the sales of adventurers in China have surpassed that in the US market, with a year-on-year growth of 67.8% in the first three quarters of this year. Globally, Ford is significantly increasing its investment in electrification. By the end of 2025, the company will invest more than 30 billion dollars in electrification business; It is estimated that by 2030, pure electric vehicles will account for 40% - 50% of Ford's global sales. In 2030, Lincoln will realize the electrification of all models in the global market. In terms of product development, Ford has invested in establishing a new energy vehicle research and development center in China. Relying on the resources and advantages of Ford China's original product development center in Nanjing, Ford focuses on R&amp;D, planning and development of new energy products and technologies that are more suitable for Chinese consumers. In terms of sales mode, Ford Select, the exclusive brand of electric vehicles, was launched to create a direct marketing channel for electric vehicles directly facing consumers and create a differentiated user experience. Cheng Junhua introduced that Ford plans to open 25 city showrooms for direct sales of electric vehicles within the year and 100 in the next five years. (McKinsey, 2020).</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pace of research and development of new energy vehicle technology in the world, including independent brand enterprises in China, is similar at present. Try all kinds of hybrid pure electric vehicle products. The future winners of the new energy automobile era will be those who can play a leading role in this area and set industry standards.</w:t>
      </w: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0" w:leftChars="0" w:hanging="420" w:firstLineChars="0"/>
        <w:jc w:val="both"/>
        <w:textAlignment w:val="auto"/>
        <w:outlineLvl w:val="2"/>
        <w:rPr>
          <w:rFonts w:hint="eastAsia" w:ascii="Times New Roman" w:hAnsi="Times New Roman" w:cs="Times New Roman"/>
          <w:sz w:val="24"/>
          <w:szCs w:val="24"/>
          <w:lang w:val="en-US" w:eastAsia="zh-CN"/>
        </w:rPr>
      </w:pPr>
      <w:bookmarkStart w:id="16" w:name="_Toc20517"/>
      <w:r>
        <w:rPr>
          <w:rFonts w:hint="eastAsia" w:ascii="Times New Roman" w:hAnsi="Times New Roman" w:cs="Times New Roman"/>
          <w:sz w:val="24"/>
          <w:szCs w:val="24"/>
          <w:lang w:val="en-US" w:eastAsia="zh-CN"/>
        </w:rPr>
        <w:t>Threat</w:t>
      </w:r>
      <w:bookmarkEnd w:id="16"/>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the China automobile market, Ford cannot compete with Volkswagen and General Motors, which have the same brand positioning in product diversity and market share. At the low end of the car, Ford Motor Company can't compare with China's own brand in sales price and market share.</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Ford's frustration occurred in the critical period of the global automotive industry reform: Tesla Model 3's sales crushed a number of traditional luxury cars such as Mercedes Benz and BMW, Google's driverless taxis began to be commercially available, Didi Uber and other travel companies had hundreds of millions of users, Apple and other technology companies invaded the automotive industry in a large scale... All traditional car companies were forced to the crossroads of their destiny. For Ford, new fields such as automatic driving and electric vehicles have not made significant progress here, while the traditional fuel vehicle business there has been seriously frustrated, and its hematopoietic capacity has been seriously threatened... If Ford cannot resolve this crisis, it will have to drive into the museum in the future to show its history of the T-car to future generations forever. (Chesterton, 2018) In the 2008 financial crisis, both GM and Ford faced serious difficulties. However, after government support and enterprise self-help, the American system began to recover (Chrysler and Fiat, an Italian car company, merged into Fiat Chrysler to recover). Ford's serious setback in China involves many reasons, such as market situation, operation management, tax policy, product strategy, etc. But from the perspective of the East and the West, Ford and its luxury brand Lincoln's models are slowly updated, and the slow production of new models is the most direct reason. In addition, COVID-19 virus in 2019 also poses a serious threat to Ford's development and green transformation.</w:t>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eastAsia="宋体" w:cs="Times New Roman"/>
          <w:b/>
          <w:bCs/>
          <w:sz w:val="24"/>
          <w:szCs w:val="24"/>
          <w:lang w:val="en-US" w:eastAsia="zh-CN"/>
        </w:rPr>
      </w:pPr>
      <w:bookmarkStart w:id="17" w:name="_Toc8016"/>
      <w:r>
        <w:rPr>
          <w:rFonts w:hint="eastAsia" w:ascii="Times New Roman" w:hAnsi="Times New Roman" w:eastAsia="宋体" w:cs="Times New Roman"/>
          <w:b/>
          <w:bCs/>
          <w:sz w:val="24"/>
          <w:szCs w:val="24"/>
          <w:lang w:val="en-US" w:eastAsia="zh-CN"/>
        </w:rPr>
        <w:t>3 Assessment of strategic options</w:t>
      </w:r>
      <w:bookmarkEnd w:id="17"/>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the introduction before this report, we can see that Ford Motor Company has made good achievements in the development of the Asia Pacific region in the past few years. However, if we study it carefully, we will find that the achievements are mainly due to the rapid development of the Chinese market. However, with the development of China's economy, the major auto enterprises have delivered good performance reports from 2010 to 2015. Looking at other major markets in the Asia Pacific region, India and the ASEAN region around Thailand, Thailand's earnings mainly benefited from the high profit pickup trucks for single cars, while the continued losses in the Indian market dragged down Ford's performance in the Asia Pacific region. Based on the analysis of the previous chapters, we found that Ford Motor Company's highest sales model in the Chinese market is Ford Forrest, which is developed in China, and the best-selling pickup truck in Thailand is Ranger, which is developed by Ford Motor's local team in Asia Pacific (Australia and China). At present, all the models developed in the Indian market are products under the globalization platform. If you look at Maruti Suzuki, the car company with the highest proportion in the entire Indian market, the models developed by it are very consistent with the needs of the Indian market. Based on the above observation and analysis, it is found that the main problems in the existing strategic layout are as follows: the imbalance of markets in the Asia Pacific region, the difference between product positioning and customer demand in the market, and the over concentration of vertical management of the organizational structure.</w:t>
      </w: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0" w:leftChars="0" w:hanging="420" w:firstLineChars="0"/>
        <w:jc w:val="both"/>
        <w:textAlignment w:val="auto"/>
        <w:outlineLvl w:val="1"/>
        <w:rPr>
          <w:rFonts w:hint="default" w:ascii="Times New Roman" w:hAnsi="Times New Roman" w:cs="Times New Roman"/>
          <w:sz w:val="24"/>
          <w:szCs w:val="24"/>
          <w:lang w:val="en-US" w:eastAsia="zh-CN"/>
        </w:rPr>
      </w:pPr>
      <w:bookmarkStart w:id="18" w:name="_Toc21836"/>
      <w:r>
        <w:rPr>
          <w:rFonts w:hint="default" w:ascii="Times New Roman" w:hAnsi="Times New Roman" w:cs="Times New Roman"/>
          <w:sz w:val="24"/>
          <w:szCs w:val="24"/>
          <w:lang w:val="en-US" w:eastAsia="zh-CN"/>
        </w:rPr>
        <w:t>Market disequilibrium</w:t>
      </w:r>
      <w:bookmarkEnd w:id="18"/>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the whole year of 2016, Ford Motor made profits of US $10.4 billion, operating profit margin of 6.7%, net income of US $4.6 billion, adjusted earnings per share of US $1.76 and cash flow of US $6.4 billion. The overall sales volume in the global market was about 6.6 million units, unchanged from the previous year. The profit before tax reached 10.4 billion US dollars, the second best achievement in the history of Ford Motor. Of the $10.4 billion in pre tax profit, the pre tax profit from the main business, the automobile business, was $9.4 billion. The performance of the North American business unit was very strong, accounting for 9 billion of the 9.4 billion dollars. South America lost 1.1 billion yuan. The European market reversed the previous years' decline and made a profit of 1.2 billion dollars</w:t>
      </w:r>
      <w:r>
        <w:rPr>
          <w:rFonts w:hint="eastAsia" w:ascii="Times New Roman" w:hAnsi="Times New Roman" w:cs="Times New Roman"/>
          <w:sz w:val="24"/>
          <w:szCs w:val="24"/>
          <w:lang w:val="en-US" w:eastAsia="zh-CN"/>
        </w:rPr>
        <w:t xml:space="preserve"> (McKinsey, 2020)</w:t>
      </w:r>
      <w:r>
        <w:rPr>
          <w:rFonts w:hint="default" w:ascii="Times New Roman" w:hAnsi="Times New Roman" w:cs="Times New Roman"/>
          <w:sz w:val="24"/>
          <w:szCs w:val="24"/>
          <w:lang w:val="en-US" w:eastAsia="zh-CN"/>
        </w:rPr>
        <w:t>. The Middle East and Africa suffered a loss of 300 million yuan. The profit of 600 million yuan in the Asia-Pacific region is the second highest in the history of the region. Profits in the Asia-Pacific region mainly come from the China market. In the highly competitive Indian market, the market share is only 2%, causing losses. This imbalance makes Ford Motor Company's performance in the Asia-Pacific region too dependent on the China market. After the bubble growth of China market in the past decade, with the slowdown of GDP growth in China, the growth of automobile industry is also slowing down. In this case, if the profitability of other markets in the Asia-Pacific region cannot be improved, the overall profitability of Ford Motor Company in the Asia-Pacific region will be quickly affected.</w:t>
      </w: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0" w:leftChars="0" w:hanging="420" w:firstLineChars="0"/>
        <w:jc w:val="both"/>
        <w:textAlignment w:val="auto"/>
        <w:outlineLvl w:val="1"/>
        <w:rPr>
          <w:rFonts w:hint="eastAsia" w:ascii="Times New Roman" w:hAnsi="Times New Roman" w:cs="Times New Roman"/>
          <w:sz w:val="24"/>
          <w:szCs w:val="24"/>
          <w:lang w:val="en-US" w:eastAsia="zh-CN"/>
        </w:rPr>
      </w:pPr>
      <w:bookmarkStart w:id="19" w:name="_Toc25937"/>
      <w:r>
        <w:rPr>
          <w:rFonts w:hint="eastAsia" w:ascii="Times New Roman" w:hAnsi="Times New Roman" w:cs="Times New Roman"/>
          <w:sz w:val="24"/>
          <w:szCs w:val="24"/>
          <w:lang w:val="en-US" w:eastAsia="zh-CN"/>
        </w:rPr>
        <w:t>Customer needs do not match</w:t>
      </w:r>
      <w:bookmarkEnd w:id="19"/>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Pay attention to the product layout of Ford Motor Company in the Asia-Pacific region. Against the background of 6% annual GDP growth rate, the growth rate of Indian automobile market has not slowed down. In this booming but highly competitive automobile market, Ford Motor Company has not made much profit. Compared with the best-selling models on the market, the models introduced by Ford also belong to this best-selling model. It has prevented automobile giants all over the world from entering the Indian automobile market for many years, but he is still in such an awkward position that his profitability is worrying. Because the models entering the Indian automobile market are not designed and improved according to the unique needs of Indian consumers. Suzuki is also a foreign brand. After fully understanding and studying India's domestic market, it has developed a series of models for India's domestic market, fully considered the important factors of consumers' price sensitivity, studied customers' requirements for automobile functions, and developed low-cost products with low prices in the Indian market and popular with consumers. Suzuki occupies the first market share in the Indian passenger car market, accounting for about 40%.</w:t>
      </w: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0" w:leftChars="0" w:hanging="420" w:firstLineChars="0"/>
        <w:jc w:val="both"/>
        <w:textAlignment w:val="auto"/>
        <w:outlineLvl w:val="1"/>
        <w:rPr>
          <w:rFonts w:hint="eastAsia" w:ascii="Times New Roman" w:hAnsi="Times New Roman" w:cs="Times New Roman"/>
          <w:sz w:val="24"/>
          <w:szCs w:val="24"/>
          <w:lang w:val="en-US" w:eastAsia="zh-CN"/>
        </w:rPr>
      </w:pPr>
      <w:bookmarkStart w:id="20" w:name="_Toc2561"/>
      <w:r>
        <w:rPr>
          <w:rFonts w:hint="eastAsia" w:ascii="Times New Roman" w:hAnsi="Times New Roman" w:cs="Times New Roman"/>
          <w:sz w:val="24"/>
          <w:szCs w:val="24"/>
          <w:lang w:val="en-US" w:eastAsia="zh-CN"/>
        </w:rPr>
        <w:t>Vertical management of strategy</w:t>
      </w:r>
      <w:bookmarkEnd w:id="20"/>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Ford Motor Company is a company with a complete vertical pipeline at its headquarters. In every region of Ford, the functional department head of that region reports not only to the regional head, but also to the department head. The functional department of Ford North America Headquarters closely guides the corresponding regional functional departments in three major regions of the world (America, Asia-Pacific and Europe-Africa) to get out of the actual operation process. The whole company presents a matrix organizational structure. The organizational structure within the Asia-Pacific region is also very similar. In a market with weak consumption ability or sensitive to price, customers do not choose Ford brand cars because of the high price. In the joint venture factory, Ford Motor dominates, especially in product design and development. The other party of the joint venture has a low voice, so the products developed fail to meet the needs of local customers according to their preferences.</w:t>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eastAsia" w:ascii="Times New Roman" w:hAnsi="Times New Roman" w:eastAsia="宋体" w:cs="Times New Roman"/>
          <w:b/>
          <w:bCs/>
          <w:sz w:val="24"/>
          <w:szCs w:val="24"/>
          <w:lang w:val="en-US" w:eastAsia="zh-CN"/>
        </w:rPr>
      </w:pPr>
      <w:bookmarkStart w:id="21" w:name="_Toc7589"/>
      <w:r>
        <w:rPr>
          <w:rFonts w:hint="eastAsia" w:ascii="Times New Roman" w:hAnsi="Times New Roman" w:eastAsia="宋体" w:cs="Times New Roman"/>
          <w:b/>
          <w:bCs/>
          <w:sz w:val="24"/>
          <w:szCs w:val="24"/>
          <w:lang w:val="en-US" w:eastAsia="zh-CN"/>
        </w:rPr>
        <w:t>4 Influence and Strategy of Strategic Organization</w:t>
      </w:r>
      <w:bookmarkEnd w:id="21"/>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0" w:leftChars="0" w:hanging="420" w:firstLineChars="0"/>
        <w:jc w:val="both"/>
        <w:textAlignment w:val="auto"/>
        <w:outlineLvl w:val="1"/>
        <w:rPr>
          <w:rFonts w:hint="eastAsia" w:ascii="Times New Roman" w:hAnsi="Times New Roman" w:cs="Times New Roman"/>
          <w:sz w:val="24"/>
          <w:szCs w:val="24"/>
          <w:lang w:val="en-US" w:eastAsia="zh-CN"/>
        </w:rPr>
      </w:pPr>
      <w:bookmarkStart w:id="22" w:name="_Toc7633"/>
      <w:r>
        <w:rPr>
          <w:rFonts w:hint="eastAsia" w:ascii="Times New Roman" w:hAnsi="Times New Roman" w:cs="Times New Roman"/>
          <w:sz w:val="24"/>
          <w:szCs w:val="24"/>
          <w:lang w:val="en-US" w:eastAsia="zh-CN"/>
        </w:rPr>
        <w:t>Balancing the market</w:t>
      </w:r>
      <w:bookmarkEnd w:id="22"/>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market environment faced by Ford has been discussed as follows: in the domestic market, Changan Ford is faced with the all-round squeeze of many international brands such as Volkswagen, General Motors and national brands such as Chery, with a small market share and no advantage in overall cost and price, so it can only adopt the standard differentiation strategy; In the macro environment, Changan Ford will face a fierce price war with the coming price cut in 2006 (Pope, 2008) With the intensification of market competition and the diversification of terminal customer demand, market-oriented operation becomes more and more important. Ford Group can strengthen the marketization of its own operation through the following ways to be closer to the market demand, so as to provide products and services faster and more accurately. R&amp;D and marketing departments move closer to the market. Marketing should go deep into product planning and terminal sales and run through the entire value chain. Product planning and development teams should join the front-line marketing and sales personnel to get rid of the mode of product development dominated by technical engineering and avoid being disconnected from market demand. Market oriented operation of spare parts. Non core parts should be specialized as much as possible and put into market operation. It can be considered to separate Ford Group and establish an independent entity operation. From the global trend, the merger and reorganization of parts and components industry has accelerated and developed towards globalization and scale. In order to reduce costs, vehicle manufacturers are increasingly inclined to global, modular and systematic procurement. Some functions and services can be outsourced to professional service companies. For non core functions such as services, outsourcing to professional consulting companies in the market is more efficient than its own operation. Implement fine marketing. Although the current marketing system of Ford Group is relatively sound and efficient, with the further expansion of the sales scale and the comprehensive entry of the product field into the passenger car market, the complexity of marketing will increase significantly. Therefore, it is suggested that Ford Group implement refined marketing, comprehensively improve marketing efforts, and make preparations for expanding the passenger car market and expanding the market share of existing commercial vehicle segments (McKinsey, 2020).</w:t>
      </w: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0" w:leftChars="0" w:hanging="420" w:firstLineChars="0"/>
        <w:jc w:val="both"/>
        <w:textAlignment w:val="auto"/>
        <w:outlineLvl w:val="1"/>
        <w:rPr>
          <w:rFonts w:hint="eastAsia" w:ascii="Times New Roman" w:hAnsi="Times New Roman" w:cs="Times New Roman"/>
          <w:sz w:val="24"/>
          <w:szCs w:val="24"/>
          <w:lang w:val="en-US" w:eastAsia="zh-CN"/>
        </w:rPr>
      </w:pPr>
      <w:bookmarkStart w:id="23" w:name="_Toc27506"/>
      <w:r>
        <w:rPr>
          <w:rFonts w:hint="eastAsia" w:ascii="Times New Roman" w:hAnsi="Times New Roman" w:cs="Times New Roman"/>
          <w:sz w:val="24"/>
          <w:szCs w:val="24"/>
          <w:lang w:val="en-US" w:eastAsia="zh-CN"/>
        </w:rPr>
        <w:t>Adjust positioning</w:t>
      </w:r>
      <w:bookmarkEnd w:id="23"/>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At present, Ford has an absolute advantage in high-end, with high sales prices and good profitability. Therefore, Ford can pass on pressure to competitors by reducing prices, increase sales volume, further expand market share and increase capacity utilization. At the same time, the increase in sales volume can reduce the fixed cost of a single vehicle, further amortize various expenses, offset the decline in profitability caused by the price reduction, and also provide greater space for Ford to reduce prices. There is a lack of investment in the middle and low end. With the rise of China's rural economy and the further development of urban and rural economy, the middle and low end light trucks will further develop rapidly. At the same time, with the reduction of the price of the middle and low end light trucks, and close to the agricultural vehicle market, the middle and low end light trucks will gradually replace agricultural vehicles, and the market space will also increase sharply with the replacement of existing agricultural vehicles. Therefore, Ford should seize the opportunity of rapid market growth, take advantage of the existing R&amp;D advantages and brand influence in light trucks, launch a full range of high, medium and low light truck products, and position the middle and low end as "practical, energy-saving, cost-effective", facing the vast number of existing or potential agricultural owners and consumers in urban and rural areas to fill the gap in the market.</w:t>
      </w: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0" w:leftChars="0" w:hanging="420" w:firstLineChars="0"/>
        <w:jc w:val="left"/>
        <w:textAlignment w:val="auto"/>
        <w:outlineLvl w:val="1"/>
        <w:rPr>
          <w:rFonts w:hint="eastAsia" w:ascii="Times New Roman" w:hAnsi="Times New Roman" w:cs="Times New Roman"/>
          <w:sz w:val="24"/>
          <w:szCs w:val="24"/>
          <w:lang w:val="en-US" w:eastAsia="zh-CN"/>
        </w:rPr>
      </w:pPr>
      <w:bookmarkStart w:id="24" w:name="_Toc22994"/>
      <w:r>
        <w:rPr>
          <w:rFonts w:hint="eastAsia" w:ascii="Times New Roman" w:hAnsi="Times New Roman" w:cs="Times New Roman"/>
          <w:sz w:val="24"/>
          <w:szCs w:val="24"/>
          <w:lang w:val="en-US" w:eastAsia="zh-CN"/>
        </w:rPr>
        <w:t>Matrix management</w:t>
      </w:r>
      <w:bookmarkEnd w:id="24"/>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terms of improving the marketing system, Ford should strengthen market research, further subdivide the market, define the target market segments of different products, and then formulate targeted product configuration positioning. At the same time, it should strengthen the management of customers in each market segment to further erode the market share of competitors through differentiated competition in each market segment. Ford still has a lot of room to expand its product line by properly entering the middle and low-end markets. At present, Ford has only developed multiple series of products in the middle and high end, but has less involvement in the middle and low end. Therefore, it can develop targeted products to meet the needs of middle and low end customers in the market, so as to further increase market share. It is also an important way for Ford to enhance its market share by leveraging its partners to expand the world market, by virtue of the brand's popularity and reputation in the global market, as well as the strategic partner Ford's network in the global market, and by means of strategic management to strengthen market development in developing countries.</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eastAsia" w:ascii="Times New Roman" w:hAnsi="Times New Roman" w:eastAsia="宋体" w:cs="Times New Roman"/>
          <w:b/>
          <w:bCs/>
          <w:sz w:val="24"/>
          <w:szCs w:val="24"/>
          <w:lang w:val="en-US" w:eastAsia="zh-CN"/>
        </w:rPr>
      </w:pPr>
      <w:bookmarkStart w:id="25" w:name="_Toc987"/>
      <w:r>
        <w:rPr>
          <w:rFonts w:hint="eastAsia" w:ascii="Times New Roman" w:hAnsi="Times New Roman" w:eastAsia="宋体" w:cs="Times New Roman"/>
          <w:b/>
          <w:bCs/>
          <w:sz w:val="24"/>
          <w:szCs w:val="24"/>
          <w:lang w:val="en-US" w:eastAsia="zh-CN"/>
        </w:rPr>
        <w:t>5 Conclusion</w:t>
      </w:r>
      <w:bookmarkEnd w:id="25"/>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This report mainly takes Ford Motor as the research object, and conducts a comprehensive strategic analysis of the selected Ford Motor, including external and internal analysis, and strictly evaluates the strategic choice of more personalized customer service. In addition, the team also fully considered the broad impact of the proposed strategy on different areas of the organization and proposed improvement strategies.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cs="Times New Roman"/>
          <w:sz w:val="24"/>
          <w:szCs w:val="24"/>
          <w:lang w:val="en-US" w:eastAsia="zh-CN"/>
        </w:rPr>
      </w:pP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eastAsia="宋体" w:cs="Times New Roman"/>
          <w:b/>
          <w:bCs/>
          <w:sz w:val="24"/>
          <w:szCs w:val="24"/>
          <w:lang w:val="en-US" w:eastAsia="zh-CN"/>
        </w:rPr>
      </w:pPr>
      <w:bookmarkStart w:id="26" w:name="_Toc30066"/>
      <w:r>
        <w:rPr>
          <w:rFonts w:hint="eastAsia" w:ascii="Times New Roman" w:hAnsi="Times New Roman" w:eastAsia="宋体" w:cs="Times New Roman"/>
          <w:b/>
          <w:bCs/>
          <w:sz w:val="24"/>
          <w:szCs w:val="24"/>
          <w:lang w:val="en-US" w:eastAsia="zh-CN"/>
        </w:rPr>
        <w:t>6 References</w:t>
      </w:r>
      <w:bookmarkEnd w:id="26"/>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eastAsia" w:ascii="Times New Roman" w:hAnsi="Times New Roman" w:eastAsia="宋体" w:cs="Times New Roman"/>
          <w:i w:val="0"/>
          <w:iCs w:val="0"/>
          <w:caps w:val="0"/>
          <w:color w:val="333333"/>
          <w:spacing w:val="0"/>
          <w:sz w:val="24"/>
          <w:szCs w:val="24"/>
          <w:shd w:val="clear" w:fill="FFFFFF"/>
          <w:lang w:val="en-US" w:eastAsia="zh-CN"/>
        </w:rPr>
      </w:pPr>
      <w:r>
        <w:rPr>
          <w:rFonts w:hint="default" w:ascii="Times New Roman" w:hAnsi="Times New Roman" w:cs="Times New Roman"/>
          <w:i w:val="0"/>
          <w:iCs w:val="0"/>
          <w:caps w:val="0"/>
          <w:color w:val="333333"/>
          <w:spacing w:val="0"/>
          <w:sz w:val="24"/>
          <w:szCs w:val="24"/>
          <w:shd w:val="clear" w:fill="FFFFFF"/>
        </w:rPr>
        <w:t>McKinsey.(20</w:t>
      </w:r>
      <w:r>
        <w:rPr>
          <w:rFonts w:hint="eastAsia" w:ascii="Times New Roman" w:hAnsi="Times New Roman" w:eastAsia="宋体" w:cs="Times New Roman"/>
          <w:i w:val="0"/>
          <w:iCs w:val="0"/>
          <w:caps w:val="0"/>
          <w:color w:val="333333"/>
          <w:spacing w:val="0"/>
          <w:sz w:val="24"/>
          <w:szCs w:val="24"/>
          <w:shd w:val="clear" w:fill="FFFFFF"/>
          <w:lang w:val="en-US" w:eastAsia="zh-CN"/>
        </w:rPr>
        <w:t>2</w:t>
      </w:r>
      <w:r>
        <w:rPr>
          <w:rFonts w:hint="default" w:ascii="Times New Roman" w:hAnsi="Times New Roman" w:cs="Times New Roman"/>
          <w:i w:val="0"/>
          <w:iCs w:val="0"/>
          <w:caps w:val="0"/>
          <w:color w:val="333333"/>
          <w:spacing w:val="0"/>
          <w:sz w:val="24"/>
          <w:szCs w:val="24"/>
          <w:shd w:val="clear" w:fill="FFFFFF"/>
        </w:rPr>
        <w:t>0). The care of one Hyperpersonalization of customer care.</w:t>
      </w:r>
      <w:r>
        <w:rPr>
          <w:rFonts w:hint="eastAsia" w:ascii="Times New Roman" w:hAnsi="Times New Roman" w:eastAsia="宋体" w:cs="Times New Roman"/>
          <w:i w:val="0"/>
          <w:iCs w:val="0"/>
          <w:caps w:val="0"/>
          <w:color w:val="333333"/>
          <w:spacing w:val="0"/>
          <w:sz w:val="24"/>
          <w:szCs w:val="24"/>
          <w:shd w:val="clear" w:fill="FFFFFF"/>
          <w:lang w:val="en-US" w:eastAsia="zh-CN"/>
        </w:rPr>
        <w:t>Mckinsy Company</w:t>
      </w:r>
      <w:r>
        <w:rPr>
          <w:rFonts w:hint="default" w:ascii="Times New Roman" w:hAnsi="Times New Roman" w:cs="Times New Roman"/>
          <w:i w:val="0"/>
          <w:iCs w:val="0"/>
          <w:caps w:val="0"/>
          <w:color w:val="333333"/>
          <w:spacing w:val="0"/>
          <w:sz w:val="24"/>
          <w:szCs w:val="24"/>
          <w:shd w:val="clear" w:fill="FFFFFF"/>
        </w:rPr>
        <w:t>(4).</w:t>
      </w:r>
      <w:r>
        <w:rPr>
          <w:rFonts w:hint="eastAsia" w:ascii="Times New Roman" w:hAnsi="Times New Roman" w:eastAsia="宋体" w:cs="Times New Roman"/>
          <w:i w:val="0"/>
          <w:iCs w:val="0"/>
          <w:caps w:val="0"/>
          <w:color w:val="333333"/>
          <w:spacing w:val="0"/>
          <w:sz w:val="24"/>
          <w:szCs w:val="24"/>
          <w:shd w:val="clear" w:fill="FFFFFF"/>
          <w:lang w:val="en-US" w:eastAsia="zh-CN"/>
        </w:rPr>
        <w:t>07-14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G. K. Chesterton.(2018).The Freeman and the Ford Car. </w:t>
      </w:r>
      <w:r>
        <w:rPr>
          <w:rFonts w:hint="default" w:ascii="Times New Roman" w:hAnsi="Times New Roman" w:cs="Times New Roman"/>
          <w:i/>
          <w:iCs/>
          <w:caps w:val="0"/>
          <w:color w:val="333333"/>
          <w:spacing w:val="0"/>
          <w:sz w:val="24"/>
          <w:szCs w:val="24"/>
          <w:shd w:val="clear" w:fill="FFFFFF"/>
        </w:rPr>
        <w:t>The Chesterton Review</w:t>
      </w:r>
      <w:r>
        <w:rPr>
          <w:rFonts w:hint="default" w:ascii="Times New Roman" w:hAnsi="Times New Roman" w:cs="Times New Roman"/>
          <w:i w:val="0"/>
          <w:iCs w:val="0"/>
          <w:caps w:val="0"/>
          <w:color w:val="333333"/>
          <w:spacing w:val="0"/>
          <w:sz w:val="24"/>
          <w:szCs w:val="24"/>
          <w:shd w:val="clear" w:fill="FFFFFF"/>
        </w:rPr>
        <w:t>(1/2). doi:10.5840/chesterton2018441/24.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eastAsia" w:ascii="Times New Roman" w:hAnsi="Times New Roman" w:eastAsia="宋体" w:cs="Times New Roman"/>
          <w:i w:val="0"/>
          <w:iCs w:val="0"/>
          <w:caps w:val="0"/>
          <w:color w:val="333333"/>
          <w:spacing w:val="0"/>
          <w:sz w:val="24"/>
          <w:szCs w:val="24"/>
          <w:shd w:val="clear" w:fill="FFFFFF"/>
          <w:lang w:val="en-US" w:eastAsia="zh-CN"/>
        </w:rPr>
        <w:t>Jan</w:t>
      </w:r>
      <w:r>
        <w:rPr>
          <w:rFonts w:hint="default" w:ascii="Times New Roman" w:hAnsi="Times New Roman" w:cs="Times New Roman"/>
          <w:i w:val="0"/>
          <w:iCs w:val="0"/>
          <w:caps w:val="0"/>
          <w:color w:val="333333"/>
          <w:spacing w:val="0"/>
          <w:sz w:val="24"/>
          <w:szCs w:val="24"/>
          <w:shd w:val="clear" w:fill="FFFFFF"/>
        </w:rPr>
        <w:t>.(2012).Euro Car Parts: Ford Focus Tops World Sales Chart. </w:t>
      </w:r>
      <w:r>
        <w:rPr>
          <w:rFonts w:hint="default" w:ascii="Times New Roman" w:hAnsi="Times New Roman" w:cs="Times New Roman"/>
          <w:i/>
          <w:iCs/>
          <w:caps w:val="0"/>
          <w:color w:val="333333"/>
          <w:spacing w:val="0"/>
          <w:sz w:val="24"/>
          <w:szCs w:val="24"/>
          <w:shd w:val="clear" w:fill="FFFFFF"/>
        </w:rPr>
        <w:t>Wireless News</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Anonymous.(2009).McNamara left his stamp on Ford cars.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(6368).</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Pope, Byron.(2008).'One Ford' Strategy Streamlines Purchasing Operations. </w:t>
      </w:r>
      <w:r>
        <w:rPr>
          <w:rFonts w:hint="default" w:ascii="Times New Roman" w:hAnsi="Times New Roman" w:cs="Times New Roman"/>
          <w:i/>
          <w:iCs/>
          <w:caps w:val="0"/>
          <w:color w:val="333333"/>
          <w:spacing w:val="0"/>
          <w:sz w:val="24"/>
          <w:szCs w:val="24"/>
          <w:shd w:val="clear" w:fill="FFFFFF"/>
        </w:rPr>
        <w:t>Ward's Auto World</w:t>
      </w:r>
      <w:r>
        <w:rPr>
          <w:rFonts w:hint="default" w:ascii="Times New Roman" w:hAnsi="Times New Roman" w:cs="Times New Roman"/>
          <w:i w:val="0"/>
          <w:iCs w:val="0"/>
          <w:caps w:val="0"/>
          <w:color w:val="333333"/>
          <w:spacing w:val="0"/>
          <w:sz w:val="24"/>
          <w:szCs w:val="24"/>
          <w:shd w:val="clear" w:fill="FFFFFF"/>
        </w:rPr>
        <w:t>(7).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Bob Cervi.(2007).Ford car factory gets 'greener' with energy from fuel cells. </w:t>
      </w:r>
      <w:r>
        <w:rPr>
          <w:rFonts w:hint="default" w:ascii="Times New Roman" w:hAnsi="Times New Roman" w:cs="Times New Roman"/>
          <w:i/>
          <w:iCs/>
          <w:caps w:val="0"/>
          <w:color w:val="333333"/>
          <w:spacing w:val="0"/>
          <w:sz w:val="24"/>
          <w:szCs w:val="24"/>
          <w:shd w:val="clear" w:fill="FFFFFF"/>
        </w:rPr>
        <w:t>Manufacturing engineer</w:t>
      </w:r>
      <w:r>
        <w:rPr>
          <w:rFonts w:hint="default" w:ascii="Times New Roman" w:hAnsi="Times New Roman" w:cs="Times New Roman"/>
          <w:i w:val="0"/>
          <w:iCs w:val="0"/>
          <w:caps w:val="0"/>
          <w:color w:val="333333"/>
          <w:spacing w:val="0"/>
          <w:sz w:val="24"/>
          <w:szCs w:val="24"/>
          <w:shd w:val="clear" w:fill="FFFFFF"/>
        </w:rPr>
        <w:t>(5).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Yang Qian.(2022).Development Trend of Chinese Automobile Culture and Countermeasures of Automobile Enterprises. </w:t>
      </w:r>
      <w:r>
        <w:rPr>
          <w:rFonts w:hint="default" w:ascii="Times New Roman" w:hAnsi="Times New Roman" w:cs="Times New Roman"/>
          <w:i/>
          <w:iCs/>
          <w:caps w:val="0"/>
          <w:color w:val="333333"/>
          <w:spacing w:val="0"/>
          <w:sz w:val="24"/>
          <w:szCs w:val="24"/>
          <w:shd w:val="clear" w:fill="FFFFFF"/>
        </w:rPr>
        <w:t>The Frontiers of Society, Science and Technology</w:t>
      </w:r>
      <w:r>
        <w:rPr>
          <w:rFonts w:hint="default" w:ascii="Times New Roman" w:hAnsi="Times New Roman" w:cs="Times New Roman"/>
          <w:i w:val="0"/>
          <w:iCs w:val="0"/>
          <w:caps w:val="0"/>
          <w:color w:val="333333"/>
          <w:spacing w:val="0"/>
          <w:sz w:val="24"/>
          <w:szCs w:val="24"/>
          <w:shd w:val="clear" w:fill="FFFFFF"/>
        </w:rPr>
        <w:t>(2.0). doi:10.25236/FSST.2022.040212.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Michael Martinez.(2021).Can Ford's build-to-order strategy work in long term?.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(7012).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Demmerer, Stephan,Winkel, Matthias,Elharchi, Soukaina &amp; Laile, Markus.(2021).Strategic Axle Actuation eConnect for Electric Cars. </w:t>
      </w:r>
      <w:r>
        <w:rPr>
          <w:rFonts w:hint="default" w:ascii="Times New Roman" w:hAnsi="Times New Roman" w:cs="Times New Roman"/>
          <w:i/>
          <w:iCs/>
          <w:caps w:val="0"/>
          <w:color w:val="333333"/>
          <w:spacing w:val="0"/>
          <w:sz w:val="24"/>
          <w:szCs w:val="24"/>
          <w:shd w:val="clear" w:fill="FFFFFF"/>
        </w:rPr>
        <w:t>MTZ worldwide</w:t>
      </w:r>
      <w:r>
        <w:rPr>
          <w:rFonts w:hint="default" w:ascii="Times New Roman" w:hAnsi="Times New Roman" w:cs="Times New Roman"/>
          <w:i w:val="0"/>
          <w:iCs w:val="0"/>
          <w:caps w:val="0"/>
          <w:color w:val="333333"/>
          <w:spacing w:val="0"/>
          <w:sz w:val="24"/>
          <w:szCs w:val="24"/>
          <w:shd w:val="clear" w:fill="FFFFFF"/>
        </w:rPr>
        <w:t>(11). doi:10.1007/S38313-021-0707-2.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Yongkang Liang &amp; Weifeng Zhang.(2019).Research on the High-Quality Development Path of New Energy Vehicle Industry in China. </w:t>
      </w:r>
      <w:r>
        <w:rPr>
          <w:rFonts w:hint="default" w:ascii="Times New Roman" w:hAnsi="Times New Roman" w:cs="Times New Roman"/>
          <w:i/>
          <w:iCs/>
          <w:caps w:val="0"/>
          <w:color w:val="333333"/>
          <w:spacing w:val="0"/>
          <w:sz w:val="24"/>
          <w:szCs w:val="24"/>
          <w:shd w:val="clear" w:fill="FFFFFF"/>
        </w:rPr>
        <w:t>IOP Conference Series: Materials Science and Engineering</w:t>
      </w:r>
      <w:r>
        <w:rPr>
          <w:rFonts w:hint="default" w:ascii="Times New Roman" w:hAnsi="Times New Roman" w:cs="Times New Roman"/>
          <w:i w:val="0"/>
          <w:iCs w:val="0"/>
          <w:caps w:val="0"/>
          <w:color w:val="333333"/>
          <w:spacing w:val="0"/>
          <w:sz w:val="24"/>
          <w:szCs w:val="24"/>
          <w:shd w:val="clear" w:fill="FFFFFF"/>
        </w:rPr>
        <w:t>(3). doi:10.1088/1757-899X/677/3/032090.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Sina Selzer &amp; Martin Lanzendorf.(2019).On the Road to Sustainable Urban and Transport Development in the Automobile Society? Traced Narratives of Car-Reduced Neighborhoods. </w:t>
      </w:r>
      <w:r>
        <w:rPr>
          <w:rFonts w:hint="default" w:ascii="Times New Roman" w:hAnsi="Times New Roman" w:cs="Times New Roman"/>
          <w:i/>
          <w:iCs/>
          <w:caps w:val="0"/>
          <w:color w:val="333333"/>
          <w:spacing w:val="0"/>
          <w:sz w:val="24"/>
          <w:szCs w:val="24"/>
          <w:shd w:val="clear" w:fill="FFFFFF"/>
        </w:rPr>
        <w:t>Sustainability</w:t>
      </w:r>
      <w:r>
        <w:rPr>
          <w:rFonts w:hint="default" w:ascii="Times New Roman" w:hAnsi="Times New Roman" w:cs="Times New Roman"/>
          <w:i w:val="0"/>
          <w:iCs w:val="0"/>
          <w:caps w:val="0"/>
          <w:color w:val="333333"/>
          <w:spacing w:val="0"/>
          <w:sz w:val="24"/>
          <w:szCs w:val="24"/>
          <w:shd w:val="clear" w:fill="FFFFFF"/>
        </w:rPr>
        <w:t>(16). doi:10.3390/su11164375.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Yan Wang,Wei Yang &amp; Qian Cheng.(2019).Electric Vehicle Development Planning System Based on AHP and BASS Model. </w:t>
      </w:r>
      <w:r>
        <w:rPr>
          <w:rFonts w:hint="default" w:ascii="Times New Roman" w:hAnsi="Times New Roman" w:cs="Times New Roman"/>
          <w:i/>
          <w:iCs/>
          <w:caps w:val="0"/>
          <w:color w:val="333333"/>
          <w:spacing w:val="0"/>
          <w:sz w:val="24"/>
          <w:szCs w:val="24"/>
          <w:shd w:val="clear" w:fill="FFFFFF"/>
        </w:rPr>
        <w:t>IOP Conference Series: Materials Science and Engineering</w:t>
      </w:r>
      <w:r>
        <w:rPr>
          <w:rFonts w:hint="default" w:ascii="Times New Roman" w:hAnsi="Times New Roman" w:cs="Times New Roman"/>
          <w:i w:val="0"/>
          <w:iCs w:val="0"/>
          <w:caps w:val="0"/>
          <w:color w:val="333333"/>
          <w:spacing w:val="0"/>
          <w:sz w:val="24"/>
          <w:szCs w:val="24"/>
          <w:shd w:val="clear" w:fill="FFFFFF"/>
        </w:rPr>
        <w:t>(4). doi:10.1088/1757-899X/569/4/042060.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Ubando A.T.,Gue I.H.V.,Rith M.,Gonzaga J.,Lopez N.S.A. &amp; Biona J.B.M.M..(2019).A systematic approach to the optimal planning of energy mix for electric vehicle policy. </w:t>
      </w:r>
      <w:r>
        <w:rPr>
          <w:rFonts w:hint="default" w:ascii="Times New Roman" w:hAnsi="Times New Roman" w:cs="Times New Roman"/>
          <w:i/>
          <w:iCs/>
          <w:caps w:val="0"/>
          <w:color w:val="333333"/>
          <w:spacing w:val="0"/>
          <w:sz w:val="24"/>
          <w:szCs w:val="24"/>
          <w:shd w:val="clear" w:fill="FFFFFF"/>
        </w:rPr>
        <w:t>Chemical Engineering Transactions</w:t>
      </w:r>
      <w:r>
        <w:rPr>
          <w:rFonts w:hint="default" w:ascii="Times New Roman" w:hAnsi="Times New Roman" w:cs="Times New Roman"/>
          <w:i w:val="0"/>
          <w:iCs w:val="0"/>
          <w:caps w:val="0"/>
          <w:color w:val="333333"/>
          <w:spacing w:val="0"/>
          <w:sz w:val="24"/>
          <w:szCs w:val="24"/>
          <w:shd w:val="clear" w:fill="FFFFFF"/>
        </w:rPr>
        <w:t>. doi:10.3303/CET1976192.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Porter,Stone,Legacy... &amp; Stilgoe.(2018).The Autonomous Vehicle Revolution: Implications for Planning/The Future Driverless City?/Autonomous Vehicles – A Planner’s Response/Autonomous Vehicles: Opportunities, Challenges and the Need for Government Action/Three Signs Autonomous Vehicles Will Not Lead to Less Car Ownership and Less Car Use in Car Dependent Cities – A Case Study of Sydney, Australia/Planning for Autonomous Vehicles? Questions of Purpose, Place and Pace/Ensuring Good Governance: The Role of Planners in the Development of Autonomous Ve. </w:t>
      </w:r>
      <w:r>
        <w:rPr>
          <w:rFonts w:hint="default" w:ascii="Times New Roman" w:hAnsi="Times New Roman" w:cs="Times New Roman"/>
          <w:i/>
          <w:iCs/>
          <w:caps w:val="0"/>
          <w:color w:val="333333"/>
          <w:spacing w:val="0"/>
          <w:sz w:val="24"/>
          <w:szCs w:val="24"/>
          <w:shd w:val="clear" w:fill="FFFFFF"/>
        </w:rPr>
        <w:t>Planning Theory &amp; Practice</w:t>
      </w:r>
      <w:r>
        <w:rPr>
          <w:rFonts w:hint="default" w:ascii="Times New Roman" w:hAnsi="Times New Roman" w:cs="Times New Roman"/>
          <w:i w:val="0"/>
          <w:iCs w:val="0"/>
          <w:caps w:val="0"/>
          <w:color w:val="333333"/>
          <w:spacing w:val="0"/>
          <w:sz w:val="24"/>
          <w:szCs w:val="24"/>
          <w:shd w:val="clear" w:fill="FFFFFF"/>
        </w:rPr>
        <w:t>(5). doi:10.1080/14649357.2018.1537599.</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Schöttle Markus.(2018).Strategies and Technology for Battery-electric Vehicles:Electrification of the Powertrain. </w:t>
      </w:r>
      <w:r>
        <w:rPr>
          <w:rFonts w:hint="default" w:ascii="Times New Roman" w:hAnsi="Times New Roman" w:cs="Times New Roman"/>
          <w:i/>
          <w:iCs/>
          <w:caps w:val="0"/>
          <w:color w:val="333333"/>
          <w:spacing w:val="0"/>
          <w:sz w:val="24"/>
          <w:szCs w:val="24"/>
          <w:shd w:val="clear" w:fill="FFFFFF"/>
        </w:rPr>
        <w:t>ATZelektronik worldwide</w:t>
      </w:r>
      <w:r>
        <w:rPr>
          <w:rFonts w:hint="default" w:ascii="Times New Roman" w:hAnsi="Times New Roman" w:cs="Times New Roman"/>
          <w:i w:val="0"/>
          <w:iCs w:val="0"/>
          <w:caps w:val="0"/>
          <w:color w:val="333333"/>
          <w:spacing w:val="0"/>
          <w:sz w:val="24"/>
          <w:szCs w:val="24"/>
          <w:shd w:val="clear" w:fill="FFFFFF"/>
        </w:rPr>
        <w:t>(5). doi:10.1007/s38314-018-0066-1.</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Mingsheng Zhang.(2018).Location Planning of Electric Vehicle Charging Station. </w:t>
      </w:r>
      <w:r>
        <w:rPr>
          <w:rFonts w:hint="default" w:ascii="Times New Roman" w:hAnsi="Times New Roman" w:cs="Times New Roman"/>
          <w:i/>
          <w:iCs/>
          <w:caps w:val="0"/>
          <w:color w:val="333333"/>
          <w:spacing w:val="0"/>
          <w:sz w:val="24"/>
          <w:szCs w:val="24"/>
          <w:shd w:val="clear" w:fill="FFFFFF"/>
        </w:rPr>
        <w:t>IOP Conference Series: Materials Science and Engineering</w:t>
      </w:r>
      <w:r>
        <w:rPr>
          <w:rFonts w:hint="default" w:ascii="Times New Roman" w:hAnsi="Times New Roman" w:cs="Times New Roman"/>
          <w:i w:val="0"/>
          <w:iCs w:val="0"/>
          <w:caps w:val="0"/>
          <w:color w:val="333333"/>
          <w:spacing w:val="0"/>
          <w:sz w:val="24"/>
          <w:szCs w:val="24"/>
          <w:shd w:val="clear" w:fill="FFFFFF"/>
        </w:rPr>
        <w:t>(4). doi:10.1088/1757-899X/394/4/042126.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Christiaan Hetzner &amp; Christiaan Hetzner.(2016).Ford small-car strategy in Europe overhauled.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(6730).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Bunkley, Nick.(2015).Ford will let rivals use its EV tech.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(6675).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Greimel, Hans.(2015).Priced to sell: China's cheap car strategy for the U.S..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(6670).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Isabel Cristina Alves Maliska,Maria Itayra Padilha &amp; Selma Regina Andrade.(2014).Harm reduction in Florianópolis-SC: a strategic policy for prevention and health car. </w:t>
      </w:r>
      <w:r>
        <w:rPr>
          <w:rFonts w:hint="default" w:ascii="Times New Roman" w:hAnsi="Times New Roman" w:cs="Times New Roman"/>
          <w:i/>
          <w:iCs/>
          <w:caps w:val="0"/>
          <w:color w:val="333333"/>
          <w:spacing w:val="0"/>
          <w:sz w:val="24"/>
          <w:szCs w:val="24"/>
          <w:shd w:val="clear" w:fill="FFFFFF"/>
        </w:rPr>
        <w:t>Revista Eletrônica de Enfermagem</w:t>
      </w:r>
      <w:r>
        <w:rPr>
          <w:rFonts w:hint="default" w:ascii="Times New Roman" w:hAnsi="Times New Roman" w:cs="Times New Roman"/>
          <w:i w:val="0"/>
          <w:iCs w:val="0"/>
          <w:caps w:val="0"/>
          <w:color w:val="333333"/>
          <w:spacing w:val="0"/>
          <w:sz w:val="24"/>
          <w:szCs w:val="24"/>
          <w:shd w:val="clear" w:fill="FFFFFF"/>
        </w:rPr>
        <w:t>(1). doi:10.5216/ree.v16i1.20761.</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Gagnier, Sean.(2014).Ex-GM exec Butler takes Ford tech job.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(6602).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Qiong Wu,Hong Qing Li,Jing Ru Liu &amp; Yu Hong Wu.(2013).Conceptual Ecological Landscape Development Planning of Changchun Automobile Industry Development Zone. </w:t>
      </w:r>
      <w:r>
        <w:rPr>
          <w:rFonts w:hint="default" w:ascii="Times New Roman" w:hAnsi="Times New Roman" w:cs="Times New Roman"/>
          <w:i/>
          <w:iCs/>
          <w:caps w:val="0"/>
          <w:color w:val="333333"/>
          <w:spacing w:val="0"/>
          <w:sz w:val="24"/>
          <w:szCs w:val="24"/>
          <w:shd w:val="clear" w:fill="FFFFFF"/>
        </w:rPr>
        <w:t>Applied Mechanics and Materials</w:t>
      </w:r>
      <w:r>
        <w:rPr>
          <w:rFonts w:hint="default" w:ascii="Times New Roman" w:hAnsi="Times New Roman" w:cs="Times New Roman"/>
          <w:i w:val="0"/>
          <w:iCs w:val="0"/>
          <w:caps w:val="0"/>
          <w:color w:val="333333"/>
          <w:spacing w:val="0"/>
          <w:sz w:val="24"/>
          <w:szCs w:val="24"/>
          <w:shd w:val="clear" w:fill="FFFFFF"/>
        </w:rPr>
        <w:t>(295-298). doi:10.4028/www.scientific.net/AMM.295-298.768.</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Sally Kneeshaw.(2012).European knowledge transfer network on urban Electric Vehicle strategies. </w:t>
      </w:r>
      <w:r>
        <w:rPr>
          <w:rFonts w:hint="default" w:ascii="Times New Roman" w:hAnsi="Times New Roman" w:cs="Times New Roman"/>
          <w:i/>
          <w:iCs/>
          <w:caps w:val="0"/>
          <w:color w:val="333333"/>
          <w:spacing w:val="0"/>
          <w:sz w:val="24"/>
          <w:szCs w:val="24"/>
          <w:shd w:val="clear" w:fill="FFFFFF"/>
        </w:rPr>
        <w:t>World Electric Vehicle Journal</w:t>
      </w:r>
      <w:r>
        <w:rPr>
          <w:rFonts w:hint="default" w:ascii="Times New Roman" w:hAnsi="Times New Roman" w:cs="Times New Roman"/>
          <w:i w:val="0"/>
          <w:iCs w:val="0"/>
          <w:caps w:val="0"/>
          <w:color w:val="333333"/>
          <w:spacing w:val="0"/>
          <w:sz w:val="24"/>
          <w:szCs w:val="24"/>
          <w:shd w:val="clear" w:fill="FFFFFF"/>
        </w:rPr>
        <w:t>(4). doi:10.3390/wevj5041000.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Oriol Saperas &amp; Elixabet Legarreta.(2012).OEM’s Electric Vehicle Strategies: Risk Assessment. </w:t>
      </w:r>
      <w:r>
        <w:rPr>
          <w:rFonts w:hint="default" w:ascii="Times New Roman" w:hAnsi="Times New Roman" w:cs="Times New Roman"/>
          <w:i/>
          <w:iCs/>
          <w:caps w:val="0"/>
          <w:color w:val="333333"/>
          <w:spacing w:val="0"/>
          <w:sz w:val="24"/>
          <w:szCs w:val="24"/>
          <w:shd w:val="clear" w:fill="FFFFFF"/>
        </w:rPr>
        <w:t>World Electric Vehicle Journal</w:t>
      </w:r>
      <w:r>
        <w:rPr>
          <w:rFonts w:hint="default" w:ascii="Times New Roman" w:hAnsi="Times New Roman" w:cs="Times New Roman"/>
          <w:i w:val="0"/>
          <w:iCs w:val="0"/>
          <w:caps w:val="0"/>
          <w:color w:val="333333"/>
          <w:spacing w:val="0"/>
          <w:sz w:val="24"/>
          <w:szCs w:val="24"/>
          <w:shd w:val="clear" w:fill="FFFFFF"/>
        </w:rPr>
        <w:t>(4). doi:10.3390/wevj5040911.</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Tae-hyeong Kwon.(2012).Strategic niche management of alternative fuel vehicles: A system dynamics model of the policy effect. </w:t>
      </w:r>
      <w:r>
        <w:rPr>
          <w:rFonts w:hint="default" w:ascii="Times New Roman" w:hAnsi="Times New Roman" w:cs="Times New Roman"/>
          <w:i/>
          <w:iCs/>
          <w:caps w:val="0"/>
          <w:color w:val="333333"/>
          <w:spacing w:val="0"/>
          <w:sz w:val="24"/>
          <w:szCs w:val="24"/>
          <w:shd w:val="clear" w:fill="FFFFFF"/>
        </w:rPr>
        <w:t>Technological Forecasting &amp; Social Change</w:t>
      </w:r>
      <w:r>
        <w:rPr>
          <w:rFonts w:hint="default" w:ascii="Times New Roman" w:hAnsi="Times New Roman" w:cs="Times New Roman"/>
          <w:i w:val="0"/>
          <w:iCs w:val="0"/>
          <w:caps w:val="0"/>
          <w:color w:val="333333"/>
          <w:spacing w:val="0"/>
          <w:sz w:val="24"/>
          <w:szCs w:val="24"/>
          <w:shd w:val="clear" w:fill="FFFFFF"/>
        </w:rPr>
        <w:t>(9). doi:10.1016/j.techfore.2012.05.015.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Ciferri, Luca.(2012).GM should follow strategy of One Ford.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(6508).</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Jae-Hee Shim.(2012).A Study on Development Plan for Korea’s Auto Industry through Export Performance Analysis of 6 Countries in Indian Auto Market. </w:t>
      </w:r>
      <w:r>
        <w:rPr>
          <w:rFonts w:hint="default" w:ascii="Times New Roman" w:hAnsi="Times New Roman" w:cs="Times New Roman"/>
          <w:i/>
          <w:iCs/>
          <w:caps w:val="0"/>
          <w:color w:val="333333"/>
          <w:spacing w:val="0"/>
          <w:sz w:val="24"/>
          <w:szCs w:val="24"/>
          <w:shd w:val="clear" w:fill="FFFFFF"/>
        </w:rPr>
        <w:t>Journal of Industrial Economics and Business</w:t>
      </w:r>
      <w:r>
        <w:rPr>
          <w:rFonts w:hint="default" w:ascii="Times New Roman" w:hAnsi="Times New Roman" w:cs="Times New Roman"/>
          <w:i w:val="0"/>
          <w:iCs w:val="0"/>
          <w:caps w:val="0"/>
          <w:color w:val="333333"/>
          <w:spacing w:val="0"/>
          <w:sz w:val="24"/>
          <w:szCs w:val="24"/>
          <w:shd w:val="clear" w:fill="FFFFFF"/>
        </w:rPr>
        <w:t>(1).</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Anonymous.(2011).U.S. Department of Labor; US Department of Labor's OSHA renews strategic partnership to reduce injuries and lost work time at Ford Motor Co. auto plants. </w:t>
      </w:r>
      <w:r>
        <w:rPr>
          <w:rFonts w:hint="default" w:ascii="Times New Roman" w:hAnsi="Times New Roman" w:cs="Times New Roman"/>
          <w:i/>
          <w:iCs/>
          <w:caps w:val="0"/>
          <w:color w:val="333333"/>
          <w:spacing w:val="0"/>
          <w:sz w:val="24"/>
          <w:szCs w:val="24"/>
          <w:shd w:val="clear" w:fill="FFFFFF"/>
        </w:rPr>
        <w:t>Defense &amp; Aerospace Business</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Anonymous.(2010).Bharat Book Bureau: Ford Motor Company Vehicle Manufacturer Strategic Insight.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Anonymous.(2008).STRATEGY ANALYTICS: STRATEGY ANALYTICS New Auto Strategies Adapt to Ultra Low Cost Car Market; One In Five Cars Will Be Like Tata Nano or Dacia Logan by 2015.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Lee Hyun Young.(2005).Strategic Alliances and Trade Dispute in Automobile in Industry: From the Perspective of the Relationship between Government and Industries in Japan and Korea. . doi:10.15099/00006585.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Ellen Hughes-Cromwick.(2011).Ford Motor Company's Global Electrification Strategy. </w:t>
      </w:r>
      <w:r>
        <w:rPr>
          <w:rFonts w:hint="default" w:ascii="Times New Roman" w:hAnsi="Times New Roman" w:cs="Times New Roman"/>
          <w:i/>
          <w:iCs/>
          <w:caps w:val="0"/>
          <w:color w:val="333333"/>
          <w:spacing w:val="0"/>
          <w:sz w:val="24"/>
          <w:szCs w:val="24"/>
          <w:shd w:val="clear" w:fill="FFFFFF"/>
        </w:rPr>
        <w:t>Business Economics</w:t>
      </w:r>
      <w:r>
        <w:rPr>
          <w:rFonts w:hint="default" w:ascii="Times New Roman" w:hAnsi="Times New Roman" w:cs="Times New Roman"/>
          <w:i w:val="0"/>
          <w:iCs w:val="0"/>
          <w:caps w:val="0"/>
          <w:color w:val="333333"/>
          <w:spacing w:val="0"/>
          <w:sz w:val="24"/>
          <w:szCs w:val="24"/>
          <w:shd w:val="clear" w:fill="FFFFFF"/>
        </w:rPr>
        <w:t>(3). doi:10.1057/be.2011.10.</w:t>
      </w:r>
    </w:p>
    <w:p>
      <w:pPr>
        <w:pStyle w:val="2"/>
        <w:keepNext w:val="0"/>
        <w:keepLines w:val="0"/>
        <w:pageBreakBefore w:val="0"/>
        <w:widowControl/>
        <w:kinsoku/>
        <w:overflowPunct/>
        <w:topLinePunct w:val="0"/>
        <w:autoSpaceDE/>
        <w:autoSpaceDN/>
        <w:bidi w:val="0"/>
        <w:adjustRightInd/>
        <w:snapToGrid/>
        <w:spacing w:line="480" w:lineRule="auto"/>
        <w:textAlignment w:val="auto"/>
        <w:rPr>
          <w:rFonts w:hint="default"/>
          <w:sz w:val="24"/>
          <w:szCs w:val="24"/>
          <w:lang w:val="en-US" w:eastAsia="zh-CN"/>
        </w:rPr>
      </w:pPr>
    </w:p>
    <w:p>
      <w:pPr>
        <w:pStyle w:val="2"/>
        <w:keepNext w:val="0"/>
        <w:keepLines w:val="0"/>
        <w:pageBreakBefore w:val="0"/>
        <w:widowControl/>
        <w:kinsoku/>
        <w:overflowPunct/>
        <w:topLinePunct w:val="0"/>
        <w:autoSpaceDE/>
        <w:autoSpaceDN/>
        <w:bidi w:val="0"/>
        <w:adjustRightInd/>
        <w:snapToGrid/>
        <w:spacing w:after="0" w:afterLines="0" w:line="480" w:lineRule="auto"/>
        <w:ind w:left="480" w:hanging="480" w:hangingChars="200"/>
        <w:textAlignment w:val="auto"/>
        <w:rPr>
          <w:rFonts w:hint="default" w:ascii="Times New Roman" w:hAnsi="Times New Roman" w:cs="Times New Roman"/>
          <w:sz w:val="24"/>
          <w:szCs w:val="24"/>
          <w:lang w:val="en-US" w:eastAsia="zh-CN"/>
        </w:rPr>
      </w:pPr>
    </w:p>
    <w:sectPr>
      <w:pgSz w:w="11906" w:h="16838"/>
      <w:pgMar w:top="1440" w:right="1440" w:bottom="1440" w:left="1440" w:header="708" w:footer="708" w:gutter="0"/>
      <w:pgNumType w:fmt="decimal"/>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7A"/>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A044yAgAAYQQAAA4AAABkcnMvZTJvRG9jLnhtbK1UzY7TMBC+I/EO&#10;lu80aStW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pm/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4YDTjjICAABhBAAADgAAAAAAAAABACAAAAAfAQAAZHJzL2Uyb0RvYy54bWxQSwUG&#10;AAAAAAYABgBZAQAAwwUAAAAA&#10;">
              <v:fill on="f" focussize="0,0"/>
              <v:stroke on="f" weight="0.5pt"/>
              <v:imagedata o:title=""/>
              <o:lock v:ext="edit" aspectratio="f"/>
              <v:textbox inset="0mm,0mm,0mm,0mm" style="mso-fit-shape-to-text:t;">
                <w:txbxContent>
                  <w:p>
                    <w:pPr>
                      <w:pStyle w:val="4"/>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788ECB2"/>
    <w:multiLevelType w:val="singleLevel"/>
    <w:tmpl w:val="5788ECB2"/>
    <w:lvl w:ilvl="0" w:tentative="0">
      <w:start w:val="1"/>
      <w:numFmt w:val="bullet"/>
      <w:lvlText w:val=""/>
      <w:lvlJc w:val="left"/>
      <w:pPr>
        <w:ind w:left="420" w:hanging="42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WIyNWJkYjdmNzliNTEzOWY4ZTg0YmJjN2VjZjZkOTQifQ=="/>
    <w:docVar w:name="KSO_WPS_MARK_KEY" w:val="308e7125-515e-4c6d-bdac-1f3212952647"/>
  </w:docVars>
  <w:rsids>
    <w:rsidRoot w:val="00042132"/>
    <w:rsid w:val="00042132"/>
    <w:rsid w:val="00907785"/>
    <w:rsid w:val="009A69A7"/>
    <w:rsid w:val="00B561DC"/>
    <w:rsid w:val="01384511"/>
    <w:rsid w:val="025A2CBA"/>
    <w:rsid w:val="04025BED"/>
    <w:rsid w:val="06296EB4"/>
    <w:rsid w:val="066E7A48"/>
    <w:rsid w:val="07EA6810"/>
    <w:rsid w:val="08F05ECB"/>
    <w:rsid w:val="0CD13151"/>
    <w:rsid w:val="0D364341"/>
    <w:rsid w:val="0D930259"/>
    <w:rsid w:val="0E710DAC"/>
    <w:rsid w:val="0F9E6EB3"/>
    <w:rsid w:val="101319D6"/>
    <w:rsid w:val="10426FF1"/>
    <w:rsid w:val="1049590D"/>
    <w:rsid w:val="111D7584"/>
    <w:rsid w:val="114809B7"/>
    <w:rsid w:val="134C29E0"/>
    <w:rsid w:val="15790626"/>
    <w:rsid w:val="15C915AD"/>
    <w:rsid w:val="16864E63"/>
    <w:rsid w:val="17C35773"/>
    <w:rsid w:val="18F27B86"/>
    <w:rsid w:val="1A302E2B"/>
    <w:rsid w:val="1B90327A"/>
    <w:rsid w:val="1D9C4C7C"/>
    <w:rsid w:val="1F596DE3"/>
    <w:rsid w:val="1FB52CFE"/>
    <w:rsid w:val="236944B9"/>
    <w:rsid w:val="249C273C"/>
    <w:rsid w:val="25B12B88"/>
    <w:rsid w:val="25F837E0"/>
    <w:rsid w:val="27CC3C98"/>
    <w:rsid w:val="2B2A7653"/>
    <w:rsid w:val="2BBE47D0"/>
    <w:rsid w:val="2DD44BB7"/>
    <w:rsid w:val="348339DB"/>
    <w:rsid w:val="36C6306A"/>
    <w:rsid w:val="380E4447"/>
    <w:rsid w:val="386B19DC"/>
    <w:rsid w:val="39243934"/>
    <w:rsid w:val="3C7324DC"/>
    <w:rsid w:val="3CFA00E5"/>
    <w:rsid w:val="3D014975"/>
    <w:rsid w:val="3F8F1F95"/>
    <w:rsid w:val="41727207"/>
    <w:rsid w:val="418B48FE"/>
    <w:rsid w:val="43BE3CB6"/>
    <w:rsid w:val="458E360A"/>
    <w:rsid w:val="4987340E"/>
    <w:rsid w:val="4C447F29"/>
    <w:rsid w:val="4CAE46E6"/>
    <w:rsid w:val="4FFB5869"/>
    <w:rsid w:val="51422751"/>
    <w:rsid w:val="526A1003"/>
    <w:rsid w:val="534F66DC"/>
    <w:rsid w:val="54CC1BD2"/>
    <w:rsid w:val="57117B3E"/>
    <w:rsid w:val="57D55434"/>
    <w:rsid w:val="585E17C6"/>
    <w:rsid w:val="5BB70824"/>
    <w:rsid w:val="5BE30FD5"/>
    <w:rsid w:val="5D832C2F"/>
    <w:rsid w:val="5FEF62DC"/>
    <w:rsid w:val="60917218"/>
    <w:rsid w:val="616D381B"/>
    <w:rsid w:val="61F6719B"/>
    <w:rsid w:val="63A32756"/>
    <w:rsid w:val="651009BE"/>
    <w:rsid w:val="661D0C3C"/>
    <w:rsid w:val="66246472"/>
    <w:rsid w:val="66323487"/>
    <w:rsid w:val="668C4743"/>
    <w:rsid w:val="6807566D"/>
    <w:rsid w:val="6A772D03"/>
    <w:rsid w:val="6A845731"/>
    <w:rsid w:val="6BF44EAF"/>
    <w:rsid w:val="6C0E1B01"/>
    <w:rsid w:val="6DED1CA3"/>
    <w:rsid w:val="709D3FA2"/>
    <w:rsid w:val="721C5D98"/>
    <w:rsid w:val="72E509D8"/>
    <w:rsid w:val="74124FE8"/>
    <w:rsid w:val="744B55A6"/>
    <w:rsid w:val="74911BBA"/>
    <w:rsid w:val="755320C7"/>
    <w:rsid w:val="75E1612D"/>
    <w:rsid w:val="76454905"/>
    <w:rsid w:val="77B61176"/>
    <w:rsid w:val="77E43CB3"/>
    <w:rsid w:val="79EF0BCC"/>
    <w:rsid w:val="7C8A76B4"/>
    <w:rsid w:val="7D2452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name="toc 1"/>
    <w:lsdException w:qFormat="1"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10">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2">
    <w:name w:val="Body Text"/>
    <w:basedOn w:val="1"/>
    <w:unhideWhenUsed/>
    <w:qFormat/>
    <w:uiPriority w:val="99"/>
    <w:pPr>
      <w:spacing w:after="120" w:afterLines="0" w:afterAutospacing="0"/>
    </w:pPr>
  </w:style>
  <w:style w:type="paragraph" w:styleId="3">
    <w:name w:val="toc 3"/>
    <w:basedOn w:val="1"/>
    <w:next w:val="1"/>
    <w:semiHidden/>
    <w:unhideWhenUsed/>
    <w:uiPriority w:val="39"/>
    <w:pPr>
      <w:ind w:left="840" w:leftChars="400"/>
    </w:pPr>
  </w:style>
  <w:style w:type="paragraph" w:styleId="4">
    <w:name w:val="footer"/>
    <w:basedOn w:val="1"/>
    <w:semiHidden/>
    <w:unhideWhenUsed/>
    <w:qFormat/>
    <w:uiPriority w:val="99"/>
    <w:pPr>
      <w:tabs>
        <w:tab w:val="center" w:pos="4153"/>
        <w:tab w:val="right" w:pos="8306"/>
      </w:tabs>
      <w:snapToGrid w:val="0"/>
      <w:jc w:val="left"/>
    </w:pPr>
    <w:rPr>
      <w:sz w:val="18"/>
    </w:rPr>
  </w:style>
  <w:style w:type="paragraph" w:styleId="5">
    <w:name w:val="header"/>
    <w:basedOn w:val="1"/>
    <w:semiHidden/>
    <w:unhideWhenUsed/>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semiHidden/>
    <w:unhideWhenUsed/>
    <w:qFormat/>
    <w:uiPriority w:val="39"/>
  </w:style>
  <w:style w:type="paragraph" w:styleId="7">
    <w:name w:val="toc 2"/>
    <w:basedOn w:val="1"/>
    <w:next w:val="1"/>
    <w:semiHidden/>
    <w:unhideWhenUsed/>
    <w:qFormat/>
    <w:uiPriority w:val="39"/>
    <w:pPr>
      <w:ind w:left="420" w:leftChars="200"/>
    </w:pPr>
  </w:style>
  <w:style w:type="paragraph" w:styleId="8">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paragraph" w:customStyle="1" w:styleId="11">
    <w:name w:val="WPSOffice手动目录 1"/>
    <w:qFormat/>
    <w:uiPriority w:val="0"/>
    <w:pPr>
      <w:ind w:leftChars="0"/>
    </w:pPr>
    <w:rPr>
      <w:rFonts w:ascii="Times New Roman" w:hAnsi="Times New Roman" w:eastAsia="宋体" w:cs="Times New Roman"/>
      <w:sz w:val="20"/>
      <w:szCs w:val="20"/>
    </w:rPr>
  </w:style>
  <w:style w:type="paragraph" w:customStyle="1" w:styleId="12">
    <w:name w:val="WPSOffice手动目录 2"/>
    <w:qFormat/>
    <w:uiPriority w:val="0"/>
    <w:pPr>
      <w:ind w:leftChars="200"/>
    </w:pPr>
    <w:rPr>
      <w:rFonts w:ascii="Times New Roman" w:hAnsi="Times New Roman" w:eastAsia="宋体" w:cs="Times New Roman"/>
      <w:sz w:val="20"/>
      <w:szCs w:val="20"/>
    </w:rPr>
  </w:style>
  <w:style w:type="paragraph" w:customStyle="1" w:styleId="13">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21</Pages>
  <Words>5676</Words>
  <Characters>31795</Characters>
  <Lines>1</Lines>
  <Paragraphs>1</Paragraphs>
  <TotalTime>3</TotalTime>
  <ScaleCrop>false</ScaleCrop>
  <LinksUpToDate>false</LinksUpToDate>
  <CharactersWithSpaces>37495</CharactersWithSpaces>
  <Application>WPS Office_11.1.0.12763_F1E327BC-269C-435d-A152-05C5408002CA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2022-04-26T15:58:00Z</dcterms:created>
  <dc:creator>Davina Evans</dc:creator>
  <cp:lastModifiedBy>Harrrr</cp:lastModifiedBy>
  <dcterms:modified xsi:type="dcterms:W3CDTF">2022-12-12T11:27:04Z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07637CE75E1042B8BC0C2AAFDEC5B51E</vt:lpwstr>
  </property>
</Properties>
</file>