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D140A" w14:textId="7918E1A5" w:rsidR="005D16E4" w:rsidRDefault="00DA7669" w:rsidP="005D16E4">
      <w:pPr>
        <w:ind w:left="1440" w:firstLine="720"/>
        <w:rPr>
          <w:rFonts w:ascii="Times New Roman" w:hAnsi="Times New Roman" w:cs="Times New Roman"/>
          <w:sz w:val="40"/>
          <w:szCs w:val="40"/>
        </w:rPr>
      </w:pPr>
      <w:r>
        <w:rPr>
          <w:noProof/>
        </w:rPr>
        <w:drawing>
          <wp:inline distT="0" distB="0" distL="0" distR="0" wp14:anchorId="4A95678F" wp14:editId="3C0534E0">
            <wp:extent cx="3639820" cy="1816735"/>
            <wp:effectExtent l="0" t="0" r="0" b="0"/>
            <wp:docPr id="12299093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93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55173385" w14:textId="77777777" w:rsidR="005D16E4" w:rsidRDefault="005D16E4" w:rsidP="005D16E4">
      <w:pPr>
        <w:ind w:left="1440" w:firstLine="720"/>
        <w:rPr>
          <w:rFonts w:ascii="Times New Roman" w:hAnsi="Times New Roman" w:cs="Times New Roman"/>
          <w:sz w:val="40"/>
          <w:szCs w:val="40"/>
        </w:rPr>
      </w:pPr>
    </w:p>
    <w:p w14:paraId="5BB804FC" w14:textId="77777777" w:rsidR="004B0464" w:rsidRDefault="004B0464" w:rsidP="005D16E4">
      <w:pPr>
        <w:ind w:left="1440" w:firstLine="720"/>
        <w:rPr>
          <w:rFonts w:ascii="Times New Roman" w:hAnsi="Times New Roman" w:cs="Times New Roman"/>
          <w:sz w:val="40"/>
          <w:szCs w:val="40"/>
        </w:rPr>
      </w:pPr>
    </w:p>
    <w:p w14:paraId="5A167651" w14:textId="77777777" w:rsidR="004B0464" w:rsidRDefault="004B0464" w:rsidP="005D16E4">
      <w:pPr>
        <w:ind w:left="1440" w:firstLine="720"/>
        <w:rPr>
          <w:rFonts w:ascii="Times New Roman" w:hAnsi="Times New Roman" w:cs="Times New Roman"/>
          <w:sz w:val="40"/>
          <w:szCs w:val="40"/>
        </w:rPr>
      </w:pPr>
    </w:p>
    <w:p w14:paraId="1C15ADD5" w14:textId="77777777" w:rsidR="004B0464" w:rsidRPr="0058185B" w:rsidRDefault="005D16E4" w:rsidP="004B0464">
      <w:pPr>
        <w:jc w:val="center"/>
        <w:rPr>
          <w:rFonts w:ascii="Times New Roman" w:hAnsi="Times New Roman" w:cs="Times New Roman"/>
          <w:sz w:val="56"/>
          <w:szCs w:val="56"/>
        </w:rPr>
      </w:pPr>
      <w:r w:rsidRPr="0058185B">
        <w:rPr>
          <w:rFonts w:ascii="Times New Roman" w:hAnsi="Times New Roman" w:cs="Times New Roman"/>
          <w:sz w:val="56"/>
          <w:szCs w:val="56"/>
        </w:rPr>
        <w:t>Assessment 2</w:t>
      </w:r>
    </w:p>
    <w:p w14:paraId="2B5A68E8" w14:textId="25FDFE68" w:rsidR="004B0464" w:rsidRPr="0058185B" w:rsidRDefault="004B0464" w:rsidP="004B0464">
      <w:pPr>
        <w:jc w:val="center"/>
        <w:rPr>
          <w:rFonts w:ascii="Times New Roman" w:hAnsi="Times New Roman" w:cs="Times New Roman"/>
          <w:sz w:val="36"/>
          <w:szCs w:val="36"/>
        </w:rPr>
      </w:pPr>
      <w:r w:rsidRPr="0058185B">
        <w:rPr>
          <w:rFonts w:ascii="Arial" w:hAnsi="Arial" w:cs="Arial"/>
          <w:sz w:val="36"/>
          <w:szCs w:val="36"/>
        </w:rPr>
        <w:t>Contracting Methods in Project Management</w:t>
      </w:r>
    </w:p>
    <w:p w14:paraId="31A5C8F9" w14:textId="77777777" w:rsidR="005D16E4" w:rsidRDefault="005D16E4" w:rsidP="005D16E4">
      <w:pPr>
        <w:rPr>
          <w:b/>
          <w:bCs/>
        </w:rPr>
      </w:pPr>
    </w:p>
    <w:p w14:paraId="794E0CD1" w14:textId="77777777" w:rsidR="004B0464" w:rsidRDefault="004B0464" w:rsidP="005D16E4">
      <w:pPr>
        <w:rPr>
          <w:b/>
          <w:bCs/>
        </w:rPr>
      </w:pPr>
    </w:p>
    <w:p w14:paraId="401BB78C" w14:textId="77777777" w:rsidR="005D16E4" w:rsidRDefault="005D16E4" w:rsidP="005D16E4">
      <w:pPr>
        <w:rPr>
          <w:b/>
          <w:bCs/>
        </w:rPr>
      </w:pPr>
    </w:p>
    <w:p w14:paraId="025D4D74" w14:textId="77777777" w:rsidR="005D16E4" w:rsidRDefault="005D16E4" w:rsidP="005D16E4">
      <w:pPr>
        <w:rPr>
          <w:b/>
          <w:bCs/>
        </w:rPr>
      </w:pPr>
    </w:p>
    <w:p w14:paraId="50711B94" w14:textId="77777777" w:rsidR="005D16E4" w:rsidRPr="0058185B" w:rsidRDefault="005D16E4" w:rsidP="005D16E4">
      <w:pPr>
        <w:rPr>
          <w:rFonts w:ascii="Times New Roman" w:hAnsi="Times New Roman" w:cs="Times New Roman"/>
          <w:sz w:val="32"/>
          <w:szCs w:val="32"/>
        </w:rPr>
      </w:pPr>
      <w:r w:rsidRPr="0058185B">
        <w:rPr>
          <w:rFonts w:ascii="Times New Roman" w:hAnsi="Times New Roman" w:cs="Times New Roman"/>
          <w:sz w:val="32"/>
          <w:szCs w:val="32"/>
        </w:rPr>
        <w:t>Name: Sorin Daniel Dascalu</w:t>
      </w:r>
    </w:p>
    <w:p w14:paraId="1E3BDEB4" w14:textId="77777777" w:rsidR="005D16E4" w:rsidRPr="0058185B" w:rsidRDefault="005D16E4" w:rsidP="005D16E4">
      <w:pPr>
        <w:rPr>
          <w:rFonts w:ascii="Times New Roman" w:hAnsi="Times New Roman" w:cs="Times New Roman"/>
          <w:sz w:val="32"/>
          <w:szCs w:val="32"/>
        </w:rPr>
      </w:pPr>
      <w:r w:rsidRPr="0058185B">
        <w:rPr>
          <w:rFonts w:ascii="Times New Roman" w:hAnsi="Times New Roman" w:cs="Times New Roman"/>
          <w:sz w:val="32"/>
          <w:szCs w:val="32"/>
        </w:rPr>
        <w:t>Student ID: 2237755</w:t>
      </w:r>
    </w:p>
    <w:p w14:paraId="79DB5303" w14:textId="77777777" w:rsidR="005D16E4" w:rsidRPr="0058185B" w:rsidRDefault="005D16E4" w:rsidP="005D16E4">
      <w:pPr>
        <w:rPr>
          <w:rFonts w:ascii="Times New Roman" w:hAnsi="Times New Roman" w:cs="Times New Roman"/>
          <w:sz w:val="32"/>
          <w:szCs w:val="32"/>
        </w:rPr>
      </w:pPr>
      <w:r w:rsidRPr="0058185B">
        <w:rPr>
          <w:rFonts w:ascii="Times New Roman" w:hAnsi="Times New Roman" w:cs="Times New Roman"/>
          <w:sz w:val="32"/>
          <w:szCs w:val="32"/>
        </w:rPr>
        <w:t>Module code: LCBB6006</w:t>
      </w:r>
    </w:p>
    <w:p w14:paraId="6E0CA00F" w14:textId="77777777" w:rsidR="005D16E4" w:rsidRPr="0058185B" w:rsidRDefault="005D16E4" w:rsidP="005D16E4">
      <w:pPr>
        <w:rPr>
          <w:rFonts w:ascii="Times New Roman" w:hAnsi="Times New Roman" w:cs="Times New Roman"/>
          <w:sz w:val="32"/>
          <w:szCs w:val="32"/>
        </w:rPr>
      </w:pPr>
      <w:r w:rsidRPr="0058185B">
        <w:rPr>
          <w:rFonts w:ascii="Times New Roman" w:hAnsi="Times New Roman" w:cs="Times New Roman"/>
          <w:sz w:val="32"/>
          <w:szCs w:val="32"/>
        </w:rPr>
        <w:t>Module Name: Project Management</w:t>
      </w:r>
    </w:p>
    <w:p w14:paraId="756556F5" w14:textId="77777777" w:rsidR="005D16E4" w:rsidRPr="0058185B" w:rsidRDefault="005D16E4" w:rsidP="005D16E4">
      <w:pPr>
        <w:rPr>
          <w:rFonts w:ascii="Times New Roman" w:hAnsi="Times New Roman" w:cs="Times New Roman"/>
          <w:sz w:val="32"/>
          <w:szCs w:val="32"/>
        </w:rPr>
      </w:pPr>
      <w:r w:rsidRPr="0058185B">
        <w:rPr>
          <w:rFonts w:ascii="Times New Roman" w:hAnsi="Times New Roman" w:cs="Times New Roman"/>
          <w:sz w:val="32"/>
          <w:szCs w:val="32"/>
        </w:rPr>
        <w:t>Lecturer:  Dr Zainab Atta</w:t>
      </w:r>
    </w:p>
    <w:p w14:paraId="4BC5EA6B" w14:textId="77777777" w:rsidR="005D16E4" w:rsidRDefault="005D16E4" w:rsidP="005D16E4">
      <w:pPr>
        <w:rPr>
          <w:b/>
          <w:bCs/>
        </w:rPr>
      </w:pPr>
    </w:p>
    <w:p w14:paraId="00C948DC" w14:textId="77777777" w:rsidR="005D16E4" w:rsidRDefault="005D16E4" w:rsidP="008218A4">
      <w:pPr>
        <w:spacing w:line="360" w:lineRule="auto"/>
        <w:jc w:val="both"/>
        <w:rPr>
          <w:rFonts w:ascii="Arial" w:hAnsi="Arial" w:cs="Arial"/>
          <w:sz w:val="24"/>
          <w:szCs w:val="24"/>
        </w:rPr>
      </w:pPr>
    </w:p>
    <w:p w14:paraId="39FC8516" w14:textId="77777777" w:rsidR="004B0464" w:rsidRDefault="004B0464" w:rsidP="008218A4">
      <w:pPr>
        <w:spacing w:line="360" w:lineRule="auto"/>
        <w:jc w:val="both"/>
        <w:rPr>
          <w:rFonts w:ascii="Arial" w:hAnsi="Arial" w:cs="Arial"/>
          <w:sz w:val="24"/>
          <w:szCs w:val="24"/>
        </w:rPr>
      </w:pPr>
    </w:p>
    <w:p w14:paraId="04291023" w14:textId="77777777" w:rsidR="004B0464" w:rsidRDefault="004B0464" w:rsidP="008218A4">
      <w:pPr>
        <w:spacing w:line="360" w:lineRule="auto"/>
        <w:jc w:val="both"/>
        <w:rPr>
          <w:rFonts w:ascii="Arial" w:hAnsi="Arial" w:cs="Arial"/>
          <w:sz w:val="24"/>
          <w:szCs w:val="24"/>
        </w:rPr>
      </w:pPr>
    </w:p>
    <w:p w14:paraId="1CAFE4B6" w14:textId="77777777" w:rsidR="004B0464" w:rsidRDefault="004B0464" w:rsidP="008218A4">
      <w:pPr>
        <w:spacing w:line="360" w:lineRule="auto"/>
        <w:jc w:val="both"/>
        <w:rPr>
          <w:rFonts w:ascii="Arial" w:hAnsi="Arial" w:cs="Arial"/>
          <w:sz w:val="24"/>
          <w:szCs w:val="24"/>
        </w:rPr>
      </w:pPr>
    </w:p>
    <w:p w14:paraId="6879CA72" w14:textId="77777777" w:rsidR="004B0464" w:rsidRDefault="004B0464" w:rsidP="008218A4">
      <w:pPr>
        <w:spacing w:line="360" w:lineRule="auto"/>
        <w:jc w:val="both"/>
        <w:rPr>
          <w:rFonts w:ascii="Arial" w:hAnsi="Arial" w:cs="Arial"/>
          <w:sz w:val="24"/>
          <w:szCs w:val="24"/>
        </w:rPr>
      </w:pPr>
    </w:p>
    <w:p w14:paraId="0F7C8D6A" w14:textId="77777777" w:rsidR="004B0464" w:rsidRDefault="004B0464" w:rsidP="008218A4">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rPr>
        <w:id w:val="-831367534"/>
        <w:docPartObj>
          <w:docPartGallery w:val="Table of Contents"/>
          <w:docPartUnique/>
        </w:docPartObj>
      </w:sdtPr>
      <w:sdtEndPr>
        <w:rPr>
          <w:b/>
          <w:bCs/>
          <w:noProof/>
        </w:rPr>
      </w:sdtEndPr>
      <w:sdtContent>
        <w:p w14:paraId="1E276BF9" w14:textId="4B250B92" w:rsidR="0018112D" w:rsidRDefault="0018112D">
          <w:pPr>
            <w:pStyle w:val="TOCHeading"/>
            <w:rPr>
              <w:rFonts w:ascii="Arial" w:hAnsi="Arial" w:cs="Arial"/>
              <w:sz w:val="40"/>
              <w:szCs w:val="40"/>
            </w:rPr>
          </w:pPr>
          <w:r w:rsidRPr="00D5455F">
            <w:rPr>
              <w:rFonts w:ascii="Arial" w:hAnsi="Arial" w:cs="Arial"/>
              <w:sz w:val="40"/>
              <w:szCs w:val="40"/>
            </w:rPr>
            <w:t>Contents</w:t>
          </w:r>
        </w:p>
        <w:p w14:paraId="1164B21E" w14:textId="77777777" w:rsidR="00D5455F" w:rsidRPr="00D5455F" w:rsidRDefault="00D5455F" w:rsidP="00D5455F">
          <w:pPr>
            <w:rPr>
              <w:lang w:val="en-US"/>
            </w:rPr>
          </w:pPr>
        </w:p>
        <w:p w14:paraId="3F0E749B" w14:textId="7C109580" w:rsidR="0018112D" w:rsidRPr="0018112D" w:rsidRDefault="0018112D">
          <w:pPr>
            <w:pStyle w:val="TOC1"/>
            <w:tabs>
              <w:tab w:val="right" w:leader="dot" w:pos="9016"/>
            </w:tabs>
            <w:rPr>
              <w:rFonts w:ascii="Arial" w:eastAsiaTheme="minorEastAsia" w:hAnsi="Arial" w:cs="Arial"/>
              <w:noProof/>
              <w:sz w:val="32"/>
              <w:szCs w:val="32"/>
              <w:lang w:eastAsia="en-GB"/>
            </w:rPr>
          </w:pPr>
          <w:r w:rsidRPr="0018112D">
            <w:rPr>
              <w:rFonts w:ascii="Arial" w:hAnsi="Arial" w:cs="Arial"/>
              <w:sz w:val="32"/>
              <w:szCs w:val="32"/>
            </w:rPr>
            <w:fldChar w:fldCharType="begin"/>
          </w:r>
          <w:r w:rsidRPr="0018112D">
            <w:rPr>
              <w:rFonts w:ascii="Arial" w:hAnsi="Arial" w:cs="Arial"/>
              <w:sz w:val="32"/>
              <w:szCs w:val="32"/>
            </w:rPr>
            <w:instrText xml:space="preserve"> TOC \o "1-3" \h \z \u </w:instrText>
          </w:r>
          <w:r w:rsidRPr="0018112D">
            <w:rPr>
              <w:rFonts w:ascii="Arial" w:hAnsi="Arial" w:cs="Arial"/>
              <w:sz w:val="32"/>
              <w:szCs w:val="32"/>
            </w:rPr>
            <w:fldChar w:fldCharType="separate"/>
          </w:r>
          <w:hyperlink w:anchor="_Toc227482359" w:history="1">
            <w:r w:rsidRPr="0018112D">
              <w:rPr>
                <w:rStyle w:val="Hyperlink"/>
                <w:rFonts w:ascii="Arial" w:hAnsi="Arial" w:cs="Arial"/>
                <w:noProof/>
                <w:sz w:val="32"/>
                <w:szCs w:val="32"/>
              </w:rPr>
              <w:t>1. Introduction</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_Toc227482359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3</w:t>
            </w:r>
            <w:r w:rsidRPr="0018112D">
              <w:rPr>
                <w:rFonts w:ascii="Arial" w:hAnsi="Arial" w:cs="Arial"/>
                <w:noProof/>
                <w:webHidden/>
                <w:sz w:val="32"/>
                <w:szCs w:val="32"/>
              </w:rPr>
              <w:fldChar w:fldCharType="end"/>
            </w:r>
          </w:hyperlink>
        </w:p>
        <w:p w14:paraId="289C3A79" w14:textId="0E1FE4A9"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0" w:history="1">
            <w:r w:rsidRPr="0018112D">
              <w:rPr>
                <w:rStyle w:val="Hyperlink"/>
                <w:rFonts w:ascii="Arial" w:hAnsi="Arial" w:cs="Arial"/>
                <w:noProof/>
                <w:sz w:val="32"/>
                <w:szCs w:val="32"/>
              </w:rPr>
              <w:t>2. Contracting in Project Management</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_Toc227482360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3</w:t>
            </w:r>
            <w:r w:rsidRPr="0018112D">
              <w:rPr>
                <w:rFonts w:ascii="Arial" w:hAnsi="Arial" w:cs="Arial"/>
                <w:noProof/>
                <w:webHidden/>
                <w:sz w:val="32"/>
                <w:szCs w:val="32"/>
              </w:rPr>
              <w:fldChar w:fldCharType="end"/>
            </w:r>
          </w:hyperlink>
        </w:p>
        <w:p w14:paraId="0C7BF779" w14:textId="5DEF6FC6"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1" w:history="1">
            <w:r w:rsidRPr="0018112D">
              <w:rPr>
                <w:rStyle w:val="Hyperlink"/>
                <w:rFonts w:ascii="Arial" w:hAnsi="Arial" w:cs="Arial"/>
                <w:noProof/>
                <w:sz w:val="32"/>
                <w:szCs w:val="32"/>
              </w:rPr>
              <w:t>3. Turnkey Contracting</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_Toc227482361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4</w:t>
            </w:r>
            <w:r w:rsidRPr="0018112D">
              <w:rPr>
                <w:rFonts w:ascii="Arial" w:hAnsi="Arial" w:cs="Arial"/>
                <w:noProof/>
                <w:webHidden/>
                <w:sz w:val="32"/>
                <w:szCs w:val="32"/>
              </w:rPr>
              <w:fldChar w:fldCharType="end"/>
            </w:r>
          </w:hyperlink>
        </w:p>
        <w:p w14:paraId="0AD18353" w14:textId="221D7A4A"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2" w:history="1">
            <w:r w:rsidRPr="0018112D">
              <w:rPr>
                <w:rStyle w:val="Hyperlink"/>
                <w:rFonts w:ascii="Arial" w:hAnsi="Arial" w:cs="Arial"/>
                <w:noProof/>
                <w:sz w:val="32"/>
                <w:szCs w:val="32"/>
              </w:rPr>
              <w:t>4. Multicontracting</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_Toc227482362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5</w:t>
            </w:r>
            <w:r w:rsidRPr="0018112D">
              <w:rPr>
                <w:rFonts w:ascii="Arial" w:hAnsi="Arial" w:cs="Arial"/>
                <w:noProof/>
                <w:webHidden/>
                <w:sz w:val="32"/>
                <w:szCs w:val="32"/>
              </w:rPr>
              <w:fldChar w:fldCharType="end"/>
            </w:r>
          </w:hyperlink>
        </w:p>
        <w:p w14:paraId="22A7BAA1" w14:textId="1050204D"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3" w:history="1">
            <w:r w:rsidRPr="0018112D">
              <w:rPr>
                <w:rStyle w:val="Hyperlink"/>
                <w:rFonts w:ascii="Arial" w:hAnsi="Arial" w:cs="Arial"/>
                <w:noProof/>
                <w:sz w:val="32"/>
                <w:szCs w:val="32"/>
              </w:rPr>
              <w:t>5. Do-It-Yourself (DIY)</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_Toc227482363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6</w:t>
            </w:r>
            <w:r w:rsidRPr="0018112D">
              <w:rPr>
                <w:rFonts w:ascii="Arial" w:hAnsi="Arial" w:cs="Arial"/>
                <w:noProof/>
                <w:webHidden/>
                <w:sz w:val="32"/>
                <w:szCs w:val="32"/>
              </w:rPr>
              <w:fldChar w:fldCharType="end"/>
            </w:r>
          </w:hyperlink>
        </w:p>
        <w:p w14:paraId="17AF842A" w14:textId="6124A63A"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4" w:history="1">
            <w:r w:rsidRPr="0018112D">
              <w:rPr>
                <w:rStyle w:val="Hyperlink"/>
                <w:rFonts w:ascii="Arial" w:hAnsi="Arial" w:cs="Arial"/>
                <w:noProof/>
                <w:sz w:val="32"/>
                <w:szCs w:val="32"/>
              </w:rPr>
              <w:t>6. Multicontract + DIY</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_Toc227482364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7</w:t>
            </w:r>
            <w:r w:rsidRPr="0018112D">
              <w:rPr>
                <w:rFonts w:ascii="Arial" w:hAnsi="Arial" w:cs="Arial"/>
                <w:noProof/>
                <w:webHidden/>
                <w:sz w:val="32"/>
                <w:szCs w:val="32"/>
              </w:rPr>
              <w:fldChar w:fldCharType="end"/>
            </w:r>
          </w:hyperlink>
        </w:p>
        <w:p w14:paraId="436DF249" w14:textId="535D2E1C"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5" w:history="1">
            <w:r w:rsidRPr="0018112D">
              <w:rPr>
                <w:rStyle w:val="Hyperlink"/>
                <w:rFonts w:ascii="Arial" w:hAnsi="Arial" w:cs="Arial"/>
                <w:noProof/>
                <w:sz w:val="32"/>
                <w:szCs w:val="32"/>
              </w:rPr>
              <w:t>7. Critical Evaluation and Application</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_Toc227482365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8</w:t>
            </w:r>
            <w:r w:rsidRPr="0018112D">
              <w:rPr>
                <w:rFonts w:ascii="Arial" w:hAnsi="Arial" w:cs="Arial"/>
                <w:noProof/>
                <w:webHidden/>
                <w:sz w:val="32"/>
                <w:szCs w:val="32"/>
              </w:rPr>
              <w:fldChar w:fldCharType="end"/>
            </w:r>
          </w:hyperlink>
        </w:p>
        <w:p w14:paraId="6BF4A8BE" w14:textId="082E89E3"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6" w:history="1">
            <w:r w:rsidRPr="0018112D">
              <w:rPr>
                <w:rStyle w:val="Hyperlink"/>
                <w:rFonts w:ascii="Arial" w:hAnsi="Arial" w:cs="Arial"/>
                <w:noProof/>
                <w:sz w:val="32"/>
                <w:szCs w:val="32"/>
              </w:rPr>
              <w:t>8. Conclusion</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_Toc227482366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9</w:t>
            </w:r>
            <w:r w:rsidRPr="0018112D">
              <w:rPr>
                <w:rFonts w:ascii="Arial" w:hAnsi="Arial" w:cs="Arial"/>
                <w:noProof/>
                <w:webHidden/>
                <w:sz w:val="32"/>
                <w:szCs w:val="32"/>
              </w:rPr>
              <w:fldChar w:fldCharType="end"/>
            </w:r>
          </w:hyperlink>
        </w:p>
        <w:p w14:paraId="23FA7324" w14:textId="6A4F6C38" w:rsidR="0018112D" w:rsidRPr="0018112D" w:rsidRDefault="0018112D">
          <w:pPr>
            <w:pStyle w:val="TOC1"/>
            <w:tabs>
              <w:tab w:val="right" w:leader="dot" w:pos="9016"/>
            </w:tabs>
            <w:rPr>
              <w:rFonts w:ascii="Arial" w:eastAsiaTheme="minorEastAsia" w:hAnsi="Arial" w:cs="Arial"/>
              <w:noProof/>
              <w:sz w:val="32"/>
              <w:szCs w:val="32"/>
              <w:lang w:eastAsia="en-GB"/>
            </w:rPr>
          </w:pPr>
          <w:hyperlink w:anchor="_Toc227482367" w:history="1">
            <w:r w:rsidRPr="0018112D">
              <w:rPr>
                <w:rStyle w:val="Hyperlink"/>
                <w:rFonts w:ascii="Arial" w:hAnsi="Arial" w:cs="Arial"/>
                <w:noProof/>
                <w:sz w:val="32"/>
                <w:szCs w:val="32"/>
              </w:rPr>
              <w:t>9.References</w:t>
            </w:r>
            <w:r w:rsidRPr="0018112D">
              <w:rPr>
                <w:rFonts w:ascii="Arial" w:hAnsi="Arial" w:cs="Arial"/>
                <w:noProof/>
                <w:webHidden/>
                <w:sz w:val="32"/>
                <w:szCs w:val="32"/>
              </w:rPr>
              <w:tab/>
            </w:r>
            <w:r w:rsidRPr="0018112D">
              <w:rPr>
                <w:rFonts w:ascii="Arial" w:hAnsi="Arial" w:cs="Arial"/>
                <w:noProof/>
                <w:webHidden/>
                <w:sz w:val="32"/>
                <w:szCs w:val="32"/>
              </w:rPr>
              <w:fldChar w:fldCharType="begin"/>
            </w:r>
            <w:r w:rsidRPr="0018112D">
              <w:rPr>
                <w:rFonts w:ascii="Arial" w:hAnsi="Arial" w:cs="Arial"/>
                <w:noProof/>
                <w:webHidden/>
                <w:sz w:val="32"/>
                <w:szCs w:val="32"/>
              </w:rPr>
              <w:instrText xml:space="preserve"> PAGEREF _Toc227482367 \h </w:instrText>
            </w:r>
            <w:r w:rsidRPr="0018112D">
              <w:rPr>
                <w:rFonts w:ascii="Arial" w:hAnsi="Arial" w:cs="Arial"/>
                <w:noProof/>
                <w:webHidden/>
                <w:sz w:val="32"/>
                <w:szCs w:val="32"/>
              </w:rPr>
            </w:r>
            <w:r w:rsidRPr="0018112D">
              <w:rPr>
                <w:rFonts w:ascii="Arial" w:hAnsi="Arial" w:cs="Arial"/>
                <w:noProof/>
                <w:webHidden/>
                <w:sz w:val="32"/>
                <w:szCs w:val="32"/>
              </w:rPr>
              <w:fldChar w:fldCharType="separate"/>
            </w:r>
            <w:r w:rsidRPr="0018112D">
              <w:rPr>
                <w:rFonts w:ascii="Arial" w:hAnsi="Arial" w:cs="Arial"/>
                <w:noProof/>
                <w:webHidden/>
                <w:sz w:val="32"/>
                <w:szCs w:val="32"/>
              </w:rPr>
              <w:t>11</w:t>
            </w:r>
            <w:r w:rsidRPr="0018112D">
              <w:rPr>
                <w:rFonts w:ascii="Arial" w:hAnsi="Arial" w:cs="Arial"/>
                <w:noProof/>
                <w:webHidden/>
                <w:sz w:val="32"/>
                <w:szCs w:val="32"/>
              </w:rPr>
              <w:fldChar w:fldCharType="end"/>
            </w:r>
          </w:hyperlink>
        </w:p>
        <w:p w14:paraId="6965FB82" w14:textId="03F78E91" w:rsidR="0018112D" w:rsidRDefault="0018112D">
          <w:r w:rsidRPr="0018112D">
            <w:rPr>
              <w:rFonts w:ascii="Arial" w:hAnsi="Arial" w:cs="Arial"/>
              <w:b/>
              <w:bCs/>
              <w:noProof/>
              <w:sz w:val="32"/>
              <w:szCs w:val="32"/>
            </w:rPr>
            <w:fldChar w:fldCharType="end"/>
          </w:r>
        </w:p>
      </w:sdtContent>
    </w:sdt>
    <w:p w14:paraId="79A4867C" w14:textId="77777777" w:rsidR="009275A2" w:rsidRDefault="009275A2" w:rsidP="004B0464">
      <w:pPr>
        <w:pStyle w:val="Heading1"/>
      </w:pPr>
    </w:p>
    <w:p w14:paraId="46840072" w14:textId="77777777" w:rsidR="00042570" w:rsidRDefault="00042570" w:rsidP="00042570"/>
    <w:p w14:paraId="35821FE7" w14:textId="77777777" w:rsidR="00042570" w:rsidRDefault="00042570" w:rsidP="00042570"/>
    <w:p w14:paraId="07DBD6B3" w14:textId="77777777" w:rsidR="00042570" w:rsidRDefault="00042570" w:rsidP="00042570"/>
    <w:p w14:paraId="260181C2" w14:textId="77777777" w:rsidR="00042570" w:rsidRDefault="00042570" w:rsidP="00042570"/>
    <w:p w14:paraId="775DAF6D" w14:textId="77777777" w:rsidR="00042570" w:rsidRDefault="00042570" w:rsidP="00042570"/>
    <w:p w14:paraId="4E480DFB" w14:textId="77777777" w:rsidR="00042570" w:rsidRDefault="00042570" w:rsidP="00042570"/>
    <w:p w14:paraId="5765EFE8" w14:textId="77777777" w:rsidR="00042570" w:rsidRDefault="00042570" w:rsidP="00042570"/>
    <w:p w14:paraId="76FE5B9C" w14:textId="77777777" w:rsidR="00042570" w:rsidRDefault="00042570" w:rsidP="00042570"/>
    <w:p w14:paraId="460B2449" w14:textId="77777777" w:rsidR="00042570" w:rsidRDefault="00042570" w:rsidP="00042570"/>
    <w:p w14:paraId="4CDD4DE6" w14:textId="77777777" w:rsidR="00042570" w:rsidRDefault="00042570" w:rsidP="00042570"/>
    <w:p w14:paraId="6B5D10AC" w14:textId="77777777" w:rsidR="00D5455F" w:rsidRDefault="00D5455F" w:rsidP="004B0464">
      <w:pPr>
        <w:pStyle w:val="Heading1"/>
      </w:pPr>
      <w:bookmarkStart w:id="0" w:name="_Toc227482359"/>
    </w:p>
    <w:p w14:paraId="7DC6EE6B" w14:textId="7AAD748C" w:rsidR="008218A4" w:rsidRPr="008218A4" w:rsidRDefault="008218A4" w:rsidP="004B0464">
      <w:pPr>
        <w:pStyle w:val="Heading1"/>
      </w:pPr>
      <w:r w:rsidRPr="008218A4">
        <w:t>1. Introduction</w:t>
      </w:r>
      <w:bookmarkEnd w:id="0"/>
    </w:p>
    <w:p w14:paraId="69EC3A8B" w14:textId="7D06CAF7" w:rsidR="007F0E71" w:rsidRDefault="008218A4" w:rsidP="007F0E71">
      <w:pPr>
        <w:spacing w:line="360" w:lineRule="auto"/>
        <w:jc w:val="both"/>
        <w:rPr>
          <w:rFonts w:ascii="Arial" w:hAnsi="Arial" w:cs="Arial"/>
          <w:sz w:val="24"/>
          <w:szCs w:val="24"/>
        </w:rPr>
      </w:pPr>
      <w:r w:rsidRPr="008218A4">
        <w:rPr>
          <w:rFonts w:ascii="Arial" w:hAnsi="Arial" w:cs="Arial"/>
          <w:sz w:val="24"/>
          <w:szCs w:val="24"/>
        </w:rPr>
        <w:t xml:space="preserve">Project management (PM) is a structured discipline concerned with planning, organising, and controlling resources </w:t>
      </w:r>
      <w:r w:rsidR="007F0E71" w:rsidRPr="008218A4">
        <w:rPr>
          <w:rFonts w:ascii="Arial" w:hAnsi="Arial" w:cs="Arial"/>
          <w:sz w:val="24"/>
          <w:szCs w:val="24"/>
        </w:rPr>
        <w:t>to</w:t>
      </w:r>
      <w:r w:rsidRPr="008218A4">
        <w:rPr>
          <w:rFonts w:ascii="Arial" w:hAnsi="Arial" w:cs="Arial"/>
          <w:sz w:val="24"/>
          <w:szCs w:val="24"/>
        </w:rPr>
        <w:t xml:space="preserve"> achieve defined objectives within constraints such as time, cost, and quality (Kerzner, 2022). In modern business environments, projects have become increasingly complex, often involving multiple stakeholders, advanced technologies, and interdependent activities. </w:t>
      </w:r>
      <w:r w:rsidR="007F0E71" w:rsidRPr="007F0E71">
        <w:rPr>
          <w:rFonts w:ascii="Arial" w:hAnsi="Arial" w:cs="Arial"/>
          <w:sz w:val="24"/>
          <w:szCs w:val="24"/>
        </w:rPr>
        <w:t xml:space="preserve">In addition, organisations choose to contract out work </w:t>
      </w:r>
      <w:r w:rsidR="007F0E71" w:rsidRPr="007F0E71">
        <w:rPr>
          <w:rFonts w:ascii="Arial" w:hAnsi="Arial" w:cs="Arial"/>
          <w:sz w:val="24"/>
          <w:szCs w:val="24"/>
        </w:rPr>
        <w:t>to</w:t>
      </w:r>
      <w:r w:rsidR="007F0E71">
        <w:rPr>
          <w:rFonts w:ascii="Arial" w:hAnsi="Arial" w:cs="Arial"/>
          <w:sz w:val="24"/>
          <w:szCs w:val="24"/>
        </w:rPr>
        <w:t xml:space="preserve"> </w:t>
      </w:r>
      <w:r w:rsidR="007F0E71" w:rsidRPr="007F0E71">
        <w:rPr>
          <w:rFonts w:ascii="Arial" w:hAnsi="Arial" w:cs="Arial"/>
          <w:sz w:val="24"/>
          <w:szCs w:val="24"/>
        </w:rPr>
        <w:t>reduce internal workload, access specialised capabilities, and improve project efficiency. This essay will therefore not only explain the four contracting methods but also critically evaluate their suitability for different types of projects, considering factors such as complexity, risk, and organisational capability.</w:t>
      </w:r>
    </w:p>
    <w:p w14:paraId="7562C770" w14:textId="54D7AC00" w:rsidR="008218A4" w:rsidRPr="007F0E71" w:rsidRDefault="008218A4" w:rsidP="007F0E71">
      <w:pPr>
        <w:spacing w:line="360" w:lineRule="auto"/>
        <w:jc w:val="both"/>
        <w:rPr>
          <w:rFonts w:ascii="Arial" w:hAnsi="Arial" w:cs="Arial"/>
          <w:sz w:val="24"/>
          <w:szCs w:val="24"/>
        </w:rPr>
      </w:pPr>
      <w:r w:rsidRPr="007F0E71">
        <w:rPr>
          <w:rFonts w:ascii="Arial" w:hAnsi="Arial" w:cs="Arial"/>
          <w:sz w:val="24"/>
          <w:szCs w:val="24"/>
        </w:rPr>
        <w:t>Contracting in project management refers to the process of engaging external organisations or individuals to perform specific tasks or deliver complete project outcomes. This decision is influenced by several factors, including access to specialised expertise, cost efficiency, time constraints, and risk allocation (PMI, 2021). However, the choice of contracting method is not merely operational; it is a strategic decision that determines how responsibilities, risks, and control are distributed between the client and contractors.</w:t>
      </w:r>
      <w:r w:rsidR="007F0E71">
        <w:rPr>
          <w:rFonts w:ascii="Arial" w:hAnsi="Arial" w:cs="Arial"/>
          <w:sz w:val="24"/>
          <w:szCs w:val="24"/>
        </w:rPr>
        <w:t xml:space="preserve"> </w:t>
      </w:r>
      <w:r w:rsidR="007F0E71" w:rsidRPr="007F0E71">
        <w:rPr>
          <w:rFonts w:ascii="Arial" w:hAnsi="Arial" w:cs="Arial"/>
          <w:sz w:val="24"/>
          <w:szCs w:val="24"/>
        </w:rPr>
        <w:t>This demonstrates that contracting is not simply a procurement decision, but a strategic choice that can directly influence project success or failure depending on how effectively responsibilities and risks are allocated.</w:t>
      </w:r>
    </w:p>
    <w:p w14:paraId="698A1469"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This essay critically evaluates four key contracting methods: turnkey, multicontracting, do-it-yourself (DIY), and multicontract combined with DIY. It argues that no single method is universally superior. Instead, the effectiveness of each approach depends on the alignment between project complexity and organisational capability. The discussion integrates real-world examples to illustrate how these methods are applied in practice and highlights their advantages and limitations in different project contexts.</w:t>
      </w:r>
    </w:p>
    <w:p w14:paraId="713E02BE" w14:textId="77777777" w:rsidR="008218A4" w:rsidRPr="008218A4" w:rsidRDefault="008218A4" w:rsidP="004B0464">
      <w:pPr>
        <w:pStyle w:val="Heading1"/>
      </w:pPr>
      <w:bookmarkStart w:id="1" w:name="_Toc227482360"/>
      <w:r w:rsidRPr="008218A4">
        <w:t>2. Contracting in Project Management</w:t>
      </w:r>
      <w:bookmarkEnd w:id="1"/>
    </w:p>
    <w:p w14:paraId="72FC23DD"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 xml:space="preserve">Contracts play a central role in project management by establishing the legal and operational framework within which projects are delivered. According to Lock (2020), </w:t>
      </w:r>
      <w:r w:rsidRPr="008218A4">
        <w:rPr>
          <w:rFonts w:ascii="Arial" w:hAnsi="Arial" w:cs="Arial"/>
          <w:sz w:val="24"/>
          <w:szCs w:val="24"/>
        </w:rPr>
        <w:lastRenderedPageBreak/>
        <w:t>contracting strategies determine how responsibilities and risks are allocated, directly influencing project performance and outcomes. Therefore, selecting an appropriate contracting method is a critical decision for project managers.</w:t>
      </w:r>
    </w:p>
    <w:p w14:paraId="4DF8C467"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Organisations choose to contract work for several reasons. One of the most important is access to specialised knowledge and expertise that may not be available internally. For example, in highly technical sectors such as renewable energy or audiovisual (AV) systems, external contractors often possess advanced skills and experience that enable them to deliver complex solutions more efficiently (Turner, 2016). Additionally, contracting can improve project speed by allowing experienced suppliers to perform tasks more effectively.</w:t>
      </w:r>
    </w:p>
    <w:p w14:paraId="5B938BA4"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Another important factor is risk management. Contracting allows organisations to transfer certain risks—such as design, construction, or technical risks—to external contractors. However, as Walker (2015) notes, risk is not eliminated but redistributed, meaning that the client still retains responsibility for overall project success.</w:t>
      </w:r>
    </w:p>
    <w:p w14:paraId="466105D1"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 xml:space="preserve">External environmental factors also influence contracting decisions. These can be analysed using frameworks such as STEEPLE (social, technological, economic, environmental, political, legal, and ethical factors). For instance, technological complexity may require outsourcing to specialists, while economic pressures may encourage cost-efficient contracting </w:t>
      </w:r>
      <w:commentRangeStart w:id="2"/>
      <w:r w:rsidRPr="008218A4">
        <w:rPr>
          <w:rFonts w:ascii="Arial" w:hAnsi="Arial" w:cs="Arial"/>
          <w:sz w:val="24"/>
          <w:szCs w:val="24"/>
        </w:rPr>
        <w:t>strategies</w:t>
      </w:r>
      <w:commentRangeEnd w:id="2"/>
      <w:r w:rsidR="003451C8" w:rsidRPr="008218A4">
        <w:rPr>
          <w:rStyle w:val="CommentReference"/>
          <w:rFonts w:ascii="Arial" w:hAnsi="Arial" w:cs="Arial"/>
          <w:sz w:val="24"/>
          <w:szCs w:val="24"/>
        </w:rPr>
        <w:commentReference w:id="2"/>
      </w:r>
      <w:r w:rsidRPr="008218A4">
        <w:rPr>
          <w:rFonts w:ascii="Arial" w:hAnsi="Arial" w:cs="Arial"/>
          <w:sz w:val="24"/>
          <w:szCs w:val="24"/>
        </w:rPr>
        <w:t>.</w:t>
      </w:r>
    </w:p>
    <w:p w14:paraId="13290AB4"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Despite its advantages, contracting introduces challenges, including reduced control, dependency on contractors, and potential communication issues. These challenges highlight the importance of selecting the most appropriate contracting method based on project characteristics and organisational capability.</w:t>
      </w:r>
    </w:p>
    <w:p w14:paraId="288C64D2" w14:textId="77777777" w:rsidR="008218A4" w:rsidRPr="008218A4" w:rsidRDefault="008218A4" w:rsidP="004B0464">
      <w:pPr>
        <w:pStyle w:val="Heading1"/>
      </w:pPr>
      <w:bookmarkStart w:id="3" w:name="_Toc227482361"/>
      <w:r w:rsidRPr="008218A4">
        <w:t>3. Turnkey Contracting</w:t>
      </w:r>
      <w:bookmarkEnd w:id="3"/>
    </w:p>
    <w:p w14:paraId="2D04A66E"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Turnkey contracting is a method in which a single contractor is responsible for delivering the entire project, from initial design to final completion, resulting in a fully operational system ready for use (Fewings, 2013). This approach is commonly used in large-scale and technically complex projects where integration and coordination are critical.</w:t>
      </w:r>
    </w:p>
    <w:p w14:paraId="26719125"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lastRenderedPageBreak/>
        <w:t xml:space="preserve">One of the main advantages of turnkey contracting is its simplicity from the client’s perspective. By engaging a single contractor, the client reduces the need for managing multiple stakeholders, which can significantly simplify coordination and communication. This is particularly beneficial in complex projects where multiple systems must be integrated </w:t>
      </w:r>
      <w:commentRangeStart w:id="4"/>
      <w:r w:rsidRPr="008218A4">
        <w:rPr>
          <w:rFonts w:ascii="Arial" w:hAnsi="Arial" w:cs="Arial"/>
          <w:sz w:val="24"/>
          <w:szCs w:val="24"/>
        </w:rPr>
        <w:t>seamlessly</w:t>
      </w:r>
      <w:commentRangeEnd w:id="4"/>
      <w:r w:rsidR="007643EB" w:rsidRPr="008218A4">
        <w:rPr>
          <w:rStyle w:val="CommentReference"/>
          <w:rFonts w:ascii="Arial" w:hAnsi="Arial" w:cs="Arial"/>
          <w:sz w:val="24"/>
          <w:szCs w:val="24"/>
        </w:rPr>
        <w:commentReference w:id="4"/>
      </w:r>
      <w:r w:rsidRPr="008218A4">
        <w:rPr>
          <w:rFonts w:ascii="Arial" w:hAnsi="Arial" w:cs="Arial"/>
          <w:sz w:val="24"/>
          <w:szCs w:val="24"/>
        </w:rPr>
        <w:t>.</w:t>
      </w:r>
    </w:p>
    <w:p w14:paraId="6DDA0158"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 xml:space="preserve">Another key advantage is risk transfer. In turnkey contracts, the contractor assumes responsibility for design, procurement, and execution, which reduces the client’s exposure to certain risks (Lock, 2020). This can improve predictability in terms of cost and schedule, making it easier for organisations to manage projects </w:t>
      </w:r>
      <w:commentRangeStart w:id="5"/>
      <w:r w:rsidRPr="008218A4">
        <w:rPr>
          <w:rFonts w:ascii="Arial" w:hAnsi="Arial" w:cs="Arial"/>
          <w:sz w:val="24"/>
          <w:szCs w:val="24"/>
        </w:rPr>
        <w:t>effectively</w:t>
      </w:r>
      <w:commentRangeEnd w:id="5"/>
      <w:r w:rsidR="00F4353D" w:rsidRPr="008218A4">
        <w:rPr>
          <w:rStyle w:val="CommentReference"/>
          <w:rFonts w:ascii="Arial" w:hAnsi="Arial" w:cs="Arial"/>
          <w:sz w:val="24"/>
          <w:szCs w:val="24"/>
        </w:rPr>
        <w:commentReference w:id="5"/>
      </w:r>
      <w:r w:rsidRPr="008218A4">
        <w:rPr>
          <w:rFonts w:ascii="Arial" w:hAnsi="Arial" w:cs="Arial"/>
          <w:sz w:val="24"/>
          <w:szCs w:val="24"/>
        </w:rPr>
        <w:t>.</w:t>
      </w:r>
    </w:p>
    <w:p w14:paraId="5F72830E"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 strong real-world example of turnkey contracting can be observed in offshore wind farm developments delivered by Siemens Gamesa Renewable Energy. In these projects, the contractor is responsible for the full lifecycle, including design, manufacturing, installation, and commissioning of wind turbines. This enables clients to receive a fully operational energy system without managing multiple suppliers, demonstrating the effectiveness of turnkey contracting in highly complex and technology-intensive environments (Siemens Gamesa, 2023; GWEC, 2022).</w:t>
      </w:r>
    </w:p>
    <w:p w14:paraId="7D96EB3E" w14:textId="77777777" w:rsidR="007F0E71" w:rsidRDefault="008218A4" w:rsidP="008218A4">
      <w:pPr>
        <w:spacing w:line="360" w:lineRule="auto"/>
        <w:jc w:val="both"/>
        <w:rPr>
          <w:rFonts w:ascii="Arial" w:hAnsi="Arial" w:cs="Arial"/>
          <w:sz w:val="24"/>
          <w:szCs w:val="24"/>
        </w:rPr>
      </w:pPr>
      <w:r w:rsidRPr="008218A4">
        <w:rPr>
          <w:rFonts w:ascii="Arial" w:hAnsi="Arial" w:cs="Arial"/>
          <w:sz w:val="24"/>
          <w:szCs w:val="24"/>
        </w:rPr>
        <w:t>However, turnkey contracting also has limitations. The most significant is the reduced level of client control, as the contractor has considerable autonomy over project execution. In addition, costs may be higher due to risk premiums included in contractor pricing (Meredith and Mantel, 2017). Furthermore, there is a risk of over-reliance on the contractor’s competence, which can negatively affect project outcomes if performance is inadequate.</w:t>
      </w:r>
      <w:r w:rsidR="00245127">
        <w:rPr>
          <w:rFonts w:ascii="Arial" w:hAnsi="Arial" w:cs="Arial"/>
          <w:sz w:val="24"/>
          <w:szCs w:val="24"/>
        </w:rPr>
        <w:t xml:space="preserve"> </w:t>
      </w:r>
    </w:p>
    <w:p w14:paraId="471A941D" w14:textId="5450C5DB" w:rsidR="008218A4" w:rsidRPr="008218A4" w:rsidRDefault="007F0E71" w:rsidP="008218A4">
      <w:pPr>
        <w:spacing w:line="360" w:lineRule="auto"/>
        <w:jc w:val="both"/>
        <w:rPr>
          <w:rFonts w:ascii="Arial" w:hAnsi="Arial" w:cs="Arial"/>
          <w:sz w:val="24"/>
          <w:szCs w:val="24"/>
        </w:rPr>
      </w:pPr>
      <w:r w:rsidRPr="007F0E71">
        <w:rPr>
          <w:rFonts w:ascii="Arial" w:hAnsi="Arial" w:cs="Arial"/>
          <w:sz w:val="24"/>
          <w:szCs w:val="24"/>
        </w:rPr>
        <w:t>In the audiovisual (AV) industry, turnkey contracting is commonly used for corporate meeting rooms or conference systems, where a single integrator is responsible for delivering the complete solution, including displays, audio systems, control systems, and installation. This ensures compatibility between components and reduces the need for client involvement, making it ideal for organisations lacking technical expertise (Kerzner, 2022).</w:t>
      </w:r>
    </w:p>
    <w:p w14:paraId="61B1092E" w14:textId="77777777" w:rsidR="008218A4" w:rsidRPr="008218A4" w:rsidRDefault="008218A4" w:rsidP="004B0464">
      <w:pPr>
        <w:pStyle w:val="Heading1"/>
      </w:pPr>
      <w:bookmarkStart w:id="6" w:name="_Toc227482362"/>
      <w:r w:rsidRPr="008218A4">
        <w:lastRenderedPageBreak/>
        <w:t>4. Multicontracting</w:t>
      </w:r>
      <w:bookmarkEnd w:id="6"/>
    </w:p>
    <w:p w14:paraId="5FBA1216"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Multicontracting involves the client engaging multiple contractors, each responsible for a specific component of the project (Winch, 2014). This approach distributes responsibility across several parties rather than centralising it with a single contractor.</w:t>
      </w:r>
    </w:p>
    <w:p w14:paraId="0054B0CF"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primary advantage of multicontracting is the high level of control it provides to the client. By selecting specialised contractors for different tasks, the client can ensure that each component of the project is delivered by experts, potentially improving quality and performance. Additionally, this method can offer cost advantages, as the client can negotiate directly with contractors and avoid the mark-ups associated with a main contractor.</w:t>
      </w:r>
    </w:p>
    <w:p w14:paraId="4C0FAE5E" w14:textId="2886F5FD"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Another benefit is flexibility</w:t>
      </w:r>
      <w:r w:rsidR="00915054">
        <w:rPr>
          <w:rFonts w:ascii="Arial" w:hAnsi="Arial" w:cs="Arial"/>
          <w:sz w:val="24"/>
          <w:szCs w:val="24"/>
        </w:rPr>
        <w:t>; m</w:t>
      </w:r>
      <w:r w:rsidRPr="008218A4">
        <w:rPr>
          <w:rFonts w:ascii="Arial" w:hAnsi="Arial" w:cs="Arial"/>
          <w:sz w:val="24"/>
          <w:szCs w:val="24"/>
        </w:rPr>
        <w:t>ulticontracting allows the client to modify individual elements of the project without affecting the entire system, which can be useful in dynamic environments where requirements may change.</w:t>
      </w:r>
    </w:p>
    <w:p w14:paraId="10A13CB2" w14:textId="24297826"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 clear real-world example of multicontracting is the Crossrail (Elizabeth Line) project in London. In this large-scale infrastructure project, multiple contractors were responsible for different elements, including tunnelling, station construction, and rail systems. While this approach allowed the project to benefit from specialised expertise, it also introduced significant coordination challenges, contributing to delays and cost overruns (NAO, 2019).</w:t>
      </w:r>
      <w:r w:rsidR="007F0E71">
        <w:rPr>
          <w:rFonts w:ascii="Arial" w:hAnsi="Arial" w:cs="Arial"/>
          <w:sz w:val="24"/>
          <w:szCs w:val="24"/>
        </w:rPr>
        <w:t xml:space="preserve"> </w:t>
      </w:r>
      <w:r w:rsidR="007F0E71" w:rsidRPr="007F0E71">
        <w:rPr>
          <w:rFonts w:ascii="Arial" w:hAnsi="Arial" w:cs="Arial"/>
          <w:sz w:val="24"/>
          <w:szCs w:val="24"/>
        </w:rPr>
        <w:t>The challenges experienced in the Crossrail project highlight how multicontracting, while offering access to specialised expertise, can lead to significant coordination issues if not managed effectively.</w:t>
      </w:r>
    </w:p>
    <w:p w14:paraId="14A233C9"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Despite its advantages, multicontracting increases management complexity. Coordinating multiple contractors requires strong project management skills, particularly in communication and scheduling. There is also a higher risk of integration issues, especially in projects where systems must work together, such as AV installations. In such cases, the client bears responsibility for ensuring compatibility between different components.</w:t>
      </w:r>
    </w:p>
    <w:p w14:paraId="2DA9658F" w14:textId="77777777" w:rsidR="008218A4" w:rsidRPr="008218A4" w:rsidRDefault="008218A4" w:rsidP="004B0464">
      <w:pPr>
        <w:pStyle w:val="Heading1"/>
      </w:pPr>
      <w:bookmarkStart w:id="7" w:name="_Toc227482363"/>
      <w:r w:rsidRPr="008218A4">
        <w:lastRenderedPageBreak/>
        <w:t>5. Do-It-Yourself (DIY)</w:t>
      </w:r>
      <w:bookmarkEnd w:id="7"/>
    </w:p>
    <w:p w14:paraId="56A9F9FC"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Do-It-Yourself (DIY) approach involves completing a project using internal resources without relying on external contractors (Burke, 2013). This method is typically used for smaller or less complex projects.</w:t>
      </w:r>
    </w:p>
    <w:p w14:paraId="51E82CFC"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One of the main advantages of the DIY approach is the high level of control it provides. The organisation retains full authority over decision-making and can respond quickly to changes. This can be particularly beneficial in projects where flexibility and adaptability are important.</w:t>
      </w:r>
    </w:p>
    <w:p w14:paraId="5312A3BA"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Another advantage is cost reduction, as there are no contractor fees or profit margins. Additionally, the DIY approach supports the development of internal capabilities, which can be valuable for future projects.</w:t>
      </w:r>
    </w:p>
    <w:p w14:paraId="0D1FEACB" w14:textId="5A082474"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 real-world example of internal project delivery can be seen in Tesla, Inc., where significant elements of production systems and factory automation are developed in-house. This approach allows Tesla to maintain control over innovation and technology, although it requires substantial internal expertise and resources (Vance, 2015).</w:t>
      </w:r>
      <w:r w:rsidR="007F0E71">
        <w:rPr>
          <w:rFonts w:ascii="Arial" w:hAnsi="Arial" w:cs="Arial"/>
          <w:sz w:val="24"/>
          <w:szCs w:val="24"/>
        </w:rPr>
        <w:t xml:space="preserve"> </w:t>
      </w:r>
      <w:r w:rsidR="007F0E71" w:rsidRPr="007F0E71">
        <w:rPr>
          <w:rFonts w:ascii="Arial" w:hAnsi="Arial" w:cs="Arial"/>
          <w:sz w:val="24"/>
          <w:szCs w:val="24"/>
        </w:rPr>
        <w:t>This example also illustrates that while internal delivery can enhance innovation and control, it requires significant investment in skills and resources, which may not be feasible for most organisations.</w:t>
      </w:r>
    </w:p>
    <w:p w14:paraId="1C7F2785"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However, the DIY approach has significant limitations. The lack of specialised expertise can affect project quality and efficiency, particularly in complex projects. In addition, DIY projects often involve hidden costs, such as inefficiencies, rework, and extended timelines (Meredith and Mantel, 2017). Furthermore, all project risks are borne by the organisation, making this approach less suitable for high-complexity projects.</w:t>
      </w:r>
    </w:p>
    <w:p w14:paraId="551BCE84" w14:textId="77777777" w:rsidR="008218A4" w:rsidRPr="008218A4" w:rsidRDefault="008218A4" w:rsidP="004B0464">
      <w:pPr>
        <w:pStyle w:val="Heading1"/>
      </w:pPr>
      <w:bookmarkStart w:id="8" w:name="_Toc227482364"/>
      <w:r w:rsidRPr="008218A4">
        <w:t>6. Multicontract + DIY</w:t>
      </w:r>
      <w:bookmarkEnd w:id="8"/>
    </w:p>
    <w:p w14:paraId="26CE7672"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hybrid approach combines elements of multicontracting and DIY, allowing organisations to perform some tasks internally while outsourcing others (Turner, 2016). This approach aims to balance control, cost, and access to expertise.</w:t>
      </w:r>
    </w:p>
    <w:p w14:paraId="59A2BABF"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 xml:space="preserve">One of the main advantages of this method is its flexibility. Organisations can retain control over critical aspects of the project while outsourcing specialised tasks to </w:t>
      </w:r>
      <w:r w:rsidRPr="008218A4">
        <w:rPr>
          <w:rFonts w:ascii="Arial" w:hAnsi="Arial" w:cs="Arial"/>
          <w:sz w:val="24"/>
          <w:szCs w:val="24"/>
        </w:rPr>
        <w:lastRenderedPageBreak/>
        <w:t>external contractors. This can result in cost savings, as only complex components are outsourced, while simpler tasks are handled internally.</w:t>
      </w:r>
    </w:p>
    <w:p w14:paraId="52E3083A"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Additionally, the hybrid approach supports organisational learning, as internal teams gain experience while working alongside external specialists. This can enhance long-term capabilities and reduce reliance on external contractors in future projects.</w:t>
      </w:r>
    </w:p>
    <w:p w14:paraId="6ABF86EA"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 practical real-world example of this approach can be observed in companies such as Amazon, which use a combination of internal teams and external contractors when developing fulfilment centres. Internal teams manage operations and coordination, while external contractors deliver specialised construction and technical systems. This approach allows for both operational alignment and access to expertise (PMI, 2021).</w:t>
      </w:r>
    </w:p>
    <w:p w14:paraId="50A7A3C9" w14:textId="14FD927D"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However, the hybrid method also introduces challenges. Coordination becomes more complex, as both internal teams and external contractors must work together effectively. There is also a risk of unclear responsibilities, which can lead to inefficiencies or conflicts. Successful implementation requires strong project management skills and clear communication.</w:t>
      </w:r>
      <w:r w:rsidR="007F0E71">
        <w:rPr>
          <w:rFonts w:ascii="Arial" w:hAnsi="Arial" w:cs="Arial"/>
          <w:sz w:val="24"/>
          <w:szCs w:val="24"/>
        </w:rPr>
        <w:t xml:space="preserve"> </w:t>
      </w:r>
      <w:r w:rsidR="007F0E71" w:rsidRPr="007F0E71">
        <w:rPr>
          <w:rFonts w:ascii="Arial" w:hAnsi="Arial" w:cs="Arial"/>
          <w:sz w:val="24"/>
          <w:szCs w:val="24"/>
        </w:rPr>
        <w:t>This demonstrates that the hybrid approach allows organisations to optimise both cost and control, but only when roles and responsibilities are clearly defined and effectively managed.</w:t>
      </w:r>
    </w:p>
    <w:p w14:paraId="4A433B9F" w14:textId="77777777" w:rsidR="008218A4" w:rsidRPr="008218A4" w:rsidRDefault="008218A4" w:rsidP="004B0464">
      <w:pPr>
        <w:pStyle w:val="Heading1"/>
      </w:pPr>
      <w:bookmarkStart w:id="9" w:name="_Toc227482365"/>
      <w:r w:rsidRPr="008218A4">
        <w:t>7. Critical Evaluation and Application</w:t>
      </w:r>
      <w:bookmarkEnd w:id="9"/>
    </w:p>
    <w:p w14:paraId="1053284B"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 critical evaluation of contracting methods highlights that their effectiveness depends on several key factors, including project complexity, resource availability, risk allocation, and the desired level of control. Rather than viewing these methods as fixed options, they should be considered as strategic tools that can be adapted to different project contexts.</w:t>
      </w:r>
    </w:p>
    <w:p w14:paraId="613D7D71"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Turnkey contracting is often perceived as a low-risk option due to risk transfer. However, this perception can be misleading. While certain risks are transferred to the contractor, others—such as performance and contractual risks—remain with the client (Lock, 2020). In complex projects, issues may only become apparent at the final stages, making them difficult to resolve.</w:t>
      </w:r>
    </w:p>
    <w:p w14:paraId="0F023ABC"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 xml:space="preserve">Multicontracting, in contrast, provides greater control but introduces coordination risk. The involvement of multiple contractors increases the likelihood of communication </w:t>
      </w:r>
      <w:r w:rsidRPr="008218A4">
        <w:rPr>
          <w:rFonts w:ascii="Arial" w:hAnsi="Arial" w:cs="Arial"/>
          <w:sz w:val="24"/>
          <w:szCs w:val="24"/>
        </w:rPr>
        <w:lastRenderedPageBreak/>
        <w:t>failures and integration issues. This highlights the importance of strong project management capabilities in ensuring successful outcomes.</w:t>
      </w:r>
    </w:p>
    <w:p w14:paraId="6393FA3D"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DIY approach, although cost-effective in theory, often underestimates hidden costs and risks associated with lack of expertise and inefficiencies (Meredith and Mantel, 2017). As a result, it should be used selectively and only in appropriate contexts.</w:t>
      </w:r>
    </w:p>
    <w:p w14:paraId="3EF3DBFD"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hybrid approach offers a balanced solution but requires a high level of organisational maturity. Real-world evidence suggests that organisations rarely rely on a single contracting method; instead, they adopt flexible strategies depending on project requirements, resource availability, and risk exposure (PMI, 2021).</w:t>
      </w:r>
    </w:p>
    <w:p w14:paraId="2C4B4CFB"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An additional consideration in selecting a contracting method is the dynamic nature of projects and the fact that different phases may require different approaches. For instance, in the early stages of a project, organisations may prefer a multicontracting approach to maintain flexibility and control over design decisions. However, as the project progresses into execution and delivery phases, a turnkey approach may become more suitable to ensure efficiency and accountability. This highlights the importance of viewing contracting not as a one-time decision but as an evolving strategy aligned with project lifecycle stages (PMI, 2021; Turner, 2016).</w:t>
      </w:r>
    </w:p>
    <w:p w14:paraId="5FD50B61"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Furthermore, the role of the project manager becomes increasingly critical when managing complex contracting arrangements. In multicontracting and hybrid approaches, the project manager must act as an integrator, ensuring that different contractors and internal teams work towards a common objective. This requires not only technical knowledge but also strong communication and leadership skills. Without effective coordination, even well-planned contracting strategies can fail due to misalignment between stakeholders (Kerzner, 2022; Lock, 2020).</w:t>
      </w:r>
    </w:p>
    <w:p w14:paraId="0B226C0C"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In addition, digital transformation and the increasing use of project management technologies are influencing how contracting methods are applied in practice. Tools such as Building Information Modelling (BIM) and integrated project management systems can improve communication and coordination between multiple contractors, reducing some of the risks traditionally associated with multicontracting. As a result, organisations are increasingly able to manage more complex contracting structures than in the past (Winch, 2014; Walker, 2015).</w:t>
      </w:r>
    </w:p>
    <w:p w14:paraId="4297B9BD" w14:textId="13069F0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lastRenderedPageBreak/>
        <w:t>Overall, these considerations reinforce the argument that contracting methods should be selected and adapted based on project context, organisational capability, and technological support, rather than relying on a single predefined approach.</w:t>
      </w:r>
      <w:r w:rsidR="007F0E71">
        <w:rPr>
          <w:rFonts w:ascii="Arial" w:hAnsi="Arial" w:cs="Arial"/>
          <w:sz w:val="24"/>
          <w:szCs w:val="24"/>
        </w:rPr>
        <w:t xml:space="preserve"> </w:t>
      </w:r>
      <w:r w:rsidR="007F0E71" w:rsidRPr="007F0E71">
        <w:rPr>
          <w:rFonts w:ascii="Arial" w:hAnsi="Arial" w:cs="Arial"/>
          <w:sz w:val="24"/>
          <w:szCs w:val="24"/>
        </w:rPr>
        <w:t>This reinforces the argument that successful project managers must adopt a flexible and context-driven approach to contracting decisions rather than relying on a single method.</w:t>
      </w:r>
    </w:p>
    <w:p w14:paraId="51BD5609" w14:textId="77777777" w:rsidR="008218A4" w:rsidRPr="008218A4" w:rsidRDefault="008218A4" w:rsidP="004B0464">
      <w:pPr>
        <w:pStyle w:val="Heading1"/>
      </w:pPr>
      <w:bookmarkStart w:id="10" w:name="_Toc227482366"/>
      <w:r w:rsidRPr="008218A4">
        <w:t>8. Conclusion</w:t>
      </w:r>
      <w:bookmarkEnd w:id="10"/>
    </w:p>
    <w:p w14:paraId="679A70F5"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In conclusion, contracting methods are essential tools in project management that determine how projects are structured and delivered. This essay has examined four key methods—Turnkey, Multicontracting, DIY, and Multicontract combined with DIY—highlighting their advantages, disadvantages, and practical applications.</w:t>
      </w:r>
    </w:p>
    <w:p w14:paraId="2AEC511B" w14:textId="77777777" w:rsidR="008218A4" w:rsidRPr="008218A4" w:rsidRDefault="008218A4" w:rsidP="008218A4">
      <w:pPr>
        <w:spacing w:line="360" w:lineRule="auto"/>
        <w:jc w:val="both"/>
        <w:rPr>
          <w:rFonts w:ascii="Arial" w:hAnsi="Arial" w:cs="Arial"/>
          <w:sz w:val="24"/>
          <w:szCs w:val="24"/>
        </w:rPr>
      </w:pPr>
      <w:r w:rsidRPr="008218A4">
        <w:rPr>
          <w:rFonts w:ascii="Arial" w:hAnsi="Arial" w:cs="Arial"/>
          <w:sz w:val="24"/>
          <w:szCs w:val="24"/>
        </w:rPr>
        <w:t>The analysis demonstrates that no single method is universally superior. Turnkey contracting simplifies project delivery but reduces control, while multicontracting enhances flexibility at the cost of increased complexity. DIY offers full control but carries significant risks, and hybrid approaches provide balance but require strong management capabilities.</w:t>
      </w:r>
    </w:p>
    <w:p w14:paraId="7602488A" w14:textId="3D4CBCB2" w:rsidR="00316AFE" w:rsidRDefault="007F0E71" w:rsidP="00D5455F">
      <w:pPr>
        <w:spacing w:line="360" w:lineRule="auto"/>
        <w:jc w:val="both"/>
        <w:rPr>
          <w:rFonts w:ascii="Arial" w:hAnsi="Arial" w:cs="Arial"/>
          <w:sz w:val="24"/>
          <w:szCs w:val="24"/>
        </w:rPr>
      </w:pPr>
      <w:bookmarkStart w:id="11" w:name="_Toc227482367"/>
      <w:r w:rsidRPr="007F0E71">
        <w:rPr>
          <w:rFonts w:ascii="Arial" w:hAnsi="Arial" w:cs="Arial"/>
          <w:sz w:val="24"/>
          <w:szCs w:val="24"/>
        </w:rPr>
        <w:t>Ultimately, the ability to select and adapt contracting strategies based on project needs represents a key competency in modern project management practice.</w:t>
      </w:r>
    </w:p>
    <w:p w14:paraId="049B18E3" w14:textId="77777777" w:rsidR="00316AFE" w:rsidRDefault="00316AFE" w:rsidP="00D5455F">
      <w:pPr>
        <w:spacing w:line="360" w:lineRule="auto"/>
        <w:jc w:val="both"/>
        <w:rPr>
          <w:rFonts w:ascii="Arial" w:hAnsi="Arial" w:cs="Arial"/>
          <w:sz w:val="24"/>
          <w:szCs w:val="24"/>
        </w:rPr>
      </w:pPr>
    </w:p>
    <w:p w14:paraId="71E255EF" w14:textId="77777777" w:rsidR="00316AFE" w:rsidRDefault="00316AFE" w:rsidP="00D5455F">
      <w:pPr>
        <w:spacing w:line="360" w:lineRule="auto"/>
        <w:jc w:val="both"/>
        <w:rPr>
          <w:rFonts w:ascii="Arial" w:hAnsi="Arial" w:cs="Arial"/>
          <w:sz w:val="24"/>
          <w:szCs w:val="24"/>
        </w:rPr>
      </w:pPr>
    </w:p>
    <w:p w14:paraId="53AC8915" w14:textId="77777777" w:rsidR="007F0E71" w:rsidRDefault="007F0E71" w:rsidP="00D5455F">
      <w:pPr>
        <w:spacing w:line="360" w:lineRule="auto"/>
        <w:jc w:val="both"/>
        <w:rPr>
          <w:rFonts w:ascii="Arial" w:hAnsi="Arial" w:cs="Arial"/>
          <w:sz w:val="24"/>
          <w:szCs w:val="24"/>
        </w:rPr>
      </w:pPr>
    </w:p>
    <w:p w14:paraId="18F7F1B1" w14:textId="77777777" w:rsidR="007F0E71" w:rsidRDefault="007F0E71" w:rsidP="00D5455F">
      <w:pPr>
        <w:spacing w:line="360" w:lineRule="auto"/>
        <w:jc w:val="both"/>
        <w:rPr>
          <w:rFonts w:ascii="Arial" w:hAnsi="Arial" w:cs="Arial"/>
          <w:sz w:val="24"/>
          <w:szCs w:val="24"/>
        </w:rPr>
      </w:pPr>
    </w:p>
    <w:p w14:paraId="451A0831" w14:textId="77777777" w:rsidR="007F0E71" w:rsidRDefault="007F0E71" w:rsidP="00D5455F">
      <w:pPr>
        <w:spacing w:line="360" w:lineRule="auto"/>
        <w:jc w:val="both"/>
        <w:rPr>
          <w:rFonts w:ascii="Arial" w:hAnsi="Arial" w:cs="Arial"/>
          <w:sz w:val="24"/>
          <w:szCs w:val="24"/>
        </w:rPr>
      </w:pPr>
    </w:p>
    <w:p w14:paraId="63C8A6D9" w14:textId="77777777" w:rsidR="007F0E71" w:rsidRDefault="007F0E71" w:rsidP="00D5455F">
      <w:pPr>
        <w:spacing w:line="360" w:lineRule="auto"/>
        <w:jc w:val="both"/>
        <w:rPr>
          <w:rFonts w:ascii="Arial" w:hAnsi="Arial" w:cs="Arial"/>
          <w:sz w:val="24"/>
          <w:szCs w:val="24"/>
        </w:rPr>
      </w:pPr>
    </w:p>
    <w:p w14:paraId="10B5DA39" w14:textId="77777777" w:rsidR="007F0E71" w:rsidRDefault="007F0E71" w:rsidP="00D5455F">
      <w:pPr>
        <w:spacing w:line="360" w:lineRule="auto"/>
        <w:jc w:val="both"/>
        <w:rPr>
          <w:rFonts w:ascii="Arial" w:hAnsi="Arial" w:cs="Arial"/>
          <w:sz w:val="24"/>
          <w:szCs w:val="24"/>
        </w:rPr>
      </w:pPr>
    </w:p>
    <w:p w14:paraId="1EF055CD" w14:textId="77777777" w:rsidR="007F0E71" w:rsidRDefault="007F0E71" w:rsidP="00D5455F">
      <w:pPr>
        <w:spacing w:line="360" w:lineRule="auto"/>
        <w:jc w:val="both"/>
        <w:rPr>
          <w:rFonts w:ascii="Arial" w:hAnsi="Arial" w:cs="Arial"/>
          <w:sz w:val="24"/>
          <w:szCs w:val="24"/>
        </w:rPr>
      </w:pPr>
    </w:p>
    <w:p w14:paraId="13383654" w14:textId="77777777" w:rsidR="007F0E71" w:rsidRDefault="007F0E71" w:rsidP="00D5455F">
      <w:pPr>
        <w:spacing w:line="360" w:lineRule="auto"/>
        <w:jc w:val="both"/>
        <w:rPr>
          <w:rFonts w:ascii="Arial" w:hAnsi="Arial" w:cs="Arial"/>
          <w:sz w:val="24"/>
          <w:szCs w:val="24"/>
        </w:rPr>
      </w:pPr>
    </w:p>
    <w:p w14:paraId="158F0912" w14:textId="77777777" w:rsidR="007F0E71" w:rsidRDefault="007F0E71" w:rsidP="00D5455F">
      <w:pPr>
        <w:spacing w:line="360" w:lineRule="auto"/>
        <w:jc w:val="both"/>
        <w:rPr>
          <w:rFonts w:ascii="Arial" w:hAnsi="Arial" w:cs="Arial"/>
          <w:sz w:val="24"/>
          <w:szCs w:val="24"/>
        </w:rPr>
      </w:pPr>
    </w:p>
    <w:p w14:paraId="756399A4" w14:textId="77777777" w:rsidR="007F0E71" w:rsidRDefault="007F0E71" w:rsidP="00D5455F">
      <w:pPr>
        <w:spacing w:line="360" w:lineRule="auto"/>
        <w:jc w:val="both"/>
        <w:rPr>
          <w:rFonts w:ascii="Arial" w:hAnsi="Arial" w:cs="Arial"/>
          <w:sz w:val="24"/>
          <w:szCs w:val="24"/>
        </w:rPr>
      </w:pPr>
    </w:p>
    <w:p w14:paraId="65191A6B" w14:textId="77777777" w:rsidR="007F0E71" w:rsidRDefault="007F0E71" w:rsidP="00D5455F">
      <w:pPr>
        <w:spacing w:line="360" w:lineRule="auto"/>
        <w:jc w:val="both"/>
        <w:rPr>
          <w:rFonts w:ascii="Arial" w:hAnsi="Arial" w:cs="Arial"/>
          <w:sz w:val="24"/>
          <w:szCs w:val="24"/>
        </w:rPr>
      </w:pPr>
    </w:p>
    <w:p w14:paraId="11DF44D4" w14:textId="77777777" w:rsidR="007F0E71" w:rsidRDefault="007F0E71" w:rsidP="00D5455F">
      <w:pPr>
        <w:spacing w:line="360" w:lineRule="auto"/>
        <w:jc w:val="both"/>
        <w:rPr>
          <w:rFonts w:ascii="Arial" w:hAnsi="Arial" w:cs="Arial"/>
          <w:sz w:val="24"/>
          <w:szCs w:val="24"/>
        </w:rPr>
      </w:pPr>
    </w:p>
    <w:p w14:paraId="2F833955" w14:textId="77777777" w:rsidR="007F0E71" w:rsidRDefault="007F0E71" w:rsidP="00D5455F">
      <w:pPr>
        <w:spacing w:line="360" w:lineRule="auto"/>
        <w:jc w:val="both"/>
        <w:rPr>
          <w:rFonts w:ascii="Arial" w:hAnsi="Arial" w:cs="Arial"/>
          <w:sz w:val="24"/>
          <w:szCs w:val="24"/>
        </w:rPr>
      </w:pPr>
    </w:p>
    <w:p w14:paraId="73A41CBB" w14:textId="77777777" w:rsidR="007F0E71" w:rsidRDefault="007F0E71" w:rsidP="00D5455F">
      <w:pPr>
        <w:spacing w:line="360" w:lineRule="auto"/>
        <w:jc w:val="both"/>
        <w:rPr>
          <w:rFonts w:ascii="Arial" w:hAnsi="Arial" w:cs="Arial"/>
          <w:sz w:val="24"/>
          <w:szCs w:val="24"/>
        </w:rPr>
      </w:pPr>
    </w:p>
    <w:p w14:paraId="68045ECD" w14:textId="77777777" w:rsidR="007F0E71" w:rsidRDefault="007F0E71" w:rsidP="00D5455F">
      <w:pPr>
        <w:spacing w:line="360" w:lineRule="auto"/>
        <w:jc w:val="both"/>
        <w:rPr>
          <w:rFonts w:ascii="Arial" w:hAnsi="Arial" w:cs="Arial"/>
          <w:sz w:val="24"/>
          <w:szCs w:val="24"/>
        </w:rPr>
      </w:pPr>
    </w:p>
    <w:p w14:paraId="6410DE87" w14:textId="4D16770F" w:rsidR="00AB6C92" w:rsidRDefault="0058185B" w:rsidP="00316AFE">
      <w:pPr>
        <w:pStyle w:val="Heading1"/>
      </w:pPr>
      <w:r>
        <w:t>9.References</w:t>
      </w:r>
      <w:bookmarkEnd w:id="11"/>
    </w:p>
    <w:p w14:paraId="28067692" w14:textId="77777777" w:rsidR="00316AFE" w:rsidRPr="00316AFE" w:rsidRDefault="00316AFE" w:rsidP="00316AFE"/>
    <w:p w14:paraId="7635DC39" w14:textId="533CA91C"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Burke, R. (2013) </w:t>
      </w:r>
      <w:r w:rsidRPr="00AB6C92">
        <w:rPr>
          <w:rFonts w:ascii="Arial" w:hAnsi="Arial" w:cs="Arial"/>
          <w:i/>
          <w:iCs/>
          <w:sz w:val="24"/>
          <w:szCs w:val="24"/>
        </w:rPr>
        <w:t>Project Management: Planning and Control Techniques</w:t>
      </w:r>
      <w:r w:rsidRPr="00AB6C92">
        <w:rPr>
          <w:rFonts w:ascii="Arial" w:hAnsi="Arial" w:cs="Arial"/>
          <w:sz w:val="24"/>
          <w:szCs w:val="24"/>
        </w:rPr>
        <w:t>. 5th ed. Chichester: Wiley.</w:t>
      </w:r>
    </w:p>
    <w:p w14:paraId="0B4E683A" w14:textId="2897664F"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Fewings, P. (2013) </w:t>
      </w:r>
      <w:r w:rsidRPr="00AB6C92">
        <w:rPr>
          <w:rFonts w:ascii="Arial" w:hAnsi="Arial" w:cs="Arial"/>
          <w:i/>
          <w:iCs/>
          <w:sz w:val="24"/>
          <w:szCs w:val="24"/>
        </w:rPr>
        <w:t>Construction Project Management: An Integrated Approach</w:t>
      </w:r>
      <w:r w:rsidRPr="00AB6C92">
        <w:rPr>
          <w:rFonts w:ascii="Arial" w:hAnsi="Arial" w:cs="Arial"/>
          <w:sz w:val="24"/>
          <w:szCs w:val="24"/>
        </w:rPr>
        <w:t>. 2nd ed. London: Routledge.</w:t>
      </w:r>
    </w:p>
    <w:p w14:paraId="5A0133BD" w14:textId="77777777"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Global Wind Energy Council (GWEC) (2022) </w:t>
      </w:r>
      <w:r w:rsidRPr="00AB6C92">
        <w:rPr>
          <w:rFonts w:ascii="Arial" w:hAnsi="Arial" w:cs="Arial"/>
          <w:i/>
          <w:iCs/>
          <w:sz w:val="24"/>
          <w:szCs w:val="24"/>
        </w:rPr>
        <w:t>Global Wind Report 2022</w:t>
      </w:r>
      <w:r w:rsidRPr="00AB6C92">
        <w:rPr>
          <w:rFonts w:ascii="Arial" w:hAnsi="Arial" w:cs="Arial"/>
          <w:sz w:val="24"/>
          <w:szCs w:val="24"/>
        </w:rPr>
        <w:t xml:space="preserve">. Available at: </w:t>
      </w:r>
      <w:hyperlink r:id="rId13" w:tgtFrame="_new" w:history="1">
        <w:r w:rsidRPr="00DF1E54">
          <w:rPr>
            <w:rStyle w:val="Hyperlink"/>
            <w:rFonts w:ascii="Arial" w:hAnsi="Arial" w:cs="Arial"/>
            <w:color w:val="000000" w:themeColor="text1"/>
            <w:sz w:val="24"/>
            <w:szCs w:val="24"/>
            <w:u w:val="none"/>
          </w:rPr>
          <w:t>https://gwec.net</w:t>
        </w:r>
      </w:hyperlink>
      <w:r w:rsidRPr="00AB6C92">
        <w:rPr>
          <w:rFonts w:ascii="Arial" w:hAnsi="Arial" w:cs="Arial"/>
          <w:sz w:val="24"/>
          <w:szCs w:val="24"/>
        </w:rPr>
        <w:t xml:space="preserve"> (Accessed: 18 April 2026).</w:t>
      </w:r>
    </w:p>
    <w:p w14:paraId="7B2ABC1D" w14:textId="59306ACA"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Kerzner, H. (2022) </w:t>
      </w:r>
      <w:r w:rsidRPr="00AB6C92">
        <w:rPr>
          <w:rFonts w:ascii="Arial" w:hAnsi="Arial" w:cs="Arial"/>
          <w:i/>
          <w:iCs/>
          <w:sz w:val="24"/>
          <w:szCs w:val="24"/>
        </w:rPr>
        <w:t>Project Management: A Systems Approach to Planning, Scheduling, and Controlling</w:t>
      </w:r>
      <w:r w:rsidRPr="00AB6C92">
        <w:rPr>
          <w:rFonts w:ascii="Arial" w:hAnsi="Arial" w:cs="Arial"/>
          <w:sz w:val="24"/>
          <w:szCs w:val="24"/>
        </w:rPr>
        <w:t>. 13th ed. Hoboken: Wiley.</w:t>
      </w:r>
    </w:p>
    <w:p w14:paraId="317F984D" w14:textId="317DBC7F"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Lock, D. (2020) </w:t>
      </w:r>
      <w:r w:rsidRPr="00AB6C92">
        <w:rPr>
          <w:rFonts w:ascii="Arial" w:hAnsi="Arial" w:cs="Arial"/>
          <w:i/>
          <w:iCs/>
          <w:sz w:val="24"/>
          <w:szCs w:val="24"/>
        </w:rPr>
        <w:t>Project Management</w:t>
      </w:r>
      <w:r w:rsidRPr="00AB6C92">
        <w:rPr>
          <w:rFonts w:ascii="Arial" w:hAnsi="Arial" w:cs="Arial"/>
          <w:sz w:val="24"/>
          <w:szCs w:val="24"/>
        </w:rPr>
        <w:t>. 11th ed. London: Routledge.</w:t>
      </w:r>
    </w:p>
    <w:p w14:paraId="07028DE1" w14:textId="3FB52A4E"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Meredith, J.R. and Mantel, S.J. (2017) </w:t>
      </w:r>
      <w:r w:rsidRPr="00AB6C92">
        <w:rPr>
          <w:rFonts w:ascii="Arial" w:hAnsi="Arial" w:cs="Arial"/>
          <w:i/>
          <w:iCs/>
          <w:sz w:val="24"/>
          <w:szCs w:val="24"/>
        </w:rPr>
        <w:t>Project Management: A Managerial Approach</w:t>
      </w:r>
      <w:r w:rsidRPr="00AB6C92">
        <w:rPr>
          <w:rFonts w:ascii="Arial" w:hAnsi="Arial" w:cs="Arial"/>
          <w:sz w:val="24"/>
          <w:szCs w:val="24"/>
        </w:rPr>
        <w:t>. 9th ed. Hoboken: Wiley.</w:t>
      </w:r>
    </w:p>
    <w:p w14:paraId="0809A44B" w14:textId="77777777"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National Audit Office (NAO) (2019) </w:t>
      </w:r>
      <w:r w:rsidRPr="00AB6C92">
        <w:rPr>
          <w:rFonts w:ascii="Arial" w:hAnsi="Arial" w:cs="Arial"/>
          <w:i/>
          <w:iCs/>
          <w:sz w:val="24"/>
          <w:szCs w:val="24"/>
        </w:rPr>
        <w:t>Completing Crossrail</w:t>
      </w:r>
      <w:r w:rsidRPr="00AB6C92">
        <w:rPr>
          <w:rFonts w:ascii="Arial" w:hAnsi="Arial" w:cs="Arial"/>
          <w:sz w:val="24"/>
          <w:szCs w:val="24"/>
        </w:rPr>
        <w:t xml:space="preserve">. Available at: </w:t>
      </w:r>
      <w:hyperlink r:id="rId14" w:tgtFrame="_new" w:history="1">
        <w:r w:rsidRPr="00F1335B">
          <w:rPr>
            <w:rStyle w:val="Hyperlink"/>
            <w:rFonts w:ascii="Arial" w:hAnsi="Arial" w:cs="Arial"/>
            <w:color w:val="000000" w:themeColor="text1"/>
            <w:sz w:val="24"/>
            <w:szCs w:val="24"/>
            <w:u w:val="none"/>
          </w:rPr>
          <w:t>https://www.nao.org.uk</w:t>
        </w:r>
      </w:hyperlink>
      <w:r w:rsidRPr="00F1335B">
        <w:rPr>
          <w:rFonts w:ascii="Arial" w:hAnsi="Arial" w:cs="Arial"/>
          <w:color w:val="000000" w:themeColor="text1"/>
          <w:sz w:val="24"/>
          <w:szCs w:val="24"/>
        </w:rPr>
        <w:t xml:space="preserve"> </w:t>
      </w:r>
      <w:r w:rsidRPr="00AB6C92">
        <w:rPr>
          <w:rFonts w:ascii="Arial" w:hAnsi="Arial" w:cs="Arial"/>
          <w:sz w:val="24"/>
          <w:szCs w:val="24"/>
        </w:rPr>
        <w:t>(Accessed: 18 April 2026).</w:t>
      </w:r>
    </w:p>
    <w:p w14:paraId="74F08385" w14:textId="4DEFCFB3"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Project Management Institute (PMI) (2021) </w:t>
      </w:r>
      <w:r w:rsidRPr="00AB6C92">
        <w:rPr>
          <w:rFonts w:ascii="Arial" w:hAnsi="Arial" w:cs="Arial"/>
          <w:i/>
          <w:iCs/>
          <w:sz w:val="24"/>
          <w:szCs w:val="24"/>
        </w:rPr>
        <w:t>A Guide to the Project Management Body of Knowledge (PMBOK Guide)</w:t>
      </w:r>
      <w:r w:rsidRPr="00AB6C92">
        <w:rPr>
          <w:rFonts w:ascii="Arial" w:hAnsi="Arial" w:cs="Arial"/>
          <w:sz w:val="24"/>
          <w:szCs w:val="24"/>
        </w:rPr>
        <w:t>. 7th ed. Pennsylvania: PMI.</w:t>
      </w:r>
    </w:p>
    <w:p w14:paraId="49F280F3" w14:textId="77777777"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Siemens Gamesa Renewable Energy (2023) </w:t>
      </w:r>
      <w:r w:rsidRPr="00AB6C92">
        <w:rPr>
          <w:rFonts w:ascii="Arial" w:hAnsi="Arial" w:cs="Arial"/>
          <w:i/>
          <w:iCs/>
          <w:sz w:val="24"/>
          <w:szCs w:val="24"/>
        </w:rPr>
        <w:t>Offshore Wind Projects</w:t>
      </w:r>
      <w:r w:rsidRPr="00AB6C92">
        <w:rPr>
          <w:rFonts w:ascii="Arial" w:hAnsi="Arial" w:cs="Arial"/>
          <w:sz w:val="24"/>
          <w:szCs w:val="24"/>
        </w:rPr>
        <w:t xml:space="preserve">. Available at: </w:t>
      </w:r>
      <w:hyperlink r:id="rId15" w:tgtFrame="_new" w:history="1">
        <w:r w:rsidRPr="00F1335B">
          <w:rPr>
            <w:rStyle w:val="Hyperlink"/>
            <w:rFonts w:ascii="Arial" w:hAnsi="Arial" w:cs="Arial"/>
            <w:color w:val="000000" w:themeColor="text1"/>
            <w:sz w:val="24"/>
            <w:szCs w:val="24"/>
            <w:u w:val="none"/>
          </w:rPr>
          <w:t>https://www.siemensgamesa.com</w:t>
        </w:r>
      </w:hyperlink>
      <w:r w:rsidRPr="00AB6C92">
        <w:rPr>
          <w:rFonts w:ascii="Arial" w:hAnsi="Arial" w:cs="Arial"/>
          <w:sz w:val="24"/>
          <w:szCs w:val="24"/>
        </w:rPr>
        <w:t xml:space="preserve"> (Accessed: 18 April 2026).</w:t>
      </w:r>
    </w:p>
    <w:p w14:paraId="7749B906" w14:textId="03FFECAF"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Turner, J.R. (2016) </w:t>
      </w:r>
      <w:r w:rsidRPr="00AB6C92">
        <w:rPr>
          <w:rFonts w:ascii="Arial" w:hAnsi="Arial" w:cs="Arial"/>
          <w:i/>
          <w:iCs/>
          <w:sz w:val="24"/>
          <w:szCs w:val="24"/>
        </w:rPr>
        <w:t>Gower Handbook of Project Management</w:t>
      </w:r>
      <w:r w:rsidRPr="00AB6C92">
        <w:rPr>
          <w:rFonts w:ascii="Arial" w:hAnsi="Arial" w:cs="Arial"/>
          <w:sz w:val="24"/>
          <w:szCs w:val="24"/>
        </w:rPr>
        <w:t>. 5th ed. London: Routledge.</w:t>
      </w:r>
    </w:p>
    <w:p w14:paraId="624C17B5" w14:textId="77777777"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lastRenderedPageBreak/>
        <w:t xml:space="preserve">Vance, A. (2015) </w:t>
      </w:r>
      <w:r w:rsidRPr="00AB6C92">
        <w:rPr>
          <w:rFonts w:ascii="Arial" w:hAnsi="Arial" w:cs="Arial"/>
          <w:i/>
          <w:iCs/>
          <w:sz w:val="24"/>
          <w:szCs w:val="24"/>
        </w:rPr>
        <w:t>Elon Musk: Tesla, SpaceX, and the Quest for a Fantastic Future</w:t>
      </w:r>
      <w:r w:rsidRPr="00AB6C92">
        <w:rPr>
          <w:rFonts w:ascii="Arial" w:hAnsi="Arial" w:cs="Arial"/>
          <w:sz w:val="24"/>
          <w:szCs w:val="24"/>
        </w:rPr>
        <w:t>. New York: HarperCollins.</w:t>
      </w:r>
    </w:p>
    <w:p w14:paraId="1C3676C3" w14:textId="0C27BA36"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Walker, A. (2015) </w:t>
      </w:r>
      <w:r w:rsidRPr="00AB6C92">
        <w:rPr>
          <w:rFonts w:ascii="Arial" w:hAnsi="Arial" w:cs="Arial"/>
          <w:i/>
          <w:iCs/>
          <w:sz w:val="24"/>
          <w:szCs w:val="24"/>
        </w:rPr>
        <w:t>Project Management in Construction</w:t>
      </w:r>
      <w:r w:rsidRPr="00AB6C92">
        <w:rPr>
          <w:rFonts w:ascii="Arial" w:hAnsi="Arial" w:cs="Arial"/>
          <w:sz w:val="24"/>
          <w:szCs w:val="24"/>
        </w:rPr>
        <w:t>. 6th ed. Oxford: Wiley-Blackwell.</w:t>
      </w:r>
    </w:p>
    <w:p w14:paraId="7076E1EA" w14:textId="6B1F6BC7" w:rsidR="00AB6C92" w:rsidRPr="00AB6C92" w:rsidRDefault="00AB6C92" w:rsidP="00AB6C92">
      <w:pPr>
        <w:spacing w:line="360" w:lineRule="auto"/>
        <w:jc w:val="both"/>
        <w:rPr>
          <w:rFonts w:ascii="Arial" w:hAnsi="Arial" w:cs="Arial"/>
          <w:sz w:val="24"/>
          <w:szCs w:val="24"/>
        </w:rPr>
      </w:pPr>
      <w:r w:rsidRPr="00AB6C92">
        <w:rPr>
          <w:rFonts w:ascii="Arial" w:hAnsi="Arial" w:cs="Arial"/>
          <w:sz w:val="24"/>
          <w:szCs w:val="24"/>
        </w:rPr>
        <w:t xml:space="preserve">Winch, G. (2014) </w:t>
      </w:r>
      <w:r w:rsidRPr="00AB6C92">
        <w:rPr>
          <w:rFonts w:ascii="Arial" w:hAnsi="Arial" w:cs="Arial"/>
          <w:i/>
          <w:iCs/>
          <w:sz w:val="24"/>
          <w:szCs w:val="24"/>
        </w:rPr>
        <w:t>Managing Construction Projects</w:t>
      </w:r>
      <w:r w:rsidRPr="00AB6C92">
        <w:rPr>
          <w:rFonts w:ascii="Arial" w:hAnsi="Arial" w:cs="Arial"/>
          <w:sz w:val="24"/>
          <w:szCs w:val="24"/>
        </w:rPr>
        <w:t>. 2nd ed. Oxford: Wiley-Blackwell.</w:t>
      </w:r>
    </w:p>
    <w:p w14:paraId="0BA88F50" w14:textId="77777777" w:rsidR="00AB6C92" w:rsidRPr="008218A4" w:rsidRDefault="00AB6C92" w:rsidP="008218A4">
      <w:pPr>
        <w:spacing w:line="360" w:lineRule="auto"/>
        <w:jc w:val="both"/>
        <w:rPr>
          <w:rFonts w:ascii="Arial" w:hAnsi="Arial" w:cs="Arial"/>
          <w:sz w:val="24"/>
          <w:szCs w:val="24"/>
        </w:rPr>
      </w:pPr>
    </w:p>
    <w:p w14:paraId="773CA3C3" w14:textId="77777777" w:rsidR="00E94A6B" w:rsidRPr="008218A4" w:rsidRDefault="00E94A6B" w:rsidP="008218A4">
      <w:pPr>
        <w:spacing w:line="360" w:lineRule="auto"/>
        <w:jc w:val="both"/>
        <w:rPr>
          <w:rFonts w:ascii="Arial" w:hAnsi="Arial" w:cs="Arial"/>
          <w:sz w:val="24"/>
          <w:szCs w:val="24"/>
        </w:rPr>
      </w:pPr>
    </w:p>
    <w:sectPr w:rsidR="00E94A6B" w:rsidRPr="008218A4">
      <w:footerReference w:type="default" r:id="rId1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orin Dascalu" w:date="2026-04-19T10:39:00Z" w:initials="SD">
    <w:p w14:paraId="1BFAF465" w14:textId="77777777" w:rsidR="003451C8" w:rsidRDefault="003451C8" w:rsidP="003451C8">
      <w:pPr>
        <w:pStyle w:val="CommentText"/>
      </w:pPr>
      <w:r>
        <w:rPr>
          <w:rStyle w:val="CommentReference"/>
        </w:rPr>
        <w:annotationRef/>
      </w:r>
      <w:r>
        <w:t>Here, you can expand the economic pressure and bring in the economic uncertainty and the inflation effect on energy process and supply chain. Use statistics to back up your points.</w:t>
      </w:r>
    </w:p>
  </w:comment>
  <w:comment w:id="4" w:author="Sorin Dascalu" w:date="2026-04-19T10:39:00Z" w:initials="SD">
    <w:p w14:paraId="440DCE5D" w14:textId="77777777" w:rsidR="007643EB" w:rsidRDefault="007643EB" w:rsidP="007643EB">
      <w:pPr>
        <w:pStyle w:val="CommentText"/>
      </w:pPr>
      <w:r>
        <w:rPr>
          <w:rStyle w:val="CommentReference"/>
        </w:rPr>
        <w:annotationRef/>
      </w:r>
      <w:r>
        <w:t xml:space="preserve">Example please </w:t>
      </w:r>
    </w:p>
  </w:comment>
  <w:comment w:id="5" w:author="Sorin Dascalu" w:date="2026-04-19T10:42:00Z" w:initials="SD">
    <w:p w14:paraId="2C8FD7CB" w14:textId="77777777" w:rsidR="00F4353D" w:rsidRDefault="00F4353D" w:rsidP="00F4353D">
      <w:pPr>
        <w:pStyle w:val="CommentText"/>
      </w:pPr>
      <w:r>
        <w:rPr>
          <w:rStyle w:val="CommentReference"/>
        </w:rPr>
        <w:annotationRef/>
      </w:r>
      <w:r>
        <w:t>The current increases in energy and scale back of project s due to Iran _ US tension will have negative implications for costs and unless anticipated in the Pjt charter /negotiations will need to wholly absorbed by the project contractor affecting profit margins. An example would be good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FAF465" w15:done="0"/>
  <w15:commentEx w15:paraId="440DCE5D" w15:done="0"/>
  <w15:commentEx w15:paraId="2C8FD7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A98C1B" w16cex:dateUtc="2026-04-19T09:39:00Z"/>
  <w16cex:commentExtensible w16cex:durableId="77D57543" w16cex:dateUtc="2026-04-19T09:39:00Z"/>
  <w16cex:commentExtensible w16cex:durableId="5A218E7E" w16cex:dateUtc="2026-04-19T0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FAF465" w16cid:durableId="54A98C1B"/>
  <w16cid:commentId w16cid:paraId="440DCE5D" w16cid:durableId="77D57543"/>
  <w16cid:commentId w16cid:paraId="2C8FD7CB" w16cid:durableId="5A218E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25DF" w14:textId="77777777" w:rsidR="006B7738" w:rsidRDefault="006B7738" w:rsidP="005C38EB">
      <w:pPr>
        <w:spacing w:after="0" w:line="240" w:lineRule="auto"/>
      </w:pPr>
      <w:r>
        <w:separator/>
      </w:r>
    </w:p>
  </w:endnote>
  <w:endnote w:type="continuationSeparator" w:id="0">
    <w:p w14:paraId="32ACA6CC" w14:textId="77777777" w:rsidR="006B7738" w:rsidRDefault="006B7738" w:rsidP="005C3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652164"/>
      <w:docPartObj>
        <w:docPartGallery w:val="Page Numbers (Bottom of Page)"/>
        <w:docPartUnique/>
      </w:docPartObj>
    </w:sdtPr>
    <w:sdtEndPr>
      <w:rPr>
        <w:noProof/>
      </w:rPr>
    </w:sdtEndPr>
    <w:sdtContent>
      <w:p w14:paraId="254A8F51" w14:textId="283BA766" w:rsidR="005C38EB" w:rsidRDefault="005C38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0E3BCD" w14:textId="77777777" w:rsidR="005C38EB" w:rsidRDefault="005C3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3DFC4" w14:textId="77777777" w:rsidR="006B7738" w:rsidRDefault="006B7738" w:rsidP="005C38EB">
      <w:pPr>
        <w:spacing w:after="0" w:line="240" w:lineRule="auto"/>
      </w:pPr>
      <w:r>
        <w:separator/>
      </w:r>
    </w:p>
  </w:footnote>
  <w:footnote w:type="continuationSeparator" w:id="0">
    <w:p w14:paraId="6DBB1D76" w14:textId="77777777" w:rsidR="006B7738" w:rsidRDefault="006B7738" w:rsidP="005C3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3352C"/>
    <w:multiLevelType w:val="hybridMultilevel"/>
    <w:tmpl w:val="38E05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958100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orin Dascalu">
    <w15:presenceInfo w15:providerId="Windows Live" w15:userId="8114f193b850ca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A4"/>
    <w:rsid w:val="00042570"/>
    <w:rsid w:val="000E53D9"/>
    <w:rsid w:val="0018112D"/>
    <w:rsid w:val="001834A8"/>
    <w:rsid w:val="001B30B7"/>
    <w:rsid w:val="00245127"/>
    <w:rsid w:val="00276A9E"/>
    <w:rsid w:val="002F1726"/>
    <w:rsid w:val="00316AFE"/>
    <w:rsid w:val="003451C8"/>
    <w:rsid w:val="003D756C"/>
    <w:rsid w:val="003F090F"/>
    <w:rsid w:val="004B0464"/>
    <w:rsid w:val="0058185B"/>
    <w:rsid w:val="005C01AF"/>
    <w:rsid w:val="005C38EB"/>
    <w:rsid w:val="005D16E4"/>
    <w:rsid w:val="005E0C75"/>
    <w:rsid w:val="0065064E"/>
    <w:rsid w:val="006B7738"/>
    <w:rsid w:val="007643EB"/>
    <w:rsid w:val="007F0E71"/>
    <w:rsid w:val="008218A4"/>
    <w:rsid w:val="00831A36"/>
    <w:rsid w:val="008B263A"/>
    <w:rsid w:val="00915054"/>
    <w:rsid w:val="009275A2"/>
    <w:rsid w:val="00A91648"/>
    <w:rsid w:val="00AB6C92"/>
    <w:rsid w:val="00AC5858"/>
    <w:rsid w:val="00AC5A4C"/>
    <w:rsid w:val="00C16A96"/>
    <w:rsid w:val="00C85E11"/>
    <w:rsid w:val="00D5455F"/>
    <w:rsid w:val="00D93FDD"/>
    <w:rsid w:val="00DA7669"/>
    <w:rsid w:val="00DF1E54"/>
    <w:rsid w:val="00E94A6B"/>
    <w:rsid w:val="00F1335B"/>
    <w:rsid w:val="00F4353D"/>
    <w:rsid w:val="00FB3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EA6AE"/>
  <w15:chartTrackingRefBased/>
  <w15:docId w15:val="{F99595E2-4D22-4610-9457-1111D79E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8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18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18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18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18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18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8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8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8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8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18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18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18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18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1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8A4"/>
    <w:rPr>
      <w:rFonts w:eastAsiaTheme="majorEastAsia" w:cstheme="majorBidi"/>
      <w:color w:val="272727" w:themeColor="text1" w:themeTint="D8"/>
    </w:rPr>
  </w:style>
  <w:style w:type="paragraph" w:styleId="Title">
    <w:name w:val="Title"/>
    <w:basedOn w:val="Normal"/>
    <w:next w:val="Normal"/>
    <w:link w:val="TitleChar"/>
    <w:uiPriority w:val="10"/>
    <w:qFormat/>
    <w:rsid w:val="00821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8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8A4"/>
    <w:pPr>
      <w:spacing w:before="160"/>
      <w:jc w:val="center"/>
    </w:pPr>
    <w:rPr>
      <w:i/>
      <w:iCs/>
      <w:color w:val="404040" w:themeColor="text1" w:themeTint="BF"/>
    </w:rPr>
  </w:style>
  <w:style w:type="character" w:customStyle="1" w:styleId="QuoteChar">
    <w:name w:val="Quote Char"/>
    <w:basedOn w:val="DefaultParagraphFont"/>
    <w:link w:val="Quote"/>
    <w:uiPriority w:val="29"/>
    <w:rsid w:val="008218A4"/>
    <w:rPr>
      <w:i/>
      <w:iCs/>
      <w:color w:val="404040" w:themeColor="text1" w:themeTint="BF"/>
    </w:rPr>
  </w:style>
  <w:style w:type="paragraph" w:styleId="ListParagraph">
    <w:name w:val="List Paragraph"/>
    <w:basedOn w:val="Normal"/>
    <w:uiPriority w:val="34"/>
    <w:qFormat/>
    <w:rsid w:val="008218A4"/>
    <w:pPr>
      <w:ind w:left="720"/>
      <w:contextualSpacing/>
    </w:pPr>
  </w:style>
  <w:style w:type="character" w:styleId="IntenseEmphasis">
    <w:name w:val="Intense Emphasis"/>
    <w:basedOn w:val="DefaultParagraphFont"/>
    <w:uiPriority w:val="21"/>
    <w:qFormat/>
    <w:rsid w:val="008218A4"/>
    <w:rPr>
      <w:i/>
      <w:iCs/>
      <w:color w:val="2F5496" w:themeColor="accent1" w:themeShade="BF"/>
    </w:rPr>
  </w:style>
  <w:style w:type="paragraph" w:styleId="IntenseQuote">
    <w:name w:val="Intense Quote"/>
    <w:basedOn w:val="Normal"/>
    <w:next w:val="Normal"/>
    <w:link w:val="IntenseQuoteChar"/>
    <w:uiPriority w:val="30"/>
    <w:qFormat/>
    <w:rsid w:val="008218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18A4"/>
    <w:rPr>
      <w:i/>
      <w:iCs/>
      <w:color w:val="2F5496" w:themeColor="accent1" w:themeShade="BF"/>
    </w:rPr>
  </w:style>
  <w:style w:type="character" w:styleId="IntenseReference">
    <w:name w:val="Intense Reference"/>
    <w:basedOn w:val="DefaultParagraphFont"/>
    <w:uiPriority w:val="32"/>
    <w:qFormat/>
    <w:rsid w:val="008218A4"/>
    <w:rPr>
      <w:b/>
      <w:bCs/>
      <w:smallCaps/>
      <w:color w:val="2F5496" w:themeColor="accent1" w:themeShade="BF"/>
      <w:spacing w:val="5"/>
    </w:rPr>
  </w:style>
  <w:style w:type="paragraph" w:styleId="NoSpacing">
    <w:name w:val="No Spacing"/>
    <w:link w:val="NoSpacingChar"/>
    <w:uiPriority w:val="1"/>
    <w:qFormat/>
    <w:rsid w:val="0065064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65064E"/>
    <w:rPr>
      <w:rFonts w:eastAsiaTheme="minorEastAsia"/>
      <w:kern w:val="0"/>
      <w:lang w:val="en-US"/>
    </w:rPr>
  </w:style>
  <w:style w:type="character" w:styleId="Hyperlink">
    <w:name w:val="Hyperlink"/>
    <w:basedOn w:val="DefaultParagraphFont"/>
    <w:uiPriority w:val="99"/>
    <w:unhideWhenUsed/>
    <w:rsid w:val="00AB6C92"/>
    <w:rPr>
      <w:color w:val="0563C1" w:themeColor="hyperlink"/>
      <w:u w:val="single"/>
    </w:rPr>
  </w:style>
  <w:style w:type="character" w:styleId="UnresolvedMention">
    <w:name w:val="Unresolved Mention"/>
    <w:basedOn w:val="DefaultParagraphFont"/>
    <w:uiPriority w:val="99"/>
    <w:semiHidden/>
    <w:unhideWhenUsed/>
    <w:rsid w:val="00AB6C92"/>
    <w:rPr>
      <w:color w:val="605E5C"/>
      <w:shd w:val="clear" w:color="auto" w:fill="E1DFDD"/>
    </w:rPr>
  </w:style>
  <w:style w:type="paragraph" w:styleId="TOCHeading">
    <w:name w:val="TOC Heading"/>
    <w:basedOn w:val="Heading1"/>
    <w:next w:val="Normal"/>
    <w:uiPriority w:val="39"/>
    <w:unhideWhenUsed/>
    <w:qFormat/>
    <w:rsid w:val="00042570"/>
    <w:pPr>
      <w:spacing w:before="240" w:after="0"/>
      <w:outlineLvl w:val="9"/>
    </w:pPr>
    <w:rPr>
      <w:kern w:val="0"/>
      <w:sz w:val="32"/>
      <w:szCs w:val="32"/>
      <w:lang w:val="en-US"/>
    </w:rPr>
  </w:style>
  <w:style w:type="paragraph" w:styleId="TOC1">
    <w:name w:val="toc 1"/>
    <w:basedOn w:val="Normal"/>
    <w:next w:val="Normal"/>
    <w:autoRedefine/>
    <w:uiPriority w:val="39"/>
    <w:unhideWhenUsed/>
    <w:rsid w:val="00042570"/>
    <w:pPr>
      <w:spacing w:after="100"/>
    </w:pPr>
  </w:style>
  <w:style w:type="paragraph" w:styleId="Header">
    <w:name w:val="header"/>
    <w:basedOn w:val="Normal"/>
    <w:link w:val="HeaderChar"/>
    <w:uiPriority w:val="99"/>
    <w:unhideWhenUsed/>
    <w:rsid w:val="005C3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8EB"/>
  </w:style>
  <w:style w:type="paragraph" w:styleId="Footer">
    <w:name w:val="footer"/>
    <w:basedOn w:val="Normal"/>
    <w:link w:val="FooterChar"/>
    <w:uiPriority w:val="99"/>
    <w:unhideWhenUsed/>
    <w:rsid w:val="005C3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8EB"/>
  </w:style>
  <w:style w:type="character" w:styleId="CommentReference">
    <w:name w:val="annotation reference"/>
    <w:basedOn w:val="DefaultParagraphFont"/>
    <w:uiPriority w:val="99"/>
    <w:semiHidden/>
    <w:unhideWhenUsed/>
    <w:rsid w:val="00D93FDD"/>
    <w:rPr>
      <w:sz w:val="16"/>
      <w:szCs w:val="16"/>
    </w:rPr>
  </w:style>
  <w:style w:type="paragraph" w:styleId="CommentText">
    <w:name w:val="annotation text"/>
    <w:basedOn w:val="Normal"/>
    <w:link w:val="CommentTextChar"/>
    <w:uiPriority w:val="99"/>
    <w:unhideWhenUsed/>
    <w:rsid w:val="00D93FDD"/>
    <w:pPr>
      <w:spacing w:line="240" w:lineRule="auto"/>
    </w:pPr>
    <w:rPr>
      <w:sz w:val="20"/>
      <w:szCs w:val="20"/>
    </w:rPr>
  </w:style>
  <w:style w:type="character" w:customStyle="1" w:styleId="CommentTextChar">
    <w:name w:val="Comment Text Char"/>
    <w:basedOn w:val="DefaultParagraphFont"/>
    <w:link w:val="CommentText"/>
    <w:uiPriority w:val="99"/>
    <w:rsid w:val="00D93FDD"/>
    <w:rPr>
      <w:sz w:val="20"/>
      <w:szCs w:val="20"/>
    </w:rPr>
  </w:style>
  <w:style w:type="paragraph" w:styleId="CommentSubject">
    <w:name w:val="annotation subject"/>
    <w:basedOn w:val="CommentText"/>
    <w:next w:val="CommentText"/>
    <w:link w:val="CommentSubjectChar"/>
    <w:uiPriority w:val="99"/>
    <w:semiHidden/>
    <w:unhideWhenUsed/>
    <w:rsid w:val="00D93FDD"/>
    <w:rPr>
      <w:b/>
      <w:bCs/>
    </w:rPr>
  </w:style>
  <w:style w:type="character" w:customStyle="1" w:styleId="CommentSubjectChar">
    <w:name w:val="Comment Subject Char"/>
    <w:basedOn w:val="CommentTextChar"/>
    <w:link w:val="CommentSubject"/>
    <w:uiPriority w:val="99"/>
    <w:semiHidden/>
    <w:rsid w:val="00D93F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wec.net"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siemensgamesa.com"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na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E91760-280D-4E1E-84C3-5A60B9703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2888</Words>
  <Characters>16464</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2</cp:revision>
  <dcterms:created xsi:type="dcterms:W3CDTF">2026-04-23T07:46:00Z</dcterms:created>
  <dcterms:modified xsi:type="dcterms:W3CDTF">2026-04-23T07:46:00Z</dcterms:modified>
</cp:coreProperties>
</file>