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792935" w14:textId="77777777" w:rsidR="00121CFD" w:rsidRPr="00121CFD" w:rsidRDefault="00121CFD" w:rsidP="00121CFD">
      <w:pPr>
        <w:rPr>
          <w:rFonts w:ascii="Arial" w:hAnsi="Arial" w:cs="Arial"/>
          <w:sz w:val="24"/>
          <w:szCs w:val="24"/>
        </w:rPr>
      </w:pPr>
      <w:r w:rsidRPr="00121CFD">
        <w:rPr>
          <w:rFonts w:ascii="Arial" w:hAnsi="Arial" w:cs="Arial"/>
          <w:sz w:val="24"/>
          <w:szCs w:val="24"/>
        </w:rPr>
        <w:t>Student name: Ionela Catalina Simion</w:t>
      </w:r>
    </w:p>
    <w:p w14:paraId="2A2E951F" w14:textId="77777777" w:rsidR="00121CFD" w:rsidRPr="00121CFD" w:rsidRDefault="00121CFD" w:rsidP="00121CFD">
      <w:pPr>
        <w:rPr>
          <w:rFonts w:ascii="Arial" w:hAnsi="Arial" w:cs="Arial"/>
          <w:sz w:val="24"/>
          <w:szCs w:val="24"/>
        </w:rPr>
      </w:pPr>
      <w:r w:rsidRPr="00121CFD">
        <w:rPr>
          <w:rFonts w:ascii="Arial" w:hAnsi="Arial" w:cs="Arial"/>
          <w:sz w:val="24"/>
          <w:szCs w:val="24"/>
        </w:rPr>
        <w:t>Student number: 2227035</w:t>
      </w:r>
    </w:p>
    <w:p w14:paraId="581B9FF3" w14:textId="77777777" w:rsidR="00121CFD" w:rsidRPr="00121CFD" w:rsidRDefault="00121CFD" w:rsidP="00121CFD">
      <w:pPr>
        <w:rPr>
          <w:rFonts w:ascii="Arial" w:hAnsi="Arial" w:cs="Arial"/>
          <w:sz w:val="24"/>
          <w:szCs w:val="24"/>
        </w:rPr>
      </w:pPr>
      <w:r w:rsidRPr="00121CFD">
        <w:rPr>
          <w:rFonts w:ascii="Arial" w:hAnsi="Arial" w:cs="Arial"/>
          <w:sz w:val="24"/>
          <w:szCs w:val="24"/>
        </w:rPr>
        <w:t>Module Title and Code: Effective Teamworking and Communication (BMSW4009_SWAN)</w:t>
      </w:r>
    </w:p>
    <w:p w14:paraId="553E29C8" w14:textId="43B1F0AF" w:rsidR="00D87410" w:rsidRDefault="00121CFD" w:rsidP="00121CFD">
      <w:pPr>
        <w:rPr>
          <w:rFonts w:ascii="Arial" w:hAnsi="Arial" w:cs="Arial"/>
          <w:sz w:val="24"/>
          <w:szCs w:val="24"/>
        </w:rPr>
      </w:pPr>
      <w:r w:rsidRPr="00121CFD">
        <w:rPr>
          <w:rFonts w:ascii="Arial" w:hAnsi="Arial" w:cs="Arial"/>
          <w:sz w:val="24"/>
          <w:szCs w:val="24"/>
        </w:rPr>
        <w:t>Submission date:</w:t>
      </w:r>
      <w:r w:rsidR="00243966">
        <w:rPr>
          <w:rFonts w:ascii="Arial" w:hAnsi="Arial" w:cs="Arial"/>
          <w:sz w:val="24"/>
          <w:szCs w:val="24"/>
        </w:rPr>
        <w:t>19.03.2025</w:t>
      </w:r>
    </w:p>
    <w:p w14:paraId="32D39250" w14:textId="7DE6F090" w:rsidR="00A818D8" w:rsidRPr="00A818D8" w:rsidRDefault="00A818D8" w:rsidP="00A818D8">
      <w:pPr>
        <w:rPr>
          <w:rFonts w:ascii="Arial" w:hAnsi="Arial" w:cs="Arial"/>
          <w:sz w:val="24"/>
          <w:szCs w:val="24"/>
        </w:rPr>
      </w:pPr>
    </w:p>
    <w:p w14:paraId="0607626A" w14:textId="7C67DB6B" w:rsidR="00A818D8" w:rsidRPr="00121CFD" w:rsidRDefault="00121CFD" w:rsidP="00A818D8">
      <w:pPr>
        <w:rPr>
          <w:rFonts w:ascii="Arial" w:hAnsi="Arial" w:cs="Arial"/>
          <w:b/>
          <w:bCs/>
          <w:sz w:val="24"/>
          <w:szCs w:val="24"/>
        </w:rPr>
      </w:pPr>
      <w:r w:rsidRPr="00121CFD">
        <w:rPr>
          <w:rFonts w:ascii="Arial" w:hAnsi="Arial" w:cs="Arial"/>
          <w:b/>
          <w:bCs/>
          <w:sz w:val="24"/>
          <w:szCs w:val="24"/>
        </w:rPr>
        <w:t xml:space="preserve">What </w:t>
      </w:r>
      <w:proofErr w:type="gramStart"/>
      <w:r w:rsidRPr="00121CFD">
        <w:rPr>
          <w:rFonts w:ascii="Arial" w:hAnsi="Arial" w:cs="Arial"/>
          <w:b/>
          <w:bCs/>
          <w:sz w:val="24"/>
          <w:szCs w:val="24"/>
        </w:rPr>
        <w:t>we have</w:t>
      </w:r>
      <w:proofErr w:type="gramEnd"/>
      <w:r w:rsidRPr="00121CFD">
        <w:rPr>
          <w:rFonts w:ascii="Arial" w:hAnsi="Arial" w:cs="Arial"/>
          <w:b/>
          <w:bCs/>
          <w:sz w:val="24"/>
          <w:szCs w:val="24"/>
        </w:rPr>
        <w:t xml:space="preserve"> learnt about effective teams?</w:t>
      </w:r>
    </w:p>
    <w:p w14:paraId="35FE5DE9" w14:textId="77777777" w:rsidR="00121CFD" w:rsidRDefault="00121CFD" w:rsidP="00E966D4">
      <w:pPr>
        <w:rPr>
          <w:rFonts w:ascii="Arial" w:hAnsi="Arial" w:cs="Arial"/>
          <w:b/>
          <w:bCs/>
          <w:sz w:val="24"/>
          <w:szCs w:val="24"/>
        </w:rPr>
      </w:pPr>
    </w:p>
    <w:p w14:paraId="78FB3B3A" w14:textId="0BEA48FA" w:rsidR="00E966D4" w:rsidRDefault="00121CFD" w:rsidP="00E966D4">
      <w:pPr>
        <w:rPr>
          <w:rFonts w:ascii="Arial" w:hAnsi="Arial" w:cs="Arial"/>
          <w:b/>
          <w:bCs/>
          <w:sz w:val="24"/>
          <w:szCs w:val="24"/>
        </w:rPr>
      </w:pPr>
      <w:r>
        <w:rPr>
          <w:rFonts w:ascii="Arial" w:hAnsi="Arial" w:cs="Arial"/>
          <w:b/>
          <w:bCs/>
          <w:sz w:val="24"/>
          <w:szCs w:val="24"/>
        </w:rPr>
        <w:t xml:space="preserve">Introduction </w:t>
      </w:r>
    </w:p>
    <w:p w14:paraId="591C1375" w14:textId="77777777" w:rsidR="00E966D4" w:rsidRPr="00E966D4" w:rsidRDefault="00E966D4" w:rsidP="00E966D4">
      <w:pPr>
        <w:rPr>
          <w:rFonts w:ascii="Arial" w:hAnsi="Arial" w:cs="Arial"/>
          <w:sz w:val="24"/>
          <w:szCs w:val="24"/>
        </w:rPr>
      </w:pPr>
      <w:r w:rsidRPr="00E966D4">
        <w:rPr>
          <w:rFonts w:ascii="Arial" w:hAnsi="Arial" w:cs="Arial"/>
          <w:sz w:val="24"/>
          <w:szCs w:val="24"/>
        </w:rPr>
        <w:t xml:space="preserve">Effective teamwork is a critical factor in achieving success in today’s workplaces, where organizations increasingly rely on collaboration to drive innovation, enhance productivity, and foster a positive work environment (Salas et al., 2018). However, teamwork is not without its challenges. Differences in communication styles, personality types, and work habits can lead to misunderstandings, reduced efficiency, and even conflict. To address these challenges, it is essential for organizations to develop a deeper understanding of team dynamics and leverage models that provide insight into how individuals can best contribute to collective success. One such model that has gained widespread recognition and application is </w:t>
      </w:r>
      <w:r w:rsidRPr="00E966D4">
        <w:rPr>
          <w:rFonts w:ascii="Arial" w:hAnsi="Arial" w:cs="Arial"/>
          <w:b/>
          <w:bCs/>
          <w:sz w:val="24"/>
          <w:szCs w:val="24"/>
        </w:rPr>
        <w:t>Dr. Meredith Belbin’s Team Roles Model</w:t>
      </w:r>
      <w:r w:rsidRPr="00E966D4">
        <w:rPr>
          <w:rFonts w:ascii="Arial" w:hAnsi="Arial" w:cs="Arial"/>
          <w:sz w:val="24"/>
          <w:szCs w:val="24"/>
        </w:rPr>
        <w:t xml:space="preserve"> (Belbin, 2012).</w:t>
      </w:r>
    </w:p>
    <w:p w14:paraId="25236538" w14:textId="77777777" w:rsidR="00E966D4" w:rsidRPr="00E966D4" w:rsidRDefault="00E966D4" w:rsidP="00E966D4">
      <w:pPr>
        <w:rPr>
          <w:rFonts w:ascii="Arial" w:hAnsi="Arial" w:cs="Arial"/>
          <w:sz w:val="24"/>
          <w:szCs w:val="24"/>
        </w:rPr>
      </w:pPr>
      <w:r w:rsidRPr="00E966D4">
        <w:rPr>
          <w:rFonts w:ascii="Arial" w:hAnsi="Arial" w:cs="Arial"/>
          <w:sz w:val="24"/>
          <w:szCs w:val="24"/>
        </w:rPr>
        <w:t xml:space="preserve">The </w:t>
      </w:r>
      <w:r w:rsidRPr="00E966D4">
        <w:rPr>
          <w:rFonts w:ascii="Arial" w:hAnsi="Arial" w:cs="Arial"/>
          <w:b/>
          <w:bCs/>
          <w:sz w:val="24"/>
          <w:szCs w:val="24"/>
        </w:rPr>
        <w:t>Belbin Model</w:t>
      </w:r>
      <w:r w:rsidRPr="00E966D4">
        <w:rPr>
          <w:rFonts w:ascii="Arial" w:hAnsi="Arial" w:cs="Arial"/>
          <w:sz w:val="24"/>
          <w:szCs w:val="24"/>
        </w:rPr>
        <w:t xml:space="preserve">, developed by Dr. Meredith Belbin in the 1970s, identifies nine distinct roles that individuals naturally adopt when working within teams. These roles are grouped into three categories: </w:t>
      </w:r>
      <w:r w:rsidRPr="00E966D4">
        <w:rPr>
          <w:rFonts w:ascii="Arial" w:hAnsi="Arial" w:cs="Arial"/>
          <w:b/>
          <w:bCs/>
          <w:sz w:val="24"/>
          <w:szCs w:val="24"/>
        </w:rPr>
        <w:t>Action-Oriented Roles</w:t>
      </w:r>
      <w:r w:rsidRPr="00E966D4">
        <w:rPr>
          <w:rFonts w:ascii="Arial" w:hAnsi="Arial" w:cs="Arial"/>
          <w:sz w:val="24"/>
          <w:szCs w:val="24"/>
        </w:rPr>
        <w:t xml:space="preserve"> (Shaper, Implementer, and Completer-Finisher), </w:t>
      </w:r>
      <w:r w:rsidRPr="00E966D4">
        <w:rPr>
          <w:rFonts w:ascii="Arial" w:hAnsi="Arial" w:cs="Arial"/>
          <w:b/>
          <w:bCs/>
          <w:sz w:val="24"/>
          <w:szCs w:val="24"/>
        </w:rPr>
        <w:t>People-Oriented Roles</w:t>
      </w:r>
      <w:r w:rsidRPr="00E966D4">
        <w:rPr>
          <w:rFonts w:ascii="Arial" w:hAnsi="Arial" w:cs="Arial"/>
          <w:sz w:val="24"/>
          <w:szCs w:val="24"/>
        </w:rPr>
        <w:t xml:space="preserve"> (Coordinator, </w:t>
      </w:r>
      <w:proofErr w:type="spellStart"/>
      <w:r w:rsidRPr="00E966D4">
        <w:rPr>
          <w:rFonts w:ascii="Arial" w:hAnsi="Arial" w:cs="Arial"/>
          <w:sz w:val="24"/>
          <w:szCs w:val="24"/>
        </w:rPr>
        <w:t>Teamworker</w:t>
      </w:r>
      <w:proofErr w:type="spellEnd"/>
      <w:r w:rsidRPr="00E966D4">
        <w:rPr>
          <w:rFonts w:ascii="Arial" w:hAnsi="Arial" w:cs="Arial"/>
          <w:sz w:val="24"/>
          <w:szCs w:val="24"/>
        </w:rPr>
        <w:t xml:space="preserve">, and Resource Investigator), and </w:t>
      </w:r>
      <w:r w:rsidRPr="00E966D4">
        <w:rPr>
          <w:rFonts w:ascii="Arial" w:hAnsi="Arial" w:cs="Arial"/>
          <w:b/>
          <w:bCs/>
          <w:sz w:val="24"/>
          <w:szCs w:val="24"/>
        </w:rPr>
        <w:t>Cerebral Roles</w:t>
      </w:r>
      <w:r w:rsidRPr="00E966D4">
        <w:rPr>
          <w:rFonts w:ascii="Arial" w:hAnsi="Arial" w:cs="Arial"/>
          <w:sz w:val="24"/>
          <w:szCs w:val="24"/>
        </w:rPr>
        <w:t xml:space="preserve"> (Plant, Monitor Evaluator, and Specialist) (Belbin, 2012). Each role brings a unique perspective and skill set that, when balanced effectively, contributes to a well-functioning and productive team (Fisher et al., 2021). For instance, while a </w:t>
      </w:r>
      <w:r w:rsidRPr="00E966D4">
        <w:rPr>
          <w:rFonts w:ascii="Arial" w:hAnsi="Arial" w:cs="Arial"/>
          <w:b/>
          <w:bCs/>
          <w:sz w:val="24"/>
          <w:szCs w:val="24"/>
        </w:rPr>
        <w:t>Shaper</w:t>
      </w:r>
      <w:r w:rsidRPr="00E966D4">
        <w:rPr>
          <w:rFonts w:ascii="Arial" w:hAnsi="Arial" w:cs="Arial"/>
          <w:sz w:val="24"/>
          <w:szCs w:val="24"/>
        </w:rPr>
        <w:t xml:space="preserve"> thrives on challenges and pushes the team towards results, a </w:t>
      </w:r>
      <w:proofErr w:type="spellStart"/>
      <w:r w:rsidRPr="00E966D4">
        <w:rPr>
          <w:rFonts w:ascii="Arial" w:hAnsi="Arial" w:cs="Arial"/>
          <w:b/>
          <w:bCs/>
          <w:sz w:val="24"/>
          <w:szCs w:val="24"/>
        </w:rPr>
        <w:t>Teamworker</w:t>
      </w:r>
      <w:proofErr w:type="spellEnd"/>
      <w:r w:rsidRPr="00E966D4">
        <w:rPr>
          <w:rFonts w:ascii="Arial" w:hAnsi="Arial" w:cs="Arial"/>
          <w:sz w:val="24"/>
          <w:szCs w:val="24"/>
        </w:rPr>
        <w:t xml:space="preserve"> excels at maintaining harmony and ensuring that the group stays cohesive (</w:t>
      </w:r>
      <w:proofErr w:type="spellStart"/>
      <w:r w:rsidRPr="00E966D4">
        <w:rPr>
          <w:rFonts w:ascii="Arial" w:hAnsi="Arial" w:cs="Arial"/>
          <w:sz w:val="24"/>
          <w:szCs w:val="24"/>
        </w:rPr>
        <w:t>Aritzeta</w:t>
      </w:r>
      <w:proofErr w:type="spellEnd"/>
      <w:r w:rsidRPr="00E966D4">
        <w:rPr>
          <w:rFonts w:ascii="Arial" w:hAnsi="Arial" w:cs="Arial"/>
          <w:sz w:val="24"/>
          <w:szCs w:val="24"/>
        </w:rPr>
        <w:t>, Swailes, &amp; Senior, 2007).</w:t>
      </w:r>
    </w:p>
    <w:p w14:paraId="59EED688" w14:textId="77777777" w:rsidR="00E966D4" w:rsidRPr="00E966D4" w:rsidRDefault="00E966D4" w:rsidP="00E966D4">
      <w:pPr>
        <w:rPr>
          <w:rFonts w:ascii="Arial" w:hAnsi="Arial" w:cs="Arial"/>
          <w:sz w:val="24"/>
          <w:szCs w:val="24"/>
        </w:rPr>
      </w:pPr>
      <w:r w:rsidRPr="00E966D4">
        <w:rPr>
          <w:rFonts w:ascii="Arial" w:hAnsi="Arial" w:cs="Arial"/>
          <w:b/>
          <w:bCs/>
          <w:sz w:val="24"/>
          <w:szCs w:val="24"/>
        </w:rPr>
        <w:t>Reflections on Team Experiences and Belbin’s Model</w:t>
      </w:r>
    </w:p>
    <w:p w14:paraId="3AA8FA4B" w14:textId="77777777" w:rsidR="00E966D4" w:rsidRPr="00E966D4" w:rsidRDefault="00E966D4" w:rsidP="00E966D4">
      <w:pPr>
        <w:rPr>
          <w:rFonts w:ascii="Arial" w:hAnsi="Arial" w:cs="Arial"/>
          <w:sz w:val="24"/>
          <w:szCs w:val="24"/>
        </w:rPr>
      </w:pPr>
      <w:r w:rsidRPr="00E966D4">
        <w:rPr>
          <w:rFonts w:ascii="Arial" w:hAnsi="Arial" w:cs="Arial"/>
          <w:sz w:val="24"/>
          <w:szCs w:val="24"/>
        </w:rPr>
        <w:t xml:space="preserve">Reflecting on team experiences within various organizational contexts has highlighted the importance of understanding individual strengths and aligning them with appropriate team roles. For example, in one project, team members noticed that assigning a </w:t>
      </w:r>
      <w:r w:rsidRPr="00E966D4">
        <w:rPr>
          <w:rFonts w:ascii="Arial" w:hAnsi="Arial" w:cs="Arial"/>
          <w:b/>
          <w:bCs/>
          <w:sz w:val="24"/>
          <w:szCs w:val="24"/>
        </w:rPr>
        <w:t>Monitor Evaluator</w:t>
      </w:r>
      <w:r w:rsidRPr="00E966D4">
        <w:rPr>
          <w:rFonts w:ascii="Arial" w:hAnsi="Arial" w:cs="Arial"/>
          <w:sz w:val="24"/>
          <w:szCs w:val="24"/>
        </w:rPr>
        <w:t xml:space="preserve"> to assess progress and ensure quality significantly improved the decision-making process and reduced errors. Similarly, appointing a </w:t>
      </w:r>
      <w:r w:rsidRPr="00E966D4">
        <w:rPr>
          <w:rFonts w:ascii="Arial" w:hAnsi="Arial" w:cs="Arial"/>
          <w:b/>
          <w:bCs/>
          <w:sz w:val="24"/>
          <w:szCs w:val="24"/>
        </w:rPr>
        <w:t>Resource Investigator</w:t>
      </w:r>
      <w:r w:rsidRPr="00E966D4">
        <w:rPr>
          <w:rFonts w:ascii="Arial" w:hAnsi="Arial" w:cs="Arial"/>
          <w:sz w:val="24"/>
          <w:szCs w:val="24"/>
        </w:rPr>
        <w:t xml:space="preserve"> led to valuable networking opportunities and the discovery of new ideas, ultimately enhancing the project’s overall outcomes. However, in situations where roles were not clearly defined, or where there was an over-representation of one type of role (e.g., too many </w:t>
      </w:r>
      <w:proofErr w:type="gramStart"/>
      <w:r w:rsidRPr="00E966D4">
        <w:rPr>
          <w:rFonts w:ascii="Arial" w:hAnsi="Arial" w:cs="Arial"/>
          <w:sz w:val="24"/>
          <w:szCs w:val="24"/>
        </w:rPr>
        <w:t>Shapers</w:t>
      </w:r>
      <w:proofErr w:type="gramEnd"/>
      <w:r w:rsidRPr="00E966D4">
        <w:rPr>
          <w:rFonts w:ascii="Arial" w:hAnsi="Arial" w:cs="Arial"/>
          <w:sz w:val="24"/>
          <w:szCs w:val="24"/>
        </w:rPr>
        <w:t xml:space="preserve"> leading to dominance and conflict), the team encountered difficulties in maintaining cohesion and achieving balance (West, 2012).</w:t>
      </w:r>
    </w:p>
    <w:p w14:paraId="7F96F5BF" w14:textId="77777777" w:rsidR="00E966D4" w:rsidRPr="00E966D4" w:rsidRDefault="00E966D4" w:rsidP="00E966D4">
      <w:pPr>
        <w:rPr>
          <w:rFonts w:ascii="Arial" w:hAnsi="Arial" w:cs="Arial"/>
          <w:sz w:val="24"/>
          <w:szCs w:val="24"/>
        </w:rPr>
      </w:pPr>
      <w:r w:rsidRPr="00E966D4">
        <w:rPr>
          <w:rFonts w:ascii="Arial" w:hAnsi="Arial" w:cs="Arial"/>
          <w:b/>
          <w:bCs/>
          <w:sz w:val="24"/>
          <w:szCs w:val="24"/>
        </w:rPr>
        <w:lastRenderedPageBreak/>
        <w:t>Applying the Belbin Model to Enhance Workplace Collaboration</w:t>
      </w:r>
    </w:p>
    <w:p w14:paraId="5D5E8CCE" w14:textId="77777777" w:rsidR="00E966D4" w:rsidRPr="00E966D4" w:rsidRDefault="00E966D4" w:rsidP="00E966D4">
      <w:pPr>
        <w:rPr>
          <w:rFonts w:ascii="Arial" w:hAnsi="Arial" w:cs="Arial"/>
          <w:sz w:val="24"/>
          <w:szCs w:val="24"/>
        </w:rPr>
      </w:pPr>
      <w:r w:rsidRPr="00E966D4">
        <w:rPr>
          <w:rFonts w:ascii="Arial" w:hAnsi="Arial" w:cs="Arial"/>
          <w:sz w:val="24"/>
          <w:szCs w:val="24"/>
        </w:rPr>
        <w:t>To optimize team collaboration in workplaces, organizations can apply the Belbin Model by focusing on three key strategies:</w:t>
      </w:r>
    </w:p>
    <w:p w14:paraId="0F4CB4BF" w14:textId="77777777" w:rsidR="00E966D4" w:rsidRPr="00E966D4" w:rsidRDefault="00E966D4" w:rsidP="00E966D4">
      <w:pPr>
        <w:numPr>
          <w:ilvl w:val="0"/>
          <w:numId w:val="2"/>
        </w:numPr>
        <w:rPr>
          <w:rFonts w:ascii="Arial" w:hAnsi="Arial" w:cs="Arial"/>
          <w:sz w:val="24"/>
          <w:szCs w:val="24"/>
        </w:rPr>
      </w:pPr>
      <w:r w:rsidRPr="00E966D4">
        <w:rPr>
          <w:rFonts w:ascii="Arial" w:hAnsi="Arial" w:cs="Arial"/>
          <w:b/>
          <w:bCs/>
          <w:sz w:val="24"/>
          <w:szCs w:val="24"/>
        </w:rPr>
        <w:t>Role Assessment and Allocation:</w:t>
      </w:r>
      <w:r w:rsidRPr="00E966D4">
        <w:rPr>
          <w:rFonts w:ascii="Arial" w:hAnsi="Arial" w:cs="Arial"/>
          <w:sz w:val="24"/>
          <w:szCs w:val="24"/>
        </w:rPr>
        <w:t xml:space="preserve"> Using Belbin’s Self-Perception Inventory (SPI) to assess individual team members’ preferred roles can help managers assign responsibilities that align with their strengths (Prichard &amp; Stanton, 1999). This ensures that all critical functions within the team are covered, reducing gaps and overlaps in responsibility.</w:t>
      </w:r>
    </w:p>
    <w:p w14:paraId="0CBECB2C" w14:textId="77777777" w:rsidR="00E966D4" w:rsidRPr="00E966D4" w:rsidRDefault="00E966D4" w:rsidP="00E966D4">
      <w:pPr>
        <w:numPr>
          <w:ilvl w:val="0"/>
          <w:numId w:val="2"/>
        </w:numPr>
        <w:rPr>
          <w:rFonts w:ascii="Arial" w:hAnsi="Arial" w:cs="Arial"/>
          <w:sz w:val="24"/>
          <w:szCs w:val="24"/>
        </w:rPr>
      </w:pPr>
      <w:r w:rsidRPr="00E966D4">
        <w:rPr>
          <w:rFonts w:ascii="Arial" w:hAnsi="Arial" w:cs="Arial"/>
          <w:b/>
          <w:bCs/>
          <w:sz w:val="24"/>
          <w:szCs w:val="24"/>
        </w:rPr>
        <w:t>Training and Development:</w:t>
      </w:r>
      <w:r w:rsidRPr="00E966D4">
        <w:rPr>
          <w:rFonts w:ascii="Arial" w:hAnsi="Arial" w:cs="Arial"/>
          <w:sz w:val="24"/>
          <w:szCs w:val="24"/>
        </w:rPr>
        <w:t xml:space="preserve"> Educating team members about different team roles and fostering an understanding of their significance helps individuals appreciate the diversity of contributions within a group. Through training, employees become more adept at recognizing and valuing complementary skills, fostering mutual respect and reducing potential conflict (Mumford et al., 2008).</w:t>
      </w:r>
    </w:p>
    <w:p w14:paraId="0E850AEA" w14:textId="77777777" w:rsidR="00E966D4" w:rsidRPr="00E966D4" w:rsidRDefault="00E966D4" w:rsidP="00E966D4">
      <w:pPr>
        <w:numPr>
          <w:ilvl w:val="0"/>
          <w:numId w:val="2"/>
        </w:numPr>
        <w:rPr>
          <w:rFonts w:ascii="Arial" w:hAnsi="Arial" w:cs="Arial"/>
          <w:sz w:val="24"/>
          <w:szCs w:val="24"/>
        </w:rPr>
      </w:pPr>
      <w:r w:rsidRPr="00E966D4">
        <w:rPr>
          <w:rFonts w:ascii="Arial" w:hAnsi="Arial" w:cs="Arial"/>
          <w:b/>
          <w:bCs/>
          <w:sz w:val="24"/>
          <w:szCs w:val="24"/>
        </w:rPr>
        <w:t>Ongoing Monitoring and Feedback:</w:t>
      </w:r>
      <w:r w:rsidRPr="00E966D4">
        <w:rPr>
          <w:rFonts w:ascii="Arial" w:hAnsi="Arial" w:cs="Arial"/>
          <w:sz w:val="24"/>
          <w:szCs w:val="24"/>
        </w:rPr>
        <w:t xml:space="preserve"> Successful teams are those that continuously evaluate their performance and </w:t>
      </w:r>
      <w:proofErr w:type="gramStart"/>
      <w:r w:rsidRPr="00E966D4">
        <w:rPr>
          <w:rFonts w:ascii="Arial" w:hAnsi="Arial" w:cs="Arial"/>
          <w:sz w:val="24"/>
          <w:szCs w:val="24"/>
        </w:rPr>
        <w:t>make adjustments</w:t>
      </w:r>
      <w:proofErr w:type="gramEnd"/>
      <w:r w:rsidRPr="00E966D4">
        <w:rPr>
          <w:rFonts w:ascii="Arial" w:hAnsi="Arial" w:cs="Arial"/>
          <w:sz w:val="24"/>
          <w:szCs w:val="24"/>
        </w:rPr>
        <w:t xml:space="preserve"> where necessary. Regular team reviews and feedback sessions provide opportunities for members to reflect on their roles, assess overall effectiveness, and recalibrate as needed to maintain a balanced and high-performing team (Salas et al., 2018).</w:t>
      </w:r>
    </w:p>
    <w:p w14:paraId="210061C4" w14:textId="7469EE56" w:rsidR="00E966D4" w:rsidRPr="00A763D3" w:rsidRDefault="00E966D4" w:rsidP="00E966D4">
      <w:pPr>
        <w:rPr>
          <w:rFonts w:ascii="Arial" w:hAnsi="Arial" w:cs="Arial"/>
          <w:b/>
          <w:bCs/>
          <w:sz w:val="24"/>
          <w:szCs w:val="24"/>
        </w:rPr>
      </w:pPr>
      <w:r w:rsidRPr="00A763D3">
        <w:rPr>
          <w:rFonts w:ascii="Arial" w:hAnsi="Arial" w:cs="Arial"/>
          <w:b/>
          <w:bCs/>
          <w:sz w:val="24"/>
          <w:szCs w:val="24"/>
        </w:rPr>
        <w:t xml:space="preserve">Conclusion: </w:t>
      </w:r>
    </w:p>
    <w:p w14:paraId="26B35CDE" w14:textId="77777777" w:rsidR="00E966D4" w:rsidRPr="00E966D4" w:rsidRDefault="00E966D4" w:rsidP="00E966D4">
      <w:pPr>
        <w:rPr>
          <w:rFonts w:ascii="Arial" w:hAnsi="Arial" w:cs="Arial"/>
          <w:sz w:val="24"/>
          <w:szCs w:val="24"/>
        </w:rPr>
      </w:pPr>
      <w:r w:rsidRPr="00E966D4">
        <w:rPr>
          <w:rFonts w:ascii="Arial" w:hAnsi="Arial" w:cs="Arial"/>
          <w:sz w:val="24"/>
          <w:szCs w:val="24"/>
        </w:rPr>
        <w:t>In conclusion, fostering collaboration in the workplace requires a nuanced understanding of individual strengths and how they contribute to team dynamics. The Belbin Model provides a valuable framework for identifying these strengths and aligning them with team objectives. By applying the model strategically—through role assessment, training, and ongoing monitoring—organizations can build more cohesive, efficient, and innovative teams. As workplaces continue to evolve, leveraging models like Belbin’s will be essential for creating environments where diverse talents thrive, and collective success is achieved.</w:t>
      </w:r>
    </w:p>
    <w:p w14:paraId="56F33E7E" w14:textId="77777777" w:rsidR="00675365" w:rsidRDefault="00675365" w:rsidP="00E966D4">
      <w:pPr>
        <w:rPr>
          <w:rFonts w:ascii="Arial" w:hAnsi="Arial" w:cs="Arial"/>
          <w:b/>
          <w:bCs/>
          <w:sz w:val="24"/>
          <w:szCs w:val="24"/>
        </w:rPr>
      </w:pPr>
    </w:p>
    <w:p w14:paraId="477F7216" w14:textId="77777777" w:rsidR="00675365" w:rsidRDefault="00675365" w:rsidP="00E966D4">
      <w:pPr>
        <w:rPr>
          <w:rFonts w:ascii="Arial" w:hAnsi="Arial" w:cs="Arial"/>
          <w:b/>
          <w:bCs/>
          <w:sz w:val="24"/>
          <w:szCs w:val="24"/>
        </w:rPr>
      </w:pPr>
    </w:p>
    <w:p w14:paraId="1DA5F159" w14:textId="77777777" w:rsidR="00675365" w:rsidRDefault="00675365" w:rsidP="00E966D4">
      <w:pPr>
        <w:rPr>
          <w:rFonts w:ascii="Arial" w:hAnsi="Arial" w:cs="Arial"/>
          <w:b/>
          <w:bCs/>
          <w:sz w:val="24"/>
          <w:szCs w:val="24"/>
        </w:rPr>
      </w:pPr>
    </w:p>
    <w:p w14:paraId="6A8A50BB" w14:textId="77777777" w:rsidR="00675365" w:rsidRDefault="00675365" w:rsidP="00E966D4">
      <w:pPr>
        <w:rPr>
          <w:rFonts w:ascii="Arial" w:hAnsi="Arial" w:cs="Arial"/>
          <w:b/>
          <w:bCs/>
          <w:sz w:val="24"/>
          <w:szCs w:val="24"/>
        </w:rPr>
      </w:pPr>
    </w:p>
    <w:p w14:paraId="00F10324" w14:textId="77777777" w:rsidR="00675365" w:rsidRDefault="00675365" w:rsidP="00E966D4">
      <w:pPr>
        <w:rPr>
          <w:rFonts w:ascii="Arial" w:hAnsi="Arial" w:cs="Arial"/>
          <w:b/>
          <w:bCs/>
          <w:sz w:val="24"/>
          <w:szCs w:val="24"/>
        </w:rPr>
      </w:pPr>
    </w:p>
    <w:p w14:paraId="069AF016" w14:textId="77777777" w:rsidR="00675365" w:rsidRDefault="00675365" w:rsidP="00E966D4">
      <w:pPr>
        <w:rPr>
          <w:rFonts w:ascii="Arial" w:hAnsi="Arial" w:cs="Arial"/>
          <w:b/>
          <w:bCs/>
          <w:sz w:val="24"/>
          <w:szCs w:val="24"/>
        </w:rPr>
      </w:pPr>
    </w:p>
    <w:p w14:paraId="72DE1D6B" w14:textId="77777777" w:rsidR="00675365" w:rsidRDefault="00675365" w:rsidP="00E966D4">
      <w:pPr>
        <w:rPr>
          <w:rFonts w:ascii="Arial" w:hAnsi="Arial" w:cs="Arial"/>
          <w:b/>
          <w:bCs/>
          <w:sz w:val="24"/>
          <w:szCs w:val="24"/>
        </w:rPr>
      </w:pPr>
    </w:p>
    <w:p w14:paraId="1097D906" w14:textId="77777777" w:rsidR="00675365" w:rsidRDefault="00675365" w:rsidP="00E966D4">
      <w:pPr>
        <w:rPr>
          <w:rFonts w:ascii="Arial" w:hAnsi="Arial" w:cs="Arial"/>
          <w:b/>
          <w:bCs/>
          <w:sz w:val="24"/>
          <w:szCs w:val="24"/>
        </w:rPr>
      </w:pPr>
    </w:p>
    <w:p w14:paraId="7BE4E417" w14:textId="77777777" w:rsidR="00675365" w:rsidRDefault="00675365" w:rsidP="00E966D4">
      <w:pPr>
        <w:rPr>
          <w:rFonts w:ascii="Arial" w:hAnsi="Arial" w:cs="Arial"/>
          <w:b/>
          <w:bCs/>
          <w:sz w:val="24"/>
          <w:szCs w:val="24"/>
        </w:rPr>
      </w:pPr>
    </w:p>
    <w:p w14:paraId="49FE811F" w14:textId="2C6D65BE" w:rsidR="00E966D4" w:rsidRPr="00E966D4" w:rsidRDefault="00E966D4" w:rsidP="00E966D4">
      <w:pPr>
        <w:rPr>
          <w:rFonts w:ascii="Arial" w:hAnsi="Arial" w:cs="Arial"/>
          <w:sz w:val="24"/>
          <w:szCs w:val="24"/>
        </w:rPr>
      </w:pPr>
      <w:r w:rsidRPr="00E966D4">
        <w:rPr>
          <w:rFonts w:ascii="Arial" w:hAnsi="Arial" w:cs="Arial"/>
          <w:b/>
          <w:bCs/>
          <w:sz w:val="24"/>
          <w:szCs w:val="24"/>
        </w:rPr>
        <w:lastRenderedPageBreak/>
        <w:t>References:</w:t>
      </w:r>
    </w:p>
    <w:p w14:paraId="43AC5F3F" w14:textId="77777777" w:rsidR="00E966D4" w:rsidRPr="00E966D4" w:rsidRDefault="00E966D4" w:rsidP="00E966D4">
      <w:pPr>
        <w:numPr>
          <w:ilvl w:val="0"/>
          <w:numId w:val="3"/>
        </w:numPr>
        <w:rPr>
          <w:rFonts w:ascii="Arial" w:hAnsi="Arial" w:cs="Arial"/>
          <w:sz w:val="24"/>
          <w:szCs w:val="24"/>
        </w:rPr>
      </w:pPr>
      <w:proofErr w:type="spellStart"/>
      <w:r w:rsidRPr="00E966D4">
        <w:rPr>
          <w:rFonts w:ascii="Arial" w:hAnsi="Arial" w:cs="Arial"/>
          <w:sz w:val="24"/>
          <w:szCs w:val="24"/>
        </w:rPr>
        <w:t>Aritzeta</w:t>
      </w:r>
      <w:proofErr w:type="spellEnd"/>
      <w:r w:rsidRPr="00E966D4">
        <w:rPr>
          <w:rFonts w:ascii="Arial" w:hAnsi="Arial" w:cs="Arial"/>
          <w:sz w:val="24"/>
          <w:szCs w:val="24"/>
        </w:rPr>
        <w:t xml:space="preserve">, A., Swailes, S., &amp; Senior, B. (2007). Belbin’s team role model: Development, validity, and applications for team building. </w:t>
      </w:r>
      <w:r w:rsidRPr="00E966D4">
        <w:rPr>
          <w:rFonts w:ascii="Arial" w:hAnsi="Arial" w:cs="Arial"/>
          <w:i/>
          <w:iCs/>
          <w:sz w:val="24"/>
          <w:szCs w:val="24"/>
        </w:rPr>
        <w:t>Journal of Management Studies</w:t>
      </w:r>
      <w:r w:rsidRPr="00E966D4">
        <w:rPr>
          <w:rFonts w:ascii="Arial" w:hAnsi="Arial" w:cs="Arial"/>
          <w:sz w:val="24"/>
          <w:szCs w:val="24"/>
        </w:rPr>
        <w:t>, 44(1), 96-118.</w:t>
      </w:r>
    </w:p>
    <w:p w14:paraId="46CEDDAF" w14:textId="77777777" w:rsidR="00E966D4" w:rsidRPr="00E966D4" w:rsidRDefault="00E966D4" w:rsidP="00E966D4">
      <w:pPr>
        <w:numPr>
          <w:ilvl w:val="0"/>
          <w:numId w:val="3"/>
        </w:numPr>
        <w:rPr>
          <w:rFonts w:ascii="Arial" w:hAnsi="Arial" w:cs="Arial"/>
          <w:sz w:val="24"/>
          <w:szCs w:val="24"/>
        </w:rPr>
      </w:pPr>
      <w:r w:rsidRPr="00E966D4">
        <w:rPr>
          <w:rFonts w:ascii="Arial" w:hAnsi="Arial" w:cs="Arial"/>
          <w:sz w:val="24"/>
          <w:szCs w:val="24"/>
        </w:rPr>
        <w:t xml:space="preserve">Belbin, R. M. (2012). </w:t>
      </w:r>
      <w:r w:rsidRPr="00E966D4">
        <w:rPr>
          <w:rFonts w:ascii="Arial" w:hAnsi="Arial" w:cs="Arial"/>
          <w:i/>
          <w:iCs/>
          <w:sz w:val="24"/>
          <w:szCs w:val="24"/>
        </w:rPr>
        <w:t>Team roles at work</w:t>
      </w:r>
      <w:r w:rsidRPr="00E966D4">
        <w:rPr>
          <w:rFonts w:ascii="Arial" w:hAnsi="Arial" w:cs="Arial"/>
          <w:sz w:val="24"/>
          <w:szCs w:val="24"/>
        </w:rPr>
        <w:t xml:space="preserve"> (2nd ed.). Routledge.</w:t>
      </w:r>
    </w:p>
    <w:p w14:paraId="091B6EB3" w14:textId="77777777" w:rsidR="00E966D4" w:rsidRPr="00E966D4" w:rsidRDefault="00E966D4" w:rsidP="00E966D4">
      <w:pPr>
        <w:numPr>
          <w:ilvl w:val="0"/>
          <w:numId w:val="3"/>
        </w:numPr>
        <w:rPr>
          <w:rFonts w:ascii="Arial" w:hAnsi="Arial" w:cs="Arial"/>
          <w:sz w:val="24"/>
          <w:szCs w:val="24"/>
        </w:rPr>
      </w:pPr>
      <w:r w:rsidRPr="00E966D4">
        <w:rPr>
          <w:rFonts w:ascii="Arial" w:hAnsi="Arial" w:cs="Arial"/>
          <w:sz w:val="24"/>
          <w:szCs w:val="24"/>
        </w:rPr>
        <w:t xml:space="preserve">Fisher, D. M., Pillemer, J., &amp; Amabile, T. M. (2021). Deepening our understanding of collaboration: Integrating psychological safety and team roles. </w:t>
      </w:r>
      <w:r w:rsidRPr="00E966D4">
        <w:rPr>
          <w:rFonts w:ascii="Arial" w:hAnsi="Arial" w:cs="Arial"/>
          <w:i/>
          <w:iCs/>
          <w:sz w:val="24"/>
          <w:szCs w:val="24"/>
        </w:rPr>
        <w:t>Academy of Management Review</w:t>
      </w:r>
      <w:r w:rsidRPr="00E966D4">
        <w:rPr>
          <w:rFonts w:ascii="Arial" w:hAnsi="Arial" w:cs="Arial"/>
          <w:sz w:val="24"/>
          <w:szCs w:val="24"/>
        </w:rPr>
        <w:t>, 46(2), 345-360.</w:t>
      </w:r>
    </w:p>
    <w:p w14:paraId="7C72809F" w14:textId="77777777" w:rsidR="00E966D4" w:rsidRPr="00E966D4" w:rsidRDefault="00E966D4" w:rsidP="00E966D4">
      <w:pPr>
        <w:numPr>
          <w:ilvl w:val="0"/>
          <w:numId w:val="3"/>
        </w:numPr>
        <w:rPr>
          <w:rFonts w:ascii="Arial" w:hAnsi="Arial" w:cs="Arial"/>
          <w:sz w:val="24"/>
          <w:szCs w:val="24"/>
        </w:rPr>
      </w:pPr>
      <w:r w:rsidRPr="00E966D4">
        <w:rPr>
          <w:rFonts w:ascii="Arial" w:hAnsi="Arial" w:cs="Arial"/>
          <w:sz w:val="24"/>
          <w:szCs w:val="24"/>
        </w:rPr>
        <w:t xml:space="preserve">Mumford, T. V., Van </w:t>
      </w:r>
      <w:proofErr w:type="spellStart"/>
      <w:r w:rsidRPr="00E966D4">
        <w:rPr>
          <w:rFonts w:ascii="Arial" w:hAnsi="Arial" w:cs="Arial"/>
          <w:sz w:val="24"/>
          <w:szCs w:val="24"/>
        </w:rPr>
        <w:t>Iddekinge</w:t>
      </w:r>
      <w:proofErr w:type="spellEnd"/>
      <w:r w:rsidRPr="00E966D4">
        <w:rPr>
          <w:rFonts w:ascii="Arial" w:hAnsi="Arial" w:cs="Arial"/>
          <w:sz w:val="24"/>
          <w:szCs w:val="24"/>
        </w:rPr>
        <w:t xml:space="preserve">, C. H., Morgeson, F. P., &amp; Campion, M. A. (2008). The team role test: Development and validation of a team role knowledge situational judgment test. </w:t>
      </w:r>
      <w:r w:rsidRPr="00E966D4">
        <w:rPr>
          <w:rFonts w:ascii="Arial" w:hAnsi="Arial" w:cs="Arial"/>
          <w:i/>
          <w:iCs/>
          <w:sz w:val="24"/>
          <w:szCs w:val="24"/>
        </w:rPr>
        <w:t>Journal of Applied Psychology</w:t>
      </w:r>
      <w:r w:rsidRPr="00E966D4">
        <w:rPr>
          <w:rFonts w:ascii="Arial" w:hAnsi="Arial" w:cs="Arial"/>
          <w:sz w:val="24"/>
          <w:szCs w:val="24"/>
        </w:rPr>
        <w:t>, 93(2), 250-267.</w:t>
      </w:r>
    </w:p>
    <w:p w14:paraId="4FBD4B6C" w14:textId="77777777" w:rsidR="00E966D4" w:rsidRPr="00E966D4" w:rsidRDefault="00E966D4" w:rsidP="00E966D4">
      <w:pPr>
        <w:numPr>
          <w:ilvl w:val="0"/>
          <w:numId w:val="3"/>
        </w:numPr>
        <w:rPr>
          <w:rFonts w:ascii="Arial" w:hAnsi="Arial" w:cs="Arial"/>
          <w:sz w:val="24"/>
          <w:szCs w:val="24"/>
        </w:rPr>
      </w:pPr>
      <w:r w:rsidRPr="00E966D4">
        <w:rPr>
          <w:rFonts w:ascii="Arial" w:hAnsi="Arial" w:cs="Arial"/>
          <w:sz w:val="24"/>
          <w:szCs w:val="24"/>
        </w:rPr>
        <w:t xml:space="preserve">Prichard, J. S., &amp; Stanton, N. A. (1999). Testing Belbin's team role theory of effective groups. </w:t>
      </w:r>
      <w:r w:rsidRPr="00E966D4">
        <w:rPr>
          <w:rFonts w:ascii="Arial" w:hAnsi="Arial" w:cs="Arial"/>
          <w:i/>
          <w:iCs/>
          <w:sz w:val="24"/>
          <w:szCs w:val="24"/>
        </w:rPr>
        <w:t>Journal of Management Development</w:t>
      </w:r>
      <w:r w:rsidRPr="00E966D4">
        <w:rPr>
          <w:rFonts w:ascii="Arial" w:hAnsi="Arial" w:cs="Arial"/>
          <w:sz w:val="24"/>
          <w:szCs w:val="24"/>
        </w:rPr>
        <w:t>, 18(8), 652-665.</w:t>
      </w:r>
    </w:p>
    <w:p w14:paraId="2C034B39" w14:textId="77777777" w:rsidR="00E966D4" w:rsidRPr="00E966D4" w:rsidRDefault="00E966D4" w:rsidP="00E966D4">
      <w:pPr>
        <w:numPr>
          <w:ilvl w:val="0"/>
          <w:numId w:val="3"/>
        </w:numPr>
        <w:rPr>
          <w:rFonts w:ascii="Arial" w:hAnsi="Arial" w:cs="Arial"/>
          <w:sz w:val="24"/>
          <w:szCs w:val="24"/>
        </w:rPr>
      </w:pPr>
      <w:r w:rsidRPr="00E966D4">
        <w:rPr>
          <w:rFonts w:ascii="Arial" w:hAnsi="Arial" w:cs="Arial"/>
          <w:sz w:val="24"/>
          <w:szCs w:val="24"/>
        </w:rPr>
        <w:t xml:space="preserve">Salas, E., Reyes, D. L., &amp; McDaniel, S. H. (2018). The science of teamwork: Progress, reflections, and the road ahead. </w:t>
      </w:r>
      <w:r w:rsidRPr="00E966D4">
        <w:rPr>
          <w:rFonts w:ascii="Arial" w:hAnsi="Arial" w:cs="Arial"/>
          <w:i/>
          <w:iCs/>
          <w:sz w:val="24"/>
          <w:szCs w:val="24"/>
        </w:rPr>
        <w:t>American Psychologist</w:t>
      </w:r>
      <w:r w:rsidRPr="00E966D4">
        <w:rPr>
          <w:rFonts w:ascii="Arial" w:hAnsi="Arial" w:cs="Arial"/>
          <w:sz w:val="24"/>
          <w:szCs w:val="24"/>
        </w:rPr>
        <w:t>, 73(4), 593-600.</w:t>
      </w:r>
    </w:p>
    <w:p w14:paraId="15698D25" w14:textId="77777777" w:rsidR="00E966D4" w:rsidRPr="00E966D4" w:rsidRDefault="00E966D4" w:rsidP="00E966D4">
      <w:pPr>
        <w:numPr>
          <w:ilvl w:val="0"/>
          <w:numId w:val="3"/>
        </w:numPr>
        <w:rPr>
          <w:rFonts w:ascii="Arial" w:hAnsi="Arial" w:cs="Arial"/>
          <w:sz w:val="24"/>
          <w:szCs w:val="24"/>
        </w:rPr>
      </w:pPr>
      <w:r w:rsidRPr="00E966D4">
        <w:rPr>
          <w:rFonts w:ascii="Arial" w:hAnsi="Arial" w:cs="Arial"/>
          <w:sz w:val="24"/>
          <w:szCs w:val="24"/>
        </w:rPr>
        <w:t xml:space="preserve">West, M. A. (2012). </w:t>
      </w:r>
      <w:r w:rsidRPr="00E966D4">
        <w:rPr>
          <w:rFonts w:ascii="Arial" w:hAnsi="Arial" w:cs="Arial"/>
          <w:i/>
          <w:iCs/>
          <w:sz w:val="24"/>
          <w:szCs w:val="24"/>
        </w:rPr>
        <w:t>Effective teamwork: Practical lessons from organizational research</w:t>
      </w:r>
      <w:r w:rsidRPr="00E966D4">
        <w:rPr>
          <w:rFonts w:ascii="Arial" w:hAnsi="Arial" w:cs="Arial"/>
          <w:sz w:val="24"/>
          <w:szCs w:val="24"/>
        </w:rPr>
        <w:t>. Wiley-Blackwell.</w:t>
      </w:r>
    </w:p>
    <w:p w14:paraId="0D588A34" w14:textId="77777777" w:rsidR="00E966D4" w:rsidRPr="00E966D4" w:rsidRDefault="00E966D4" w:rsidP="00E966D4">
      <w:pPr>
        <w:numPr>
          <w:ilvl w:val="0"/>
          <w:numId w:val="3"/>
        </w:numPr>
        <w:rPr>
          <w:rFonts w:ascii="Arial" w:hAnsi="Arial" w:cs="Arial"/>
          <w:sz w:val="24"/>
          <w:szCs w:val="24"/>
        </w:rPr>
      </w:pPr>
      <w:r w:rsidRPr="00E966D4">
        <w:rPr>
          <w:rFonts w:ascii="Arial" w:hAnsi="Arial" w:cs="Arial"/>
          <w:sz w:val="24"/>
          <w:szCs w:val="24"/>
        </w:rPr>
        <w:t xml:space="preserve">Wheelan, S. A. (2016). Group processes: A developmental perspective. </w:t>
      </w:r>
      <w:r w:rsidRPr="00E966D4">
        <w:rPr>
          <w:rFonts w:ascii="Arial" w:hAnsi="Arial" w:cs="Arial"/>
          <w:i/>
          <w:iCs/>
          <w:sz w:val="24"/>
          <w:szCs w:val="24"/>
        </w:rPr>
        <w:t>Pearson Education</w:t>
      </w:r>
      <w:r w:rsidRPr="00E966D4">
        <w:rPr>
          <w:rFonts w:ascii="Arial" w:hAnsi="Arial" w:cs="Arial"/>
          <w:sz w:val="24"/>
          <w:szCs w:val="24"/>
        </w:rPr>
        <w:t>.</w:t>
      </w:r>
    </w:p>
    <w:p w14:paraId="30200FBB" w14:textId="77777777" w:rsidR="00A818D8" w:rsidRPr="006A5FEC" w:rsidRDefault="00A818D8">
      <w:pPr>
        <w:rPr>
          <w:rFonts w:ascii="Arial" w:hAnsi="Arial" w:cs="Arial"/>
          <w:sz w:val="24"/>
          <w:szCs w:val="24"/>
        </w:rPr>
      </w:pPr>
    </w:p>
    <w:sectPr w:rsidR="00A818D8" w:rsidRPr="006A5F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96823"/>
    <w:multiLevelType w:val="multilevel"/>
    <w:tmpl w:val="9A485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911486"/>
    <w:multiLevelType w:val="multilevel"/>
    <w:tmpl w:val="2A985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3F1ADA"/>
    <w:multiLevelType w:val="multilevel"/>
    <w:tmpl w:val="967CA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031197">
    <w:abstractNumId w:val="1"/>
  </w:num>
  <w:num w:numId="2" w16cid:durableId="1923680787">
    <w:abstractNumId w:val="0"/>
  </w:num>
  <w:num w:numId="3" w16cid:durableId="14843532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FEC"/>
    <w:rsid w:val="00121CFD"/>
    <w:rsid w:val="00243966"/>
    <w:rsid w:val="0040295E"/>
    <w:rsid w:val="005E46CD"/>
    <w:rsid w:val="00675365"/>
    <w:rsid w:val="006A5FEC"/>
    <w:rsid w:val="009D1053"/>
    <w:rsid w:val="009D5885"/>
    <w:rsid w:val="00A763D3"/>
    <w:rsid w:val="00A818D8"/>
    <w:rsid w:val="00BD6990"/>
    <w:rsid w:val="00CC58F3"/>
    <w:rsid w:val="00D356B3"/>
    <w:rsid w:val="00D87410"/>
    <w:rsid w:val="00E966D4"/>
    <w:rsid w:val="00EB3D3E"/>
    <w:rsid w:val="00EF47EC"/>
    <w:rsid w:val="00FD7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84924"/>
  <w15:chartTrackingRefBased/>
  <w15:docId w15:val="{4206BCE5-92BE-441F-89E3-4776271EB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5F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5F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5F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5F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5F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5F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5F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5F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5F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5F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5F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5F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5F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5F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5F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5F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5F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5FEC"/>
    <w:rPr>
      <w:rFonts w:eastAsiaTheme="majorEastAsia" w:cstheme="majorBidi"/>
      <w:color w:val="272727" w:themeColor="text1" w:themeTint="D8"/>
    </w:rPr>
  </w:style>
  <w:style w:type="paragraph" w:styleId="Title">
    <w:name w:val="Title"/>
    <w:basedOn w:val="Normal"/>
    <w:next w:val="Normal"/>
    <w:link w:val="TitleChar"/>
    <w:uiPriority w:val="10"/>
    <w:qFormat/>
    <w:rsid w:val="006A5F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5F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5F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5F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5FEC"/>
    <w:pPr>
      <w:spacing w:before="160"/>
      <w:jc w:val="center"/>
    </w:pPr>
    <w:rPr>
      <w:i/>
      <w:iCs/>
      <w:color w:val="404040" w:themeColor="text1" w:themeTint="BF"/>
    </w:rPr>
  </w:style>
  <w:style w:type="character" w:customStyle="1" w:styleId="QuoteChar">
    <w:name w:val="Quote Char"/>
    <w:basedOn w:val="DefaultParagraphFont"/>
    <w:link w:val="Quote"/>
    <w:uiPriority w:val="29"/>
    <w:rsid w:val="006A5FEC"/>
    <w:rPr>
      <w:i/>
      <w:iCs/>
      <w:color w:val="404040" w:themeColor="text1" w:themeTint="BF"/>
    </w:rPr>
  </w:style>
  <w:style w:type="paragraph" w:styleId="ListParagraph">
    <w:name w:val="List Paragraph"/>
    <w:basedOn w:val="Normal"/>
    <w:uiPriority w:val="34"/>
    <w:qFormat/>
    <w:rsid w:val="006A5FEC"/>
    <w:pPr>
      <w:ind w:left="720"/>
      <w:contextualSpacing/>
    </w:pPr>
  </w:style>
  <w:style w:type="character" w:styleId="IntenseEmphasis">
    <w:name w:val="Intense Emphasis"/>
    <w:basedOn w:val="DefaultParagraphFont"/>
    <w:uiPriority w:val="21"/>
    <w:qFormat/>
    <w:rsid w:val="006A5FEC"/>
    <w:rPr>
      <w:i/>
      <w:iCs/>
      <w:color w:val="0F4761" w:themeColor="accent1" w:themeShade="BF"/>
    </w:rPr>
  </w:style>
  <w:style w:type="paragraph" w:styleId="IntenseQuote">
    <w:name w:val="Intense Quote"/>
    <w:basedOn w:val="Normal"/>
    <w:next w:val="Normal"/>
    <w:link w:val="IntenseQuoteChar"/>
    <w:uiPriority w:val="30"/>
    <w:qFormat/>
    <w:rsid w:val="006A5F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5FEC"/>
    <w:rPr>
      <w:i/>
      <w:iCs/>
      <w:color w:val="0F4761" w:themeColor="accent1" w:themeShade="BF"/>
    </w:rPr>
  </w:style>
  <w:style w:type="character" w:styleId="IntenseReference">
    <w:name w:val="Intense Reference"/>
    <w:basedOn w:val="DefaultParagraphFont"/>
    <w:uiPriority w:val="32"/>
    <w:qFormat/>
    <w:rsid w:val="006A5FE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460388">
      <w:bodyDiv w:val="1"/>
      <w:marLeft w:val="0"/>
      <w:marRight w:val="0"/>
      <w:marTop w:val="0"/>
      <w:marBottom w:val="0"/>
      <w:divBdr>
        <w:top w:val="none" w:sz="0" w:space="0" w:color="auto"/>
        <w:left w:val="none" w:sz="0" w:space="0" w:color="auto"/>
        <w:bottom w:val="none" w:sz="0" w:space="0" w:color="auto"/>
        <w:right w:val="none" w:sz="0" w:space="0" w:color="auto"/>
      </w:divBdr>
    </w:div>
    <w:div w:id="376049599">
      <w:bodyDiv w:val="1"/>
      <w:marLeft w:val="0"/>
      <w:marRight w:val="0"/>
      <w:marTop w:val="0"/>
      <w:marBottom w:val="0"/>
      <w:divBdr>
        <w:top w:val="none" w:sz="0" w:space="0" w:color="auto"/>
        <w:left w:val="none" w:sz="0" w:space="0" w:color="auto"/>
        <w:bottom w:val="none" w:sz="0" w:space="0" w:color="auto"/>
        <w:right w:val="none" w:sz="0" w:space="0" w:color="auto"/>
      </w:divBdr>
      <w:divsChild>
        <w:div w:id="18937292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6697794">
      <w:bodyDiv w:val="1"/>
      <w:marLeft w:val="0"/>
      <w:marRight w:val="0"/>
      <w:marTop w:val="0"/>
      <w:marBottom w:val="0"/>
      <w:divBdr>
        <w:top w:val="none" w:sz="0" w:space="0" w:color="auto"/>
        <w:left w:val="none" w:sz="0" w:space="0" w:color="auto"/>
        <w:bottom w:val="none" w:sz="0" w:space="0" w:color="auto"/>
        <w:right w:val="none" w:sz="0" w:space="0" w:color="auto"/>
      </w:divBdr>
      <w:divsChild>
        <w:div w:id="14940297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6049074">
      <w:bodyDiv w:val="1"/>
      <w:marLeft w:val="0"/>
      <w:marRight w:val="0"/>
      <w:marTop w:val="0"/>
      <w:marBottom w:val="0"/>
      <w:divBdr>
        <w:top w:val="none" w:sz="0" w:space="0" w:color="auto"/>
        <w:left w:val="none" w:sz="0" w:space="0" w:color="auto"/>
        <w:bottom w:val="none" w:sz="0" w:space="0" w:color="auto"/>
        <w:right w:val="none" w:sz="0" w:space="0" w:color="auto"/>
      </w:divBdr>
    </w:div>
    <w:div w:id="1125350965">
      <w:bodyDiv w:val="1"/>
      <w:marLeft w:val="0"/>
      <w:marRight w:val="0"/>
      <w:marTop w:val="0"/>
      <w:marBottom w:val="0"/>
      <w:divBdr>
        <w:top w:val="none" w:sz="0" w:space="0" w:color="auto"/>
        <w:left w:val="none" w:sz="0" w:space="0" w:color="auto"/>
        <w:bottom w:val="none" w:sz="0" w:space="0" w:color="auto"/>
        <w:right w:val="none" w:sz="0" w:space="0" w:color="auto"/>
      </w:divBdr>
      <w:divsChild>
        <w:div w:id="9166670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0585955">
      <w:bodyDiv w:val="1"/>
      <w:marLeft w:val="0"/>
      <w:marRight w:val="0"/>
      <w:marTop w:val="0"/>
      <w:marBottom w:val="0"/>
      <w:divBdr>
        <w:top w:val="none" w:sz="0" w:space="0" w:color="auto"/>
        <w:left w:val="none" w:sz="0" w:space="0" w:color="auto"/>
        <w:bottom w:val="none" w:sz="0" w:space="0" w:color="auto"/>
        <w:right w:val="none" w:sz="0" w:space="0" w:color="auto"/>
      </w:divBdr>
    </w:div>
    <w:div w:id="1641110344">
      <w:bodyDiv w:val="1"/>
      <w:marLeft w:val="0"/>
      <w:marRight w:val="0"/>
      <w:marTop w:val="0"/>
      <w:marBottom w:val="0"/>
      <w:divBdr>
        <w:top w:val="none" w:sz="0" w:space="0" w:color="auto"/>
        <w:left w:val="none" w:sz="0" w:space="0" w:color="auto"/>
        <w:bottom w:val="none" w:sz="0" w:space="0" w:color="auto"/>
        <w:right w:val="none" w:sz="0" w:space="0" w:color="auto"/>
      </w:divBdr>
    </w:div>
    <w:div w:id="1796945957">
      <w:bodyDiv w:val="1"/>
      <w:marLeft w:val="0"/>
      <w:marRight w:val="0"/>
      <w:marTop w:val="0"/>
      <w:marBottom w:val="0"/>
      <w:divBdr>
        <w:top w:val="none" w:sz="0" w:space="0" w:color="auto"/>
        <w:left w:val="none" w:sz="0" w:space="0" w:color="auto"/>
        <w:bottom w:val="none" w:sz="0" w:space="0" w:color="auto"/>
        <w:right w:val="none" w:sz="0" w:space="0" w:color="auto"/>
      </w:divBdr>
      <w:divsChild>
        <w:div w:id="2273092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1863423">
      <w:bodyDiv w:val="1"/>
      <w:marLeft w:val="0"/>
      <w:marRight w:val="0"/>
      <w:marTop w:val="0"/>
      <w:marBottom w:val="0"/>
      <w:divBdr>
        <w:top w:val="none" w:sz="0" w:space="0" w:color="auto"/>
        <w:left w:val="none" w:sz="0" w:space="0" w:color="auto"/>
        <w:bottom w:val="none" w:sz="0" w:space="0" w:color="auto"/>
        <w:right w:val="none" w:sz="0" w:space="0" w:color="auto"/>
      </w:divBdr>
      <w:divsChild>
        <w:div w:id="1535070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9863568">
      <w:bodyDiv w:val="1"/>
      <w:marLeft w:val="0"/>
      <w:marRight w:val="0"/>
      <w:marTop w:val="0"/>
      <w:marBottom w:val="0"/>
      <w:divBdr>
        <w:top w:val="none" w:sz="0" w:space="0" w:color="auto"/>
        <w:left w:val="none" w:sz="0" w:space="0" w:color="auto"/>
        <w:bottom w:val="none" w:sz="0" w:space="0" w:color="auto"/>
        <w:right w:val="none" w:sz="0" w:space="0" w:color="auto"/>
      </w:divBdr>
      <w:divsChild>
        <w:div w:id="1569922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6734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863</Words>
  <Characters>4923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Ionela-Catalina Simion (2227035)</dc:creator>
  <cp:keywords/>
  <dc:description/>
  <cp:lastModifiedBy>Ionela-Catalina Simion (2227035)</cp:lastModifiedBy>
  <cp:revision>4</cp:revision>
  <dcterms:created xsi:type="dcterms:W3CDTF">2025-03-19T20:08:00Z</dcterms:created>
  <dcterms:modified xsi:type="dcterms:W3CDTF">2025-03-19T20:09:00Z</dcterms:modified>
</cp:coreProperties>
</file>