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1BF1" w:rsidRDefault="009C1BF1" w:rsidP="009C1BF1">
      <w:pPr>
        <w:spacing w:line="360" w:lineRule="auto"/>
        <w:jc w:val="center"/>
        <w:rPr>
          <w:rFonts w:ascii="Times New Roman" w:hAnsi="Times New Roman" w:cs="Times New Roman"/>
          <w:sz w:val="24"/>
          <w:szCs w:val="24"/>
          <w:u w:val="single"/>
        </w:rPr>
      </w:pPr>
      <w:r w:rsidRPr="009C1BF1">
        <w:rPr>
          <w:rFonts w:ascii="Times New Roman" w:hAnsi="Times New Roman" w:cs="Times New Roman"/>
          <w:sz w:val="24"/>
          <w:szCs w:val="24"/>
          <w:u w:val="single"/>
        </w:rPr>
        <w:t>The Philosophy of miracles</w:t>
      </w:r>
    </w:p>
    <w:p w:rsidR="009C1BF1" w:rsidRPr="009C1BF1" w:rsidRDefault="009C1BF1" w:rsidP="009C1BF1">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Are miracles logically possible?</w:t>
      </w:r>
    </w:p>
    <w:p w:rsidR="009C1BF1" w:rsidRPr="009C1BF1" w:rsidRDefault="009C1BF1" w:rsidP="009C1BF1">
      <w:pPr>
        <w:spacing w:line="360" w:lineRule="auto"/>
        <w:jc w:val="both"/>
        <w:rPr>
          <w:rFonts w:ascii="Times New Roman" w:hAnsi="Times New Roman" w:cs="Times New Roman"/>
          <w:sz w:val="24"/>
          <w:szCs w:val="24"/>
        </w:rPr>
      </w:pPr>
      <w:bookmarkStart w:id="0" w:name="_Hlk513652960"/>
      <w:r w:rsidRPr="009C1BF1">
        <w:rPr>
          <w:rFonts w:ascii="Times New Roman" w:hAnsi="Times New Roman" w:cs="Times New Roman"/>
          <w:sz w:val="24"/>
          <w:szCs w:val="24"/>
        </w:rPr>
        <w:t>Throughout th</w:t>
      </w:r>
      <w:bookmarkStart w:id="1" w:name="_GoBack"/>
      <w:bookmarkEnd w:id="1"/>
      <w:r w:rsidRPr="009C1BF1">
        <w:rPr>
          <w:rFonts w:ascii="Times New Roman" w:hAnsi="Times New Roman" w:cs="Times New Roman"/>
          <w:sz w:val="24"/>
          <w:szCs w:val="24"/>
        </w:rPr>
        <w:t xml:space="preserve">e history of philosophy of religion, miracles are often used as an integral argument to prove God’s existence. In this essay I hope to arrive at a firmer understanding of whether it is possible to believe in miracles from a Christian perspective.  I shall discuss and develop insight about the philosophy of miracles from different philosophical perspectives with specific focus on the work of David Hume, Richard Swinburne and John Locke. Subsequently, by doing this, I hope to come to a firmer understanding of whether miracles are possible in the grand scheme of things because they are considered a violation of the laws of nature. As a result, for this reason alone the concept of miracles, even to some Christians, is considered problematic because the idea of a god who has been seemingly consistent regarding the laws of nature in our time would have in the past suspended those laws in acts of miracles. For instance, the miracles following the life of Moses would be a perfect illustration of this. Also, to many in western cultures the idea that believers would hold to the possibility of the miraculous has been worthy of nothing short of mockery, even some of the most professing Christians have begun to distance themselves from the possibility that miracles have ever happened in the past or that they have happened today. However, I hope that by discussing the ideas of philosophers who criticise miracles and those who believe in miracles I will gain a balanced insight into whether they are justifiably possible, despite violating the laws of nature and the objection they face. Therefore, overall the central themes I aim to answer are whether miracles happen or whether a person is essentially justified in believing that a miracle happened. </w:t>
      </w:r>
    </w:p>
    <w:bookmarkEnd w:id="0"/>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As previously mentioned, religious experiences in the act of a miracle are often used as a pivotal argument to prove God’s existence. Therefore, they have played an integral role throughout the formation of religious philosophical history. Miracles are common discussion amongst all religious fields despite the theological debate of whether they are supposed to make you believe or whether you are supposed to believe without them.  Let me begin by defining to some extent what a miracle means. It should be highlighted that the word ‘miracle’ has a highly complex definition as it has a multitude of interpretations. For some, a miracle is generally defined as a religious experience, which is an extraordinary event beyond the normal world of sense experience that in some way shows the existence of a God or a spiritual reality. </w:t>
      </w:r>
      <w:r w:rsidRPr="009C1BF1">
        <w:rPr>
          <w:rStyle w:val="FootnoteReference"/>
          <w:rFonts w:ascii="Times New Roman" w:hAnsi="Times New Roman" w:cs="Times New Roman"/>
          <w:sz w:val="24"/>
          <w:szCs w:val="24"/>
        </w:rPr>
        <w:lastRenderedPageBreak/>
        <w:footnoteReference w:id="1"/>
      </w:r>
      <w:r w:rsidRPr="009C1BF1">
        <w:rPr>
          <w:rFonts w:ascii="Times New Roman" w:hAnsi="Times New Roman" w:cs="Times New Roman"/>
          <w:sz w:val="24"/>
          <w:szCs w:val="24"/>
        </w:rPr>
        <w:t xml:space="preserve">  Thus, a miracle is commonly defined as an event that nature could not produce on its own.  The term “extraordinary event” is very subjective as it based on one’s own personal understanding of what is an ordinary everyday event. As a result, one of the major disputes that arrives from the genuineness of miracles existing is that they are abnormal and out of the ordinary experiences that cannot technically be checked by our five senses, making it a non-empirical happening.</w:t>
      </w:r>
      <w:r w:rsidR="005B52BA">
        <w:rPr>
          <w:rFonts w:ascii="Times New Roman" w:hAnsi="Times New Roman" w:cs="Times New Roman"/>
          <w:sz w:val="24"/>
          <w:szCs w:val="24"/>
        </w:rPr>
        <w:t xml:space="preserve"> </w:t>
      </w:r>
      <w:r w:rsidR="005B52BA">
        <w:rPr>
          <w:rStyle w:val="FootnoteReference"/>
          <w:rFonts w:ascii="Times New Roman" w:hAnsi="Times New Roman" w:cs="Times New Roman"/>
          <w:sz w:val="24"/>
          <w:szCs w:val="24"/>
        </w:rPr>
        <w:footnoteReference w:id="2"/>
      </w:r>
      <w:r w:rsidR="005B52BA">
        <w:rPr>
          <w:rFonts w:ascii="Times New Roman" w:hAnsi="Times New Roman" w:cs="Times New Roman"/>
          <w:sz w:val="24"/>
          <w:szCs w:val="24"/>
        </w:rPr>
        <w:t xml:space="preserve"> </w:t>
      </w:r>
      <w:r w:rsidRPr="009C1BF1">
        <w:rPr>
          <w:rFonts w:ascii="Times New Roman" w:hAnsi="Times New Roman" w:cs="Times New Roman"/>
          <w:sz w:val="24"/>
          <w:szCs w:val="24"/>
        </w:rPr>
        <w:t xml:space="preserve">However, there is some variety of opinion when defining the term “Miracle” among believers. Whereby, St Thomas Aquinas claimed that to be a miracle </w:t>
      </w:r>
      <w:r w:rsidR="00964FD6">
        <w:rPr>
          <w:rFonts w:ascii="Times New Roman" w:hAnsi="Times New Roman" w:cs="Times New Roman"/>
          <w:sz w:val="24"/>
          <w:szCs w:val="24"/>
        </w:rPr>
        <w:t>“</w:t>
      </w:r>
      <w:r w:rsidRPr="009C1BF1">
        <w:rPr>
          <w:rFonts w:ascii="Times New Roman" w:hAnsi="Times New Roman" w:cs="Times New Roman"/>
          <w:sz w:val="24"/>
          <w:szCs w:val="24"/>
        </w:rPr>
        <w:t>an event had to be beyond the natural power of any created thing to produce, and because god alone was uncreated he could alone work miracles</w:t>
      </w:r>
      <w:r w:rsidR="00964FD6">
        <w:rPr>
          <w:rFonts w:ascii="Times New Roman" w:hAnsi="Times New Roman" w:cs="Times New Roman"/>
          <w:sz w:val="24"/>
          <w:szCs w:val="24"/>
        </w:rPr>
        <w:t>.”</w:t>
      </w:r>
      <w:r w:rsidRPr="009C1BF1">
        <w:rPr>
          <w:rStyle w:val="FootnoteReference"/>
          <w:rFonts w:ascii="Times New Roman" w:hAnsi="Times New Roman" w:cs="Times New Roman"/>
          <w:sz w:val="24"/>
          <w:szCs w:val="24"/>
        </w:rPr>
        <w:footnoteReference w:id="3"/>
      </w:r>
      <w:r w:rsidRPr="009C1BF1">
        <w:rPr>
          <w:rFonts w:ascii="Times New Roman" w:hAnsi="Times New Roman" w:cs="Times New Roman"/>
          <w:sz w:val="24"/>
          <w:szCs w:val="24"/>
        </w:rPr>
        <w:t xml:space="preserve">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On the other hand, some people refer to miracles as a natural event which occurs in perfect accordance with natural laws but represents a supernatural experience. </w:t>
      </w:r>
      <w:r w:rsidRPr="009C1BF1">
        <w:rPr>
          <w:rStyle w:val="FootnoteReference"/>
          <w:rFonts w:ascii="Times New Roman" w:hAnsi="Times New Roman" w:cs="Times New Roman"/>
          <w:sz w:val="24"/>
          <w:szCs w:val="24"/>
        </w:rPr>
        <w:footnoteReference w:id="4"/>
      </w:r>
      <w:r w:rsidRPr="009C1BF1">
        <w:rPr>
          <w:rFonts w:ascii="Times New Roman" w:hAnsi="Times New Roman" w:cs="Times New Roman"/>
          <w:sz w:val="24"/>
          <w:szCs w:val="24"/>
        </w:rPr>
        <w:t xml:space="preserve"> These are extraordinary coincidences.  R.F Holland provides a perfect illustration of a coincidence which would be a candidate for being a miracle. Whereby, </w:t>
      </w:r>
    </w:p>
    <w:p w:rsidR="009C1BF1" w:rsidRPr="009C1BF1" w:rsidRDefault="009C1BF1" w:rsidP="009C1BF1">
      <w:pPr>
        <w:spacing w:line="360" w:lineRule="auto"/>
        <w:ind w:left="720"/>
        <w:jc w:val="both"/>
        <w:rPr>
          <w:rFonts w:ascii="Times New Roman" w:hAnsi="Times New Roman" w:cs="Times New Roman"/>
          <w:sz w:val="24"/>
          <w:szCs w:val="24"/>
          <w:shd w:val="clear" w:color="auto" w:fill="FFFFFF"/>
        </w:rPr>
      </w:pPr>
      <w:r w:rsidRPr="009C1BF1">
        <w:rPr>
          <w:rFonts w:ascii="Times New Roman" w:hAnsi="Times New Roman" w:cs="Times New Roman"/>
          <w:sz w:val="24"/>
          <w:szCs w:val="24"/>
        </w:rPr>
        <w:t xml:space="preserve">…a child riding his toy motor car strays on an unguarded railway crossing near and is evidently stuck. </w:t>
      </w:r>
      <w:r w:rsidRPr="009C1BF1">
        <w:rPr>
          <w:rFonts w:ascii="Times New Roman" w:hAnsi="Times New Roman" w:cs="Times New Roman"/>
          <w:sz w:val="24"/>
          <w:szCs w:val="24"/>
          <w:shd w:val="clear" w:color="auto" w:fill="FFFFFF"/>
        </w:rPr>
        <w:t xml:space="preserve"> A train is coming, but the driver fails to see the child. However just in the nick of time the driver faints, his hand is taken off the lever and the brake </w:t>
      </w:r>
      <w:proofErr w:type="gramStart"/>
      <w:r w:rsidRPr="009C1BF1">
        <w:rPr>
          <w:rFonts w:ascii="Times New Roman" w:hAnsi="Times New Roman" w:cs="Times New Roman"/>
          <w:sz w:val="24"/>
          <w:szCs w:val="24"/>
          <w:shd w:val="clear" w:color="auto" w:fill="FFFFFF"/>
        </w:rPr>
        <w:t>is</w:t>
      </w:r>
      <w:proofErr w:type="gramEnd"/>
      <w:r w:rsidRPr="009C1BF1">
        <w:rPr>
          <w:rFonts w:ascii="Times New Roman" w:hAnsi="Times New Roman" w:cs="Times New Roman"/>
          <w:sz w:val="24"/>
          <w:szCs w:val="24"/>
          <w:shd w:val="clear" w:color="auto" w:fill="FFFFFF"/>
        </w:rPr>
        <w:t xml:space="preserve"> automatically activated. The train then stops in front of the child. There is no violation of nature, however for a religious person this may have religious significance and be thought of as a miracle. </w:t>
      </w:r>
      <w:r w:rsidRPr="009C1BF1">
        <w:rPr>
          <w:rStyle w:val="FootnoteReference"/>
          <w:rFonts w:ascii="Times New Roman" w:hAnsi="Times New Roman" w:cs="Times New Roman"/>
          <w:sz w:val="24"/>
          <w:szCs w:val="24"/>
        </w:rPr>
        <w:footnoteReference w:id="5"/>
      </w:r>
      <w:r w:rsidRPr="009C1BF1">
        <w:rPr>
          <w:rFonts w:ascii="Times New Roman" w:hAnsi="Times New Roman" w:cs="Times New Roman"/>
          <w:sz w:val="24"/>
          <w:szCs w:val="24"/>
          <w:shd w:val="clear" w:color="auto" w:fill="FFFFFF"/>
        </w:rPr>
        <w:t xml:space="preserve">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shd w:val="clear" w:color="auto" w:fill="FFFFFF"/>
        </w:rPr>
        <w:t xml:space="preserve">Also, according to Holland we are inclined to refer to such an extraordinary event as a miracle even though the event is a coincidence and not a violation of the laws of nature. </w:t>
      </w:r>
      <w:r w:rsidRPr="009C1BF1">
        <w:rPr>
          <w:rFonts w:ascii="Times New Roman" w:hAnsi="Times New Roman" w:cs="Times New Roman"/>
          <w:sz w:val="24"/>
          <w:szCs w:val="24"/>
        </w:rPr>
        <w:t xml:space="preserve">Therefore, an argument from miracles essentially has two steps, whereby one first argues that some religiously significant event violates a law of nature and then argues that its cause is a supernatural agent. </w:t>
      </w:r>
      <w:r w:rsidRPr="009C1BF1">
        <w:rPr>
          <w:rStyle w:val="FootnoteReference"/>
          <w:rFonts w:ascii="Times New Roman" w:hAnsi="Times New Roman" w:cs="Times New Roman"/>
          <w:sz w:val="24"/>
          <w:szCs w:val="24"/>
        </w:rPr>
        <w:footnoteReference w:id="6"/>
      </w:r>
      <w:r w:rsidRPr="009C1BF1">
        <w:rPr>
          <w:rFonts w:ascii="Times New Roman" w:hAnsi="Times New Roman" w:cs="Times New Roman"/>
          <w:sz w:val="24"/>
          <w:szCs w:val="24"/>
        </w:rPr>
        <w:t xml:space="preserve">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Another essential point, that Pope Benedict xiv (1675-1758) proposed was that the point of miracles is to confirm someone’s faith or demonstrate one’s sanctity. </w:t>
      </w:r>
      <w:r w:rsidRPr="009C1BF1">
        <w:rPr>
          <w:rStyle w:val="FootnoteReference"/>
          <w:rFonts w:ascii="Times New Roman" w:hAnsi="Times New Roman" w:cs="Times New Roman"/>
          <w:sz w:val="24"/>
          <w:szCs w:val="24"/>
        </w:rPr>
        <w:footnoteReference w:id="7"/>
      </w:r>
      <w:r w:rsidRPr="009C1BF1">
        <w:rPr>
          <w:rFonts w:ascii="Times New Roman" w:hAnsi="Times New Roman" w:cs="Times New Roman"/>
          <w:sz w:val="24"/>
          <w:szCs w:val="24"/>
        </w:rPr>
        <w:t xml:space="preserve"> More broadly miraculous events essentially “contribute significantly towards a holy divine purpose for the </w:t>
      </w:r>
      <w:r w:rsidRPr="009C1BF1">
        <w:rPr>
          <w:rFonts w:ascii="Times New Roman" w:hAnsi="Times New Roman" w:cs="Times New Roman"/>
          <w:sz w:val="24"/>
          <w:szCs w:val="24"/>
        </w:rPr>
        <w:lastRenderedPageBreak/>
        <w:t xml:space="preserve">world” by bringing about good. </w:t>
      </w:r>
      <w:r w:rsidRPr="009C1BF1">
        <w:rPr>
          <w:rStyle w:val="FootnoteReference"/>
          <w:rFonts w:ascii="Times New Roman" w:hAnsi="Times New Roman" w:cs="Times New Roman"/>
          <w:sz w:val="24"/>
          <w:szCs w:val="24"/>
        </w:rPr>
        <w:footnoteReference w:id="8"/>
      </w:r>
      <w:r w:rsidRPr="009C1BF1">
        <w:rPr>
          <w:rFonts w:ascii="Times New Roman" w:hAnsi="Times New Roman" w:cs="Times New Roman"/>
          <w:sz w:val="24"/>
          <w:szCs w:val="24"/>
        </w:rPr>
        <w:t xml:space="preserve"> Also, miraculous events are always the account of events taken place by those of religious belief and are said to have been the purpose of a god. As a result, miracles are to be expected if there is a god, for God wishes to encourage, though not compel, pursuit of the good, just like a parent who will instruct and encourage a child who is lead astray. God similarly has motive and reason to bring about a sudden recovery of the sick, for suffering is something that God has reason to remove, and quickly. </w:t>
      </w:r>
      <w:r w:rsidRPr="009C1BF1">
        <w:rPr>
          <w:rStyle w:val="FootnoteReference"/>
          <w:rFonts w:ascii="Times New Roman" w:hAnsi="Times New Roman" w:cs="Times New Roman"/>
          <w:sz w:val="24"/>
          <w:szCs w:val="24"/>
        </w:rPr>
        <w:footnoteReference w:id="9"/>
      </w:r>
      <w:r w:rsidRPr="009C1BF1">
        <w:rPr>
          <w:rFonts w:ascii="Times New Roman" w:hAnsi="Times New Roman" w:cs="Times New Roman"/>
          <w:sz w:val="24"/>
          <w:szCs w:val="24"/>
        </w:rPr>
        <w:t xml:space="preserve"> While I believe it to be the case that miracles contribute to the belief in a god as they essentially demonstrate God’s existence, another important perspective on miracles is that of John Locke. John Locke’s definition of a miracle appears in </w:t>
      </w:r>
      <w:r w:rsidRPr="009C1BF1">
        <w:rPr>
          <w:rFonts w:ascii="Times New Roman" w:hAnsi="Times New Roman" w:cs="Times New Roman"/>
          <w:i/>
          <w:sz w:val="24"/>
          <w:szCs w:val="24"/>
        </w:rPr>
        <w:t>A Discourse of Miracles</w:t>
      </w:r>
      <w:r w:rsidRPr="009C1BF1">
        <w:rPr>
          <w:rFonts w:ascii="Times New Roman" w:hAnsi="Times New Roman" w:cs="Times New Roman"/>
          <w:sz w:val="24"/>
          <w:szCs w:val="24"/>
        </w:rPr>
        <w:t xml:space="preserve"> and he introduces what may be described as a relatively subjectivist conception of the miraculous. </w:t>
      </w:r>
      <w:r w:rsidRPr="009C1BF1">
        <w:rPr>
          <w:rStyle w:val="FootnoteReference"/>
          <w:rFonts w:ascii="Times New Roman" w:hAnsi="Times New Roman" w:cs="Times New Roman"/>
          <w:sz w:val="24"/>
          <w:szCs w:val="24"/>
        </w:rPr>
        <w:footnoteReference w:id="10"/>
      </w:r>
      <w:r w:rsidRPr="009C1BF1">
        <w:rPr>
          <w:rFonts w:ascii="Times New Roman" w:hAnsi="Times New Roman" w:cs="Times New Roman"/>
          <w:sz w:val="24"/>
          <w:szCs w:val="24"/>
        </w:rPr>
        <w:t xml:space="preserve"> He says, “</w:t>
      </w:r>
    </w:p>
    <w:p w:rsidR="009C1BF1" w:rsidRPr="009C1BF1" w:rsidRDefault="009C1BF1" w:rsidP="009C1BF1">
      <w:pPr>
        <w:spacing w:line="360" w:lineRule="auto"/>
        <w:ind w:left="720"/>
        <w:jc w:val="both"/>
        <w:rPr>
          <w:rFonts w:ascii="Times New Roman" w:hAnsi="Times New Roman" w:cs="Times New Roman"/>
          <w:sz w:val="24"/>
          <w:szCs w:val="24"/>
        </w:rPr>
      </w:pPr>
      <w:r w:rsidRPr="009C1BF1">
        <w:rPr>
          <w:rFonts w:ascii="Times New Roman" w:hAnsi="Times New Roman" w:cs="Times New Roman"/>
          <w:sz w:val="24"/>
          <w:szCs w:val="24"/>
        </w:rPr>
        <w:t xml:space="preserve">…a miracle then I take to be a sensible operation, which being above the comprehension of the spectator, and in his opinion contrary to the established course of nature, is taken by him to be divine. </w:t>
      </w:r>
      <w:r w:rsidRPr="009C1BF1">
        <w:rPr>
          <w:rStyle w:val="FootnoteReference"/>
          <w:rFonts w:ascii="Times New Roman" w:hAnsi="Times New Roman" w:cs="Times New Roman"/>
          <w:sz w:val="24"/>
          <w:szCs w:val="24"/>
        </w:rPr>
        <w:footnoteReference w:id="11"/>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Therefore,</w:t>
      </w:r>
      <w:r w:rsidRPr="009C1BF1">
        <w:rPr>
          <w:rFonts w:ascii="Times New Roman" w:hAnsi="Times New Roman" w:cs="Times New Roman"/>
          <w:sz w:val="24"/>
          <w:szCs w:val="24"/>
        </w:rPr>
        <w:t xml:space="preserve"> he is basically saying that even though an event may meet the miraculous expectations for one person it might fail to do so for another, making it rather a matter of opinion than evidential.  This conception is subjectivist, relative to other philosophical stances. “It holds that if a miraculous event were to consist in someone’s thinking that the established course of nature has been exceeded, and so attributing the miraculous event to God’s action rather than in the events going beyond nature’s normal course.</w:t>
      </w:r>
      <w:r>
        <w:rPr>
          <w:rFonts w:ascii="Times New Roman" w:hAnsi="Times New Roman" w:cs="Times New Roman"/>
          <w:sz w:val="24"/>
          <w:szCs w:val="24"/>
        </w:rPr>
        <w:t xml:space="preserve"> </w:t>
      </w:r>
      <w:r w:rsidRPr="009C1BF1">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To </w:t>
      </w:r>
      <w:r w:rsidRPr="009C1BF1">
        <w:rPr>
          <w:rFonts w:ascii="Times New Roman" w:hAnsi="Times New Roman" w:cs="Times New Roman"/>
          <w:sz w:val="24"/>
          <w:szCs w:val="24"/>
        </w:rPr>
        <w:t xml:space="preserve">elaborate, with an example from experience, I can remember attending an introduction to Christianity course at a youth group in a church, and in one of the sessions the leader asked us young sceptical seekers whether we had ever experienced anything that could be considered miraculous. All these young people started sharing these incredible miraculous stories that apparently had God’s fingerprints all over them. However, there was much debate amongst the group about whether such events could be considered miraculous, but it made me acknowledge that defining an event as a miracle is really in the eye of the beholder. People may convince themselves that they are the only ones who have ‘miraculous’ experiences like that, and so bury them away because people will not believe them.  I believe that if you ask that question enough you will </w:t>
      </w:r>
      <w:r w:rsidRPr="009C1BF1">
        <w:rPr>
          <w:rFonts w:ascii="Times New Roman" w:hAnsi="Times New Roman" w:cs="Times New Roman"/>
          <w:sz w:val="24"/>
          <w:szCs w:val="24"/>
        </w:rPr>
        <w:lastRenderedPageBreak/>
        <w:t xml:space="preserve">find that God is acting miraculously in this world all the </w:t>
      </w:r>
      <w:r w:rsidR="002A7D56" w:rsidRPr="009C1BF1">
        <w:rPr>
          <w:rFonts w:ascii="Times New Roman" w:hAnsi="Times New Roman" w:cs="Times New Roman"/>
          <w:sz w:val="24"/>
          <w:szCs w:val="24"/>
        </w:rPr>
        <w:t>time,</w:t>
      </w:r>
      <w:r w:rsidRPr="009C1BF1">
        <w:rPr>
          <w:rFonts w:ascii="Times New Roman" w:hAnsi="Times New Roman" w:cs="Times New Roman"/>
          <w:sz w:val="24"/>
          <w:szCs w:val="24"/>
        </w:rPr>
        <w:t xml:space="preserve"> but </w:t>
      </w:r>
      <w:r w:rsidR="002A7D56">
        <w:rPr>
          <w:rFonts w:ascii="Times New Roman" w:hAnsi="Times New Roman" w:cs="Times New Roman"/>
          <w:sz w:val="24"/>
          <w:szCs w:val="24"/>
        </w:rPr>
        <w:t xml:space="preserve">we </w:t>
      </w:r>
      <w:r w:rsidRPr="009C1BF1">
        <w:rPr>
          <w:rFonts w:ascii="Times New Roman" w:hAnsi="Times New Roman" w:cs="Times New Roman"/>
          <w:sz w:val="24"/>
          <w:szCs w:val="24"/>
        </w:rPr>
        <w:t xml:space="preserve">tend to hide it because we are too intimidated to share our miraculous stories. However unassertive John Locke is when discussing definition, he is wholly clear that his approach to the highly pivotal question in philosophy involves the proposition that God exists, therefore miracles are obvious proof of God’s existence.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One of the most famous examples of Christian miracles that happened outside of the Bible are the miracles of St Teresa of Avila (1515-1582). St Teresa became a nun at the age of 20 when she joined the Carmelite convent in Avila. </w:t>
      </w:r>
      <w:r w:rsidRPr="009C1BF1">
        <w:rPr>
          <w:rStyle w:val="FootnoteReference"/>
          <w:rFonts w:ascii="Times New Roman" w:hAnsi="Times New Roman" w:cs="Times New Roman"/>
          <w:sz w:val="24"/>
          <w:szCs w:val="24"/>
        </w:rPr>
        <w:footnoteReference w:id="13"/>
      </w:r>
      <w:r w:rsidRPr="009C1BF1">
        <w:rPr>
          <w:rFonts w:ascii="Times New Roman" w:hAnsi="Times New Roman" w:cs="Times New Roman"/>
          <w:sz w:val="24"/>
          <w:szCs w:val="24"/>
        </w:rPr>
        <w:t xml:space="preserve"> </w:t>
      </w:r>
      <w:r w:rsidR="00964FD6" w:rsidRPr="009C1BF1">
        <w:rPr>
          <w:rFonts w:ascii="Times New Roman" w:hAnsi="Times New Roman" w:cs="Times New Roman"/>
          <w:sz w:val="24"/>
          <w:szCs w:val="24"/>
        </w:rPr>
        <w:t>Mirac</w:t>
      </w:r>
      <w:r w:rsidR="00964FD6">
        <w:rPr>
          <w:rFonts w:ascii="Times New Roman" w:hAnsi="Times New Roman" w:cs="Times New Roman"/>
          <w:sz w:val="24"/>
          <w:szCs w:val="24"/>
        </w:rPr>
        <w:t xml:space="preserve">ulous </w:t>
      </w:r>
      <w:r w:rsidRPr="009C1BF1">
        <w:rPr>
          <w:rFonts w:ascii="Times New Roman" w:hAnsi="Times New Roman" w:cs="Times New Roman"/>
          <w:sz w:val="24"/>
          <w:szCs w:val="24"/>
        </w:rPr>
        <w:t>experiences are often justified by comparing the miraculous event with other similar experiences that the community regards as paradigmatic. Consequently, every miraculous event throughout history, especially historically famous miraculous events</w:t>
      </w:r>
      <w:r w:rsidR="002A7D56">
        <w:rPr>
          <w:rFonts w:ascii="Times New Roman" w:hAnsi="Times New Roman" w:cs="Times New Roman"/>
          <w:sz w:val="24"/>
          <w:szCs w:val="24"/>
        </w:rPr>
        <w:t xml:space="preserve"> such as those of set Teresa of Avila and John of the cross</w:t>
      </w:r>
      <w:r w:rsidRPr="009C1BF1">
        <w:rPr>
          <w:rFonts w:ascii="Times New Roman" w:hAnsi="Times New Roman" w:cs="Times New Roman"/>
          <w:sz w:val="24"/>
          <w:szCs w:val="24"/>
        </w:rPr>
        <w:t>, seems to add weight to the testimony and might be displayed at large with all the force of argument and eloquence.</w:t>
      </w:r>
      <w:r w:rsidRPr="009C1BF1">
        <w:rPr>
          <w:rStyle w:val="FootnoteReference"/>
          <w:rFonts w:ascii="Times New Roman" w:hAnsi="Times New Roman" w:cs="Times New Roman"/>
          <w:sz w:val="24"/>
          <w:szCs w:val="24"/>
        </w:rPr>
        <w:footnoteReference w:id="14"/>
      </w:r>
      <w:r w:rsidRPr="009C1BF1">
        <w:rPr>
          <w:rFonts w:ascii="Times New Roman" w:hAnsi="Times New Roman" w:cs="Times New Roman"/>
          <w:sz w:val="24"/>
          <w:szCs w:val="24"/>
        </w:rPr>
        <w:t xml:space="preserve">For example, a Christian’s experiences may be compared with John of the Cross or Teresa of Avila because of their sanctity; these figures are regarded as “suitably situated observers” and if the miraculous event is similar to cases reported by such figures it strengthens the validity of the miraculous event. </w:t>
      </w:r>
      <w:r w:rsidRPr="009C1BF1">
        <w:rPr>
          <w:rStyle w:val="FootnoteReference"/>
          <w:rFonts w:ascii="Times New Roman" w:hAnsi="Times New Roman" w:cs="Times New Roman"/>
          <w:sz w:val="24"/>
          <w:szCs w:val="24"/>
        </w:rPr>
        <w:footnoteReference w:id="15"/>
      </w:r>
      <w:r w:rsidRPr="009C1BF1">
        <w:rPr>
          <w:rFonts w:ascii="Times New Roman" w:hAnsi="Times New Roman" w:cs="Times New Roman"/>
          <w:sz w:val="24"/>
          <w:szCs w:val="24"/>
        </w:rPr>
        <w:t xml:space="preserve"> The miraculous events of such significantly important figures in Christianity provide tremendously believable evidence for the miraculous existing.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However, one of the things one must realise when looking at the reports of miracles from a Christian perspective is that if one looks back at the Christian writing</w:t>
      </w:r>
      <w:r w:rsidR="002A7D56">
        <w:rPr>
          <w:rFonts w:ascii="Times New Roman" w:hAnsi="Times New Roman" w:cs="Times New Roman"/>
          <w:sz w:val="24"/>
          <w:szCs w:val="24"/>
        </w:rPr>
        <w:t>s</w:t>
      </w:r>
      <w:r w:rsidRPr="009C1BF1">
        <w:rPr>
          <w:rFonts w:ascii="Times New Roman" w:hAnsi="Times New Roman" w:cs="Times New Roman"/>
          <w:sz w:val="24"/>
          <w:szCs w:val="24"/>
        </w:rPr>
        <w:t xml:space="preserve">, it was written by men to be codes of living. Consequently, Christianity is basically based on the claims of a person who says I am God and the one who was crucified and raised from the dead. Therefore, there is no real reason that Christianity should exist unless miracles were true. As a result, the fact that Christianity exploded in such a way only further solidifies the fact that these miracles did in fact happen. Furthermore, the reality is we will find many justifications to explain away miracles even if we see them and that is the point many did believe but just from our fallen nature there will be people that will see things that are so clearly miracles but will not be able to understand because they don’t want to, and they do not want to deal with implications of believing that these miracles are true. Even if god rose someone from the dead today if you are sceptical of Christianity or the existence of God would you believe in something that clearly </w:t>
      </w:r>
      <w:r w:rsidRPr="009C1BF1">
        <w:rPr>
          <w:rFonts w:ascii="Times New Roman" w:hAnsi="Times New Roman" w:cs="Times New Roman"/>
          <w:sz w:val="24"/>
          <w:szCs w:val="24"/>
        </w:rPr>
        <w:lastRenderedPageBreak/>
        <w:t xml:space="preserve">points to a miracle or would you find some way anyway of explaining in a way of naturalistic terms and then if you do come to believe that is not the same as the biblical notion of belief which is probably best translated as trust.  For example, if I report that I met a man who was ten ft tall, you would be suspicious of my report </w:t>
      </w:r>
      <w:proofErr w:type="gramStart"/>
      <w:r w:rsidRPr="009C1BF1">
        <w:rPr>
          <w:rFonts w:ascii="Times New Roman" w:hAnsi="Times New Roman" w:cs="Times New Roman"/>
          <w:sz w:val="24"/>
          <w:szCs w:val="24"/>
        </w:rPr>
        <w:t>on the ground that</w:t>
      </w:r>
      <w:proofErr w:type="gramEnd"/>
      <w:r w:rsidRPr="009C1BF1">
        <w:rPr>
          <w:rFonts w:ascii="Times New Roman" w:hAnsi="Times New Roman" w:cs="Times New Roman"/>
          <w:sz w:val="24"/>
          <w:szCs w:val="24"/>
        </w:rPr>
        <w:t xml:space="preserve"> men do not normally reach a height of ten feet. In the same way people are suspicious of reports of miracles since they violate the laws of nature.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On the other hand, arguably the best-known criticism of the belief in miracles is due to the imperialist Scottish philosopher David Hume.  “Hume defined a miracle as a violation of the normal laws of nature by some supernatural agent.”  </w:t>
      </w:r>
      <w:r w:rsidRPr="009C1BF1">
        <w:rPr>
          <w:rStyle w:val="FootnoteReference"/>
          <w:rFonts w:ascii="Times New Roman" w:hAnsi="Times New Roman" w:cs="Times New Roman"/>
          <w:sz w:val="24"/>
          <w:szCs w:val="24"/>
        </w:rPr>
        <w:footnoteReference w:id="16"/>
      </w:r>
      <w:r w:rsidRPr="009C1BF1">
        <w:rPr>
          <w:rFonts w:ascii="Times New Roman" w:hAnsi="Times New Roman" w:cs="Times New Roman"/>
          <w:sz w:val="24"/>
          <w:szCs w:val="24"/>
        </w:rPr>
        <w:t xml:space="preserve">His argument essentially rules out a lot of our modern uses of the word miracle such as R.F. Hollands example when there was nothing of supernatural significance it was just highly unlikely. Hume’s attack on miracles was a two-pronged effort. The section of his enquiry </w:t>
      </w:r>
      <w:r w:rsidRPr="009C1BF1">
        <w:rPr>
          <w:rFonts w:ascii="Times New Roman" w:hAnsi="Times New Roman" w:cs="Times New Roman"/>
          <w:i/>
          <w:sz w:val="24"/>
          <w:szCs w:val="24"/>
        </w:rPr>
        <w:t>Concerning Human Understanding</w:t>
      </w:r>
      <w:r w:rsidRPr="009C1BF1">
        <w:rPr>
          <w:rFonts w:ascii="Times New Roman" w:hAnsi="Times New Roman" w:cs="Times New Roman"/>
          <w:sz w:val="24"/>
          <w:szCs w:val="24"/>
        </w:rPr>
        <w:t xml:space="preserve"> which contains this argument (Chapter X), consists of two parts.</w:t>
      </w:r>
      <w:r w:rsidRPr="009C1BF1">
        <w:rPr>
          <w:rStyle w:val="FootnoteReference"/>
          <w:rFonts w:ascii="Times New Roman" w:hAnsi="Times New Roman" w:cs="Times New Roman"/>
          <w:sz w:val="24"/>
          <w:szCs w:val="24"/>
        </w:rPr>
        <w:footnoteReference w:id="17"/>
      </w:r>
      <w:r w:rsidRPr="009C1BF1">
        <w:rPr>
          <w:rFonts w:ascii="Times New Roman" w:hAnsi="Times New Roman" w:cs="Times New Roman"/>
          <w:sz w:val="24"/>
          <w:szCs w:val="24"/>
        </w:rPr>
        <w:t xml:space="preserve">  In part one Hume argues a priori concluding that by their very nature miracles could never happen and have never happened because the laws of nature prohibit miracles from occurring. </w:t>
      </w:r>
      <w:r w:rsidRPr="009C1BF1">
        <w:rPr>
          <w:rStyle w:val="FootnoteReference"/>
          <w:rFonts w:ascii="Times New Roman" w:hAnsi="Times New Roman" w:cs="Times New Roman"/>
          <w:sz w:val="24"/>
          <w:szCs w:val="24"/>
        </w:rPr>
        <w:footnoteReference w:id="18"/>
      </w:r>
      <w:r w:rsidRPr="009C1BF1">
        <w:rPr>
          <w:rFonts w:ascii="Times New Roman" w:hAnsi="Times New Roman" w:cs="Times New Roman"/>
          <w:sz w:val="24"/>
          <w:szCs w:val="24"/>
        </w:rPr>
        <w:t xml:space="preserve"> In part 2 Hume weighs the historical evidence of the miracles alleged to have happened and judges the legitimacy against a list of his own criteria. </w:t>
      </w:r>
      <w:r w:rsidRPr="009C1BF1">
        <w:rPr>
          <w:rStyle w:val="FootnoteReference"/>
          <w:rFonts w:ascii="Times New Roman" w:hAnsi="Times New Roman" w:cs="Times New Roman"/>
          <w:sz w:val="24"/>
          <w:szCs w:val="24"/>
        </w:rPr>
        <w:footnoteReference w:id="19"/>
      </w:r>
      <w:r w:rsidRPr="009C1BF1">
        <w:rPr>
          <w:rFonts w:ascii="Times New Roman" w:hAnsi="Times New Roman" w:cs="Times New Roman"/>
          <w:sz w:val="24"/>
          <w:szCs w:val="24"/>
        </w:rPr>
        <w:t>Hume’s focus was on the credibility of testimony for the miraculous; he argued that, given the status of a miracle as the violation of the natural law, no testimony could be strong enough to establish the occurrence of such an event.</w:t>
      </w:r>
      <w:r w:rsidRPr="009C1BF1">
        <w:rPr>
          <w:rStyle w:val="FootnoteReference"/>
          <w:rFonts w:ascii="Times New Roman" w:hAnsi="Times New Roman" w:cs="Times New Roman"/>
          <w:sz w:val="24"/>
          <w:szCs w:val="24"/>
        </w:rPr>
        <w:footnoteReference w:id="20"/>
      </w:r>
      <w:r w:rsidRPr="009C1BF1">
        <w:rPr>
          <w:rFonts w:ascii="Times New Roman" w:hAnsi="Times New Roman" w:cs="Times New Roman"/>
          <w:sz w:val="24"/>
          <w:szCs w:val="24"/>
        </w:rPr>
        <w:t xml:space="preserve"> So basically, he says that because miracles are a violation of the laws of nature, our unalterable experience has established these laws. Therefore, because miracles are outside of our experience which establishes the laws of nature, they are impossible. However, there are numerous problems with Hume’s line of reasoning, which has been thoroughly criticised by many philosophers, mainly because Hume establishes the laws of nature through unalterable experiences. However, Hume and others like him have not evaluated all human experience, they have merely evaluated their own experience of the world. In addition, one must realise that humanity has not yet seen everything there is to see nor solved the vast mysteries of the universe. As a result, one cannot say one’s experience establishes unalterable laws as that is logically impossible.  How can </w:t>
      </w:r>
      <w:r w:rsidRPr="009C1BF1">
        <w:rPr>
          <w:rFonts w:ascii="Times New Roman" w:hAnsi="Times New Roman" w:cs="Times New Roman"/>
          <w:sz w:val="24"/>
          <w:szCs w:val="24"/>
        </w:rPr>
        <w:lastRenderedPageBreak/>
        <w:t>Hume say his experience excludes the possibility of miracles? Especially when not everyone agrees with him. If human experience, which means all humans, establishes the laws of nature and establishes that laws of nature cannot be violated, then how do we account for people who report miracles as part of their experiences of life?</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If somebody states that they have seen water turned into wine should they be believed? According to Hume they should not; in his controversial essay </w:t>
      </w:r>
      <w:r w:rsidRPr="009C1BF1">
        <w:rPr>
          <w:rFonts w:ascii="Times New Roman" w:hAnsi="Times New Roman" w:cs="Times New Roman"/>
          <w:i/>
          <w:sz w:val="24"/>
          <w:szCs w:val="24"/>
        </w:rPr>
        <w:t>On Miracles</w:t>
      </w:r>
      <w:r w:rsidRPr="009C1BF1">
        <w:rPr>
          <w:rFonts w:ascii="Times New Roman" w:hAnsi="Times New Roman" w:cs="Times New Roman"/>
          <w:sz w:val="24"/>
          <w:szCs w:val="24"/>
        </w:rPr>
        <w:t xml:space="preserve"> he argued that “we should distinguish miracles from extraordinary events because a miracle breaks an established law of nature.” </w:t>
      </w:r>
      <w:r w:rsidRPr="009C1BF1">
        <w:rPr>
          <w:rStyle w:val="FootnoteReference"/>
          <w:rFonts w:ascii="Times New Roman" w:hAnsi="Times New Roman" w:cs="Times New Roman"/>
          <w:sz w:val="24"/>
          <w:szCs w:val="24"/>
        </w:rPr>
        <w:footnoteReference w:id="21"/>
      </w:r>
      <w:r w:rsidRPr="009C1BF1">
        <w:rPr>
          <w:rFonts w:ascii="Times New Roman" w:hAnsi="Times New Roman" w:cs="Times New Roman"/>
          <w:sz w:val="24"/>
          <w:szCs w:val="24"/>
        </w:rPr>
        <w:t xml:space="preserve">Whereas as extraordinary event is just an unexpected or rare experience. For </w:t>
      </w:r>
      <w:proofErr w:type="gramStart"/>
      <w:r w:rsidRPr="009C1BF1">
        <w:rPr>
          <w:rFonts w:ascii="Times New Roman" w:hAnsi="Times New Roman" w:cs="Times New Roman"/>
          <w:sz w:val="24"/>
          <w:szCs w:val="24"/>
        </w:rPr>
        <w:t>example</w:t>
      </w:r>
      <w:proofErr w:type="gramEnd"/>
      <w:r w:rsidRPr="009C1BF1">
        <w:rPr>
          <w:rFonts w:ascii="Times New Roman" w:hAnsi="Times New Roman" w:cs="Times New Roman"/>
          <w:sz w:val="24"/>
          <w:szCs w:val="24"/>
        </w:rPr>
        <w:t xml:space="preserve"> if I suddenly recover from a life-threatening illness, however amazing the event, it is still consistent with the laws of nature and therefore does not break any laws of nature. However, some people still consider such events like these a miracle. On the other hand, if I were to raise someone from the dead or vanish into thin air then that is more likely to be considered a miracle than the latter.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Why shouldn’t we believe witnesses of miracles?  Eye witness testimony is notoriously fallible. Firstly, we are all motivated to believe surprising things as it gives us a thrill and makes for a better story, and it can also make us popular if we were to witness something spectacular. Religious motivations give an extra boost to the psychological tendency because witnesses of miracles may feel specially chosen. In sum, “a religionist may be an enthusiast and imagine he sees what has no reality. He may </w:t>
      </w:r>
      <w:r w:rsidR="005B52BA" w:rsidRPr="009C1BF1">
        <w:rPr>
          <w:rFonts w:ascii="Times New Roman" w:hAnsi="Times New Roman" w:cs="Times New Roman"/>
          <w:sz w:val="24"/>
          <w:szCs w:val="24"/>
        </w:rPr>
        <w:t>know</w:t>
      </w:r>
      <w:r w:rsidRPr="009C1BF1">
        <w:rPr>
          <w:rFonts w:ascii="Times New Roman" w:hAnsi="Times New Roman" w:cs="Times New Roman"/>
          <w:sz w:val="24"/>
          <w:szCs w:val="24"/>
        </w:rPr>
        <w:t xml:space="preserve"> his narrative to be false, and yet persevere in it with the best intentions in the world, for the sake of promoting so holy a cause.” </w:t>
      </w:r>
      <w:r w:rsidRPr="009C1BF1">
        <w:rPr>
          <w:rStyle w:val="FootnoteReference"/>
          <w:rFonts w:ascii="Times New Roman" w:hAnsi="Times New Roman" w:cs="Times New Roman"/>
          <w:sz w:val="24"/>
          <w:szCs w:val="24"/>
        </w:rPr>
        <w:footnoteReference w:id="22"/>
      </w:r>
      <w:r w:rsidRPr="009C1BF1">
        <w:rPr>
          <w:rFonts w:ascii="Times New Roman" w:hAnsi="Times New Roman" w:cs="Times New Roman"/>
          <w:sz w:val="24"/>
          <w:szCs w:val="24"/>
        </w:rPr>
        <w:t xml:space="preserve"> </w:t>
      </w:r>
      <w:r w:rsidRPr="009C1BF1">
        <w:rPr>
          <w:rStyle w:val="FootnoteReference"/>
          <w:rFonts w:ascii="Times New Roman" w:hAnsi="Times New Roman" w:cs="Times New Roman"/>
          <w:sz w:val="24"/>
          <w:szCs w:val="24"/>
        </w:rPr>
        <w:footnoteReference w:id="23"/>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In addition, I found that when defending the belief in miracles from a Christian standpoint, I had to discuss and analyse the concept of miracles simultaneously from both a Christian and atheists perspective. </w:t>
      </w:r>
      <w:proofErr w:type="gramStart"/>
      <w:r w:rsidRPr="009C1BF1">
        <w:rPr>
          <w:rFonts w:ascii="Times New Roman" w:hAnsi="Times New Roman" w:cs="Times New Roman"/>
          <w:sz w:val="24"/>
          <w:szCs w:val="24"/>
        </w:rPr>
        <w:t>As a result of</w:t>
      </w:r>
      <w:proofErr w:type="gramEnd"/>
      <w:r w:rsidRPr="009C1BF1">
        <w:rPr>
          <w:rFonts w:ascii="Times New Roman" w:hAnsi="Times New Roman" w:cs="Times New Roman"/>
          <w:sz w:val="24"/>
          <w:szCs w:val="24"/>
        </w:rPr>
        <w:t xml:space="preserve"> these discussions I distinguished that one of the pivotal counterarguments for Christianity was the “Virgin Birth”, because most people can justify most Christian miracles but draw the line under the belief in a miraculous virgin birth.  However, it could be argued that atheists and from a scientific stance people who are not religious already technically believe in a virgin birth, whereby Christians believe in the virgin birth of Jesus, but an atheist believes in the virgin birth of an entire universe.  So, I think often at times we don’t see this and assume that the burden of proof is on Christianity. Consequently, we don’t realise </w:t>
      </w:r>
      <w:r w:rsidRPr="009C1BF1">
        <w:rPr>
          <w:rFonts w:ascii="Times New Roman" w:hAnsi="Times New Roman" w:cs="Times New Roman"/>
          <w:sz w:val="24"/>
          <w:szCs w:val="24"/>
        </w:rPr>
        <w:lastRenderedPageBreak/>
        <w:t xml:space="preserve">that other ways of seeing the world, ways that may have beliefs as extraordinary as the beliefs of Christianity.  To elaborate, the leading Cambridge physicist Steven Hawking gave the best explanation of the universe from an atheist perspective: he says, </w:t>
      </w:r>
      <w:r w:rsidRPr="009C1BF1">
        <w:rPr>
          <w:rFonts w:ascii="Times New Roman" w:hAnsi="Times New Roman" w:cs="Times New Roman"/>
          <w:sz w:val="24"/>
          <w:szCs w:val="24"/>
          <w:shd w:val="clear" w:color="auto" w:fill="FFFFFF"/>
        </w:rPr>
        <w:t>“Because there is a law such as gravity, the </w:t>
      </w:r>
      <w:r w:rsidRPr="009C1BF1">
        <w:rPr>
          <w:rStyle w:val="Emphasis"/>
          <w:rFonts w:ascii="Times New Roman" w:hAnsi="Times New Roman" w:cs="Times New Roman"/>
          <w:bCs/>
          <w:sz w:val="24"/>
          <w:szCs w:val="24"/>
          <w:shd w:val="clear" w:color="auto" w:fill="FFFFFF"/>
        </w:rPr>
        <w:t>universe</w:t>
      </w:r>
      <w:r w:rsidRPr="009C1BF1">
        <w:rPr>
          <w:rFonts w:ascii="Times New Roman" w:hAnsi="Times New Roman" w:cs="Times New Roman"/>
          <w:sz w:val="24"/>
          <w:szCs w:val="24"/>
          <w:shd w:val="clear" w:color="auto" w:fill="FFFFFF"/>
        </w:rPr>
        <w:t> can and will </w:t>
      </w:r>
      <w:r w:rsidRPr="009C1BF1">
        <w:rPr>
          <w:rStyle w:val="Emphasis"/>
          <w:rFonts w:ascii="Times New Roman" w:hAnsi="Times New Roman" w:cs="Times New Roman"/>
          <w:bCs/>
          <w:sz w:val="24"/>
          <w:szCs w:val="24"/>
          <w:shd w:val="clear" w:color="auto" w:fill="FFFFFF"/>
        </w:rPr>
        <w:t>create itself</w:t>
      </w:r>
      <w:r w:rsidRPr="009C1BF1">
        <w:rPr>
          <w:rFonts w:ascii="Times New Roman" w:hAnsi="Times New Roman" w:cs="Times New Roman"/>
          <w:sz w:val="24"/>
          <w:szCs w:val="24"/>
          <w:shd w:val="clear" w:color="auto" w:fill="FFFFFF"/>
        </w:rPr>
        <w:t> from</w:t>
      </w:r>
      <w:r w:rsidRPr="009C1BF1">
        <w:rPr>
          <w:rStyle w:val="Emphasis"/>
          <w:rFonts w:ascii="Times New Roman" w:hAnsi="Times New Roman" w:cs="Times New Roman"/>
          <w:bCs/>
          <w:sz w:val="24"/>
          <w:szCs w:val="24"/>
          <w:shd w:val="clear" w:color="auto" w:fill="FFFFFF"/>
        </w:rPr>
        <w:t xml:space="preserve"> nothing</w:t>
      </w:r>
      <w:r w:rsidRPr="009C1BF1">
        <w:rPr>
          <w:rFonts w:ascii="Times New Roman" w:hAnsi="Times New Roman" w:cs="Times New Roman"/>
          <w:sz w:val="24"/>
          <w:szCs w:val="24"/>
          <w:shd w:val="clear" w:color="auto" w:fill="FFFFFF"/>
        </w:rPr>
        <w:t>,".</w:t>
      </w:r>
      <w:r w:rsidRPr="009C1BF1">
        <w:rPr>
          <w:rStyle w:val="FootnoteReference"/>
          <w:rFonts w:ascii="Times New Roman" w:hAnsi="Times New Roman" w:cs="Times New Roman"/>
          <w:sz w:val="24"/>
          <w:szCs w:val="24"/>
          <w:shd w:val="clear" w:color="auto" w:fill="FFFFFF"/>
        </w:rPr>
        <w:footnoteReference w:id="24"/>
      </w:r>
      <w:r w:rsidRPr="009C1BF1">
        <w:rPr>
          <w:rFonts w:ascii="Times New Roman" w:hAnsi="Times New Roman" w:cs="Times New Roman"/>
          <w:sz w:val="24"/>
          <w:szCs w:val="24"/>
          <w:shd w:val="clear" w:color="auto" w:fill="FFFFFF"/>
        </w:rPr>
        <w:t xml:space="preserve"> Therefore, </w:t>
      </w:r>
      <w:r w:rsidRPr="009C1BF1">
        <w:rPr>
          <w:rFonts w:ascii="Times New Roman" w:hAnsi="Times New Roman" w:cs="Times New Roman"/>
          <w:sz w:val="24"/>
          <w:szCs w:val="24"/>
        </w:rPr>
        <w:t xml:space="preserve">the universe created itself out of nothing and that could </w:t>
      </w:r>
      <w:proofErr w:type="gramStart"/>
      <w:r w:rsidRPr="009C1BF1">
        <w:rPr>
          <w:rFonts w:ascii="Times New Roman" w:hAnsi="Times New Roman" w:cs="Times New Roman"/>
          <w:sz w:val="24"/>
          <w:szCs w:val="24"/>
        </w:rPr>
        <w:t>be seen as</w:t>
      </w:r>
      <w:proofErr w:type="gramEnd"/>
      <w:r w:rsidRPr="009C1BF1">
        <w:rPr>
          <w:rFonts w:ascii="Times New Roman" w:hAnsi="Times New Roman" w:cs="Times New Roman"/>
          <w:sz w:val="24"/>
          <w:szCs w:val="24"/>
        </w:rPr>
        <w:t xml:space="preserve"> the equivalence of a virgin birth. Also, here is what the atheist philosopher Quintin Smith says: </w:t>
      </w:r>
    </w:p>
    <w:p w:rsidR="009C1BF1" w:rsidRPr="009C1BF1" w:rsidRDefault="009C1BF1" w:rsidP="009C1BF1">
      <w:pPr>
        <w:spacing w:line="360" w:lineRule="auto"/>
        <w:ind w:left="720"/>
        <w:jc w:val="both"/>
        <w:rPr>
          <w:rFonts w:ascii="Times New Roman" w:hAnsi="Times New Roman" w:cs="Times New Roman"/>
          <w:sz w:val="24"/>
          <w:szCs w:val="24"/>
        </w:rPr>
      </w:pPr>
      <w:r w:rsidRPr="009C1BF1">
        <w:rPr>
          <w:rFonts w:ascii="Times New Roman" w:hAnsi="Times New Roman" w:cs="Times New Roman"/>
          <w:sz w:val="24"/>
          <w:szCs w:val="24"/>
        </w:rPr>
        <w:t>The fact of the matter is that the most reasonable of belief if that we came from nothing, by nothing and for nothing we should acknowledge our foundation in nothingness and feel awe at the marvellous fact that we have a chance to participate briefly in this incredible sunburst that interrupts without reason the reign of non-being</w:t>
      </w:r>
      <w:r w:rsidRPr="009C1BF1">
        <w:rPr>
          <w:rStyle w:val="FootnoteReference"/>
          <w:rFonts w:ascii="Times New Roman" w:hAnsi="Times New Roman" w:cs="Times New Roman"/>
          <w:sz w:val="24"/>
          <w:szCs w:val="24"/>
        </w:rPr>
        <w:footnoteReference w:id="25"/>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Could that not be seen a virgin birth? Christianity is not the only worldview that makes some extraordinary and miraculous claims. Atheists believe that something came from nothing, that order came from randomness, that life came from non-life, that consciousness came from non-consciousness, that we started with a non-moral beginning and somehow wound up with moral greatness and moral atrocity. I think atheism as well has plenty of miracles that need explaining. I concluded that in my life we live in a miraculous world whether you are a Christian, whether you are an atheist or whether you are an agnostic. I do not think there is any getting around the fact that we live in a miraculous world. It is not a matter of whether we believe in a virgin birth, it is just a matter of which virgin birth we believe in and </w:t>
      </w:r>
      <w:proofErr w:type="gramStart"/>
      <w:r w:rsidRPr="009C1BF1">
        <w:rPr>
          <w:rFonts w:ascii="Times New Roman" w:hAnsi="Times New Roman" w:cs="Times New Roman"/>
          <w:sz w:val="24"/>
          <w:szCs w:val="24"/>
        </w:rPr>
        <w:t>whether or not</w:t>
      </w:r>
      <w:proofErr w:type="gramEnd"/>
      <w:r w:rsidRPr="009C1BF1">
        <w:rPr>
          <w:rFonts w:ascii="Times New Roman" w:hAnsi="Times New Roman" w:cs="Times New Roman"/>
          <w:sz w:val="24"/>
          <w:szCs w:val="24"/>
        </w:rPr>
        <w:t xml:space="preserve"> there is good reason or good evidence to believe in it.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On the other hand, Richard Swinburne in his book </w:t>
      </w:r>
      <w:r w:rsidRPr="009C1BF1">
        <w:rPr>
          <w:rFonts w:ascii="Times New Roman" w:hAnsi="Times New Roman" w:cs="Times New Roman"/>
          <w:i/>
          <w:sz w:val="24"/>
          <w:szCs w:val="24"/>
        </w:rPr>
        <w:t xml:space="preserve">The Existence of God </w:t>
      </w:r>
      <w:r w:rsidRPr="009C1BF1">
        <w:rPr>
          <w:rFonts w:ascii="Times New Roman" w:hAnsi="Times New Roman" w:cs="Times New Roman"/>
          <w:sz w:val="24"/>
          <w:szCs w:val="24"/>
        </w:rPr>
        <w:t xml:space="preserve">argues for miracles, stating “we should believe our apparent perceptions, our apparent memories of them and the testimony of others of what they claim to have seen.” </w:t>
      </w:r>
      <w:r w:rsidRPr="009C1BF1">
        <w:rPr>
          <w:rStyle w:val="FootnoteReference"/>
          <w:rFonts w:ascii="Times New Roman" w:hAnsi="Times New Roman" w:cs="Times New Roman"/>
          <w:sz w:val="24"/>
          <w:szCs w:val="24"/>
        </w:rPr>
        <w:footnoteReference w:id="26"/>
      </w:r>
      <w:r w:rsidRPr="009C1BF1">
        <w:rPr>
          <w:rFonts w:ascii="Times New Roman" w:hAnsi="Times New Roman" w:cs="Times New Roman"/>
          <w:sz w:val="24"/>
          <w:szCs w:val="24"/>
        </w:rPr>
        <w:t xml:space="preserve">  And a good god will come to the help of humanity if communities go too far astray and people forget about God. </w:t>
      </w:r>
      <w:r w:rsidRPr="009C1BF1">
        <w:rPr>
          <w:rStyle w:val="FootnoteReference"/>
          <w:rFonts w:ascii="Times New Roman" w:hAnsi="Times New Roman" w:cs="Times New Roman"/>
          <w:sz w:val="24"/>
          <w:szCs w:val="24"/>
        </w:rPr>
        <w:footnoteReference w:id="27"/>
      </w:r>
      <w:r w:rsidRPr="009C1BF1">
        <w:rPr>
          <w:rFonts w:ascii="Times New Roman" w:hAnsi="Times New Roman" w:cs="Times New Roman"/>
          <w:sz w:val="24"/>
          <w:szCs w:val="24"/>
        </w:rPr>
        <w:t xml:space="preserve">But the argument so far provides no reason for supposing that God needs to intervene in the natural order to achieve these goals. He needs simply to make the laws of nature such that sometimes people recover spontaneously from illness, and such that there are occasional people sensitive to the deepest needs of the culture of their time who believe they have a call to influence others to </w:t>
      </w:r>
      <w:r w:rsidRPr="009C1BF1">
        <w:rPr>
          <w:rFonts w:ascii="Times New Roman" w:hAnsi="Times New Roman" w:cs="Times New Roman"/>
          <w:sz w:val="24"/>
          <w:szCs w:val="24"/>
        </w:rPr>
        <w:lastRenderedPageBreak/>
        <w:t>deal with these needs, and that others should be able to respond to their message.</w:t>
      </w:r>
      <w:r w:rsidRPr="009C1BF1">
        <w:rPr>
          <w:rStyle w:val="FootnoteReference"/>
          <w:rFonts w:ascii="Times New Roman" w:hAnsi="Times New Roman" w:cs="Times New Roman"/>
          <w:sz w:val="24"/>
          <w:szCs w:val="24"/>
        </w:rPr>
        <w:footnoteReference w:id="28"/>
      </w:r>
      <w:r w:rsidRPr="009C1BF1">
        <w:rPr>
          <w:rFonts w:ascii="Times New Roman" w:hAnsi="Times New Roman" w:cs="Times New Roman"/>
          <w:sz w:val="24"/>
          <w:szCs w:val="24"/>
        </w:rPr>
        <w:t xml:space="preserve"> However referring back to what Swinburne states, the Bible doesn’t just ask us to believe miracles on blind faith. I remember reading the Bible myself and coming across a passage in Acts 17, where it says that the people of Berea were more noble than the Thessalonians because they examined the scriptures every day to determine if what Paul was telling them was true. I took great encouragement in that because this was not a text that was asking me to just believe in extraordinary things blindly, but it was asking me to examine them every day and determine if what I was being told was true.</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Furthermore, there is often a strong presumption against all supernatural and miraculous revelations that they are observed chiefly to abound among ignorant and barbarous nations. Or if a civilised people has ever given admission to any of them, that people will have been found to have received them from ignorant and barbarous ancestors, who transmitted them with that inviolable sanction and authority. </w:t>
      </w:r>
      <w:r w:rsidRPr="009C1BF1">
        <w:rPr>
          <w:rStyle w:val="FootnoteReference"/>
          <w:rFonts w:ascii="Times New Roman" w:hAnsi="Times New Roman" w:cs="Times New Roman"/>
          <w:sz w:val="24"/>
          <w:szCs w:val="24"/>
        </w:rPr>
        <w:footnoteReference w:id="29"/>
      </w:r>
      <w:r w:rsidRPr="009C1BF1">
        <w:rPr>
          <w:rFonts w:ascii="Times New Roman" w:hAnsi="Times New Roman" w:cs="Times New Roman"/>
          <w:sz w:val="24"/>
          <w:szCs w:val="24"/>
        </w:rPr>
        <w:t xml:space="preserve"> Thus, we can have this absurd assumption when reading the Bible that the people in the past were a bit ignorant, naïve and more inclined to be gullible.  However, these </w:t>
      </w:r>
      <w:proofErr w:type="gramStart"/>
      <w:r w:rsidRPr="009C1BF1">
        <w:rPr>
          <w:rFonts w:ascii="Times New Roman" w:hAnsi="Times New Roman" w:cs="Times New Roman"/>
          <w:sz w:val="24"/>
          <w:szCs w:val="24"/>
        </w:rPr>
        <w:t>were people who were</w:t>
      </w:r>
      <w:proofErr w:type="gramEnd"/>
      <w:r w:rsidRPr="009C1BF1">
        <w:rPr>
          <w:rFonts w:ascii="Times New Roman" w:hAnsi="Times New Roman" w:cs="Times New Roman"/>
          <w:sz w:val="24"/>
          <w:szCs w:val="24"/>
        </w:rPr>
        <w:t xml:space="preserve"> more than capable of looking at the world around them and seeing how things typically </w:t>
      </w:r>
      <w:r w:rsidR="005B52BA" w:rsidRPr="009C1BF1">
        <w:rPr>
          <w:rFonts w:ascii="Times New Roman" w:hAnsi="Times New Roman" w:cs="Times New Roman"/>
          <w:sz w:val="24"/>
          <w:szCs w:val="24"/>
        </w:rPr>
        <w:t>work and</w:t>
      </w:r>
      <w:r w:rsidRPr="009C1BF1">
        <w:rPr>
          <w:rFonts w:ascii="Times New Roman" w:hAnsi="Times New Roman" w:cs="Times New Roman"/>
          <w:sz w:val="24"/>
          <w:szCs w:val="24"/>
        </w:rPr>
        <w:t xml:space="preserve"> recognising when something is behaving in a way that is not according to the laws of nature. Particularly when you look at Jesus’ disciples: aside from the fact that they are a group of people essentially looking for mystical experiences or looking for a kind of guru that will lead them on adventure, this does not take away from the fact that they are still a bunch of normal “salt of the earth” sceptical fishermen. One of the best passages that highlights this was the interaction we see between Thomas at the end of John’s gospel, when he says unless I see the wound in Jesus’ side and the scars on his hands I will not believe. He is very pragmatic and is not willing to leap at miracles for the sake of believing in something; he wants to see it with his own eyes, and I think we also need to recognise that these disciples who are claiming to have witnessed Jesus’ miracles there is essentially a cost to that for them. Not only because they are devout Jews who believe God will judge them if they are lying and saying things about Jesus that are not true, because there was also a cost to them in the life that they were living whereby most of them were martyred for the claims that they were making. Consequently, for proclaiming the news of the resurrection of Jesus, its members were persecuted ruthlessly by the civil authorities. </w:t>
      </w:r>
      <w:r w:rsidRPr="009C1BF1">
        <w:rPr>
          <w:rStyle w:val="FootnoteReference"/>
          <w:rFonts w:ascii="Times New Roman" w:hAnsi="Times New Roman" w:cs="Times New Roman"/>
          <w:sz w:val="24"/>
          <w:szCs w:val="24"/>
        </w:rPr>
        <w:footnoteReference w:id="30"/>
      </w:r>
      <w:r w:rsidRPr="009C1BF1">
        <w:rPr>
          <w:rFonts w:ascii="Times New Roman" w:hAnsi="Times New Roman" w:cs="Times New Roman"/>
          <w:sz w:val="24"/>
          <w:szCs w:val="24"/>
        </w:rPr>
        <w:t xml:space="preserve"> It is not that they were inclined towards </w:t>
      </w:r>
      <w:r w:rsidRPr="009C1BF1">
        <w:rPr>
          <w:rFonts w:ascii="Times New Roman" w:hAnsi="Times New Roman" w:cs="Times New Roman"/>
          <w:sz w:val="24"/>
          <w:szCs w:val="24"/>
        </w:rPr>
        <w:lastRenderedPageBreak/>
        <w:t xml:space="preserve">believing miracles for the sake of them, they were just looking for something to latch onto whereby they were clearly compelled by what they saw in the life of Jesus: not only his resurrection from the dead but also in the way that he was living and the miracles he was performing. They were seeing something that led them to believe that this is more than a man, there was something divine about this person.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We live in a world of miracles, but so often we think we live in a natural world and then we look around for the supernatural wonders occasionally.  However, I believe it is the complete opposite, whereby we live in a supernatural world and everything around us is supernatural. To elaborate: consider the fact that we are sitting here right now, and that we came to exist, and that we are breathing the irregularity of the universe, and that gravity stays the same as it was yesterday, today and tomorrow. There is no natural explanation of that, that is just the gift and providence of God that he wants us to live meaningful and coherent lives. So, God is doing miracles all the time: some of them he is doing every day and some of them he is stepping in specifically to speak to us on a more occasional basis. It is utterly remarkable, and so often we just walk around with our heads down as if that is just a natural kind of scientific thing that we should not think is extraordinary. However, it is utterly remarkable that we are here at all and that the universe is so finely tuned that we could exist as a people, and that each one of us specifically could exist when one thinks about all the circumstances that are needed to interact: for our specific parents to meet each other and conceive just when they did, so that just each person could come to exist. If God exists, what does that say about the way he must feel about each one of us if he’s made that many things intersect so that we could have life. </w:t>
      </w:r>
    </w:p>
    <w:p w:rsidR="009C1BF1" w:rsidRPr="009C1BF1" w:rsidRDefault="009C1BF1" w:rsidP="009C1BF1">
      <w:pPr>
        <w:spacing w:line="360" w:lineRule="auto"/>
        <w:jc w:val="both"/>
        <w:rPr>
          <w:rFonts w:ascii="Times New Roman" w:hAnsi="Times New Roman" w:cs="Times New Roman"/>
          <w:sz w:val="24"/>
          <w:szCs w:val="24"/>
        </w:rPr>
      </w:pPr>
      <w:r w:rsidRPr="009C1BF1">
        <w:rPr>
          <w:rFonts w:ascii="Times New Roman" w:hAnsi="Times New Roman" w:cs="Times New Roman"/>
          <w:sz w:val="24"/>
          <w:szCs w:val="24"/>
        </w:rPr>
        <w:t xml:space="preserve">To conclude, after weighing up all the evidence and particularly analysing David Hume’s </w:t>
      </w:r>
      <w:r>
        <w:rPr>
          <w:rFonts w:ascii="Times New Roman" w:hAnsi="Times New Roman" w:cs="Times New Roman"/>
          <w:sz w:val="24"/>
          <w:szCs w:val="24"/>
        </w:rPr>
        <w:t xml:space="preserve">extensive </w:t>
      </w:r>
      <w:r w:rsidRPr="009C1BF1">
        <w:rPr>
          <w:rFonts w:ascii="Times New Roman" w:hAnsi="Times New Roman" w:cs="Times New Roman"/>
          <w:sz w:val="24"/>
          <w:szCs w:val="24"/>
        </w:rPr>
        <w:t>criticism on miracles</w:t>
      </w:r>
      <w:r>
        <w:rPr>
          <w:rFonts w:ascii="Times New Roman" w:hAnsi="Times New Roman" w:cs="Times New Roman"/>
          <w:sz w:val="24"/>
          <w:szCs w:val="24"/>
        </w:rPr>
        <w:t xml:space="preserve"> which gave me insight on thoughts and perspective I had never pondered</w:t>
      </w:r>
      <w:proofErr w:type="gramStart"/>
      <w:r>
        <w:rPr>
          <w:rFonts w:ascii="Times New Roman" w:hAnsi="Times New Roman" w:cs="Times New Roman"/>
          <w:sz w:val="24"/>
          <w:szCs w:val="24"/>
        </w:rPr>
        <w:t>.</w:t>
      </w:r>
      <w:r w:rsidR="00351DF9">
        <w:rPr>
          <w:rFonts w:ascii="Times New Roman" w:hAnsi="Times New Roman" w:cs="Times New Roman"/>
          <w:sz w:val="24"/>
          <w:szCs w:val="24"/>
        </w:rPr>
        <w:t xml:space="preserve"> </w:t>
      </w:r>
      <w:proofErr w:type="gramEnd"/>
      <w:r w:rsidR="00351DF9">
        <w:rPr>
          <w:rFonts w:ascii="Times New Roman" w:hAnsi="Times New Roman" w:cs="Times New Roman"/>
          <w:sz w:val="24"/>
          <w:szCs w:val="24"/>
        </w:rPr>
        <w:t xml:space="preserve">Considering his </w:t>
      </w:r>
      <w:r w:rsidR="005B52BA">
        <w:rPr>
          <w:rFonts w:ascii="Times New Roman" w:hAnsi="Times New Roman" w:cs="Times New Roman"/>
          <w:sz w:val="24"/>
          <w:szCs w:val="24"/>
        </w:rPr>
        <w:t xml:space="preserve">arguments against miracles </w:t>
      </w:r>
      <w:r w:rsidRPr="009C1BF1">
        <w:rPr>
          <w:rFonts w:ascii="Times New Roman" w:hAnsi="Times New Roman" w:cs="Times New Roman"/>
          <w:sz w:val="24"/>
          <w:szCs w:val="24"/>
        </w:rPr>
        <w:t>I</w:t>
      </w:r>
      <w:r w:rsidR="005B52BA">
        <w:rPr>
          <w:rFonts w:ascii="Times New Roman" w:hAnsi="Times New Roman" w:cs="Times New Roman"/>
          <w:sz w:val="24"/>
          <w:szCs w:val="24"/>
        </w:rPr>
        <w:t xml:space="preserve"> still</w:t>
      </w:r>
      <w:r w:rsidRPr="009C1BF1">
        <w:rPr>
          <w:rFonts w:ascii="Times New Roman" w:hAnsi="Times New Roman" w:cs="Times New Roman"/>
          <w:sz w:val="24"/>
          <w:szCs w:val="24"/>
        </w:rPr>
        <w:t xml:space="preserve"> </w:t>
      </w:r>
      <w:r>
        <w:rPr>
          <w:rFonts w:ascii="Times New Roman" w:hAnsi="Times New Roman" w:cs="Times New Roman"/>
          <w:sz w:val="24"/>
          <w:szCs w:val="24"/>
        </w:rPr>
        <w:t xml:space="preserve">came to the </w:t>
      </w:r>
      <w:r w:rsidRPr="009C1BF1">
        <w:rPr>
          <w:rFonts w:ascii="Times New Roman" w:hAnsi="Times New Roman" w:cs="Times New Roman"/>
          <w:sz w:val="24"/>
          <w:szCs w:val="24"/>
        </w:rPr>
        <w:t>belie</w:t>
      </w:r>
      <w:r>
        <w:rPr>
          <w:rFonts w:ascii="Times New Roman" w:hAnsi="Times New Roman" w:cs="Times New Roman"/>
          <w:sz w:val="24"/>
          <w:szCs w:val="24"/>
        </w:rPr>
        <w:t>f</w:t>
      </w:r>
      <w:r w:rsidRPr="009C1BF1">
        <w:rPr>
          <w:rFonts w:ascii="Times New Roman" w:hAnsi="Times New Roman" w:cs="Times New Roman"/>
          <w:sz w:val="24"/>
          <w:szCs w:val="24"/>
        </w:rPr>
        <w:t xml:space="preserve"> that miracles are logically possible. Firstly,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w:t>
      </w:r>
      <w:r w:rsidRPr="009C1BF1">
        <w:rPr>
          <w:rFonts w:ascii="Times New Roman" w:hAnsi="Times New Roman" w:cs="Times New Roman"/>
          <w:sz w:val="24"/>
          <w:szCs w:val="24"/>
        </w:rPr>
        <w:t xml:space="preserve">one of the major things I wrestled with as a non-believer was my origin and talking about the miraculous from an atheist perspective, not just the origins of the universe but the origins of me. As a result, if everything is just random happenstance then my existence in this world was simply just random. I just could not reconcile myself to believing that.  I believe our very existence is miraculous and I think that sometimes if we just stop and think about this from day to day: our very being and how miraculous it all is. </w:t>
      </w:r>
      <w:r w:rsidR="00EB4A48">
        <w:rPr>
          <w:rFonts w:ascii="Times New Roman" w:hAnsi="Times New Roman" w:cs="Times New Roman"/>
          <w:sz w:val="24"/>
          <w:szCs w:val="24"/>
        </w:rPr>
        <w:t>Finally</w:t>
      </w:r>
      <w:r w:rsidRPr="009C1BF1">
        <w:rPr>
          <w:rFonts w:ascii="Times New Roman" w:hAnsi="Times New Roman" w:cs="Times New Roman"/>
          <w:sz w:val="24"/>
          <w:szCs w:val="24"/>
        </w:rPr>
        <w:t>,</w:t>
      </w:r>
      <w:r w:rsidRPr="009C1BF1">
        <w:rPr>
          <w:rFonts w:ascii="Times New Roman" w:hAnsi="Times New Roman" w:cs="Times New Roman"/>
          <w:sz w:val="24"/>
          <w:szCs w:val="24"/>
        </w:rPr>
        <w:t xml:space="preserve"> I strongly agree with R.F Holland that miraculous events are subjective and that </w:t>
      </w:r>
      <w:r w:rsidRPr="009C1BF1">
        <w:rPr>
          <w:rFonts w:ascii="Times New Roman" w:hAnsi="Times New Roman" w:cs="Times New Roman"/>
          <w:sz w:val="24"/>
          <w:szCs w:val="24"/>
        </w:rPr>
        <w:lastRenderedPageBreak/>
        <w:t xml:space="preserve">even events that do not violate the laws of nature can be considered miraculous if they are God revealing. </w:t>
      </w: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Pr="009C1BF1" w:rsidRDefault="009C1BF1" w:rsidP="009C1BF1">
      <w:pPr>
        <w:spacing w:line="360" w:lineRule="auto"/>
        <w:jc w:val="both"/>
        <w:rPr>
          <w:rFonts w:ascii="Times New Roman" w:hAnsi="Times New Roman" w:cs="Times New Roman"/>
          <w:sz w:val="24"/>
          <w:szCs w:val="24"/>
        </w:rPr>
      </w:pPr>
    </w:p>
    <w:p w:rsidR="009C1BF1" w:rsidRDefault="009C1BF1" w:rsidP="009C1BF1">
      <w:pPr>
        <w:spacing w:line="360" w:lineRule="auto"/>
        <w:jc w:val="center"/>
        <w:rPr>
          <w:rFonts w:ascii="Times New Roman" w:hAnsi="Times New Roman" w:cs="Times New Roman"/>
          <w:sz w:val="24"/>
          <w:szCs w:val="24"/>
          <w:u w:val="single"/>
        </w:rPr>
      </w:pPr>
    </w:p>
    <w:p w:rsidR="00964FD6" w:rsidRDefault="00964FD6" w:rsidP="009C1BF1">
      <w:pPr>
        <w:spacing w:line="360" w:lineRule="auto"/>
        <w:jc w:val="center"/>
        <w:rPr>
          <w:rFonts w:ascii="Times New Roman" w:hAnsi="Times New Roman" w:cs="Times New Roman"/>
          <w:sz w:val="24"/>
          <w:szCs w:val="24"/>
          <w:u w:val="single"/>
        </w:rPr>
      </w:pPr>
    </w:p>
    <w:p w:rsidR="00964FD6" w:rsidRDefault="00964FD6" w:rsidP="009C1BF1">
      <w:pPr>
        <w:spacing w:line="360" w:lineRule="auto"/>
        <w:jc w:val="center"/>
        <w:rPr>
          <w:rFonts w:ascii="Times New Roman" w:hAnsi="Times New Roman" w:cs="Times New Roman"/>
          <w:sz w:val="24"/>
          <w:szCs w:val="24"/>
          <w:u w:val="single"/>
        </w:rPr>
      </w:pPr>
    </w:p>
    <w:p w:rsidR="00570606" w:rsidRDefault="00570606" w:rsidP="009C1BF1">
      <w:pPr>
        <w:spacing w:line="360" w:lineRule="auto"/>
        <w:jc w:val="center"/>
        <w:rPr>
          <w:rFonts w:ascii="Times New Roman" w:hAnsi="Times New Roman" w:cs="Times New Roman"/>
          <w:sz w:val="24"/>
          <w:szCs w:val="24"/>
          <w:u w:val="single"/>
        </w:rPr>
      </w:pPr>
    </w:p>
    <w:p w:rsidR="009C1BF1" w:rsidRPr="009C1BF1" w:rsidRDefault="009C1BF1" w:rsidP="009C1BF1">
      <w:pPr>
        <w:spacing w:line="360" w:lineRule="auto"/>
        <w:jc w:val="center"/>
        <w:rPr>
          <w:rFonts w:ascii="Times New Roman" w:hAnsi="Times New Roman" w:cs="Times New Roman"/>
          <w:sz w:val="24"/>
          <w:szCs w:val="24"/>
          <w:u w:val="single"/>
        </w:rPr>
      </w:pPr>
      <w:r w:rsidRPr="009C1BF1">
        <w:rPr>
          <w:rFonts w:ascii="Times New Roman" w:hAnsi="Times New Roman" w:cs="Times New Roman"/>
          <w:sz w:val="24"/>
          <w:szCs w:val="24"/>
          <w:u w:val="single"/>
        </w:rPr>
        <w:lastRenderedPageBreak/>
        <w:t>Bibliography</w:t>
      </w:r>
    </w:p>
    <w:p w:rsidR="009C1BF1" w:rsidRPr="009C1BF1" w:rsidRDefault="009C1BF1" w:rsidP="009C1BF1">
      <w:pPr>
        <w:spacing w:line="360" w:lineRule="auto"/>
        <w:jc w:val="center"/>
        <w:rPr>
          <w:rFonts w:ascii="Times New Roman" w:hAnsi="Times New Roman" w:cs="Times New Roman"/>
          <w:sz w:val="24"/>
          <w:szCs w:val="24"/>
        </w:rPr>
      </w:pPr>
      <w:r w:rsidRPr="009C1BF1">
        <w:rPr>
          <w:rFonts w:ascii="Times New Roman" w:hAnsi="Times New Roman" w:cs="Times New Roman"/>
          <w:sz w:val="24"/>
          <w:szCs w:val="24"/>
        </w:rPr>
        <w:t xml:space="preserve">Houston, J. (1994). </w:t>
      </w:r>
      <w:r w:rsidRPr="009C1BF1">
        <w:rPr>
          <w:rFonts w:ascii="Times New Roman" w:hAnsi="Times New Roman" w:cs="Times New Roman"/>
          <w:i/>
          <w:sz w:val="24"/>
          <w:szCs w:val="24"/>
        </w:rPr>
        <w:t>Reported miracles</w:t>
      </w:r>
      <w:r w:rsidRPr="009C1BF1">
        <w:rPr>
          <w:rFonts w:ascii="Times New Roman" w:hAnsi="Times New Roman" w:cs="Times New Roman"/>
          <w:sz w:val="24"/>
          <w:szCs w:val="24"/>
        </w:rPr>
        <w:t>. Cambridge university press.</w:t>
      </w:r>
    </w:p>
    <w:p w:rsidR="009C1BF1" w:rsidRPr="009C1BF1" w:rsidRDefault="009C1BF1" w:rsidP="009C1BF1">
      <w:pPr>
        <w:spacing w:line="360" w:lineRule="auto"/>
        <w:jc w:val="center"/>
        <w:rPr>
          <w:rFonts w:ascii="Times New Roman" w:hAnsi="Times New Roman" w:cs="Times New Roman"/>
          <w:sz w:val="24"/>
          <w:szCs w:val="24"/>
        </w:rPr>
      </w:pPr>
      <w:r w:rsidRPr="009C1BF1">
        <w:rPr>
          <w:rFonts w:ascii="Times New Roman" w:hAnsi="Times New Roman" w:cs="Times New Roman"/>
          <w:sz w:val="24"/>
          <w:szCs w:val="24"/>
        </w:rPr>
        <w:t xml:space="preserve">Wainwright, William J. (1988). </w:t>
      </w:r>
      <w:r w:rsidRPr="009C1BF1">
        <w:rPr>
          <w:rFonts w:ascii="Times New Roman" w:hAnsi="Times New Roman" w:cs="Times New Roman"/>
          <w:i/>
          <w:sz w:val="24"/>
          <w:szCs w:val="24"/>
        </w:rPr>
        <w:t>Philosophy of religion</w:t>
      </w:r>
      <w:r w:rsidRPr="009C1BF1">
        <w:rPr>
          <w:rFonts w:ascii="Times New Roman" w:hAnsi="Times New Roman" w:cs="Times New Roman"/>
          <w:sz w:val="24"/>
          <w:szCs w:val="24"/>
        </w:rPr>
        <w:t>. Wadsworth publishing company.</w:t>
      </w:r>
    </w:p>
    <w:p w:rsidR="009C1BF1" w:rsidRPr="009C1BF1" w:rsidRDefault="009C1BF1" w:rsidP="009C1BF1">
      <w:pPr>
        <w:spacing w:line="360" w:lineRule="auto"/>
        <w:jc w:val="center"/>
        <w:rPr>
          <w:rFonts w:ascii="Times New Roman" w:hAnsi="Times New Roman" w:cs="Times New Roman"/>
          <w:sz w:val="24"/>
          <w:szCs w:val="24"/>
        </w:rPr>
      </w:pPr>
      <w:r w:rsidRPr="009C1BF1">
        <w:rPr>
          <w:rFonts w:ascii="Times New Roman" w:hAnsi="Times New Roman" w:cs="Times New Roman"/>
          <w:sz w:val="24"/>
          <w:szCs w:val="24"/>
        </w:rPr>
        <w:t xml:space="preserve">Swinburne, Richard. (2004). </w:t>
      </w:r>
      <w:r w:rsidRPr="009C1BF1">
        <w:rPr>
          <w:rFonts w:ascii="Times New Roman" w:hAnsi="Times New Roman" w:cs="Times New Roman"/>
          <w:i/>
          <w:sz w:val="24"/>
          <w:szCs w:val="24"/>
        </w:rPr>
        <w:t>The existence of God (2</w:t>
      </w:r>
      <w:r w:rsidRPr="009C1BF1">
        <w:rPr>
          <w:rFonts w:ascii="Times New Roman" w:hAnsi="Times New Roman" w:cs="Times New Roman"/>
          <w:i/>
          <w:sz w:val="24"/>
          <w:szCs w:val="24"/>
          <w:vertAlign w:val="superscript"/>
        </w:rPr>
        <w:t>nd</w:t>
      </w:r>
      <w:r w:rsidRPr="009C1BF1">
        <w:rPr>
          <w:rFonts w:ascii="Times New Roman" w:hAnsi="Times New Roman" w:cs="Times New Roman"/>
          <w:i/>
          <w:sz w:val="24"/>
          <w:szCs w:val="24"/>
        </w:rPr>
        <w:t xml:space="preserve"> edition).</w:t>
      </w:r>
      <w:r w:rsidRPr="009C1BF1">
        <w:rPr>
          <w:rFonts w:ascii="Times New Roman" w:hAnsi="Times New Roman" w:cs="Times New Roman"/>
          <w:sz w:val="24"/>
          <w:szCs w:val="24"/>
        </w:rPr>
        <w:t xml:space="preserve"> Clarendon press Oxford.</w:t>
      </w:r>
    </w:p>
    <w:p w:rsidR="009C1BF1" w:rsidRPr="009C1BF1" w:rsidRDefault="009C1BF1" w:rsidP="009C1BF1">
      <w:pPr>
        <w:tabs>
          <w:tab w:val="left" w:pos="7575"/>
        </w:tabs>
        <w:spacing w:line="360" w:lineRule="auto"/>
        <w:jc w:val="center"/>
        <w:rPr>
          <w:rFonts w:ascii="Times New Roman" w:hAnsi="Times New Roman" w:cs="Times New Roman"/>
          <w:sz w:val="24"/>
          <w:szCs w:val="24"/>
        </w:rPr>
      </w:pPr>
      <w:r w:rsidRPr="009C1BF1">
        <w:rPr>
          <w:rFonts w:ascii="Times New Roman" w:hAnsi="Times New Roman" w:cs="Times New Roman"/>
          <w:sz w:val="24"/>
          <w:szCs w:val="24"/>
        </w:rPr>
        <w:t xml:space="preserve">Swinburne, Richard. (1970). </w:t>
      </w:r>
      <w:r w:rsidRPr="009C1BF1">
        <w:rPr>
          <w:rFonts w:ascii="Times New Roman" w:hAnsi="Times New Roman" w:cs="Times New Roman"/>
          <w:i/>
          <w:sz w:val="24"/>
          <w:szCs w:val="24"/>
        </w:rPr>
        <w:t>The concept of miracle</w:t>
      </w:r>
      <w:r w:rsidRPr="009C1BF1">
        <w:rPr>
          <w:rFonts w:ascii="Times New Roman" w:hAnsi="Times New Roman" w:cs="Times New Roman"/>
          <w:sz w:val="24"/>
          <w:szCs w:val="24"/>
        </w:rPr>
        <w:t>. Palgrave Macmillan.</w:t>
      </w:r>
    </w:p>
    <w:p w:rsidR="009C1BF1" w:rsidRPr="009C1BF1" w:rsidRDefault="009C1BF1" w:rsidP="009C1BF1">
      <w:pPr>
        <w:tabs>
          <w:tab w:val="left" w:pos="7575"/>
        </w:tabs>
        <w:spacing w:line="360" w:lineRule="auto"/>
        <w:jc w:val="center"/>
        <w:rPr>
          <w:rFonts w:ascii="Times New Roman" w:hAnsi="Times New Roman" w:cs="Times New Roman"/>
          <w:i/>
          <w:sz w:val="24"/>
          <w:szCs w:val="24"/>
          <w:shd w:val="clear" w:color="auto" w:fill="FFFFFF"/>
        </w:rPr>
      </w:pPr>
      <w:r w:rsidRPr="009C1BF1">
        <w:rPr>
          <w:rFonts w:ascii="Times New Roman" w:hAnsi="Times New Roman" w:cs="Times New Roman"/>
          <w:sz w:val="24"/>
          <w:szCs w:val="24"/>
        </w:rPr>
        <w:t xml:space="preserve">Beckwith, Francis, J. (1989). </w:t>
      </w:r>
      <w:r w:rsidRPr="009C1BF1">
        <w:rPr>
          <w:rFonts w:ascii="Times New Roman" w:hAnsi="Times New Roman" w:cs="Times New Roman"/>
          <w:i/>
          <w:sz w:val="24"/>
          <w:szCs w:val="24"/>
          <w:shd w:val="clear" w:color="auto" w:fill="FFFFFF"/>
        </w:rPr>
        <w:t xml:space="preserve">David Hume's argument against miracles. </w:t>
      </w:r>
      <w:r w:rsidRPr="009C1BF1">
        <w:rPr>
          <w:rFonts w:ascii="Times New Roman" w:hAnsi="Times New Roman" w:cs="Times New Roman"/>
          <w:sz w:val="24"/>
          <w:szCs w:val="24"/>
          <w:shd w:val="clear" w:color="auto" w:fill="FFFFFF"/>
        </w:rPr>
        <w:t>University press of America.</w:t>
      </w:r>
    </w:p>
    <w:p w:rsidR="009C1BF1" w:rsidRPr="009C1BF1" w:rsidRDefault="009C1BF1" w:rsidP="009C1BF1">
      <w:pPr>
        <w:tabs>
          <w:tab w:val="left" w:pos="7575"/>
        </w:tabs>
        <w:spacing w:line="360" w:lineRule="auto"/>
        <w:jc w:val="center"/>
        <w:rPr>
          <w:rFonts w:ascii="Times New Roman" w:hAnsi="Times New Roman" w:cs="Times New Roman"/>
          <w:sz w:val="24"/>
          <w:szCs w:val="24"/>
        </w:rPr>
      </w:pPr>
      <w:r w:rsidRPr="009C1BF1">
        <w:rPr>
          <w:rFonts w:ascii="Times New Roman" w:hAnsi="Times New Roman" w:cs="Times New Roman"/>
          <w:sz w:val="24"/>
          <w:szCs w:val="24"/>
        </w:rPr>
        <w:t xml:space="preserve">Corner, David.  (2007). </w:t>
      </w:r>
      <w:r w:rsidRPr="009C1BF1">
        <w:rPr>
          <w:rFonts w:ascii="Times New Roman" w:hAnsi="Times New Roman" w:cs="Times New Roman"/>
          <w:i/>
          <w:sz w:val="24"/>
          <w:szCs w:val="24"/>
        </w:rPr>
        <w:t xml:space="preserve"> The philosophy of miracles. </w:t>
      </w:r>
      <w:r w:rsidRPr="009C1BF1">
        <w:rPr>
          <w:rFonts w:ascii="Times New Roman" w:hAnsi="Times New Roman" w:cs="Times New Roman"/>
          <w:sz w:val="24"/>
          <w:szCs w:val="24"/>
        </w:rPr>
        <w:t>Library of congress cataloguing-in publication data.</w:t>
      </w:r>
    </w:p>
    <w:p w:rsidR="009C1BF1" w:rsidRPr="009C1BF1" w:rsidRDefault="009C1BF1" w:rsidP="009C1BF1">
      <w:pPr>
        <w:tabs>
          <w:tab w:val="left" w:pos="7575"/>
        </w:tabs>
        <w:spacing w:line="360" w:lineRule="auto"/>
        <w:jc w:val="center"/>
        <w:rPr>
          <w:rFonts w:ascii="Times New Roman" w:hAnsi="Times New Roman" w:cs="Times New Roman"/>
          <w:sz w:val="24"/>
          <w:szCs w:val="24"/>
        </w:rPr>
      </w:pPr>
      <w:r w:rsidRPr="009C1BF1">
        <w:rPr>
          <w:rFonts w:ascii="Times New Roman" w:hAnsi="Times New Roman" w:cs="Times New Roman"/>
          <w:sz w:val="24"/>
          <w:szCs w:val="24"/>
        </w:rPr>
        <w:t xml:space="preserve">Craig, William, lane. (2000). </w:t>
      </w:r>
      <w:r w:rsidRPr="009C1BF1">
        <w:rPr>
          <w:rFonts w:ascii="Times New Roman" w:hAnsi="Times New Roman" w:cs="Times New Roman"/>
          <w:i/>
          <w:sz w:val="24"/>
          <w:szCs w:val="24"/>
        </w:rPr>
        <w:t>Naturalism: A critical analysis.</w:t>
      </w:r>
    </w:p>
    <w:p w:rsidR="009C1BF1" w:rsidRPr="009C1BF1" w:rsidRDefault="009C1BF1" w:rsidP="009C1BF1">
      <w:pPr>
        <w:shd w:val="clear" w:color="auto" w:fill="FFFFFF"/>
        <w:spacing w:after="0" w:line="360" w:lineRule="auto"/>
        <w:jc w:val="center"/>
        <w:outlineLvl w:val="0"/>
        <w:rPr>
          <w:rFonts w:ascii="Times New Roman" w:eastAsia="Times New Roman" w:hAnsi="Times New Roman" w:cs="Times New Roman"/>
          <w:bCs/>
          <w:i/>
          <w:kern w:val="36"/>
          <w:sz w:val="24"/>
          <w:szCs w:val="24"/>
          <w:lang w:eastAsia="en-GB"/>
        </w:rPr>
      </w:pPr>
      <w:r w:rsidRPr="009C1BF1">
        <w:rPr>
          <w:rFonts w:ascii="Times New Roman" w:eastAsia="Times New Roman" w:hAnsi="Times New Roman" w:cs="Times New Roman"/>
          <w:bCs/>
          <w:kern w:val="36"/>
          <w:sz w:val="24"/>
          <w:szCs w:val="24"/>
          <w:lang w:eastAsia="en-GB"/>
        </w:rPr>
        <w:t>Herbert, Albert. J. (1986).</w:t>
      </w:r>
      <w:r w:rsidRPr="009C1BF1">
        <w:rPr>
          <w:rFonts w:ascii="Times New Roman" w:eastAsia="Times New Roman" w:hAnsi="Times New Roman" w:cs="Times New Roman"/>
          <w:bCs/>
          <w:i/>
          <w:kern w:val="36"/>
          <w:sz w:val="24"/>
          <w:szCs w:val="24"/>
          <w:lang w:eastAsia="en-GB"/>
        </w:rPr>
        <w:t xml:space="preserve">  Saints Who Raised the Dead: True Stories of 400 Resurrection Miracles.</w:t>
      </w:r>
    </w:p>
    <w:p w:rsidR="009C1BF1" w:rsidRPr="009C1BF1" w:rsidRDefault="009C1BF1" w:rsidP="009C1BF1">
      <w:pPr>
        <w:shd w:val="clear" w:color="auto" w:fill="FFFFFF"/>
        <w:spacing w:after="0" w:line="360" w:lineRule="auto"/>
        <w:jc w:val="center"/>
        <w:outlineLvl w:val="0"/>
        <w:rPr>
          <w:rFonts w:ascii="Times New Roman" w:eastAsia="Times New Roman" w:hAnsi="Times New Roman" w:cs="Times New Roman"/>
          <w:bCs/>
          <w:i/>
          <w:kern w:val="36"/>
          <w:sz w:val="24"/>
          <w:szCs w:val="24"/>
          <w:lang w:eastAsia="en-GB"/>
        </w:rPr>
      </w:pPr>
    </w:p>
    <w:p w:rsidR="009C1BF1" w:rsidRPr="009C1BF1" w:rsidRDefault="009C1BF1" w:rsidP="009C1BF1">
      <w:pPr>
        <w:shd w:val="clear" w:color="auto" w:fill="FFFFFF"/>
        <w:spacing w:after="0" w:line="360" w:lineRule="auto"/>
        <w:jc w:val="center"/>
        <w:outlineLvl w:val="0"/>
        <w:rPr>
          <w:rFonts w:ascii="Times New Roman" w:hAnsi="Times New Roman" w:cs="Times New Roman"/>
          <w:sz w:val="24"/>
          <w:szCs w:val="24"/>
          <w:shd w:val="clear" w:color="auto" w:fill="FFFFFF"/>
        </w:rPr>
      </w:pPr>
      <w:proofErr w:type="spellStart"/>
      <w:r w:rsidRPr="009C1BF1">
        <w:rPr>
          <w:rFonts w:ascii="Times New Roman" w:hAnsi="Times New Roman" w:cs="Times New Roman"/>
          <w:sz w:val="24"/>
          <w:szCs w:val="24"/>
          <w:shd w:val="clear" w:color="auto" w:fill="FFFFFF"/>
        </w:rPr>
        <w:t>Taliaferro</w:t>
      </w:r>
      <w:proofErr w:type="spellEnd"/>
      <w:r w:rsidRPr="009C1BF1">
        <w:rPr>
          <w:rFonts w:ascii="Times New Roman" w:hAnsi="Times New Roman" w:cs="Times New Roman"/>
          <w:sz w:val="24"/>
          <w:szCs w:val="24"/>
          <w:shd w:val="clear" w:color="auto" w:fill="FFFFFF"/>
        </w:rPr>
        <w:t>, Charles, and Griffiths, Paul J</w:t>
      </w:r>
      <w:r w:rsidRPr="009C1BF1">
        <w:rPr>
          <w:rFonts w:ascii="Times New Roman" w:hAnsi="Times New Roman" w:cs="Times New Roman"/>
          <w:i/>
          <w:sz w:val="24"/>
          <w:szCs w:val="24"/>
          <w:shd w:val="clear" w:color="auto" w:fill="FFFFFF"/>
        </w:rPr>
        <w:t xml:space="preserve">. (2003).  Philosophy of Religion: An Anthology. </w:t>
      </w:r>
      <w:r w:rsidRPr="009C1BF1">
        <w:rPr>
          <w:rFonts w:ascii="Times New Roman" w:hAnsi="Times New Roman" w:cs="Times New Roman"/>
          <w:sz w:val="24"/>
          <w:szCs w:val="24"/>
          <w:shd w:val="clear" w:color="auto" w:fill="FFFFFF"/>
        </w:rPr>
        <w:t>Blackwell publishing.</w:t>
      </w:r>
    </w:p>
    <w:p w:rsidR="009C1BF1" w:rsidRPr="009C1BF1" w:rsidRDefault="009C1BF1" w:rsidP="009C1BF1">
      <w:pPr>
        <w:tabs>
          <w:tab w:val="left" w:pos="7575"/>
        </w:tabs>
        <w:spacing w:line="360" w:lineRule="auto"/>
        <w:jc w:val="center"/>
        <w:rPr>
          <w:rFonts w:ascii="Times New Roman" w:hAnsi="Times New Roman" w:cs="Times New Roman"/>
          <w:sz w:val="24"/>
          <w:szCs w:val="24"/>
        </w:rPr>
      </w:pPr>
    </w:p>
    <w:p w:rsidR="009C1BF1" w:rsidRPr="009C1BF1" w:rsidRDefault="009C1BF1" w:rsidP="009C1BF1">
      <w:pPr>
        <w:shd w:val="clear" w:color="auto" w:fill="FFFFFF"/>
        <w:spacing w:after="0" w:line="360" w:lineRule="auto"/>
        <w:jc w:val="center"/>
        <w:outlineLvl w:val="0"/>
        <w:rPr>
          <w:rFonts w:ascii="Times New Roman" w:eastAsia="Times New Roman" w:hAnsi="Times New Roman" w:cs="Times New Roman"/>
          <w:bCs/>
          <w:kern w:val="36"/>
          <w:sz w:val="24"/>
          <w:szCs w:val="24"/>
          <w:lang w:eastAsia="en-GB"/>
        </w:rPr>
      </w:pPr>
      <w:r w:rsidRPr="009C1BF1">
        <w:rPr>
          <w:rFonts w:ascii="Times New Roman" w:hAnsi="Times New Roman" w:cs="Times New Roman"/>
          <w:sz w:val="24"/>
          <w:szCs w:val="24"/>
        </w:rPr>
        <w:t xml:space="preserve">The guardian. (2018). </w:t>
      </w:r>
      <w:r w:rsidRPr="009C1BF1">
        <w:rPr>
          <w:rFonts w:ascii="Times New Roman" w:hAnsi="Times New Roman" w:cs="Times New Roman"/>
          <w:bCs/>
          <w:i/>
          <w:sz w:val="24"/>
          <w:szCs w:val="24"/>
        </w:rPr>
        <w:t xml:space="preserve">Stephen Hawking says universe not created by God. </w:t>
      </w:r>
      <w:r w:rsidRPr="009C1BF1">
        <w:rPr>
          <w:rFonts w:ascii="Times New Roman" w:hAnsi="Times New Roman" w:cs="Times New Roman"/>
          <w:sz w:val="24"/>
          <w:szCs w:val="24"/>
          <w:shd w:val="clear" w:color="auto" w:fill="FFFFFF"/>
        </w:rPr>
        <w:t>[online] Available at:</w:t>
      </w:r>
    </w:p>
    <w:p w:rsidR="009C1BF1" w:rsidRPr="009C1BF1" w:rsidRDefault="009C1BF1" w:rsidP="009C1BF1">
      <w:pPr>
        <w:pStyle w:val="FootnoteText"/>
        <w:spacing w:line="360" w:lineRule="auto"/>
        <w:jc w:val="center"/>
        <w:rPr>
          <w:rFonts w:ascii="Times New Roman" w:hAnsi="Times New Roman" w:cs="Times New Roman"/>
          <w:sz w:val="24"/>
          <w:szCs w:val="24"/>
          <w:shd w:val="clear" w:color="auto" w:fill="FFFFFF"/>
        </w:rPr>
      </w:pPr>
      <w:hyperlink r:id="rId7" w:history="1">
        <w:r w:rsidRPr="009C1BF1">
          <w:rPr>
            <w:rStyle w:val="Hyperlink"/>
            <w:rFonts w:ascii="Times New Roman" w:hAnsi="Times New Roman" w:cs="Times New Roman"/>
            <w:color w:val="auto"/>
            <w:sz w:val="24"/>
            <w:szCs w:val="24"/>
          </w:rPr>
          <w:t>https://www.theguardian.com/science/2010/sep/02/stephen-hawking-big-bang-creator</w:t>
        </w:r>
      </w:hyperlink>
      <w:r w:rsidRPr="009C1BF1">
        <w:rPr>
          <w:rStyle w:val="Hyperlink"/>
          <w:rFonts w:ascii="Times New Roman" w:hAnsi="Times New Roman" w:cs="Times New Roman"/>
          <w:color w:val="auto"/>
          <w:sz w:val="24"/>
          <w:szCs w:val="24"/>
        </w:rPr>
        <w:t xml:space="preserve"> </w:t>
      </w:r>
      <w:r w:rsidRPr="009C1BF1">
        <w:rPr>
          <w:rFonts w:ascii="Times New Roman" w:hAnsi="Times New Roman" w:cs="Times New Roman"/>
          <w:sz w:val="24"/>
          <w:szCs w:val="24"/>
          <w:shd w:val="clear" w:color="auto" w:fill="FFFFFF"/>
        </w:rPr>
        <w:t>[Accessed 01 May. 2018].</w:t>
      </w:r>
    </w:p>
    <w:p w:rsidR="009C1BF1" w:rsidRPr="009C1BF1" w:rsidRDefault="009C1BF1" w:rsidP="009C1BF1">
      <w:pPr>
        <w:pStyle w:val="FootnoteText"/>
        <w:spacing w:line="360" w:lineRule="auto"/>
        <w:jc w:val="center"/>
        <w:rPr>
          <w:rFonts w:ascii="Times New Roman" w:hAnsi="Times New Roman" w:cs="Times New Roman"/>
          <w:sz w:val="24"/>
          <w:szCs w:val="24"/>
        </w:rPr>
      </w:pPr>
    </w:p>
    <w:p w:rsidR="009C1BF1" w:rsidRPr="009C1BF1" w:rsidRDefault="009C1BF1" w:rsidP="009C1BF1">
      <w:pPr>
        <w:pStyle w:val="FootnoteText"/>
        <w:spacing w:line="360" w:lineRule="auto"/>
        <w:jc w:val="center"/>
        <w:rPr>
          <w:rFonts w:ascii="Times New Roman" w:hAnsi="Times New Roman" w:cs="Times New Roman"/>
          <w:sz w:val="24"/>
          <w:szCs w:val="24"/>
        </w:rPr>
      </w:pPr>
      <w:proofErr w:type="spellStart"/>
      <w:r w:rsidRPr="009C1BF1">
        <w:rPr>
          <w:rFonts w:ascii="Times New Roman" w:hAnsi="Times New Roman" w:cs="Times New Roman"/>
          <w:sz w:val="24"/>
          <w:szCs w:val="24"/>
        </w:rPr>
        <w:t>Everitt</w:t>
      </w:r>
      <w:proofErr w:type="spellEnd"/>
      <w:r w:rsidRPr="009C1BF1">
        <w:rPr>
          <w:rFonts w:ascii="Times New Roman" w:hAnsi="Times New Roman" w:cs="Times New Roman"/>
          <w:sz w:val="24"/>
          <w:szCs w:val="24"/>
        </w:rPr>
        <w:t xml:space="preserve">, Nicholas. (2003). </w:t>
      </w:r>
      <w:r w:rsidRPr="009C1BF1">
        <w:rPr>
          <w:rFonts w:ascii="Times New Roman" w:hAnsi="Times New Roman" w:cs="Times New Roman"/>
          <w:i/>
          <w:sz w:val="24"/>
          <w:szCs w:val="24"/>
        </w:rPr>
        <w:t>The non-existence of god</w:t>
      </w:r>
      <w:r w:rsidRPr="009C1BF1">
        <w:rPr>
          <w:rFonts w:ascii="Times New Roman" w:hAnsi="Times New Roman" w:cs="Times New Roman"/>
          <w:sz w:val="24"/>
          <w:szCs w:val="24"/>
        </w:rPr>
        <w:t>. Psychology press. Page 125.</w:t>
      </w:r>
    </w:p>
    <w:p w:rsidR="009C1BF1" w:rsidRPr="009C1BF1" w:rsidRDefault="009C1BF1" w:rsidP="009C1BF1">
      <w:pPr>
        <w:pStyle w:val="FootnoteText"/>
        <w:spacing w:line="360" w:lineRule="auto"/>
        <w:jc w:val="center"/>
        <w:rPr>
          <w:rFonts w:ascii="Times New Roman" w:hAnsi="Times New Roman" w:cs="Times New Roman"/>
          <w:sz w:val="24"/>
          <w:szCs w:val="24"/>
        </w:rPr>
      </w:pPr>
    </w:p>
    <w:p w:rsidR="009C1BF1" w:rsidRPr="009C1BF1" w:rsidRDefault="009C1BF1" w:rsidP="009C1BF1">
      <w:pPr>
        <w:shd w:val="clear" w:color="auto" w:fill="FFFFFF"/>
        <w:spacing w:after="0" w:line="360" w:lineRule="auto"/>
        <w:jc w:val="center"/>
        <w:outlineLvl w:val="0"/>
        <w:rPr>
          <w:rFonts w:ascii="Times New Roman" w:hAnsi="Times New Roman" w:cs="Times New Roman"/>
          <w:sz w:val="24"/>
          <w:szCs w:val="24"/>
          <w:shd w:val="clear" w:color="auto" w:fill="FFFFFF"/>
        </w:rPr>
      </w:pPr>
      <w:hyperlink r:id="rId8" w:history="1">
        <w:r w:rsidRPr="009C1BF1">
          <w:rPr>
            <w:rStyle w:val="Hyperlink"/>
            <w:rFonts w:ascii="Times New Roman" w:hAnsi="Times New Roman" w:cs="Times New Roman"/>
            <w:color w:val="auto"/>
            <w:sz w:val="24"/>
            <w:szCs w:val="24"/>
            <w:u w:val="none"/>
            <w:shd w:val="clear" w:color="auto" w:fill="FFFFFF"/>
          </w:rPr>
          <w:t>Beverley Clack</w:t>
        </w:r>
      </w:hyperlink>
      <w:r w:rsidRPr="009C1BF1">
        <w:rPr>
          <w:rFonts w:ascii="Times New Roman" w:hAnsi="Times New Roman" w:cs="Times New Roman"/>
          <w:sz w:val="24"/>
          <w:szCs w:val="24"/>
          <w:shd w:val="clear" w:color="auto" w:fill="FFFFFF"/>
        </w:rPr>
        <w:t>, </w:t>
      </w:r>
      <w:hyperlink r:id="rId9" w:history="1">
        <w:r w:rsidRPr="009C1BF1">
          <w:rPr>
            <w:rStyle w:val="Hyperlink"/>
            <w:rFonts w:ascii="Times New Roman" w:hAnsi="Times New Roman" w:cs="Times New Roman"/>
            <w:color w:val="auto"/>
            <w:sz w:val="24"/>
            <w:szCs w:val="24"/>
            <w:u w:val="none"/>
            <w:shd w:val="clear" w:color="auto" w:fill="FFFFFF"/>
          </w:rPr>
          <w:t>Brian R. Clack</w:t>
        </w:r>
      </w:hyperlink>
      <w:r w:rsidRPr="009C1BF1">
        <w:rPr>
          <w:rFonts w:ascii="Times New Roman" w:hAnsi="Times New Roman" w:cs="Times New Roman"/>
          <w:sz w:val="24"/>
          <w:szCs w:val="24"/>
        </w:rPr>
        <w:t xml:space="preserve">. (1998). </w:t>
      </w:r>
      <w:r w:rsidRPr="009C1BF1">
        <w:rPr>
          <w:rFonts w:ascii="Times New Roman" w:hAnsi="Times New Roman" w:cs="Times New Roman"/>
          <w:sz w:val="24"/>
          <w:szCs w:val="24"/>
          <w:shd w:val="clear" w:color="auto" w:fill="FFFFFF"/>
        </w:rPr>
        <w:t>Philosophy of Religion: A Critical Introduction. Page 146.</w:t>
      </w:r>
    </w:p>
    <w:p w:rsidR="009C1BF1" w:rsidRPr="009C1BF1" w:rsidRDefault="009C1BF1" w:rsidP="009C1BF1">
      <w:pPr>
        <w:shd w:val="clear" w:color="auto" w:fill="FFFFFF"/>
        <w:spacing w:after="0" w:line="360" w:lineRule="auto"/>
        <w:jc w:val="center"/>
        <w:outlineLvl w:val="0"/>
        <w:rPr>
          <w:rFonts w:ascii="Times New Roman" w:eastAsia="Times New Roman" w:hAnsi="Times New Roman" w:cs="Times New Roman"/>
          <w:bCs/>
          <w:kern w:val="36"/>
          <w:sz w:val="24"/>
          <w:szCs w:val="24"/>
          <w:lang w:eastAsia="en-GB"/>
        </w:rPr>
      </w:pPr>
    </w:p>
    <w:p w:rsidR="009C1BF1" w:rsidRPr="009C1BF1" w:rsidRDefault="009C1BF1" w:rsidP="009C1BF1">
      <w:pPr>
        <w:shd w:val="clear" w:color="auto" w:fill="FFFFFF"/>
        <w:spacing w:after="0" w:line="360" w:lineRule="auto"/>
        <w:jc w:val="center"/>
        <w:outlineLvl w:val="0"/>
        <w:rPr>
          <w:rFonts w:ascii="Times New Roman" w:eastAsia="Times New Roman" w:hAnsi="Times New Roman" w:cs="Times New Roman"/>
          <w:b/>
          <w:bCs/>
          <w:kern w:val="36"/>
          <w:sz w:val="24"/>
          <w:szCs w:val="24"/>
          <w:lang w:eastAsia="en-GB"/>
        </w:rPr>
      </w:pPr>
      <w:r w:rsidRPr="009C1BF1">
        <w:rPr>
          <w:rFonts w:ascii="Times New Roman" w:hAnsi="Times New Roman" w:cs="Times New Roman"/>
          <w:sz w:val="24"/>
          <w:szCs w:val="24"/>
        </w:rPr>
        <w:t>Hume David. (1748). An enquiry concerning human understanding. Section X.</w:t>
      </w:r>
    </w:p>
    <w:p w:rsidR="009C1BF1" w:rsidRDefault="009C1BF1"/>
    <w:sectPr w:rsidR="009C1BF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5C76" w:rsidRDefault="001C5C76" w:rsidP="009C1BF1">
      <w:pPr>
        <w:spacing w:after="0" w:line="240" w:lineRule="auto"/>
      </w:pPr>
      <w:r>
        <w:separator/>
      </w:r>
    </w:p>
  </w:endnote>
  <w:endnote w:type="continuationSeparator" w:id="0">
    <w:p w:rsidR="001C5C76" w:rsidRDefault="001C5C76" w:rsidP="009C1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5C76" w:rsidRDefault="001C5C76" w:rsidP="009C1BF1">
      <w:pPr>
        <w:spacing w:after="0" w:line="240" w:lineRule="auto"/>
      </w:pPr>
      <w:r>
        <w:separator/>
      </w:r>
    </w:p>
  </w:footnote>
  <w:footnote w:type="continuationSeparator" w:id="0">
    <w:p w:rsidR="001C5C76" w:rsidRDefault="001C5C76" w:rsidP="009C1BF1">
      <w:pPr>
        <w:spacing w:after="0" w:line="240" w:lineRule="auto"/>
      </w:pPr>
      <w:r>
        <w:continuationSeparator/>
      </w:r>
    </w:p>
  </w:footnote>
  <w:footnote w:id="1">
    <w:p w:rsidR="009C1BF1" w:rsidRDefault="009C1BF1" w:rsidP="009C1BF1">
      <w:pPr>
        <w:pStyle w:val="FootnoteText"/>
      </w:pPr>
      <w:r>
        <w:rPr>
          <w:rStyle w:val="FootnoteReference"/>
        </w:rPr>
        <w:footnoteRef/>
      </w:r>
      <w:r>
        <w:t xml:space="preserve"> </w:t>
      </w:r>
      <w:r w:rsidRPr="00461F7C">
        <w:rPr>
          <w:rFonts w:ascii="Times New Roman" w:hAnsi="Times New Roman" w:cs="Times New Roman"/>
          <w:sz w:val="16"/>
          <w:szCs w:val="16"/>
        </w:rPr>
        <w:t xml:space="preserve">Swinburne, Richard. (1970). </w:t>
      </w:r>
      <w:r w:rsidRPr="00461F7C">
        <w:rPr>
          <w:rFonts w:ascii="Times New Roman" w:hAnsi="Times New Roman" w:cs="Times New Roman"/>
          <w:i/>
          <w:sz w:val="16"/>
          <w:szCs w:val="16"/>
        </w:rPr>
        <w:t>The concept of miracle</w:t>
      </w:r>
      <w:r w:rsidRPr="00461F7C">
        <w:rPr>
          <w:rFonts w:ascii="Times New Roman" w:hAnsi="Times New Roman" w:cs="Times New Roman"/>
          <w:sz w:val="16"/>
          <w:szCs w:val="16"/>
        </w:rPr>
        <w:t>. Palgrave Macmillan.</w:t>
      </w:r>
    </w:p>
  </w:footnote>
  <w:footnote w:id="2">
    <w:p w:rsidR="005B52BA" w:rsidRDefault="005B52BA">
      <w:pPr>
        <w:pStyle w:val="FootnoteText"/>
      </w:pPr>
      <w:r>
        <w:rPr>
          <w:rStyle w:val="FootnoteReference"/>
        </w:rPr>
        <w:footnoteRef/>
      </w:r>
      <w:r>
        <w:t xml:space="preserve"> </w:t>
      </w:r>
    </w:p>
  </w:footnote>
  <w:footnote w:id="3">
    <w:p w:rsidR="009C1BF1" w:rsidRPr="00461F7C" w:rsidRDefault="009C1BF1" w:rsidP="009C1BF1">
      <w:pPr>
        <w:pStyle w:val="FootnoteText"/>
        <w:rPr>
          <w:rFonts w:ascii="Times New Roman" w:hAnsi="Times New Roman" w:cs="Times New Roman"/>
          <w:sz w:val="16"/>
          <w:szCs w:val="16"/>
        </w:rPr>
      </w:pPr>
      <w:r w:rsidRPr="00461F7C">
        <w:rPr>
          <w:rStyle w:val="FootnoteReference"/>
          <w:rFonts w:ascii="Times New Roman" w:hAnsi="Times New Roman" w:cs="Times New Roman"/>
          <w:sz w:val="16"/>
          <w:szCs w:val="16"/>
        </w:rPr>
        <w:footnoteRef/>
      </w:r>
      <w:r w:rsidRPr="00461F7C">
        <w:rPr>
          <w:rFonts w:ascii="Times New Roman" w:hAnsi="Times New Roman" w:cs="Times New Roman"/>
          <w:sz w:val="16"/>
          <w:szCs w:val="16"/>
        </w:rPr>
        <w:t xml:space="preserve"> Swinburne, Richard. (1970). </w:t>
      </w:r>
      <w:r w:rsidRPr="00461F7C">
        <w:rPr>
          <w:rFonts w:ascii="Times New Roman" w:hAnsi="Times New Roman" w:cs="Times New Roman"/>
          <w:i/>
          <w:sz w:val="16"/>
          <w:szCs w:val="16"/>
        </w:rPr>
        <w:t>The concept of miracle</w:t>
      </w:r>
      <w:r w:rsidRPr="00461F7C">
        <w:rPr>
          <w:rFonts w:ascii="Times New Roman" w:hAnsi="Times New Roman" w:cs="Times New Roman"/>
          <w:sz w:val="16"/>
          <w:szCs w:val="16"/>
        </w:rPr>
        <w:t>. Palgrave Macmillan.</w:t>
      </w:r>
    </w:p>
  </w:footnote>
  <w:footnote w:id="4">
    <w:p w:rsidR="009C1BF1" w:rsidRPr="00725925" w:rsidRDefault="009C1BF1" w:rsidP="009C1BF1">
      <w:pPr>
        <w:tabs>
          <w:tab w:val="left" w:pos="7575"/>
        </w:tabs>
        <w:rPr>
          <w:sz w:val="18"/>
          <w:szCs w:val="16"/>
        </w:rPr>
      </w:pPr>
      <w:r w:rsidRPr="00461F7C">
        <w:rPr>
          <w:rStyle w:val="FootnoteReference"/>
          <w:rFonts w:ascii="Times New Roman" w:hAnsi="Times New Roman" w:cs="Times New Roman"/>
          <w:sz w:val="16"/>
          <w:szCs w:val="16"/>
        </w:rPr>
        <w:footnoteRef/>
      </w:r>
      <w:r w:rsidRPr="00461F7C">
        <w:rPr>
          <w:rFonts w:ascii="Times New Roman" w:hAnsi="Times New Roman" w:cs="Times New Roman"/>
          <w:sz w:val="16"/>
          <w:szCs w:val="16"/>
        </w:rPr>
        <w:t xml:space="preserve"> Corner, David.  (2007). </w:t>
      </w:r>
      <w:r w:rsidRPr="00461F7C">
        <w:rPr>
          <w:rFonts w:ascii="Times New Roman" w:hAnsi="Times New Roman" w:cs="Times New Roman"/>
          <w:i/>
          <w:sz w:val="16"/>
          <w:szCs w:val="16"/>
        </w:rPr>
        <w:t xml:space="preserve"> The philosophy of miracles. </w:t>
      </w:r>
      <w:r w:rsidRPr="00461F7C">
        <w:rPr>
          <w:rFonts w:ascii="Times New Roman" w:hAnsi="Times New Roman" w:cs="Times New Roman"/>
          <w:sz w:val="16"/>
          <w:szCs w:val="16"/>
        </w:rPr>
        <w:t xml:space="preserve">Library of congress cataloguing-in publication data. </w:t>
      </w:r>
    </w:p>
  </w:footnote>
  <w:footnote w:id="5">
    <w:p w:rsidR="009C1BF1" w:rsidRPr="001D7891" w:rsidRDefault="009C1BF1" w:rsidP="009C1BF1">
      <w:pPr>
        <w:pStyle w:val="FootnoteText"/>
        <w:rPr>
          <w:rFonts w:ascii="Times New Roman" w:hAnsi="Times New Roman" w:cs="Times New Roman"/>
          <w:sz w:val="16"/>
          <w:szCs w:val="16"/>
        </w:rPr>
      </w:pPr>
      <w:r w:rsidRPr="001D7891">
        <w:rPr>
          <w:rStyle w:val="FootnoteReference"/>
          <w:rFonts w:ascii="Times New Roman" w:hAnsi="Times New Roman" w:cs="Times New Roman"/>
          <w:sz w:val="16"/>
          <w:szCs w:val="16"/>
        </w:rPr>
        <w:footnoteRef/>
      </w:r>
      <w:r w:rsidRPr="001D7891">
        <w:rPr>
          <w:rFonts w:ascii="Times New Roman" w:hAnsi="Times New Roman" w:cs="Times New Roman"/>
          <w:sz w:val="16"/>
          <w:szCs w:val="16"/>
        </w:rPr>
        <w:t xml:space="preserve"> </w:t>
      </w:r>
      <w:proofErr w:type="spellStart"/>
      <w:r w:rsidRPr="001D7891">
        <w:rPr>
          <w:rFonts w:ascii="Times New Roman" w:hAnsi="Times New Roman" w:cs="Times New Roman"/>
          <w:sz w:val="16"/>
          <w:szCs w:val="16"/>
        </w:rPr>
        <w:t>Everitt</w:t>
      </w:r>
      <w:proofErr w:type="spellEnd"/>
      <w:r w:rsidRPr="001D7891">
        <w:rPr>
          <w:rFonts w:ascii="Times New Roman" w:hAnsi="Times New Roman" w:cs="Times New Roman"/>
          <w:sz w:val="16"/>
          <w:szCs w:val="16"/>
        </w:rPr>
        <w:t xml:space="preserve">, Nicholas. (2003). </w:t>
      </w:r>
      <w:r w:rsidRPr="001D7891">
        <w:rPr>
          <w:rFonts w:ascii="Times New Roman" w:hAnsi="Times New Roman" w:cs="Times New Roman"/>
          <w:i/>
          <w:sz w:val="16"/>
          <w:szCs w:val="16"/>
        </w:rPr>
        <w:t>The non-existence of god</w:t>
      </w:r>
      <w:r w:rsidRPr="001D7891">
        <w:rPr>
          <w:rFonts w:ascii="Times New Roman" w:hAnsi="Times New Roman" w:cs="Times New Roman"/>
          <w:sz w:val="16"/>
          <w:szCs w:val="16"/>
        </w:rPr>
        <w:t xml:space="preserve">. Psychology press. Page 125. </w:t>
      </w:r>
    </w:p>
  </w:footnote>
  <w:footnote w:id="6">
    <w:p w:rsidR="009C1BF1" w:rsidRPr="001D7891" w:rsidRDefault="009C1BF1" w:rsidP="009C1BF1">
      <w:pPr>
        <w:pStyle w:val="FootnoteText"/>
        <w:rPr>
          <w:rFonts w:ascii="Times New Roman" w:hAnsi="Times New Roman" w:cs="Times New Roman"/>
          <w:sz w:val="16"/>
          <w:szCs w:val="16"/>
        </w:rPr>
      </w:pPr>
      <w:r w:rsidRPr="001D7891">
        <w:rPr>
          <w:rStyle w:val="FootnoteReference"/>
          <w:rFonts w:ascii="Times New Roman" w:hAnsi="Times New Roman" w:cs="Times New Roman"/>
          <w:sz w:val="16"/>
          <w:szCs w:val="16"/>
        </w:rPr>
        <w:footnoteRef/>
      </w:r>
      <w:r w:rsidRPr="001D7891">
        <w:rPr>
          <w:rFonts w:ascii="Times New Roman" w:hAnsi="Times New Roman" w:cs="Times New Roman"/>
          <w:sz w:val="16"/>
          <w:szCs w:val="16"/>
        </w:rPr>
        <w:t xml:space="preserve"> Wainwright, William J. (1988). </w:t>
      </w:r>
      <w:r w:rsidRPr="001D7891">
        <w:rPr>
          <w:rFonts w:ascii="Times New Roman" w:hAnsi="Times New Roman" w:cs="Times New Roman"/>
          <w:i/>
          <w:sz w:val="16"/>
          <w:szCs w:val="16"/>
        </w:rPr>
        <w:t>Philosophy of religion</w:t>
      </w:r>
      <w:r w:rsidRPr="001D7891">
        <w:rPr>
          <w:rFonts w:ascii="Times New Roman" w:hAnsi="Times New Roman" w:cs="Times New Roman"/>
          <w:sz w:val="16"/>
          <w:szCs w:val="16"/>
        </w:rPr>
        <w:t xml:space="preserve">. Wadsworth publishing company. Page 58. </w:t>
      </w:r>
    </w:p>
  </w:footnote>
  <w:footnote w:id="7">
    <w:p w:rsidR="009C1BF1" w:rsidRPr="001D7891" w:rsidRDefault="009C1BF1" w:rsidP="009C1BF1">
      <w:pPr>
        <w:pStyle w:val="FootnoteText"/>
        <w:rPr>
          <w:rFonts w:ascii="Times New Roman" w:hAnsi="Times New Roman" w:cs="Times New Roman"/>
          <w:sz w:val="16"/>
          <w:szCs w:val="16"/>
        </w:rPr>
      </w:pPr>
      <w:r w:rsidRPr="001D7891">
        <w:rPr>
          <w:rStyle w:val="FootnoteReference"/>
          <w:rFonts w:ascii="Times New Roman" w:hAnsi="Times New Roman" w:cs="Times New Roman"/>
          <w:sz w:val="16"/>
          <w:szCs w:val="16"/>
        </w:rPr>
        <w:footnoteRef/>
      </w:r>
      <w:r w:rsidRPr="001D7891">
        <w:rPr>
          <w:rFonts w:ascii="Times New Roman" w:hAnsi="Times New Roman" w:cs="Times New Roman"/>
          <w:sz w:val="16"/>
          <w:szCs w:val="16"/>
        </w:rPr>
        <w:t xml:space="preserve"> Wainwright, William J. (1988). </w:t>
      </w:r>
      <w:r w:rsidRPr="001D7891">
        <w:rPr>
          <w:rFonts w:ascii="Times New Roman" w:hAnsi="Times New Roman" w:cs="Times New Roman"/>
          <w:i/>
          <w:sz w:val="16"/>
          <w:szCs w:val="16"/>
        </w:rPr>
        <w:t>Philosophy of religion</w:t>
      </w:r>
      <w:r w:rsidRPr="001D7891">
        <w:rPr>
          <w:rFonts w:ascii="Times New Roman" w:hAnsi="Times New Roman" w:cs="Times New Roman"/>
          <w:sz w:val="16"/>
          <w:szCs w:val="16"/>
        </w:rPr>
        <w:t>. Wadsworth publishing company. Page 58.</w:t>
      </w:r>
    </w:p>
  </w:footnote>
  <w:footnote w:id="8">
    <w:p w:rsidR="009C1BF1" w:rsidRPr="001D7891" w:rsidRDefault="009C1BF1" w:rsidP="009C1BF1">
      <w:pPr>
        <w:rPr>
          <w:rFonts w:ascii="Times New Roman" w:hAnsi="Times New Roman" w:cs="Times New Roman"/>
          <w:sz w:val="16"/>
          <w:szCs w:val="16"/>
        </w:rPr>
      </w:pPr>
      <w:r w:rsidRPr="001D7891">
        <w:rPr>
          <w:rStyle w:val="FootnoteReference"/>
          <w:rFonts w:ascii="Times New Roman" w:hAnsi="Times New Roman" w:cs="Times New Roman"/>
          <w:sz w:val="16"/>
          <w:szCs w:val="16"/>
        </w:rPr>
        <w:footnoteRef/>
      </w:r>
      <w:r w:rsidRPr="001D7891">
        <w:rPr>
          <w:rFonts w:ascii="Times New Roman" w:hAnsi="Times New Roman" w:cs="Times New Roman"/>
          <w:sz w:val="16"/>
          <w:szCs w:val="16"/>
        </w:rPr>
        <w:t xml:space="preserve"> Wainwright, William J. (1988). </w:t>
      </w:r>
      <w:r w:rsidRPr="001D7891">
        <w:rPr>
          <w:rFonts w:ascii="Times New Roman" w:hAnsi="Times New Roman" w:cs="Times New Roman"/>
          <w:i/>
          <w:sz w:val="16"/>
          <w:szCs w:val="16"/>
        </w:rPr>
        <w:t>Philosophy of religion</w:t>
      </w:r>
      <w:r w:rsidRPr="001D7891">
        <w:rPr>
          <w:rFonts w:ascii="Times New Roman" w:hAnsi="Times New Roman" w:cs="Times New Roman"/>
          <w:sz w:val="16"/>
          <w:szCs w:val="16"/>
        </w:rPr>
        <w:t xml:space="preserve">. Wadsworth publishing company. Page 58-59. </w:t>
      </w:r>
    </w:p>
  </w:footnote>
  <w:footnote w:id="9">
    <w:p w:rsidR="009C1BF1" w:rsidRPr="001D7891" w:rsidRDefault="009C1BF1" w:rsidP="009C1BF1">
      <w:pPr>
        <w:pStyle w:val="FootnoteText"/>
        <w:rPr>
          <w:rFonts w:ascii="Times New Roman" w:hAnsi="Times New Roman" w:cs="Times New Roman"/>
          <w:sz w:val="16"/>
          <w:szCs w:val="16"/>
        </w:rPr>
      </w:pPr>
      <w:r w:rsidRPr="001D7891">
        <w:rPr>
          <w:rStyle w:val="FootnoteReference"/>
          <w:rFonts w:ascii="Times New Roman" w:hAnsi="Times New Roman" w:cs="Times New Roman"/>
          <w:sz w:val="16"/>
          <w:szCs w:val="16"/>
        </w:rPr>
        <w:footnoteRef/>
      </w:r>
      <w:r w:rsidRPr="001D7891">
        <w:rPr>
          <w:rFonts w:ascii="Times New Roman" w:hAnsi="Times New Roman" w:cs="Times New Roman"/>
          <w:sz w:val="16"/>
          <w:szCs w:val="16"/>
        </w:rPr>
        <w:t xml:space="preserve"> Swinburne, Richard. (2004). </w:t>
      </w:r>
      <w:r w:rsidRPr="001D7891">
        <w:rPr>
          <w:rFonts w:ascii="Times New Roman" w:hAnsi="Times New Roman" w:cs="Times New Roman"/>
          <w:i/>
          <w:sz w:val="16"/>
          <w:szCs w:val="16"/>
        </w:rPr>
        <w:t>The existence of God (2</w:t>
      </w:r>
      <w:r w:rsidRPr="001D7891">
        <w:rPr>
          <w:rFonts w:ascii="Times New Roman" w:hAnsi="Times New Roman" w:cs="Times New Roman"/>
          <w:i/>
          <w:sz w:val="16"/>
          <w:szCs w:val="16"/>
          <w:vertAlign w:val="superscript"/>
        </w:rPr>
        <w:t>nd</w:t>
      </w:r>
      <w:r w:rsidRPr="001D7891">
        <w:rPr>
          <w:rFonts w:ascii="Times New Roman" w:hAnsi="Times New Roman" w:cs="Times New Roman"/>
          <w:i/>
          <w:sz w:val="16"/>
          <w:szCs w:val="16"/>
        </w:rPr>
        <w:t xml:space="preserve"> edition).</w:t>
      </w:r>
      <w:r w:rsidRPr="001D7891">
        <w:rPr>
          <w:rFonts w:ascii="Times New Roman" w:hAnsi="Times New Roman" w:cs="Times New Roman"/>
          <w:sz w:val="16"/>
          <w:szCs w:val="16"/>
        </w:rPr>
        <w:t xml:space="preserve"> Clarendon press Oxford. Page 275. </w:t>
      </w:r>
    </w:p>
  </w:footnote>
  <w:footnote w:id="10">
    <w:p w:rsidR="009C1BF1" w:rsidRPr="001D7891" w:rsidRDefault="009C1BF1" w:rsidP="009C1BF1">
      <w:pPr>
        <w:pStyle w:val="FootnoteText"/>
        <w:rPr>
          <w:rFonts w:ascii="Times New Roman" w:hAnsi="Times New Roman" w:cs="Times New Roman"/>
          <w:sz w:val="16"/>
          <w:szCs w:val="16"/>
        </w:rPr>
      </w:pPr>
      <w:r w:rsidRPr="001D7891">
        <w:rPr>
          <w:rStyle w:val="FootnoteReference"/>
          <w:rFonts w:ascii="Times New Roman" w:hAnsi="Times New Roman" w:cs="Times New Roman"/>
          <w:sz w:val="16"/>
          <w:szCs w:val="16"/>
        </w:rPr>
        <w:footnoteRef/>
      </w:r>
      <w:r w:rsidRPr="001D7891">
        <w:rPr>
          <w:rFonts w:ascii="Times New Roman" w:hAnsi="Times New Roman" w:cs="Times New Roman"/>
          <w:sz w:val="16"/>
          <w:szCs w:val="16"/>
        </w:rPr>
        <w:t xml:space="preserve"> Houston, J. (1994). </w:t>
      </w:r>
      <w:r w:rsidRPr="001D7891">
        <w:rPr>
          <w:rFonts w:ascii="Times New Roman" w:hAnsi="Times New Roman" w:cs="Times New Roman"/>
          <w:i/>
          <w:sz w:val="16"/>
          <w:szCs w:val="16"/>
        </w:rPr>
        <w:t>Reported miracles</w:t>
      </w:r>
      <w:r w:rsidRPr="001D7891">
        <w:rPr>
          <w:rFonts w:ascii="Times New Roman" w:hAnsi="Times New Roman" w:cs="Times New Roman"/>
          <w:sz w:val="16"/>
          <w:szCs w:val="16"/>
        </w:rPr>
        <w:t>. Cambridge university press. Page 35</w:t>
      </w:r>
    </w:p>
  </w:footnote>
  <w:footnote w:id="11">
    <w:p w:rsidR="009C1BF1" w:rsidRPr="00964FD6" w:rsidRDefault="009C1BF1" w:rsidP="009C1BF1">
      <w:pPr>
        <w:rPr>
          <w:sz w:val="16"/>
          <w:szCs w:val="16"/>
        </w:rPr>
      </w:pPr>
      <w:r w:rsidRPr="00964FD6">
        <w:rPr>
          <w:rStyle w:val="FootnoteReference"/>
          <w:rFonts w:ascii="Times New Roman" w:hAnsi="Times New Roman" w:cs="Times New Roman"/>
          <w:sz w:val="16"/>
          <w:szCs w:val="16"/>
        </w:rPr>
        <w:footnoteRef/>
      </w:r>
      <w:r w:rsidRPr="00964FD6">
        <w:rPr>
          <w:rFonts w:ascii="Times New Roman" w:hAnsi="Times New Roman" w:cs="Times New Roman"/>
          <w:sz w:val="16"/>
          <w:szCs w:val="16"/>
        </w:rPr>
        <w:t xml:space="preserve"> Houston, J. (1994). </w:t>
      </w:r>
      <w:r w:rsidRPr="00964FD6">
        <w:rPr>
          <w:rFonts w:ascii="Times New Roman" w:hAnsi="Times New Roman" w:cs="Times New Roman"/>
          <w:i/>
          <w:sz w:val="16"/>
          <w:szCs w:val="16"/>
        </w:rPr>
        <w:t>Reported miracles</w:t>
      </w:r>
      <w:r w:rsidRPr="00964FD6">
        <w:rPr>
          <w:rFonts w:ascii="Times New Roman" w:hAnsi="Times New Roman" w:cs="Times New Roman"/>
          <w:sz w:val="16"/>
          <w:szCs w:val="16"/>
        </w:rPr>
        <w:t>. Cambridge university press. Page 35</w:t>
      </w:r>
    </w:p>
  </w:footnote>
  <w:footnote w:id="12">
    <w:p w:rsidR="009C1BF1" w:rsidRPr="00BD65CB" w:rsidRDefault="009C1BF1" w:rsidP="009C1BF1">
      <w:pPr>
        <w:spacing w:line="360" w:lineRule="auto"/>
        <w:jc w:val="both"/>
        <w:rPr>
          <w:rFonts w:ascii="Times New Roman" w:hAnsi="Times New Roman" w:cs="Times New Roman"/>
          <w:sz w:val="24"/>
          <w:szCs w:val="24"/>
        </w:rPr>
      </w:pPr>
      <w:r w:rsidRPr="00964FD6">
        <w:rPr>
          <w:rStyle w:val="FootnoteReference"/>
          <w:sz w:val="16"/>
          <w:szCs w:val="16"/>
        </w:rPr>
        <w:footnoteRef/>
      </w:r>
      <w:r w:rsidRPr="00964FD6">
        <w:rPr>
          <w:sz w:val="16"/>
          <w:szCs w:val="16"/>
        </w:rPr>
        <w:t xml:space="preserve"> </w:t>
      </w:r>
      <w:r w:rsidRPr="00964FD6">
        <w:rPr>
          <w:rFonts w:ascii="Times New Roman" w:hAnsi="Times New Roman" w:cs="Times New Roman"/>
          <w:sz w:val="16"/>
          <w:szCs w:val="16"/>
        </w:rPr>
        <w:t xml:space="preserve">Houston, J. (1994). </w:t>
      </w:r>
      <w:r w:rsidRPr="00964FD6">
        <w:rPr>
          <w:rFonts w:ascii="Times New Roman" w:hAnsi="Times New Roman" w:cs="Times New Roman"/>
          <w:i/>
          <w:sz w:val="16"/>
          <w:szCs w:val="16"/>
        </w:rPr>
        <w:t>Reported miracles</w:t>
      </w:r>
      <w:r w:rsidRPr="00964FD6">
        <w:rPr>
          <w:rFonts w:ascii="Times New Roman" w:hAnsi="Times New Roman" w:cs="Times New Roman"/>
          <w:sz w:val="16"/>
          <w:szCs w:val="16"/>
        </w:rPr>
        <w:t>. Cambridge university press. Page 35.</w:t>
      </w:r>
    </w:p>
  </w:footnote>
  <w:footnote w:id="13">
    <w:p w:rsidR="009C1BF1" w:rsidRPr="00BB1949" w:rsidRDefault="009C1BF1" w:rsidP="009C1BF1">
      <w:pPr>
        <w:shd w:val="clear" w:color="auto" w:fill="FFFFFF"/>
        <w:spacing w:after="0" w:line="240" w:lineRule="auto"/>
        <w:outlineLvl w:val="0"/>
        <w:rPr>
          <w:rFonts w:ascii="Arial" w:eastAsia="Times New Roman" w:hAnsi="Arial" w:cs="Arial"/>
          <w:bCs/>
          <w:i/>
          <w:color w:val="333333"/>
          <w:kern w:val="36"/>
          <w:sz w:val="16"/>
          <w:szCs w:val="16"/>
          <w:lang w:eastAsia="en-GB"/>
        </w:rPr>
      </w:pPr>
      <w:r w:rsidRPr="000042E4">
        <w:rPr>
          <w:rStyle w:val="FootnoteReference"/>
          <w:sz w:val="16"/>
          <w:szCs w:val="16"/>
        </w:rPr>
        <w:footnoteRef/>
      </w:r>
      <w:r w:rsidRPr="000042E4">
        <w:rPr>
          <w:sz w:val="16"/>
          <w:szCs w:val="16"/>
        </w:rPr>
        <w:t xml:space="preserve"> </w:t>
      </w:r>
      <w:r w:rsidRPr="000042E4">
        <w:rPr>
          <w:rFonts w:ascii="Arial" w:eastAsia="Times New Roman" w:hAnsi="Arial" w:cs="Arial"/>
          <w:bCs/>
          <w:color w:val="333333"/>
          <w:kern w:val="36"/>
          <w:sz w:val="16"/>
          <w:szCs w:val="16"/>
          <w:lang w:eastAsia="en-GB"/>
        </w:rPr>
        <w:t>Herbert, Albert. J. (1986).</w:t>
      </w:r>
      <w:r w:rsidRPr="000042E4">
        <w:rPr>
          <w:rFonts w:ascii="Arial" w:eastAsia="Times New Roman" w:hAnsi="Arial" w:cs="Arial"/>
          <w:bCs/>
          <w:i/>
          <w:color w:val="333333"/>
          <w:kern w:val="36"/>
          <w:sz w:val="16"/>
          <w:szCs w:val="16"/>
          <w:lang w:eastAsia="en-GB"/>
        </w:rPr>
        <w:t xml:space="preserve">  </w:t>
      </w:r>
      <w:r w:rsidRPr="00BB1949">
        <w:rPr>
          <w:rFonts w:ascii="Arial" w:eastAsia="Times New Roman" w:hAnsi="Arial" w:cs="Arial"/>
          <w:bCs/>
          <w:i/>
          <w:color w:val="333333"/>
          <w:kern w:val="36"/>
          <w:sz w:val="16"/>
          <w:szCs w:val="16"/>
          <w:lang w:eastAsia="en-GB"/>
        </w:rPr>
        <w:t>Saints Who Raised the Dead: True Stories of 400 Resurrection Miracles</w:t>
      </w:r>
      <w:r w:rsidRPr="000042E4">
        <w:rPr>
          <w:rFonts w:ascii="Arial" w:eastAsia="Times New Roman" w:hAnsi="Arial" w:cs="Arial"/>
          <w:bCs/>
          <w:i/>
          <w:color w:val="333333"/>
          <w:kern w:val="36"/>
          <w:sz w:val="16"/>
          <w:szCs w:val="16"/>
          <w:lang w:eastAsia="en-GB"/>
        </w:rPr>
        <w:t xml:space="preserve">. </w:t>
      </w:r>
    </w:p>
    <w:p w:rsidR="009C1BF1" w:rsidRDefault="009C1BF1" w:rsidP="009C1BF1">
      <w:pPr>
        <w:pStyle w:val="FootnoteText"/>
      </w:pPr>
      <w:r w:rsidRPr="000042E4">
        <w:rPr>
          <w:sz w:val="16"/>
          <w:szCs w:val="16"/>
        </w:rPr>
        <w:t>chapter 14</w:t>
      </w:r>
      <w:r>
        <w:t xml:space="preserve"> </w:t>
      </w:r>
    </w:p>
  </w:footnote>
  <w:footnote w:id="14">
    <w:p w:rsidR="009C1BF1" w:rsidRPr="00C340AC" w:rsidRDefault="009C1BF1" w:rsidP="009C1BF1">
      <w:pPr>
        <w:shd w:val="clear" w:color="auto" w:fill="FFFFFF"/>
        <w:spacing w:after="0" w:line="240" w:lineRule="auto"/>
        <w:outlineLvl w:val="0"/>
        <w:rPr>
          <w:rFonts w:asciiTheme="majorHAnsi" w:eastAsia="Times New Roman" w:hAnsiTheme="majorHAnsi" w:cstheme="majorHAnsi"/>
          <w:bCs/>
          <w:color w:val="333333"/>
          <w:kern w:val="36"/>
          <w:lang w:eastAsia="en-GB"/>
        </w:rPr>
      </w:pPr>
      <w:r>
        <w:rPr>
          <w:rStyle w:val="FootnoteReference"/>
        </w:rPr>
        <w:footnoteRef/>
      </w:r>
      <w:r>
        <w:t xml:space="preserve"> </w:t>
      </w:r>
      <w:proofErr w:type="spellStart"/>
      <w:r w:rsidRPr="00C340AC">
        <w:rPr>
          <w:rFonts w:asciiTheme="majorHAnsi" w:hAnsiTheme="majorHAnsi" w:cstheme="majorHAnsi"/>
          <w:shd w:val="clear" w:color="auto" w:fill="FFFFFF"/>
        </w:rPr>
        <w:t>Taliaferro</w:t>
      </w:r>
      <w:proofErr w:type="spellEnd"/>
      <w:r w:rsidRPr="00C340AC">
        <w:rPr>
          <w:rFonts w:asciiTheme="majorHAnsi" w:hAnsiTheme="majorHAnsi" w:cstheme="majorHAnsi"/>
          <w:shd w:val="clear" w:color="auto" w:fill="FFFFFF"/>
        </w:rPr>
        <w:t>, Charles, and Griffiths, Paul J</w:t>
      </w:r>
      <w:r>
        <w:rPr>
          <w:rFonts w:asciiTheme="majorHAnsi" w:hAnsiTheme="majorHAnsi" w:cstheme="majorHAnsi"/>
          <w:i/>
          <w:shd w:val="clear" w:color="auto" w:fill="FFFFFF"/>
        </w:rPr>
        <w:t xml:space="preserve">. (2003).  </w:t>
      </w:r>
      <w:r w:rsidRPr="009A674F">
        <w:rPr>
          <w:rFonts w:asciiTheme="majorHAnsi" w:hAnsiTheme="majorHAnsi" w:cstheme="majorHAnsi"/>
          <w:i/>
          <w:shd w:val="clear" w:color="auto" w:fill="FFFFFF"/>
        </w:rPr>
        <w:t>Philosophy of Religion: An Anthology</w:t>
      </w:r>
      <w:r>
        <w:rPr>
          <w:rFonts w:asciiTheme="majorHAnsi" w:hAnsiTheme="majorHAnsi" w:cstheme="majorHAnsi"/>
          <w:i/>
          <w:shd w:val="clear" w:color="auto" w:fill="FFFFFF"/>
        </w:rPr>
        <w:t xml:space="preserve">. </w:t>
      </w:r>
      <w:r w:rsidRPr="00C340AC">
        <w:rPr>
          <w:rFonts w:asciiTheme="majorHAnsi" w:hAnsiTheme="majorHAnsi" w:cstheme="majorHAnsi"/>
          <w:shd w:val="clear" w:color="auto" w:fill="FFFFFF"/>
        </w:rPr>
        <w:t xml:space="preserve">Blackwell publishing. </w:t>
      </w:r>
      <w:r>
        <w:rPr>
          <w:rFonts w:asciiTheme="majorHAnsi" w:hAnsiTheme="majorHAnsi" w:cstheme="majorHAnsi"/>
          <w:shd w:val="clear" w:color="auto" w:fill="FFFFFF"/>
        </w:rPr>
        <w:t xml:space="preserve">Page 570. </w:t>
      </w:r>
    </w:p>
  </w:footnote>
  <w:footnote w:id="15">
    <w:p w:rsidR="009C1BF1" w:rsidRPr="00395F08" w:rsidRDefault="009C1BF1" w:rsidP="009C1BF1">
      <w:pPr>
        <w:rPr>
          <w:sz w:val="16"/>
          <w:szCs w:val="16"/>
        </w:rPr>
      </w:pPr>
      <w:r w:rsidRPr="00395F08">
        <w:rPr>
          <w:rStyle w:val="FootnoteReference"/>
          <w:sz w:val="16"/>
          <w:szCs w:val="16"/>
        </w:rPr>
        <w:footnoteRef/>
      </w:r>
      <w:r w:rsidRPr="00395F08">
        <w:rPr>
          <w:sz w:val="16"/>
          <w:szCs w:val="16"/>
        </w:rPr>
        <w:t xml:space="preserve"> Wainwright, William J. (1988). </w:t>
      </w:r>
      <w:r w:rsidRPr="00395F08">
        <w:rPr>
          <w:i/>
          <w:sz w:val="16"/>
          <w:szCs w:val="16"/>
        </w:rPr>
        <w:t>Philosophy of religion</w:t>
      </w:r>
      <w:r w:rsidRPr="00395F08">
        <w:rPr>
          <w:sz w:val="16"/>
          <w:szCs w:val="16"/>
        </w:rPr>
        <w:t>. Wadsworth publishing company. Page 121</w:t>
      </w:r>
    </w:p>
  </w:footnote>
  <w:footnote w:id="16">
    <w:p w:rsidR="009C1BF1" w:rsidRDefault="009C1BF1" w:rsidP="009C1BF1">
      <w:pPr>
        <w:pStyle w:val="FootnoteText"/>
      </w:pPr>
      <w:r>
        <w:rPr>
          <w:rStyle w:val="FootnoteReference"/>
        </w:rPr>
        <w:footnoteRef/>
      </w:r>
      <w:r>
        <w:t xml:space="preserve"> </w:t>
      </w:r>
      <w:proofErr w:type="spellStart"/>
      <w:r w:rsidRPr="006E7A91">
        <w:rPr>
          <w:rFonts w:ascii="Times New Roman" w:hAnsi="Times New Roman" w:cs="Times New Roman"/>
          <w:sz w:val="16"/>
          <w:szCs w:val="16"/>
          <w:shd w:val="clear" w:color="auto" w:fill="FFFFFF"/>
        </w:rPr>
        <w:t>Yujin</w:t>
      </w:r>
      <w:proofErr w:type="spellEnd"/>
      <w:r w:rsidRPr="006E7A91">
        <w:rPr>
          <w:rFonts w:ascii="Times New Roman" w:hAnsi="Times New Roman" w:cs="Times New Roman"/>
          <w:sz w:val="16"/>
          <w:szCs w:val="16"/>
          <w:shd w:val="clear" w:color="auto" w:fill="FFFFFF"/>
        </w:rPr>
        <w:t xml:space="preserve"> Nagasawa. (2017). Miracles: A Very Short Introduction. Page 19.</w:t>
      </w:r>
    </w:p>
  </w:footnote>
  <w:footnote w:id="17">
    <w:p w:rsidR="009C1BF1" w:rsidRPr="00120B81" w:rsidRDefault="009C1BF1" w:rsidP="009C1BF1">
      <w:pPr>
        <w:tabs>
          <w:tab w:val="left" w:pos="7575"/>
        </w:tabs>
        <w:rPr>
          <w:sz w:val="16"/>
          <w:szCs w:val="16"/>
        </w:rPr>
      </w:pPr>
      <w:r w:rsidRPr="00120B81">
        <w:rPr>
          <w:rStyle w:val="FootnoteReference"/>
          <w:sz w:val="16"/>
          <w:szCs w:val="16"/>
        </w:rPr>
        <w:footnoteRef/>
      </w:r>
      <w:r w:rsidRPr="00120B81">
        <w:rPr>
          <w:sz w:val="16"/>
          <w:szCs w:val="16"/>
        </w:rPr>
        <w:t xml:space="preserve">Beckwith, Francis, J. (1989). </w:t>
      </w:r>
      <w:r w:rsidRPr="00120B81">
        <w:rPr>
          <w:rFonts w:ascii="Arial" w:hAnsi="Arial" w:cs="Arial"/>
          <w:i/>
          <w:sz w:val="16"/>
          <w:szCs w:val="16"/>
          <w:shd w:val="clear" w:color="auto" w:fill="FFFFFF"/>
        </w:rPr>
        <w:t xml:space="preserve">David Hume's argument against miracles. </w:t>
      </w:r>
      <w:r w:rsidRPr="00120B81">
        <w:rPr>
          <w:rFonts w:ascii="Arial" w:hAnsi="Arial" w:cs="Arial"/>
          <w:sz w:val="16"/>
          <w:szCs w:val="16"/>
          <w:shd w:val="clear" w:color="auto" w:fill="FFFFFF"/>
        </w:rPr>
        <w:t>University press of America.</w:t>
      </w:r>
      <w:r w:rsidRPr="00120B81">
        <w:rPr>
          <w:sz w:val="16"/>
          <w:szCs w:val="16"/>
        </w:rPr>
        <w:t xml:space="preserve"> page 2</w:t>
      </w:r>
    </w:p>
  </w:footnote>
  <w:footnote w:id="18">
    <w:p w:rsidR="009C1BF1" w:rsidRPr="00120B81" w:rsidRDefault="009C1BF1" w:rsidP="009C1BF1">
      <w:pPr>
        <w:tabs>
          <w:tab w:val="left" w:pos="7575"/>
        </w:tabs>
        <w:rPr>
          <w:sz w:val="16"/>
          <w:szCs w:val="16"/>
        </w:rPr>
      </w:pPr>
      <w:r w:rsidRPr="00120B81">
        <w:rPr>
          <w:rStyle w:val="FootnoteReference"/>
          <w:sz w:val="16"/>
          <w:szCs w:val="16"/>
        </w:rPr>
        <w:footnoteRef/>
      </w:r>
      <w:r w:rsidRPr="00120B81">
        <w:rPr>
          <w:sz w:val="16"/>
          <w:szCs w:val="16"/>
        </w:rPr>
        <w:t xml:space="preserve"> Beckwith, Francis, J. (1989). </w:t>
      </w:r>
      <w:r w:rsidRPr="00120B81">
        <w:rPr>
          <w:rFonts w:ascii="Arial" w:hAnsi="Arial" w:cs="Arial"/>
          <w:i/>
          <w:sz w:val="16"/>
          <w:szCs w:val="16"/>
          <w:shd w:val="clear" w:color="auto" w:fill="FFFFFF"/>
        </w:rPr>
        <w:t xml:space="preserve">David Hume's argument against miracles. </w:t>
      </w:r>
      <w:r w:rsidRPr="00120B81">
        <w:rPr>
          <w:rFonts w:ascii="Arial" w:hAnsi="Arial" w:cs="Arial"/>
          <w:sz w:val="16"/>
          <w:szCs w:val="16"/>
          <w:shd w:val="clear" w:color="auto" w:fill="FFFFFF"/>
        </w:rPr>
        <w:t>University press of America.</w:t>
      </w:r>
      <w:r w:rsidRPr="00120B81">
        <w:rPr>
          <w:sz w:val="16"/>
          <w:szCs w:val="16"/>
        </w:rPr>
        <w:t xml:space="preserve"> Page 2</w:t>
      </w:r>
    </w:p>
  </w:footnote>
  <w:footnote w:id="19">
    <w:p w:rsidR="009C1BF1" w:rsidRPr="00120B81" w:rsidRDefault="009C1BF1" w:rsidP="009C1BF1">
      <w:pPr>
        <w:tabs>
          <w:tab w:val="left" w:pos="7575"/>
        </w:tabs>
        <w:rPr>
          <w:sz w:val="16"/>
          <w:szCs w:val="16"/>
        </w:rPr>
      </w:pPr>
      <w:r w:rsidRPr="00120B81">
        <w:rPr>
          <w:rStyle w:val="FootnoteReference"/>
          <w:sz w:val="16"/>
          <w:szCs w:val="16"/>
        </w:rPr>
        <w:footnoteRef/>
      </w:r>
      <w:r w:rsidRPr="00120B81">
        <w:rPr>
          <w:sz w:val="16"/>
          <w:szCs w:val="16"/>
        </w:rPr>
        <w:t xml:space="preserve">Beckwith, Francis, J. (1989). </w:t>
      </w:r>
      <w:r w:rsidRPr="00120B81">
        <w:rPr>
          <w:rFonts w:ascii="Arial" w:hAnsi="Arial" w:cs="Arial"/>
          <w:i/>
          <w:sz w:val="16"/>
          <w:szCs w:val="16"/>
          <w:shd w:val="clear" w:color="auto" w:fill="FFFFFF"/>
        </w:rPr>
        <w:t xml:space="preserve">David Hume's argument against miracles. </w:t>
      </w:r>
      <w:r w:rsidRPr="00120B81">
        <w:rPr>
          <w:rFonts w:ascii="Arial" w:hAnsi="Arial" w:cs="Arial"/>
          <w:sz w:val="16"/>
          <w:szCs w:val="16"/>
          <w:shd w:val="clear" w:color="auto" w:fill="FFFFFF"/>
        </w:rPr>
        <w:t>University press of America.</w:t>
      </w:r>
      <w:r w:rsidRPr="00120B81">
        <w:rPr>
          <w:sz w:val="16"/>
          <w:szCs w:val="16"/>
        </w:rPr>
        <w:t xml:space="preserve"> page 2</w:t>
      </w:r>
    </w:p>
  </w:footnote>
  <w:footnote w:id="20">
    <w:p w:rsidR="009C1BF1" w:rsidRPr="00CB51F3" w:rsidRDefault="009C1BF1" w:rsidP="009C1BF1">
      <w:pPr>
        <w:tabs>
          <w:tab w:val="left" w:pos="7575"/>
        </w:tabs>
        <w:rPr>
          <w:sz w:val="18"/>
          <w:szCs w:val="16"/>
        </w:rPr>
      </w:pPr>
      <w:r>
        <w:rPr>
          <w:rStyle w:val="FootnoteReference"/>
        </w:rPr>
        <w:footnoteRef/>
      </w:r>
      <w:r>
        <w:t xml:space="preserve"> </w:t>
      </w:r>
      <w:r w:rsidRPr="00CB51F3">
        <w:rPr>
          <w:sz w:val="16"/>
          <w:szCs w:val="16"/>
        </w:rPr>
        <w:t xml:space="preserve">Corner, David.  (2007). </w:t>
      </w:r>
      <w:r w:rsidRPr="00CB51F3">
        <w:rPr>
          <w:i/>
          <w:sz w:val="16"/>
          <w:szCs w:val="16"/>
        </w:rPr>
        <w:t xml:space="preserve"> The philosophy of miracles. </w:t>
      </w:r>
      <w:r w:rsidRPr="00CB51F3">
        <w:rPr>
          <w:sz w:val="16"/>
          <w:szCs w:val="16"/>
        </w:rPr>
        <w:t>Library of congress cataloguing-in publication data. Chapter 1.</w:t>
      </w:r>
      <w:r>
        <w:rPr>
          <w:sz w:val="18"/>
          <w:szCs w:val="16"/>
        </w:rPr>
        <w:t xml:space="preserve"> </w:t>
      </w:r>
    </w:p>
  </w:footnote>
  <w:footnote w:id="21">
    <w:p w:rsidR="009C1BF1" w:rsidRPr="00570606" w:rsidRDefault="009C1BF1" w:rsidP="009C1BF1">
      <w:pPr>
        <w:pStyle w:val="FootnoteText"/>
        <w:rPr>
          <w:sz w:val="16"/>
          <w:szCs w:val="16"/>
        </w:rPr>
      </w:pPr>
      <w:r w:rsidRPr="00570606">
        <w:rPr>
          <w:rStyle w:val="FootnoteReference"/>
          <w:sz w:val="16"/>
          <w:szCs w:val="16"/>
        </w:rPr>
        <w:footnoteRef/>
      </w:r>
      <w:r w:rsidRPr="00570606">
        <w:rPr>
          <w:sz w:val="16"/>
          <w:szCs w:val="16"/>
        </w:rPr>
        <w:t xml:space="preserve"> Hume David. (1748). An enquiry concerning human understanding. Section X.</w:t>
      </w:r>
    </w:p>
  </w:footnote>
  <w:footnote w:id="22">
    <w:p w:rsidR="009C1BF1" w:rsidRPr="00570606" w:rsidRDefault="009C1BF1" w:rsidP="009C1BF1">
      <w:pPr>
        <w:shd w:val="clear" w:color="auto" w:fill="FFFFFF"/>
        <w:spacing w:after="0" w:line="240" w:lineRule="auto"/>
        <w:outlineLvl w:val="0"/>
        <w:rPr>
          <w:rFonts w:asciiTheme="majorHAnsi" w:eastAsia="Times New Roman" w:hAnsiTheme="majorHAnsi" w:cstheme="majorHAnsi"/>
          <w:bCs/>
          <w:color w:val="333333"/>
          <w:kern w:val="36"/>
          <w:sz w:val="16"/>
          <w:szCs w:val="16"/>
          <w:lang w:eastAsia="en-GB"/>
        </w:rPr>
      </w:pPr>
      <w:r w:rsidRPr="00570606">
        <w:rPr>
          <w:rStyle w:val="FootnoteReference"/>
          <w:sz w:val="16"/>
          <w:szCs w:val="16"/>
        </w:rPr>
        <w:footnoteRef/>
      </w:r>
      <w:r w:rsidRPr="00570606">
        <w:rPr>
          <w:sz w:val="16"/>
          <w:szCs w:val="16"/>
        </w:rPr>
        <w:t xml:space="preserve"> </w:t>
      </w:r>
      <w:proofErr w:type="spellStart"/>
      <w:r w:rsidRPr="00570606">
        <w:rPr>
          <w:rFonts w:asciiTheme="majorHAnsi" w:hAnsiTheme="majorHAnsi" w:cstheme="majorHAnsi"/>
          <w:sz w:val="16"/>
          <w:szCs w:val="16"/>
          <w:shd w:val="clear" w:color="auto" w:fill="FFFFFF"/>
        </w:rPr>
        <w:t>Taliaferro</w:t>
      </w:r>
      <w:proofErr w:type="spellEnd"/>
      <w:r w:rsidRPr="00570606">
        <w:rPr>
          <w:rFonts w:asciiTheme="majorHAnsi" w:hAnsiTheme="majorHAnsi" w:cstheme="majorHAnsi"/>
          <w:sz w:val="16"/>
          <w:szCs w:val="16"/>
          <w:shd w:val="clear" w:color="auto" w:fill="FFFFFF"/>
        </w:rPr>
        <w:t>, Charles, and Griffiths, Paul J</w:t>
      </w:r>
      <w:r w:rsidRPr="00570606">
        <w:rPr>
          <w:rFonts w:asciiTheme="majorHAnsi" w:hAnsiTheme="majorHAnsi" w:cstheme="majorHAnsi"/>
          <w:i/>
          <w:sz w:val="16"/>
          <w:szCs w:val="16"/>
          <w:shd w:val="clear" w:color="auto" w:fill="FFFFFF"/>
        </w:rPr>
        <w:t xml:space="preserve">. (2003).  Philosophy of Religion: An Anthology. </w:t>
      </w:r>
      <w:r w:rsidRPr="00570606">
        <w:rPr>
          <w:rFonts w:asciiTheme="majorHAnsi" w:hAnsiTheme="majorHAnsi" w:cstheme="majorHAnsi"/>
          <w:sz w:val="16"/>
          <w:szCs w:val="16"/>
          <w:shd w:val="clear" w:color="auto" w:fill="FFFFFF"/>
        </w:rPr>
        <w:t xml:space="preserve">Blackwell publishing. Page 568. </w:t>
      </w:r>
    </w:p>
  </w:footnote>
  <w:footnote w:id="23">
    <w:p w:rsidR="009C1BF1" w:rsidRPr="00570606" w:rsidRDefault="009C1BF1" w:rsidP="009C1BF1">
      <w:pPr>
        <w:pStyle w:val="FootnoteText"/>
        <w:spacing w:line="360" w:lineRule="auto"/>
        <w:jc w:val="both"/>
        <w:rPr>
          <w:rFonts w:ascii="Times New Roman" w:hAnsi="Times New Roman" w:cs="Times New Roman"/>
          <w:sz w:val="16"/>
          <w:szCs w:val="16"/>
          <w:shd w:val="clear" w:color="auto" w:fill="FFFFFF"/>
        </w:rPr>
      </w:pPr>
      <w:r w:rsidRPr="00570606">
        <w:rPr>
          <w:rStyle w:val="FootnoteReference"/>
          <w:rFonts w:ascii="Times New Roman" w:hAnsi="Times New Roman" w:cs="Times New Roman"/>
          <w:sz w:val="16"/>
          <w:szCs w:val="16"/>
        </w:rPr>
        <w:footnoteRef/>
      </w:r>
      <w:r w:rsidRPr="00570606">
        <w:rPr>
          <w:rFonts w:ascii="Times New Roman" w:hAnsi="Times New Roman" w:cs="Times New Roman"/>
          <w:sz w:val="16"/>
          <w:szCs w:val="16"/>
        </w:rPr>
        <w:t xml:space="preserve"> </w:t>
      </w:r>
      <w:hyperlink r:id="rId1" w:history="1">
        <w:r w:rsidRPr="00570606">
          <w:rPr>
            <w:rStyle w:val="Hyperlink"/>
            <w:rFonts w:ascii="Times New Roman" w:hAnsi="Times New Roman" w:cs="Times New Roman"/>
            <w:color w:val="auto"/>
            <w:sz w:val="16"/>
            <w:szCs w:val="16"/>
            <w:u w:val="none"/>
            <w:shd w:val="clear" w:color="auto" w:fill="FFFFFF"/>
          </w:rPr>
          <w:t>Beverley Clack</w:t>
        </w:r>
      </w:hyperlink>
      <w:r w:rsidRPr="00570606">
        <w:rPr>
          <w:rFonts w:ascii="Times New Roman" w:hAnsi="Times New Roman" w:cs="Times New Roman"/>
          <w:sz w:val="16"/>
          <w:szCs w:val="16"/>
          <w:shd w:val="clear" w:color="auto" w:fill="FFFFFF"/>
        </w:rPr>
        <w:t>, </w:t>
      </w:r>
      <w:hyperlink r:id="rId2" w:history="1">
        <w:r w:rsidRPr="00570606">
          <w:rPr>
            <w:rStyle w:val="Hyperlink"/>
            <w:rFonts w:ascii="Times New Roman" w:hAnsi="Times New Roman" w:cs="Times New Roman"/>
            <w:color w:val="auto"/>
            <w:sz w:val="16"/>
            <w:szCs w:val="16"/>
            <w:u w:val="none"/>
            <w:shd w:val="clear" w:color="auto" w:fill="FFFFFF"/>
          </w:rPr>
          <w:t>Brian R. Clack</w:t>
        </w:r>
      </w:hyperlink>
      <w:r w:rsidRPr="00570606">
        <w:rPr>
          <w:rFonts w:ascii="Times New Roman" w:hAnsi="Times New Roman" w:cs="Times New Roman"/>
          <w:sz w:val="16"/>
          <w:szCs w:val="16"/>
        </w:rPr>
        <w:t xml:space="preserve">. (1998). </w:t>
      </w:r>
      <w:r w:rsidRPr="00570606">
        <w:rPr>
          <w:rFonts w:ascii="Times New Roman" w:hAnsi="Times New Roman" w:cs="Times New Roman"/>
          <w:sz w:val="16"/>
          <w:szCs w:val="16"/>
          <w:shd w:val="clear" w:color="auto" w:fill="FFFFFF"/>
        </w:rPr>
        <w:t xml:space="preserve">Philosophy of Religion: A Critical Introduction. Page 146. </w:t>
      </w:r>
    </w:p>
    <w:p w:rsidR="009C1BF1" w:rsidRDefault="009C1BF1" w:rsidP="009C1BF1">
      <w:pPr>
        <w:pStyle w:val="FootnoteText"/>
      </w:pPr>
    </w:p>
  </w:footnote>
  <w:footnote w:id="24">
    <w:p w:rsidR="009C1BF1" w:rsidRPr="00461F7C" w:rsidRDefault="009C1BF1" w:rsidP="009C1BF1">
      <w:pPr>
        <w:shd w:val="clear" w:color="auto" w:fill="FFFFFF"/>
        <w:spacing w:after="0" w:line="240" w:lineRule="auto"/>
        <w:outlineLvl w:val="0"/>
        <w:rPr>
          <w:rFonts w:ascii="Times New Roman" w:eastAsia="Times New Roman" w:hAnsi="Times New Roman" w:cs="Times New Roman"/>
          <w:bCs/>
          <w:kern w:val="36"/>
          <w:sz w:val="16"/>
          <w:szCs w:val="16"/>
          <w:lang w:eastAsia="en-GB"/>
        </w:rPr>
      </w:pPr>
      <w:r w:rsidRPr="00461F7C">
        <w:rPr>
          <w:rStyle w:val="FootnoteReference"/>
          <w:rFonts w:ascii="Times New Roman" w:hAnsi="Times New Roman" w:cs="Times New Roman"/>
          <w:sz w:val="16"/>
          <w:szCs w:val="16"/>
        </w:rPr>
        <w:footnoteRef/>
      </w:r>
      <w:r w:rsidRPr="00461F7C">
        <w:rPr>
          <w:rFonts w:ascii="Times New Roman" w:hAnsi="Times New Roman" w:cs="Times New Roman"/>
          <w:sz w:val="16"/>
          <w:szCs w:val="16"/>
        </w:rPr>
        <w:t xml:space="preserve"> the guardian. (2018). </w:t>
      </w:r>
      <w:r w:rsidRPr="00461F7C">
        <w:rPr>
          <w:rFonts w:ascii="Times New Roman" w:hAnsi="Times New Roman" w:cs="Times New Roman"/>
          <w:bCs/>
          <w:i/>
          <w:sz w:val="16"/>
          <w:szCs w:val="16"/>
        </w:rPr>
        <w:t xml:space="preserve">Stephen Hawking says universe not created by God. </w:t>
      </w:r>
      <w:r w:rsidRPr="00461F7C">
        <w:rPr>
          <w:rFonts w:ascii="Times New Roman" w:hAnsi="Times New Roman" w:cs="Times New Roman"/>
          <w:sz w:val="16"/>
          <w:szCs w:val="16"/>
          <w:shd w:val="clear" w:color="auto" w:fill="FFFFFF"/>
        </w:rPr>
        <w:t>[online] Available at:</w:t>
      </w:r>
      <w:r w:rsidRPr="00461F7C">
        <w:rPr>
          <w:rFonts w:ascii="Times New Roman" w:eastAsia="Times New Roman" w:hAnsi="Times New Roman" w:cs="Times New Roman"/>
          <w:bCs/>
          <w:kern w:val="36"/>
          <w:sz w:val="16"/>
          <w:szCs w:val="16"/>
          <w:lang w:eastAsia="en-GB"/>
        </w:rPr>
        <w:t xml:space="preserve"> </w:t>
      </w:r>
    </w:p>
    <w:p w:rsidR="009C1BF1" w:rsidRPr="00461F7C" w:rsidRDefault="009C1BF1" w:rsidP="009C1BF1">
      <w:pPr>
        <w:pStyle w:val="FootnoteText"/>
        <w:rPr>
          <w:rFonts w:ascii="Times New Roman" w:hAnsi="Times New Roman" w:cs="Times New Roman"/>
          <w:sz w:val="16"/>
          <w:szCs w:val="16"/>
        </w:rPr>
      </w:pPr>
      <w:hyperlink r:id="rId3" w:history="1">
        <w:r w:rsidRPr="00461F7C">
          <w:rPr>
            <w:rStyle w:val="Hyperlink"/>
            <w:rFonts w:ascii="Times New Roman" w:hAnsi="Times New Roman" w:cs="Times New Roman"/>
            <w:color w:val="auto"/>
            <w:sz w:val="16"/>
            <w:szCs w:val="16"/>
          </w:rPr>
          <w:t>https://www.theguardian.com/science/2010/sep/02/stephen-hawking-big-bang-creator</w:t>
        </w:r>
      </w:hyperlink>
      <w:r w:rsidRPr="00461F7C">
        <w:rPr>
          <w:rStyle w:val="Hyperlink"/>
          <w:rFonts w:ascii="Times New Roman" w:hAnsi="Times New Roman" w:cs="Times New Roman"/>
          <w:b/>
          <w:color w:val="auto"/>
          <w:sz w:val="16"/>
          <w:szCs w:val="16"/>
        </w:rPr>
        <w:t xml:space="preserve"> </w:t>
      </w:r>
      <w:r w:rsidRPr="00461F7C">
        <w:rPr>
          <w:rFonts w:ascii="Times New Roman" w:hAnsi="Times New Roman" w:cs="Times New Roman"/>
          <w:sz w:val="16"/>
          <w:szCs w:val="16"/>
          <w:shd w:val="clear" w:color="auto" w:fill="FFFFFF"/>
        </w:rPr>
        <w:t>[Accessed 01 May. 2018].</w:t>
      </w:r>
    </w:p>
  </w:footnote>
  <w:footnote w:id="25">
    <w:p w:rsidR="009C1BF1" w:rsidRPr="000D44B3" w:rsidRDefault="009C1BF1" w:rsidP="009C1BF1">
      <w:pPr>
        <w:tabs>
          <w:tab w:val="left" w:pos="7575"/>
        </w:tabs>
        <w:rPr>
          <w:sz w:val="18"/>
          <w:szCs w:val="16"/>
        </w:rPr>
      </w:pPr>
      <w:r w:rsidRPr="00461F7C">
        <w:rPr>
          <w:rStyle w:val="FootnoteReference"/>
          <w:rFonts w:ascii="Times New Roman" w:hAnsi="Times New Roman" w:cs="Times New Roman"/>
          <w:sz w:val="16"/>
          <w:szCs w:val="16"/>
        </w:rPr>
        <w:footnoteRef/>
      </w:r>
      <w:r w:rsidRPr="00461F7C">
        <w:rPr>
          <w:rFonts w:ascii="Times New Roman" w:hAnsi="Times New Roman" w:cs="Times New Roman"/>
          <w:sz w:val="16"/>
          <w:szCs w:val="16"/>
        </w:rPr>
        <w:t xml:space="preserve"> Craig, William, lane. (2000). </w:t>
      </w:r>
      <w:r w:rsidRPr="00461F7C">
        <w:rPr>
          <w:rFonts w:ascii="Times New Roman" w:hAnsi="Times New Roman" w:cs="Times New Roman"/>
          <w:i/>
          <w:sz w:val="16"/>
          <w:szCs w:val="16"/>
        </w:rPr>
        <w:t>Naturalism: A critical analysis.</w:t>
      </w:r>
      <w:r w:rsidRPr="00461F7C">
        <w:rPr>
          <w:rFonts w:ascii="Times New Roman" w:hAnsi="Times New Roman" w:cs="Times New Roman"/>
          <w:sz w:val="16"/>
          <w:szCs w:val="16"/>
        </w:rPr>
        <w:t xml:space="preserve"> page 235</w:t>
      </w:r>
    </w:p>
  </w:footnote>
  <w:footnote w:id="26">
    <w:p w:rsidR="009C1BF1" w:rsidRDefault="009C1BF1" w:rsidP="009C1BF1">
      <w:r>
        <w:rPr>
          <w:rStyle w:val="FootnoteReference"/>
        </w:rPr>
        <w:footnoteRef/>
      </w:r>
      <w:r>
        <w:t xml:space="preserve"> </w:t>
      </w:r>
      <w:r w:rsidRPr="00B84F38">
        <w:rPr>
          <w:sz w:val="16"/>
          <w:szCs w:val="16"/>
        </w:rPr>
        <w:t xml:space="preserve">Swinburne, Richard. (2004). </w:t>
      </w:r>
      <w:r w:rsidRPr="00B84F38">
        <w:rPr>
          <w:i/>
          <w:sz w:val="16"/>
          <w:szCs w:val="16"/>
        </w:rPr>
        <w:t>The existence of God (2</w:t>
      </w:r>
      <w:r w:rsidRPr="00B84F38">
        <w:rPr>
          <w:i/>
          <w:sz w:val="16"/>
          <w:szCs w:val="16"/>
          <w:vertAlign w:val="superscript"/>
        </w:rPr>
        <w:t>nd</w:t>
      </w:r>
      <w:r w:rsidRPr="00B84F38">
        <w:rPr>
          <w:i/>
          <w:sz w:val="16"/>
          <w:szCs w:val="16"/>
        </w:rPr>
        <w:t xml:space="preserve"> edition).</w:t>
      </w:r>
      <w:r w:rsidRPr="00B84F38">
        <w:rPr>
          <w:sz w:val="16"/>
          <w:szCs w:val="16"/>
        </w:rPr>
        <w:t xml:space="preserve"> Clarendon press Oxford.</w:t>
      </w:r>
      <w:r>
        <w:rPr>
          <w:sz w:val="16"/>
          <w:szCs w:val="16"/>
        </w:rPr>
        <w:t xml:space="preserve"> </w:t>
      </w:r>
      <w:r>
        <w:t>Page 283</w:t>
      </w:r>
    </w:p>
  </w:footnote>
  <w:footnote w:id="27">
    <w:p w:rsidR="009C1BF1" w:rsidRDefault="009C1BF1" w:rsidP="009C1BF1">
      <w:pPr>
        <w:pStyle w:val="FootnoteText"/>
      </w:pPr>
      <w:r>
        <w:rPr>
          <w:rStyle w:val="FootnoteReference"/>
        </w:rPr>
        <w:footnoteRef/>
      </w:r>
      <w:r>
        <w:t xml:space="preserve"> </w:t>
      </w:r>
      <w:r w:rsidRPr="00461F7C">
        <w:rPr>
          <w:rFonts w:ascii="Times New Roman" w:hAnsi="Times New Roman" w:cs="Times New Roman"/>
          <w:sz w:val="16"/>
          <w:szCs w:val="16"/>
        </w:rPr>
        <w:t xml:space="preserve">Swinburne, Richard. (2004). </w:t>
      </w:r>
      <w:r w:rsidRPr="00461F7C">
        <w:rPr>
          <w:rFonts w:ascii="Times New Roman" w:hAnsi="Times New Roman" w:cs="Times New Roman"/>
          <w:i/>
          <w:sz w:val="16"/>
          <w:szCs w:val="16"/>
        </w:rPr>
        <w:t>The existence of God (2</w:t>
      </w:r>
      <w:r w:rsidRPr="00461F7C">
        <w:rPr>
          <w:rFonts w:ascii="Times New Roman" w:hAnsi="Times New Roman" w:cs="Times New Roman"/>
          <w:i/>
          <w:sz w:val="16"/>
          <w:szCs w:val="16"/>
          <w:vertAlign w:val="superscript"/>
        </w:rPr>
        <w:t>nd</w:t>
      </w:r>
      <w:r w:rsidRPr="00461F7C">
        <w:rPr>
          <w:rFonts w:ascii="Times New Roman" w:hAnsi="Times New Roman" w:cs="Times New Roman"/>
          <w:i/>
          <w:sz w:val="16"/>
          <w:szCs w:val="16"/>
        </w:rPr>
        <w:t xml:space="preserve"> edition).</w:t>
      </w:r>
      <w:r w:rsidRPr="00461F7C">
        <w:rPr>
          <w:rFonts w:ascii="Times New Roman" w:hAnsi="Times New Roman" w:cs="Times New Roman"/>
          <w:sz w:val="16"/>
          <w:szCs w:val="16"/>
        </w:rPr>
        <w:t xml:space="preserve"> Clarendon press Oxford. Page 276.</w:t>
      </w:r>
    </w:p>
  </w:footnote>
  <w:footnote w:id="28">
    <w:p w:rsidR="009C1BF1" w:rsidRDefault="009C1BF1" w:rsidP="009C1BF1">
      <w:r w:rsidRPr="00461F7C">
        <w:rPr>
          <w:rStyle w:val="FootnoteReference"/>
          <w:rFonts w:ascii="Times New Roman" w:hAnsi="Times New Roman" w:cs="Times New Roman"/>
          <w:sz w:val="16"/>
          <w:szCs w:val="16"/>
        </w:rPr>
        <w:footnoteRef/>
      </w:r>
      <w:r w:rsidRPr="00461F7C">
        <w:rPr>
          <w:rFonts w:ascii="Times New Roman" w:hAnsi="Times New Roman" w:cs="Times New Roman"/>
          <w:sz w:val="16"/>
          <w:szCs w:val="16"/>
        </w:rPr>
        <w:t xml:space="preserve"> Swinburne, Richard. (2004). </w:t>
      </w:r>
      <w:r w:rsidRPr="00461F7C">
        <w:rPr>
          <w:rFonts w:ascii="Times New Roman" w:hAnsi="Times New Roman" w:cs="Times New Roman"/>
          <w:i/>
          <w:sz w:val="16"/>
          <w:szCs w:val="16"/>
        </w:rPr>
        <w:t>The existence of God (2</w:t>
      </w:r>
      <w:r w:rsidRPr="00461F7C">
        <w:rPr>
          <w:rFonts w:ascii="Times New Roman" w:hAnsi="Times New Roman" w:cs="Times New Roman"/>
          <w:i/>
          <w:sz w:val="16"/>
          <w:szCs w:val="16"/>
          <w:vertAlign w:val="superscript"/>
        </w:rPr>
        <w:t>nd</w:t>
      </w:r>
      <w:r w:rsidRPr="00461F7C">
        <w:rPr>
          <w:rFonts w:ascii="Times New Roman" w:hAnsi="Times New Roman" w:cs="Times New Roman"/>
          <w:i/>
          <w:sz w:val="16"/>
          <w:szCs w:val="16"/>
        </w:rPr>
        <w:t xml:space="preserve"> edition).</w:t>
      </w:r>
      <w:r w:rsidRPr="00461F7C">
        <w:rPr>
          <w:rFonts w:ascii="Times New Roman" w:hAnsi="Times New Roman" w:cs="Times New Roman"/>
          <w:sz w:val="16"/>
          <w:szCs w:val="16"/>
        </w:rPr>
        <w:t xml:space="preserve"> Clarendon press Oxford. Page 276.</w:t>
      </w:r>
    </w:p>
  </w:footnote>
  <w:footnote w:id="29">
    <w:p w:rsidR="009C1BF1" w:rsidRDefault="009C1BF1" w:rsidP="009C1BF1">
      <w:pPr>
        <w:pStyle w:val="FootnoteText"/>
      </w:pPr>
      <w:r>
        <w:rPr>
          <w:rStyle w:val="FootnoteReference"/>
        </w:rPr>
        <w:footnoteRef/>
      </w:r>
      <w:r>
        <w:t xml:space="preserve"> </w:t>
      </w:r>
      <w:proofErr w:type="spellStart"/>
      <w:r w:rsidRPr="00461F7C">
        <w:rPr>
          <w:rFonts w:ascii="Times New Roman" w:hAnsi="Times New Roman" w:cs="Times New Roman"/>
          <w:sz w:val="16"/>
          <w:szCs w:val="16"/>
          <w:shd w:val="clear" w:color="auto" w:fill="FFFFFF"/>
        </w:rPr>
        <w:t>Taliaferro</w:t>
      </w:r>
      <w:proofErr w:type="spellEnd"/>
      <w:r w:rsidRPr="00461F7C">
        <w:rPr>
          <w:rFonts w:ascii="Times New Roman" w:hAnsi="Times New Roman" w:cs="Times New Roman"/>
          <w:sz w:val="16"/>
          <w:szCs w:val="16"/>
          <w:shd w:val="clear" w:color="auto" w:fill="FFFFFF"/>
        </w:rPr>
        <w:t>, Charles, and Griffiths, Paul J</w:t>
      </w:r>
      <w:r w:rsidRPr="00461F7C">
        <w:rPr>
          <w:rFonts w:ascii="Times New Roman" w:hAnsi="Times New Roman" w:cs="Times New Roman"/>
          <w:i/>
          <w:sz w:val="16"/>
          <w:szCs w:val="16"/>
          <w:shd w:val="clear" w:color="auto" w:fill="FFFFFF"/>
        </w:rPr>
        <w:t xml:space="preserve">. (2003).  Philosophy of Religion: An Anthology. </w:t>
      </w:r>
      <w:r w:rsidRPr="00461F7C">
        <w:rPr>
          <w:rFonts w:ascii="Times New Roman" w:hAnsi="Times New Roman" w:cs="Times New Roman"/>
          <w:sz w:val="16"/>
          <w:szCs w:val="16"/>
          <w:shd w:val="clear" w:color="auto" w:fill="FFFFFF"/>
        </w:rPr>
        <w:t>Blackwell publishing. Page 568.</w:t>
      </w:r>
    </w:p>
  </w:footnote>
  <w:footnote w:id="30">
    <w:p w:rsidR="009C1BF1" w:rsidRDefault="009C1BF1" w:rsidP="009C1BF1">
      <w:r>
        <w:rPr>
          <w:rStyle w:val="FootnoteReference"/>
        </w:rPr>
        <w:footnoteRef/>
      </w:r>
      <w:r>
        <w:t xml:space="preserve"> </w:t>
      </w:r>
      <w:r w:rsidRPr="00B84F38">
        <w:rPr>
          <w:sz w:val="16"/>
          <w:szCs w:val="16"/>
        </w:rPr>
        <w:t xml:space="preserve">Swinburne, Richard. (2004). </w:t>
      </w:r>
      <w:r w:rsidRPr="00B84F38">
        <w:rPr>
          <w:i/>
          <w:sz w:val="16"/>
          <w:szCs w:val="16"/>
        </w:rPr>
        <w:t>The existence of God (2</w:t>
      </w:r>
      <w:r w:rsidRPr="00B84F38">
        <w:rPr>
          <w:i/>
          <w:sz w:val="16"/>
          <w:szCs w:val="16"/>
          <w:vertAlign w:val="superscript"/>
        </w:rPr>
        <w:t>nd</w:t>
      </w:r>
      <w:r w:rsidRPr="00B84F38">
        <w:rPr>
          <w:i/>
          <w:sz w:val="16"/>
          <w:szCs w:val="16"/>
        </w:rPr>
        <w:t xml:space="preserve"> edition).</w:t>
      </w:r>
      <w:r w:rsidRPr="00B84F38">
        <w:rPr>
          <w:sz w:val="16"/>
          <w:szCs w:val="16"/>
        </w:rPr>
        <w:t xml:space="preserve"> Clarendon press Oxford. Page 27</w:t>
      </w:r>
      <w:r>
        <w:rPr>
          <w:sz w:val="16"/>
          <w:szCs w:val="16"/>
        </w:rPr>
        <w:t>4.</w:t>
      </w:r>
    </w:p>
    <w:p w:rsidR="009C1BF1" w:rsidRDefault="009C1BF1" w:rsidP="009C1BF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7205" w:rsidRDefault="009B7205">
    <w:pPr>
      <w:pStyle w:val="Header"/>
    </w:pPr>
    <w:r>
      <w:t xml:space="preserve">Emily Ruth Davies Stephens </w:t>
    </w:r>
  </w:p>
  <w:p w:rsidR="009B7205" w:rsidRDefault="009B7205">
    <w:pPr>
      <w:pStyle w:val="Header"/>
    </w:pPr>
    <w:r>
      <w:t>1600586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BF1"/>
    <w:rsid w:val="001C5C76"/>
    <w:rsid w:val="002A7D56"/>
    <w:rsid w:val="00351DF9"/>
    <w:rsid w:val="00570606"/>
    <w:rsid w:val="005B52BA"/>
    <w:rsid w:val="007C24CD"/>
    <w:rsid w:val="00964FD6"/>
    <w:rsid w:val="009B7205"/>
    <w:rsid w:val="009C1BF1"/>
    <w:rsid w:val="00EB4A48"/>
    <w:rsid w:val="00FB5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F45167"/>
  <w15:chartTrackingRefBased/>
  <w15:docId w15:val="{C9A5C636-3265-4B1D-B6E9-2D7D808CA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1B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1B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1BF1"/>
    <w:rPr>
      <w:sz w:val="20"/>
      <w:szCs w:val="20"/>
    </w:rPr>
  </w:style>
  <w:style w:type="character" w:styleId="FootnoteReference">
    <w:name w:val="footnote reference"/>
    <w:basedOn w:val="DefaultParagraphFont"/>
    <w:uiPriority w:val="99"/>
    <w:semiHidden/>
    <w:unhideWhenUsed/>
    <w:rsid w:val="009C1BF1"/>
    <w:rPr>
      <w:vertAlign w:val="superscript"/>
    </w:rPr>
  </w:style>
  <w:style w:type="character" w:styleId="Hyperlink">
    <w:name w:val="Hyperlink"/>
    <w:basedOn w:val="DefaultParagraphFont"/>
    <w:uiPriority w:val="99"/>
    <w:unhideWhenUsed/>
    <w:rsid w:val="009C1BF1"/>
    <w:rPr>
      <w:color w:val="0563C1" w:themeColor="hyperlink"/>
      <w:u w:val="single"/>
    </w:rPr>
  </w:style>
  <w:style w:type="character" w:styleId="Emphasis">
    <w:name w:val="Emphasis"/>
    <w:basedOn w:val="DefaultParagraphFont"/>
    <w:uiPriority w:val="20"/>
    <w:qFormat/>
    <w:rsid w:val="009C1BF1"/>
    <w:rPr>
      <w:i/>
      <w:iCs/>
    </w:rPr>
  </w:style>
  <w:style w:type="character" w:styleId="CommentReference">
    <w:name w:val="annotation reference"/>
    <w:basedOn w:val="DefaultParagraphFont"/>
    <w:uiPriority w:val="99"/>
    <w:semiHidden/>
    <w:unhideWhenUsed/>
    <w:rsid w:val="009C1BF1"/>
    <w:rPr>
      <w:sz w:val="16"/>
      <w:szCs w:val="16"/>
    </w:rPr>
  </w:style>
  <w:style w:type="paragraph" w:styleId="CommentText">
    <w:name w:val="annotation text"/>
    <w:basedOn w:val="Normal"/>
    <w:link w:val="CommentTextChar"/>
    <w:uiPriority w:val="99"/>
    <w:semiHidden/>
    <w:unhideWhenUsed/>
    <w:rsid w:val="009C1BF1"/>
    <w:pPr>
      <w:spacing w:line="240" w:lineRule="auto"/>
    </w:pPr>
    <w:rPr>
      <w:sz w:val="20"/>
      <w:szCs w:val="20"/>
    </w:rPr>
  </w:style>
  <w:style w:type="character" w:customStyle="1" w:styleId="CommentTextChar">
    <w:name w:val="Comment Text Char"/>
    <w:basedOn w:val="DefaultParagraphFont"/>
    <w:link w:val="CommentText"/>
    <w:uiPriority w:val="99"/>
    <w:semiHidden/>
    <w:rsid w:val="009C1BF1"/>
    <w:rPr>
      <w:sz w:val="20"/>
      <w:szCs w:val="20"/>
    </w:rPr>
  </w:style>
  <w:style w:type="paragraph" w:styleId="BalloonText">
    <w:name w:val="Balloon Text"/>
    <w:basedOn w:val="Normal"/>
    <w:link w:val="BalloonTextChar"/>
    <w:uiPriority w:val="99"/>
    <w:semiHidden/>
    <w:unhideWhenUsed/>
    <w:rsid w:val="009C1B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1BF1"/>
    <w:rPr>
      <w:rFonts w:ascii="Segoe UI" w:hAnsi="Segoe UI" w:cs="Segoe UI"/>
      <w:sz w:val="18"/>
      <w:szCs w:val="18"/>
    </w:rPr>
  </w:style>
  <w:style w:type="paragraph" w:styleId="Header">
    <w:name w:val="header"/>
    <w:basedOn w:val="Normal"/>
    <w:link w:val="HeaderChar"/>
    <w:uiPriority w:val="99"/>
    <w:unhideWhenUsed/>
    <w:rsid w:val="009B7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205"/>
  </w:style>
  <w:style w:type="paragraph" w:styleId="Footer">
    <w:name w:val="footer"/>
    <w:basedOn w:val="Normal"/>
    <w:link w:val="FooterChar"/>
    <w:uiPriority w:val="99"/>
    <w:unhideWhenUsed/>
    <w:rsid w:val="009B7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rlz=1C1AVNE_enGB710GB710&amp;q=Beverley+Clack&amp;stick=H4sIAAAAAAAAAOPgE-LRT9c3NEoqKrI0Na9S4tLP1TcwrcgoM6rUkslOttJPys_P1i8vyiwpSc2LL88vyrZKLC3JyC8CABxcagU6AAAA&amp;sa=X&amp;ved=2ahUKEwjHjfyan_naAhVLKVAKHdxeCoIQmxMoATATegUIABCwAQ" TargetMode="External"/><Relationship Id="rId3" Type="http://schemas.openxmlformats.org/officeDocument/2006/relationships/settings" Target="settings.xml"/><Relationship Id="rId7" Type="http://schemas.openxmlformats.org/officeDocument/2006/relationships/hyperlink" Target="https://www.theguardian.com/science/2010/sep/02/stephen-hawking-big-bang-creato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uk/search?rlz=1C1AVNE_enGB710GB710&amp;q=Brian+R.+Clack&amp;stick=H4sIAAAAAAAAAOPgE-LRT9c3NEoqKrI0Na9SAvMMjQvLLfKK07VkspOt9JPy87P1y4syS0pS8-LL84uyrRJLSzLyiwCW4wl3PAAAAA&amp;sa=X&amp;ved=2ahUKEwjHjfyan_naAhVLKVAKHdxeCoIQmxMoAjATegUIABCxAQ"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science/2010/sep/02/stephen-hawking-big-bang-creator" TargetMode="External"/><Relationship Id="rId2" Type="http://schemas.openxmlformats.org/officeDocument/2006/relationships/hyperlink" Target="https://www.google.co.uk/search?rlz=1C1AVNE_enGB710GB710&amp;q=Brian+R.+Clack&amp;stick=H4sIAAAAAAAAAOPgE-LRT9c3NEoqKrI0Na9SAvMMjQvLLfKK07VkspOt9JPy87P1y4syS0pS8-LL84uyrRJLSzLyiwCW4wl3PAAAAA&amp;sa=X&amp;ved=2ahUKEwjHjfyan_naAhVLKVAKHdxeCoIQmxMoAjATegUIABCxAQ" TargetMode="External"/><Relationship Id="rId1" Type="http://schemas.openxmlformats.org/officeDocument/2006/relationships/hyperlink" Target="https://www.google.co.uk/search?rlz=1C1AVNE_enGB710GB710&amp;q=Beverley+Clack&amp;stick=H4sIAAAAAAAAAOPgE-LRT9c3NEoqKrI0Na9S4tLP1TcwrcgoM6rUkslOttJPys_P1i8vyiwpSc2LL88vyrZKLC3JyC8CABxcagU6AAAA&amp;sa=X&amp;ved=2ahUKEwjHjfyan_naAhVLKVAKHdxeCoIQmxMoATATegUIABCw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0E34B-81A9-4C6B-9BE0-A3D6CAC1C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3786</Words>
  <Characters>21584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7</cp:revision>
  <dcterms:created xsi:type="dcterms:W3CDTF">2018-05-09T21:36:00Z</dcterms:created>
  <dcterms:modified xsi:type="dcterms:W3CDTF">2018-05-09T22:34:00Z</dcterms:modified>
</cp:coreProperties>
</file>