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6309391"/>
        <w:docPartObj>
          <w:docPartGallery w:val="Cover Pages"/>
          <w:docPartUnique/>
        </w:docPartObj>
      </w:sdtPr>
      <w:sdtEndPr>
        <w:rPr>
          <w:rFonts w:ascii="Arial" w:hAnsi="Arial" w:cs="Arial"/>
          <w:b/>
          <w:bCs/>
        </w:rPr>
      </w:sdtEndPr>
      <w:sdtContent>
        <w:p w14:paraId="2E51658B" w14:textId="02930D61" w:rsidR="00776DAE" w:rsidRDefault="00776DAE">
          <w:pPr>
            <w:pStyle w:val="NoSpacing"/>
          </w:pPr>
        </w:p>
        <w:p w14:paraId="4F9A5081" w14:textId="377031AF" w:rsidR="00776DAE" w:rsidRDefault="00776DAE">
          <w:pPr>
            <w:rPr>
              <w:rFonts w:ascii="Arial" w:hAnsi="Arial" w:cs="Arial"/>
              <w:b/>
              <w:bCs/>
              <w:sz w:val="22"/>
              <w:szCs w:val="22"/>
            </w:rPr>
          </w:pPr>
        </w:p>
        <w:p w14:paraId="37928C0F" w14:textId="77777777" w:rsidR="00736D4E" w:rsidRDefault="00000000" w:rsidP="00736D4E">
          <w:pPr>
            <w:rPr>
              <w:rFonts w:ascii="Arial" w:hAnsi="Arial" w:cs="Arial"/>
              <w:b/>
              <w:bCs/>
            </w:rPr>
          </w:pPr>
        </w:p>
      </w:sdtContent>
    </w:sdt>
    <w:p w14:paraId="08E363C8" w14:textId="49FADA39" w:rsidR="00776DAE" w:rsidRDefault="00F60233" w:rsidP="00736D4E">
      <w:pPr>
        <w:rPr>
          <w:rFonts w:ascii="Arial" w:hAnsi="Arial" w:cs="Arial"/>
          <w:b/>
          <w:bCs/>
          <w:sz w:val="22"/>
          <w:szCs w:val="22"/>
        </w:rPr>
      </w:pPr>
      <w:r>
        <w:rPr>
          <w:noProof/>
        </w:rPr>
        <mc:AlternateContent>
          <mc:Choice Requires="wps">
            <w:drawing>
              <wp:anchor distT="0" distB="0" distL="114300" distR="114300" simplePos="0" relativeHeight="251660288" behindDoc="0" locked="0" layoutInCell="1" allowOverlap="1" wp14:anchorId="58017BDD" wp14:editId="3CA4887D">
                <wp:simplePos x="0" y="0"/>
                <wp:positionH relativeFrom="page">
                  <wp:posOffset>1344930</wp:posOffset>
                </wp:positionH>
                <wp:positionV relativeFrom="page">
                  <wp:posOffset>4276725</wp:posOffset>
                </wp:positionV>
                <wp:extent cx="5652135" cy="1699895"/>
                <wp:effectExtent l="0" t="0" r="5715" b="14605"/>
                <wp:wrapNone/>
                <wp:docPr id="1" name="Text Box 3"/>
                <wp:cNvGraphicFramePr/>
                <a:graphic xmlns:a="http://schemas.openxmlformats.org/drawingml/2006/main">
                  <a:graphicData uri="http://schemas.microsoft.com/office/word/2010/wordprocessingShape">
                    <wps:wsp>
                      <wps:cNvSpPr txBox="1"/>
                      <wps:spPr>
                        <a:xfrm>
                          <a:off x="0" y="0"/>
                          <a:ext cx="5652135" cy="1699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4234BD" w14:textId="2633D795" w:rsidR="00F60233" w:rsidRPr="00F60233" w:rsidRDefault="00F60233" w:rsidP="00F60233">
                            <w:pPr>
                              <w:pStyle w:val="NoSpacing"/>
                              <w:rPr>
                                <w:rFonts w:ascii="Arial" w:hAnsi="Arial" w:cs="Arial"/>
                                <w:sz w:val="24"/>
                                <w:szCs w:val="24"/>
                              </w:rPr>
                            </w:pPr>
                            <w:r w:rsidRPr="00F60233">
                              <w:rPr>
                                <w:rFonts w:ascii="Arial" w:hAnsi="Arial" w:cs="Arial"/>
                                <w:sz w:val="24"/>
                                <w:szCs w:val="24"/>
                              </w:rPr>
                              <w:t xml:space="preserve">Assignment </w:t>
                            </w:r>
                            <w:r w:rsidR="000D79F4" w:rsidRPr="00F60233">
                              <w:rPr>
                                <w:rFonts w:ascii="Arial" w:hAnsi="Arial" w:cs="Arial"/>
                                <w:sz w:val="24"/>
                                <w:szCs w:val="24"/>
                              </w:rPr>
                              <w:t>Title</w:t>
                            </w:r>
                            <w:r w:rsidR="000D79F4">
                              <w:rPr>
                                <w:rFonts w:ascii="Arial" w:hAnsi="Arial" w:cs="Arial"/>
                                <w:sz w:val="24"/>
                                <w:szCs w:val="24"/>
                              </w:rPr>
                              <w:t>:</w:t>
                            </w:r>
                            <w:r w:rsidRPr="00F60233">
                              <w:rPr>
                                <w:rFonts w:ascii="Arial" w:hAnsi="Arial" w:cs="Arial"/>
                                <w:sz w:val="24"/>
                                <w:szCs w:val="24"/>
                              </w:rPr>
                              <w:t xml:space="preserve"> </w:t>
                            </w:r>
                            <w:r>
                              <w:rPr>
                                <w:rFonts w:ascii="Arial" w:hAnsi="Arial" w:cs="Arial"/>
                                <w:sz w:val="24"/>
                                <w:szCs w:val="24"/>
                              </w:rPr>
                              <w:tab/>
                            </w:r>
                            <w:r w:rsidRPr="00F60233">
                              <w:rPr>
                                <w:rFonts w:ascii="Arial" w:hAnsi="Arial" w:cs="Arial"/>
                                <w:sz w:val="24"/>
                                <w:szCs w:val="24"/>
                              </w:rPr>
                              <w:t>Assessment 2: Bibliography &amp; report</w:t>
                            </w:r>
                          </w:p>
                          <w:p w14:paraId="31F64E60" w14:textId="6D2C6949" w:rsidR="00F60233" w:rsidRDefault="00F60233" w:rsidP="00F60233">
                            <w:pPr>
                              <w:pStyle w:val="NoSpacing"/>
                              <w:rPr>
                                <w:rFonts w:ascii="Arial" w:eastAsiaTheme="majorEastAsia" w:hAnsi="Arial" w:cs="Arial"/>
                                <w:color w:val="262626" w:themeColor="text1" w:themeTint="D9"/>
                                <w:sz w:val="24"/>
                                <w:szCs w:val="24"/>
                                <w:lang w:val="en-GB"/>
                              </w:rPr>
                            </w:pPr>
                            <w:r w:rsidRPr="00F60233">
                              <w:rPr>
                                <w:rFonts w:ascii="Arial" w:eastAsiaTheme="majorEastAsia" w:hAnsi="Arial" w:cs="Arial"/>
                                <w:color w:val="262626" w:themeColor="text1" w:themeTint="D9"/>
                                <w:sz w:val="24"/>
                                <w:szCs w:val="24"/>
                                <w:lang w:val="en-GB"/>
                              </w:rPr>
                              <w:t>Course</w:t>
                            </w:r>
                            <w:r>
                              <w:rPr>
                                <w:rFonts w:ascii="Arial" w:eastAsiaTheme="majorEastAsia" w:hAnsi="Arial" w:cs="Arial"/>
                                <w:color w:val="262626" w:themeColor="text1" w:themeTint="D9"/>
                                <w:sz w:val="24"/>
                                <w:szCs w:val="24"/>
                                <w:lang w:val="en-GB"/>
                              </w:rPr>
                              <w:t xml:space="preserve"> Title</w:t>
                            </w:r>
                            <w:r w:rsidRPr="00F60233">
                              <w:rPr>
                                <w:rFonts w:ascii="Arial" w:eastAsiaTheme="majorEastAsia" w:hAnsi="Arial" w:cs="Arial"/>
                                <w:color w:val="262626" w:themeColor="text1" w:themeTint="D9"/>
                                <w:sz w:val="24"/>
                                <w:szCs w:val="24"/>
                                <w:lang w:val="en-GB"/>
                              </w:rPr>
                              <w:t xml:space="preserve">: </w:t>
                            </w:r>
                            <w:r>
                              <w:rPr>
                                <w:rFonts w:ascii="Arial" w:eastAsiaTheme="majorEastAsia" w:hAnsi="Arial" w:cs="Arial"/>
                                <w:color w:val="262626" w:themeColor="text1" w:themeTint="D9"/>
                                <w:sz w:val="24"/>
                                <w:szCs w:val="24"/>
                                <w:lang w:val="en-GB"/>
                              </w:rPr>
                              <w:tab/>
                            </w:r>
                            <w:r w:rsidR="000D79F4">
                              <w:rPr>
                                <w:rFonts w:ascii="Arial" w:eastAsiaTheme="majorEastAsia" w:hAnsi="Arial" w:cs="Arial"/>
                                <w:color w:val="262626" w:themeColor="text1" w:themeTint="D9"/>
                                <w:sz w:val="24"/>
                                <w:szCs w:val="24"/>
                                <w:lang w:val="en-GB"/>
                              </w:rPr>
                              <w:tab/>
                            </w:r>
                            <w:r w:rsidRPr="00F60233">
                              <w:rPr>
                                <w:rFonts w:ascii="Arial" w:eastAsiaTheme="majorEastAsia" w:hAnsi="Arial" w:cs="Arial"/>
                                <w:color w:val="262626" w:themeColor="text1" w:themeTint="D9"/>
                                <w:sz w:val="24"/>
                                <w:szCs w:val="24"/>
                                <w:lang w:val="en-GB"/>
                              </w:rPr>
                              <w:t>Psychology in Health and Social Care</w:t>
                            </w:r>
                          </w:p>
                          <w:p w14:paraId="22DACABA" w14:textId="47267FAD" w:rsidR="00F60233" w:rsidRPr="00F60233" w:rsidRDefault="00000000" w:rsidP="00F60233">
                            <w:pPr>
                              <w:pStyle w:val="NoSpacing"/>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60233" w:rsidRPr="00F60233">
                                  <w:rPr>
                                    <w:rFonts w:ascii="Arial" w:hAnsi="Arial" w:cs="Arial"/>
                                    <w:color w:val="404040" w:themeColor="text1" w:themeTint="BF"/>
                                    <w:sz w:val="24"/>
                                    <w:szCs w:val="24"/>
                                  </w:rPr>
                                  <w:t xml:space="preserve">Module code: </w:t>
                                </w:r>
                                <w:r w:rsidR="00F60233">
                                  <w:rPr>
                                    <w:rFonts w:ascii="Arial" w:hAnsi="Arial" w:cs="Arial"/>
                                    <w:color w:val="404040" w:themeColor="text1" w:themeTint="BF"/>
                                    <w:sz w:val="24"/>
                                    <w:szCs w:val="24"/>
                                  </w:rPr>
                                  <w:t xml:space="preserve">  </w:t>
                                </w:r>
                                <w:r w:rsidR="000D79F4">
                                  <w:rPr>
                                    <w:rFonts w:ascii="Arial" w:hAnsi="Arial" w:cs="Arial"/>
                                    <w:color w:val="404040" w:themeColor="text1" w:themeTint="BF"/>
                                    <w:sz w:val="24"/>
                                    <w:szCs w:val="24"/>
                                  </w:rPr>
                                  <w:t xml:space="preserve">       </w:t>
                                </w:r>
                                <w:r w:rsidR="00F60233">
                                  <w:rPr>
                                    <w:rFonts w:ascii="Arial" w:hAnsi="Arial" w:cs="Arial"/>
                                    <w:color w:val="404040" w:themeColor="text1" w:themeTint="BF"/>
                                    <w:sz w:val="24"/>
                                    <w:szCs w:val="24"/>
                                  </w:rPr>
                                  <w:t xml:space="preserve"> </w:t>
                                </w:r>
                                <w:r w:rsidR="00F60233" w:rsidRPr="00F60233">
                                  <w:rPr>
                                    <w:rFonts w:ascii="Arial" w:hAnsi="Arial" w:cs="Arial"/>
                                    <w:color w:val="404040" w:themeColor="text1" w:themeTint="BF"/>
                                    <w:sz w:val="24"/>
                                    <w:szCs w:val="24"/>
                                  </w:rPr>
                                  <w:t>LCHS4010</w:t>
                                </w:r>
                              </w:sdtContent>
                            </w:sdt>
                          </w:p>
                          <w:p w14:paraId="3E7BFB5E" w14:textId="4E98113F" w:rsidR="00F60233" w:rsidRPr="00F60233" w:rsidRDefault="00F60233" w:rsidP="00F60233">
                            <w:pPr>
                              <w:pStyle w:val="NoSpacing"/>
                              <w:rPr>
                                <w:rFonts w:ascii="Arial" w:hAnsi="Arial" w:cs="Arial"/>
                                <w:color w:val="404040" w:themeColor="text1" w:themeTint="BF"/>
                                <w:sz w:val="24"/>
                                <w:szCs w:val="24"/>
                                <w:lang w:val="en-GB"/>
                              </w:rPr>
                            </w:pPr>
                            <w:r w:rsidRPr="00F60233">
                              <w:rPr>
                                <w:rFonts w:ascii="Arial" w:hAnsi="Arial" w:cs="Arial"/>
                                <w:color w:val="404040" w:themeColor="text1" w:themeTint="BF"/>
                                <w:sz w:val="24"/>
                                <w:szCs w:val="24"/>
                                <w:lang w:val="en-GB"/>
                              </w:rPr>
                              <w:t>Lecturer name:</w:t>
                            </w:r>
                            <w:r w:rsidR="000D79F4">
                              <w:rPr>
                                <w:rFonts w:ascii="Arial" w:hAnsi="Arial" w:cs="Arial"/>
                                <w:color w:val="404040" w:themeColor="text1" w:themeTint="BF"/>
                                <w:sz w:val="24"/>
                                <w:szCs w:val="24"/>
                                <w:lang w:val="en-GB"/>
                              </w:rPr>
                              <w:t xml:space="preserve">    </w:t>
                            </w:r>
                            <w:r w:rsidRPr="00F60233">
                              <w:rPr>
                                <w:rFonts w:ascii="Arial" w:hAnsi="Arial" w:cs="Arial"/>
                                <w:color w:val="404040" w:themeColor="text1" w:themeTint="BF"/>
                                <w:sz w:val="24"/>
                                <w:szCs w:val="24"/>
                                <w:lang w:val="en-GB"/>
                              </w:rPr>
                              <w:t xml:space="preserve"> </w:t>
                            </w:r>
                            <w:r w:rsidR="000D79F4">
                              <w:rPr>
                                <w:rFonts w:ascii="Arial" w:hAnsi="Arial" w:cs="Arial"/>
                                <w:color w:val="404040" w:themeColor="text1" w:themeTint="BF"/>
                                <w:sz w:val="24"/>
                                <w:szCs w:val="24"/>
                                <w:lang w:val="en-GB"/>
                              </w:rPr>
                              <w:t xml:space="preserve">   </w:t>
                            </w:r>
                            <w:r w:rsidR="00736D4E">
                              <w:rPr>
                                <w:rFonts w:ascii="Arial" w:hAnsi="Arial" w:cs="Arial"/>
                                <w:color w:val="404040" w:themeColor="text1" w:themeTint="BF"/>
                                <w:sz w:val="24"/>
                                <w:szCs w:val="24"/>
                                <w:lang w:val="en-GB"/>
                              </w:rPr>
                              <w:t>Helen Parsons</w:t>
                            </w:r>
                          </w:p>
                          <w:p w14:paraId="1203CFC3" w14:textId="3746265C" w:rsidR="00736D4E" w:rsidRPr="00F60233" w:rsidRDefault="00F60233" w:rsidP="00F60233">
                            <w:pPr>
                              <w:pStyle w:val="NoSpacing"/>
                              <w:rPr>
                                <w:rFonts w:ascii="Arial" w:hAnsi="Arial" w:cs="Arial"/>
                                <w:color w:val="404040" w:themeColor="text1" w:themeTint="BF"/>
                                <w:sz w:val="24"/>
                                <w:szCs w:val="24"/>
                                <w:lang w:val="en-GB"/>
                              </w:rPr>
                            </w:pPr>
                            <w:r w:rsidRPr="00F60233">
                              <w:rPr>
                                <w:rFonts w:ascii="Arial" w:hAnsi="Arial" w:cs="Arial"/>
                                <w:color w:val="404040" w:themeColor="text1" w:themeTint="BF"/>
                                <w:sz w:val="24"/>
                                <w:szCs w:val="24"/>
                                <w:lang w:val="en-GB"/>
                              </w:rPr>
                              <w:t>Student Name:</w:t>
                            </w:r>
                            <w:r w:rsidR="00736D4E">
                              <w:rPr>
                                <w:rFonts w:ascii="Arial" w:hAnsi="Arial" w:cs="Arial"/>
                                <w:color w:val="404040" w:themeColor="text1" w:themeTint="BF"/>
                                <w:sz w:val="24"/>
                                <w:szCs w:val="24"/>
                                <w:lang w:val="en-GB"/>
                              </w:rPr>
                              <w:t xml:space="preserve">        Madalitso Majawa</w:t>
                            </w:r>
                          </w:p>
                          <w:p w14:paraId="5FC4F1B2" w14:textId="7E83BC15" w:rsidR="00F60233" w:rsidRPr="00F60233" w:rsidRDefault="00F60233" w:rsidP="00F60233">
                            <w:pPr>
                              <w:pStyle w:val="NoSpacing"/>
                              <w:rPr>
                                <w:rFonts w:ascii="Arial" w:hAnsi="Arial" w:cs="Arial"/>
                                <w:color w:val="404040" w:themeColor="text1" w:themeTint="BF"/>
                                <w:sz w:val="24"/>
                                <w:szCs w:val="24"/>
                              </w:rPr>
                            </w:pPr>
                            <w:r w:rsidRPr="00F60233">
                              <w:rPr>
                                <w:rFonts w:ascii="Arial" w:hAnsi="Arial" w:cs="Arial"/>
                                <w:color w:val="404040" w:themeColor="text1" w:themeTint="BF"/>
                                <w:sz w:val="24"/>
                                <w:szCs w:val="24"/>
                                <w:lang w:val="en-GB"/>
                              </w:rPr>
                              <w:t>Student number:</w:t>
                            </w:r>
                            <w:r w:rsidR="00736D4E">
                              <w:rPr>
                                <w:rFonts w:ascii="Arial" w:hAnsi="Arial" w:cs="Arial"/>
                                <w:color w:val="404040" w:themeColor="text1" w:themeTint="BF"/>
                                <w:sz w:val="24"/>
                                <w:szCs w:val="24"/>
                                <w:lang w:val="en-GB"/>
                              </w:rPr>
                              <w:t xml:space="preserve">     2432520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8017BDD" id="_x0000_t202" coordsize="21600,21600" o:spt="202" path="m,l,21600r21600,l21600,xe">
                <v:stroke joinstyle="miter"/>
                <v:path gradientshapeok="t" o:connecttype="rect"/>
              </v:shapetype>
              <v:shape id="Text Box 3" o:spid="_x0000_s1026" type="#_x0000_t202" style="position:absolute;margin-left:105.9pt;margin-top:336.75pt;width:445.05pt;height:133.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" filled="f" stroked="f" strokeweight=".5pt">
                <v:textbox inset="0,0,0,0">
                  <w:txbxContent>
                    <w:p w14:paraId="094234BD" w14:textId="2633D795" w:rsidR="00F60233" w:rsidRPr="00F60233" w:rsidRDefault="00F60233" w:rsidP="00F60233">
                      <w:pPr>
                        <w:pStyle w:val="NoSpacing"/>
                        <w:rPr>
                          <w:rFonts w:ascii="Arial" w:hAnsi="Arial" w:cs="Arial"/>
                          <w:sz w:val="24"/>
                          <w:szCs w:val="24"/>
                        </w:rPr>
                      </w:pPr>
                      <w:r w:rsidRPr="00F60233">
                        <w:rPr>
                          <w:rFonts w:ascii="Arial" w:hAnsi="Arial" w:cs="Arial"/>
                          <w:sz w:val="24"/>
                          <w:szCs w:val="24"/>
                        </w:rPr>
                        <w:t xml:space="preserve">Assignment </w:t>
                      </w:r>
                      <w:r w:rsidR="000D79F4" w:rsidRPr="00F60233">
                        <w:rPr>
                          <w:rFonts w:ascii="Arial" w:hAnsi="Arial" w:cs="Arial"/>
                          <w:sz w:val="24"/>
                          <w:szCs w:val="24"/>
                        </w:rPr>
                        <w:t>Title</w:t>
                      </w:r>
                      <w:r w:rsidR="000D79F4">
                        <w:rPr>
                          <w:rFonts w:ascii="Arial" w:hAnsi="Arial" w:cs="Arial"/>
                          <w:sz w:val="24"/>
                          <w:szCs w:val="24"/>
                        </w:rPr>
                        <w:t>:</w:t>
                      </w:r>
                      <w:r w:rsidRPr="00F60233">
                        <w:rPr>
                          <w:rFonts w:ascii="Arial" w:hAnsi="Arial" w:cs="Arial"/>
                          <w:sz w:val="24"/>
                          <w:szCs w:val="24"/>
                        </w:rPr>
                        <w:t xml:space="preserve"> </w:t>
                      </w:r>
                      <w:r>
                        <w:rPr>
                          <w:rFonts w:ascii="Arial" w:hAnsi="Arial" w:cs="Arial"/>
                          <w:sz w:val="24"/>
                          <w:szCs w:val="24"/>
                        </w:rPr>
                        <w:tab/>
                      </w:r>
                      <w:r w:rsidRPr="00F60233">
                        <w:rPr>
                          <w:rFonts w:ascii="Arial" w:hAnsi="Arial" w:cs="Arial"/>
                          <w:sz w:val="24"/>
                          <w:szCs w:val="24"/>
                        </w:rPr>
                        <w:t>Assessment 2: Bibliography &amp; report</w:t>
                      </w:r>
                    </w:p>
                    <w:p w14:paraId="31F64E60" w14:textId="6D2C6949" w:rsidR="00F60233" w:rsidRDefault="00F60233" w:rsidP="00F60233">
                      <w:pPr>
                        <w:pStyle w:val="NoSpacing"/>
                        <w:rPr>
                          <w:rFonts w:ascii="Arial" w:eastAsiaTheme="majorEastAsia" w:hAnsi="Arial" w:cs="Arial"/>
                          <w:color w:val="262626" w:themeColor="text1" w:themeTint="D9"/>
                          <w:sz w:val="24"/>
                          <w:szCs w:val="24"/>
                          <w:lang w:val="en-GB"/>
                        </w:rPr>
                      </w:pPr>
                      <w:r w:rsidRPr="00F60233">
                        <w:rPr>
                          <w:rFonts w:ascii="Arial" w:eastAsiaTheme="majorEastAsia" w:hAnsi="Arial" w:cs="Arial"/>
                          <w:color w:val="262626" w:themeColor="text1" w:themeTint="D9"/>
                          <w:sz w:val="24"/>
                          <w:szCs w:val="24"/>
                          <w:lang w:val="en-GB"/>
                        </w:rPr>
                        <w:t>Course</w:t>
                      </w:r>
                      <w:r>
                        <w:rPr>
                          <w:rFonts w:ascii="Arial" w:eastAsiaTheme="majorEastAsia" w:hAnsi="Arial" w:cs="Arial"/>
                          <w:color w:val="262626" w:themeColor="text1" w:themeTint="D9"/>
                          <w:sz w:val="24"/>
                          <w:szCs w:val="24"/>
                          <w:lang w:val="en-GB"/>
                        </w:rPr>
                        <w:t xml:space="preserve"> Title</w:t>
                      </w:r>
                      <w:r w:rsidRPr="00F60233">
                        <w:rPr>
                          <w:rFonts w:ascii="Arial" w:eastAsiaTheme="majorEastAsia" w:hAnsi="Arial" w:cs="Arial"/>
                          <w:color w:val="262626" w:themeColor="text1" w:themeTint="D9"/>
                          <w:sz w:val="24"/>
                          <w:szCs w:val="24"/>
                          <w:lang w:val="en-GB"/>
                        </w:rPr>
                        <w:t xml:space="preserve">: </w:t>
                      </w:r>
                      <w:r>
                        <w:rPr>
                          <w:rFonts w:ascii="Arial" w:eastAsiaTheme="majorEastAsia" w:hAnsi="Arial" w:cs="Arial"/>
                          <w:color w:val="262626" w:themeColor="text1" w:themeTint="D9"/>
                          <w:sz w:val="24"/>
                          <w:szCs w:val="24"/>
                          <w:lang w:val="en-GB"/>
                        </w:rPr>
                        <w:tab/>
                      </w:r>
                      <w:r w:rsidR="000D79F4">
                        <w:rPr>
                          <w:rFonts w:ascii="Arial" w:eastAsiaTheme="majorEastAsia" w:hAnsi="Arial" w:cs="Arial"/>
                          <w:color w:val="262626" w:themeColor="text1" w:themeTint="D9"/>
                          <w:sz w:val="24"/>
                          <w:szCs w:val="24"/>
                          <w:lang w:val="en-GB"/>
                        </w:rPr>
                        <w:tab/>
                      </w:r>
                      <w:r w:rsidRPr="00F60233">
                        <w:rPr>
                          <w:rFonts w:ascii="Arial" w:eastAsiaTheme="majorEastAsia" w:hAnsi="Arial" w:cs="Arial"/>
                          <w:color w:val="262626" w:themeColor="text1" w:themeTint="D9"/>
                          <w:sz w:val="24"/>
                          <w:szCs w:val="24"/>
                          <w:lang w:val="en-GB"/>
                        </w:rPr>
                        <w:t>Psychology in Health and Social Care</w:t>
                      </w:r>
                    </w:p>
                    <w:p w14:paraId="22DACABA" w14:textId="47267FAD" w:rsidR="00F60233" w:rsidRPr="00F60233" w:rsidRDefault="00000000" w:rsidP="00F60233">
                      <w:pPr>
                        <w:pStyle w:val="NoSpacing"/>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60233" w:rsidRPr="00F60233">
                            <w:rPr>
                              <w:rFonts w:ascii="Arial" w:hAnsi="Arial" w:cs="Arial"/>
                              <w:color w:val="404040" w:themeColor="text1" w:themeTint="BF"/>
                              <w:sz w:val="24"/>
                              <w:szCs w:val="24"/>
                            </w:rPr>
                            <w:t xml:space="preserve">Module code: </w:t>
                          </w:r>
                          <w:r w:rsidR="00F60233">
                            <w:rPr>
                              <w:rFonts w:ascii="Arial" w:hAnsi="Arial" w:cs="Arial"/>
                              <w:color w:val="404040" w:themeColor="text1" w:themeTint="BF"/>
                              <w:sz w:val="24"/>
                              <w:szCs w:val="24"/>
                            </w:rPr>
                            <w:t xml:space="preserve">  </w:t>
                          </w:r>
                          <w:r w:rsidR="000D79F4">
                            <w:rPr>
                              <w:rFonts w:ascii="Arial" w:hAnsi="Arial" w:cs="Arial"/>
                              <w:color w:val="404040" w:themeColor="text1" w:themeTint="BF"/>
                              <w:sz w:val="24"/>
                              <w:szCs w:val="24"/>
                            </w:rPr>
                            <w:t xml:space="preserve">       </w:t>
                          </w:r>
                          <w:r w:rsidR="00F60233">
                            <w:rPr>
                              <w:rFonts w:ascii="Arial" w:hAnsi="Arial" w:cs="Arial"/>
                              <w:color w:val="404040" w:themeColor="text1" w:themeTint="BF"/>
                              <w:sz w:val="24"/>
                              <w:szCs w:val="24"/>
                            </w:rPr>
                            <w:t xml:space="preserve"> </w:t>
                          </w:r>
                          <w:r w:rsidR="00F60233" w:rsidRPr="00F60233">
                            <w:rPr>
                              <w:rFonts w:ascii="Arial" w:hAnsi="Arial" w:cs="Arial"/>
                              <w:color w:val="404040" w:themeColor="text1" w:themeTint="BF"/>
                              <w:sz w:val="24"/>
                              <w:szCs w:val="24"/>
                            </w:rPr>
                            <w:t>LCHS4010</w:t>
                          </w:r>
                        </w:sdtContent>
                      </w:sdt>
                    </w:p>
                    <w:p w14:paraId="3E7BFB5E" w14:textId="4E98113F" w:rsidR="00F60233" w:rsidRPr="00F60233" w:rsidRDefault="00F60233" w:rsidP="00F60233">
                      <w:pPr>
                        <w:pStyle w:val="NoSpacing"/>
                        <w:rPr>
                          <w:rFonts w:ascii="Arial" w:hAnsi="Arial" w:cs="Arial"/>
                          <w:color w:val="404040" w:themeColor="text1" w:themeTint="BF"/>
                          <w:sz w:val="24"/>
                          <w:szCs w:val="24"/>
                          <w:lang w:val="en-GB"/>
                        </w:rPr>
                      </w:pPr>
                      <w:r w:rsidRPr="00F60233">
                        <w:rPr>
                          <w:rFonts w:ascii="Arial" w:hAnsi="Arial" w:cs="Arial"/>
                          <w:color w:val="404040" w:themeColor="text1" w:themeTint="BF"/>
                          <w:sz w:val="24"/>
                          <w:szCs w:val="24"/>
                          <w:lang w:val="en-GB"/>
                        </w:rPr>
                        <w:t>Lecturer name:</w:t>
                      </w:r>
                      <w:r w:rsidR="000D79F4">
                        <w:rPr>
                          <w:rFonts w:ascii="Arial" w:hAnsi="Arial" w:cs="Arial"/>
                          <w:color w:val="404040" w:themeColor="text1" w:themeTint="BF"/>
                          <w:sz w:val="24"/>
                          <w:szCs w:val="24"/>
                          <w:lang w:val="en-GB"/>
                        </w:rPr>
                        <w:t xml:space="preserve">    </w:t>
                      </w:r>
                      <w:r w:rsidRPr="00F60233">
                        <w:rPr>
                          <w:rFonts w:ascii="Arial" w:hAnsi="Arial" w:cs="Arial"/>
                          <w:color w:val="404040" w:themeColor="text1" w:themeTint="BF"/>
                          <w:sz w:val="24"/>
                          <w:szCs w:val="24"/>
                          <w:lang w:val="en-GB"/>
                        </w:rPr>
                        <w:t xml:space="preserve"> </w:t>
                      </w:r>
                      <w:r w:rsidR="000D79F4">
                        <w:rPr>
                          <w:rFonts w:ascii="Arial" w:hAnsi="Arial" w:cs="Arial"/>
                          <w:color w:val="404040" w:themeColor="text1" w:themeTint="BF"/>
                          <w:sz w:val="24"/>
                          <w:szCs w:val="24"/>
                          <w:lang w:val="en-GB"/>
                        </w:rPr>
                        <w:t xml:space="preserve">   </w:t>
                      </w:r>
                      <w:r w:rsidR="00736D4E">
                        <w:rPr>
                          <w:rFonts w:ascii="Arial" w:hAnsi="Arial" w:cs="Arial"/>
                          <w:color w:val="404040" w:themeColor="text1" w:themeTint="BF"/>
                          <w:sz w:val="24"/>
                          <w:szCs w:val="24"/>
                          <w:lang w:val="en-GB"/>
                        </w:rPr>
                        <w:t>Helen Parsons</w:t>
                      </w:r>
                    </w:p>
                    <w:p w14:paraId="1203CFC3" w14:textId="3746265C" w:rsidR="00736D4E" w:rsidRPr="00F60233" w:rsidRDefault="00F60233" w:rsidP="00F60233">
                      <w:pPr>
                        <w:pStyle w:val="NoSpacing"/>
                        <w:rPr>
                          <w:rFonts w:ascii="Arial" w:hAnsi="Arial" w:cs="Arial"/>
                          <w:color w:val="404040" w:themeColor="text1" w:themeTint="BF"/>
                          <w:sz w:val="24"/>
                          <w:szCs w:val="24"/>
                          <w:lang w:val="en-GB"/>
                        </w:rPr>
                      </w:pPr>
                      <w:r w:rsidRPr="00F60233">
                        <w:rPr>
                          <w:rFonts w:ascii="Arial" w:hAnsi="Arial" w:cs="Arial"/>
                          <w:color w:val="404040" w:themeColor="text1" w:themeTint="BF"/>
                          <w:sz w:val="24"/>
                          <w:szCs w:val="24"/>
                          <w:lang w:val="en-GB"/>
                        </w:rPr>
                        <w:t>Student Name:</w:t>
                      </w:r>
                      <w:r w:rsidR="00736D4E">
                        <w:rPr>
                          <w:rFonts w:ascii="Arial" w:hAnsi="Arial" w:cs="Arial"/>
                          <w:color w:val="404040" w:themeColor="text1" w:themeTint="BF"/>
                          <w:sz w:val="24"/>
                          <w:szCs w:val="24"/>
                          <w:lang w:val="en-GB"/>
                        </w:rPr>
                        <w:t xml:space="preserve">        Madalitso Majawa</w:t>
                      </w:r>
                    </w:p>
                    <w:p w14:paraId="5FC4F1B2" w14:textId="7E83BC15" w:rsidR="00F60233" w:rsidRPr="00F60233" w:rsidRDefault="00F60233" w:rsidP="00F60233">
                      <w:pPr>
                        <w:pStyle w:val="NoSpacing"/>
                        <w:rPr>
                          <w:rFonts w:ascii="Arial" w:hAnsi="Arial" w:cs="Arial"/>
                          <w:color w:val="404040" w:themeColor="text1" w:themeTint="BF"/>
                          <w:sz w:val="24"/>
                          <w:szCs w:val="24"/>
                        </w:rPr>
                      </w:pPr>
                      <w:r w:rsidRPr="00F60233">
                        <w:rPr>
                          <w:rFonts w:ascii="Arial" w:hAnsi="Arial" w:cs="Arial"/>
                          <w:color w:val="404040" w:themeColor="text1" w:themeTint="BF"/>
                          <w:sz w:val="24"/>
                          <w:szCs w:val="24"/>
                          <w:lang w:val="en-GB"/>
                        </w:rPr>
                        <w:t>Student number:</w:t>
                      </w:r>
                      <w:r w:rsidR="00736D4E">
                        <w:rPr>
                          <w:rFonts w:ascii="Arial" w:hAnsi="Arial" w:cs="Arial"/>
                          <w:color w:val="404040" w:themeColor="text1" w:themeTint="BF"/>
                          <w:sz w:val="24"/>
                          <w:szCs w:val="24"/>
                          <w:lang w:val="en-GB"/>
                        </w:rPr>
                        <w:t xml:space="preserve">     2432520</w:t>
                      </w:r>
                    </w:p>
                  </w:txbxContent>
                </v:textbox>
                <w10:wrap anchorx="page" anchory="page"/>
              </v:shape>
            </w:pict>
          </mc:Fallback>
        </mc:AlternateContent>
      </w:r>
    </w:p>
    <w:p w14:paraId="092CC4D6" w14:textId="2F68847E" w:rsidR="00776DAE" w:rsidRDefault="00736D4E" w:rsidP="00736D4E">
      <w:pPr>
        <w:tabs>
          <w:tab w:val="left" w:pos="2835"/>
        </w:tabs>
        <w:spacing w:line="360" w:lineRule="auto"/>
        <w:rPr>
          <w:rFonts w:ascii="Arial" w:hAnsi="Arial" w:cs="Arial"/>
          <w:b/>
          <w:bCs/>
          <w:sz w:val="22"/>
          <w:szCs w:val="22"/>
        </w:rPr>
      </w:pPr>
      <w:r>
        <w:rPr>
          <w:rFonts w:ascii="Arial" w:hAnsi="Arial" w:cs="Arial"/>
          <w:b/>
          <w:bCs/>
          <w:sz w:val="22"/>
          <w:szCs w:val="22"/>
        </w:rPr>
        <w:tab/>
      </w:r>
    </w:p>
    <w:p w14:paraId="19F84778" w14:textId="77777777" w:rsidR="00776DAE" w:rsidRDefault="00776DAE" w:rsidP="008F1995">
      <w:pPr>
        <w:spacing w:line="360" w:lineRule="auto"/>
        <w:rPr>
          <w:rFonts w:ascii="Arial" w:hAnsi="Arial" w:cs="Arial"/>
          <w:b/>
          <w:bCs/>
          <w:sz w:val="22"/>
          <w:szCs w:val="22"/>
        </w:rPr>
      </w:pPr>
    </w:p>
    <w:p w14:paraId="301BED16" w14:textId="77777777" w:rsidR="00776DAE" w:rsidRDefault="00776DAE" w:rsidP="008F1995">
      <w:pPr>
        <w:spacing w:line="360" w:lineRule="auto"/>
        <w:rPr>
          <w:rFonts w:ascii="Arial" w:hAnsi="Arial" w:cs="Arial"/>
          <w:b/>
          <w:bCs/>
          <w:sz w:val="22"/>
          <w:szCs w:val="22"/>
        </w:rPr>
      </w:pPr>
    </w:p>
    <w:p w14:paraId="0B714E6F" w14:textId="77777777" w:rsidR="00776DAE" w:rsidRDefault="00776DAE" w:rsidP="008F1995">
      <w:pPr>
        <w:spacing w:line="360" w:lineRule="auto"/>
        <w:rPr>
          <w:rFonts w:ascii="Arial" w:hAnsi="Arial" w:cs="Arial"/>
          <w:b/>
          <w:bCs/>
          <w:sz w:val="22"/>
          <w:szCs w:val="22"/>
        </w:rPr>
      </w:pPr>
    </w:p>
    <w:p w14:paraId="26874BEB" w14:textId="77777777" w:rsidR="00776DAE" w:rsidRDefault="00776DAE" w:rsidP="008F1995">
      <w:pPr>
        <w:spacing w:line="360" w:lineRule="auto"/>
        <w:rPr>
          <w:rFonts w:ascii="Arial" w:hAnsi="Arial" w:cs="Arial"/>
          <w:b/>
          <w:bCs/>
          <w:sz w:val="22"/>
          <w:szCs w:val="22"/>
        </w:rPr>
      </w:pPr>
    </w:p>
    <w:p w14:paraId="34008C6E" w14:textId="77777777" w:rsidR="00776DAE" w:rsidRDefault="00776DAE" w:rsidP="008F1995">
      <w:pPr>
        <w:spacing w:line="360" w:lineRule="auto"/>
        <w:rPr>
          <w:rFonts w:ascii="Arial" w:hAnsi="Arial" w:cs="Arial"/>
          <w:b/>
          <w:bCs/>
          <w:sz w:val="22"/>
          <w:szCs w:val="22"/>
        </w:rPr>
      </w:pPr>
    </w:p>
    <w:p w14:paraId="7E949EA4" w14:textId="77777777" w:rsidR="00776DAE" w:rsidRDefault="00776DAE" w:rsidP="008F1995">
      <w:pPr>
        <w:spacing w:line="360" w:lineRule="auto"/>
        <w:rPr>
          <w:rFonts w:ascii="Arial" w:hAnsi="Arial" w:cs="Arial"/>
          <w:b/>
          <w:bCs/>
          <w:sz w:val="22"/>
          <w:szCs w:val="22"/>
        </w:rPr>
      </w:pPr>
    </w:p>
    <w:p w14:paraId="0A3B30EC" w14:textId="77777777" w:rsidR="00776DAE" w:rsidRDefault="00776DAE" w:rsidP="008F1995">
      <w:pPr>
        <w:spacing w:line="360" w:lineRule="auto"/>
        <w:rPr>
          <w:rFonts w:ascii="Arial" w:hAnsi="Arial" w:cs="Arial"/>
          <w:b/>
          <w:bCs/>
          <w:sz w:val="22"/>
          <w:szCs w:val="22"/>
        </w:rPr>
      </w:pPr>
    </w:p>
    <w:p w14:paraId="29C5DD1C" w14:textId="77777777" w:rsidR="00776DAE" w:rsidRDefault="00776DAE" w:rsidP="008F1995">
      <w:pPr>
        <w:spacing w:line="360" w:lineRule="auto"/>
        <w:rPr>
          <w:rFonts w:ascii="Arial" w:hAnsi="Arial" w:cs="Arial"/>
          <w:b/>
          <w:bCs/>
          <w:sz w:val="22"/>
          <w:szCs w:val="22"/>
        </w:rPr>
      </w:pPr>
    </w:p>
    <w:p w14:paraId="37DE300D" w14:textId="77777777" w:rsidR="00776DAE" w:rsidRDefault="00776DAE" w:rsidP="008F1995">
      <w:pPr>
        <w:spacing w:line="360" w:lineRule="auto"/>
        <w:rPr>
          <w:rFonts w:ascii="Arial" w:hAnsi="Arial" w:cs="Arial"/>
          <w:b/>
          <w:bCs/>
          <w:sz w:val="22"/>
          <w:szCs w:val="22"/>
        </w:rPr>
      </w:pPr>
    </w:p>
    <w:p w14:paraId="5957CA5A" w14:textId="77777777" w:rsidR="00776DAE" w:rsidRDefault="00776DAE" w:rsidP="008F1995">
      <w:pPr>
        <w:spacing w:line="360" w:lineRule="auto"/>
        <w:rPr>
          <w:rFonts w:ascii="Arial" w:hAnsi="Arial" w:cs="Arial"/>
          <w:b/>
          <w:bCs/>
          <w:sz w:val="22"/>
          <w:szCs w:val="22"/>
        </w:rPr>
      </w:pPr>
    </w:p>
    <w:p w14:paraId="0C436661" w14:textId="77777777" w:rsidR="00776DAE" w:rsidRDefault="00776DAE" w:rsidP="008F1995">
      <w:pPr>
        <w:spacing w:line="360" w:lineRule="auto"/>
        <w:rPr>
          <w:rFonts w:ascii="Arial" w:hAnsi="Arial" w:cs="Arial"/>
          <w:b/>
          <w:bCs/>
          <w:sz w:val="22"/>
          <w:szCs w:val="22"/>
        </w:rPr>
      </w:pPr>
    </w:p>
    <w:p w14:paraId="7D6D31CB" w14:textId="77777777" w:rsidR="00776DAE" w:rsidRDefault="00776DAE" w:rsidP="008F1995">
      <w:pPr>
        <w:spacing w:line="360" w:lineRule="auto"/>
        <w:rPr>
          <w:rFonts w:ascii="Arial" w:hAnsi="Arial" w:cs="Arial"/>
          <w:b/>
          <w:bCs/>
          <w:sz w:val="22"/>
          <w:szCs w:val="22"/>
        </w:rPr>
      </w:pPr>
    </w:p>
    <w:p w14:paraId="13206FAF" w14:textId="77777777" w:rsidR="00776DAE" w:rsidRDefault="00776DAE" w:rsidP="008F1995">
      <w:pPr>
        <w:spacing w:line="360" w:lineRule="auto"/>
        <w:rPr>
          <w:rFonts w:ascii="Arial" w:hAnsi="Arial" w:cs="Arial"/>
          <w:b/>
          <w:bCs/>
          <w:sz w:val="22"/>
          <w:szCs w:val="22"/>
        </w:rPr>
      </w:pPr>
    </w:p>
    <w:p w14:paraId="3B02C42C" w14:textId="02605821" w:rsidR="00776DAE" w:rsidRDefault="00776DAE" w:rsidP="008F1995">
      <w:pPr>
        <w:spacing w:line="360" w:lineRule="auto"/>
        <w:rPr>
          <w:rFonts w:ascii="Arial" w:hAnsi="Arial" w:cs="Arial"/>
          <w:b/>
          <w:bCs/>
          <w:sz w:val="22"/>
          <w:szCs w:val="22"/>
        </w:rPr>
      </w:pPr>
    </w:p>
    <w:p w14:paraId="3A6FDAF9" w14:textId="0DEF93B8" w:rsidR="00453AE0" w:rsidRPr="008F1995" w:rsidRDefault="00453AE0" w:rsidP="008F1995">
      <w:pPr>
        <w:spacing w:line="360" w:lineRule="auto"/>
        <w:rPr>
          <w:rFonts w:ascii="Arial" w:hAnsi="Arial" w:cs="Arial"/>
          <w:b/>
          <w:bCs/>
          <w:sz w:val="22"/>
          <w:szCs w:val="22"/>
        </w:rPr>
      </w:pPr>
      <w:r w:rsidRPr="008F1995">
        <w:rPr>
          <w:rFonts w:ascii="Arial" w:hAnsi="Arial" w:cs="Arial"/>
          <w:b/>
          <w:bCs/>
          <w:sz w:val="22"/>
          <w:szCs w:val="22"/>
        </w:rPr>
        <w:t xml:space="preserve">Part A Annotated Bibliography </w:t>
      </w:r>
    </w:p>
    <w:p w14:paraId="445B6EE4" w14:textId="70305241" w:rsidR="002C5897" w:rsidRPr="002C5897" w:rsidRDefault="002C5897" w:rsidP="008F1995">
      <w:pPr>
        <w:spacing w:line="360" w:lineRule="auto"/>
        <w:rPr>
          <w:rFonts w:ascii="Arial" w:hAnsi="Arial" w:cs="Arial"/>
          <w:b/>
          <w:bCs/>
          <w:sz w:val="22"/>
          <w:szCs w:val="22"/>
        </w:rPr>
      </w:pPr>
      <w:r w:rsidRPr="002C5897">
        <w:rPr>
          <w:rFonts w:ascii="Arial" w:hAnsi="Arial" w:cs="Arial"/>
          <w:b/>
          <w:bCs/>
          <w:sz w:val="22"/>
          <w:szCs w:val="22"/>
        </w:rPr>
        <w:t>Psychosocial Theory</w:t>
      </w:r>
    </w:p>
    <w:p w14:paraId="02B9FB92" w14:textId="5FF37A97" w:rsidR="002C5897" w:rsidRPr="008F1995" w:rsidRDefault="002C5897" w:rsidP="008F1995">
      <w:pPr>
        <w:spacing w:line="360" w:lineRule="auto"/>
        <w:rPr>
          <w:rFonts w:ascii="Arial" w:hAnsi="Arial" w:cs="Arial"/>
          <w:sz w:val="22"/>
          <w:szCs w:val="22"/>
        </w:rPr>
      </w:pPr>
      <w:r w:rsidRPr="002C5897">
        <w:rPr>
          <w:rFonts w:ascii="Arial" w:hAnsi="Arial" w:cs="Arial"/>
          <w:b/>
          <w:bCs/>
          <w:sz w:val="22"/>
          <w:szCs w:val="22"/>
        </w:rPr>
        <w:t xml:space="preserve">Reference </w:t>
      </w:r>
      <w:r w:rsidRPr="002C5897">
        <w:rPr>
          <w:rFonts w:ascii="Arial" w:hAnsi="Arial" w:cs="Arial"/>
          <w:sz w:val="22"/>
          <w:szCs w:val="22"/>
        </w:rPr>
        <w:br/>
        <w:t xml:space="preserve">Erikson, E.H. (1982) </w:t>
      </w:r>
      <w:r w:rsidRPr="002C5897">
        <w:rPr>
          <w:rFonts w:ascii="Arial" w:hAnsi="Arial" w:cs="Arial"/>
          <w:i/>
          <w:iCs/>
          <w:sz w:val="22"/>
          <w:szCs w:val="22"/>
        </w:rPr>
        <w:t>The life cycle completed</w:t>
      </w:r>
      <w:r w:rsidRPr="002C5897">
        <w:rPr>
          <w:rFonts w:ascii="Arial" w:hAnsi="Arial" w:cs="Arial"/>
          <w:sz w:val="22"/>
          <w:szCs w:val="22"/>
        </w:rPr>
        <w:t>. New York: W.W. Norton &amp; Company.</w:t>
      </w:r>
    </w:p>
    <w:p w14:paraId="2435A522" w14:textId="264A180A" w:rsidR="00F21194" w:rsidRPr="008F1995" w:rsidRDefault="00F21194" w:rsidP="008F1995">
      <w:pPr>
        <w:spacing w:line="360" w:lineRule="auto"/>
        <w:rPr>
          <w:rFonts w:ascii="Arial" w:hAnsi="Arial" w:cs="Arial"/>
          <w:sz w:val="22"/>
          <w:szCs w:val="22"/>
        </w:rPr>
      </w:pPr>
      <w:r w:rsidRPr="008F1995">
        <w:rPr>
          <w:rFonts w:ascii="Arial" w:hAnsi="Arial" w:cs="Arial"/>
          <w:sz w:val="22"/>
          <w:szCs w:val="22"/>
        </w:rPr>
        <w:t>Corradi R. B. (2024). Psychoanalytic Contributions to Psychodynamic Psychiatry and Psychotherapy: Erik Erikson's Psychosocial Developmental Theory. </w:t>
      </w:r>
      <w:r w:rsidRPr="008F1995">
        <w:rPr>
          <w:rFonts w:ascii="Arial" w:hAnsi="Arial" w:cs="Arial"/>
          <w:i/>
          <w:iCs/>
          <w:sz w:val="22"/>
          <w:szCs w:val="22"/>
        </w:rPr>
        <w:t>Psychodynamic psychiatry</w:t>
      </w:r>
      <w:r w:rsidRPr="008F1995">
        <w:rPr>
          <w:rFonts w:ascii="Arial" w:hAnsi="Arial" w:cs="Arial"/>
          <w:sz w:val="22"/>
          <w:szCs w:val="22"/>
        </w:rPr>
        <w:t>, </w:t>
      </w:r>
      <w:r w:rsidRPr="008F1995">
        <w:rPr>
          <w:rFonts w:ascii="Arial" w:hAnsi="Arial" w:cs="Arial"/>
          <w:i/>
          <w:iCs/>
          <w:sz w:val="22"/>
          <w:szCs w:val="22"/>
        </w:rPr>
        <w:t>52</w:t>
      </w:r>
      <w:r w:rsidRPr="008F1995">
        <w:rPr>
          <w:rFonts w:ascii="Arial" w:hAnsi="Arial" w:cs="Arial"/>
          <w:sz w:val="22"/>
          <w:szCs w:val="22"/>
        </w:rPr>
        <w:t xml:space="preserve">(1), 18–24. </w:t>
      </w:r>
      <w:hyperlink r:id="rId8" w:history="1">
        <w:r w:rsidR="009927A3" w:rsidRPr="008F1995">
          <w:rPr>
            <w:rStyle w:val="Hyperlink"/>
            <w:rFonts w:ascii="Arial" w:hAnsi="Arial" w:cs="Arial"/>
            <w:sz w:val="22"/>
            <w:szCs w:val="22"/>
          </w:rPr>
          <w:t>https://doi.org/10.1521/pdps.2024.52.1.18</w:t>
        </w:r>
      </w:hyperlink>
    </w:p>
    <w:p w14:paraId="7B93C6EF" w14:textId="6F43B44F" w:rsidR="00F63EB1" w:rsidRPr="008F1995" w:rsidRDefault="00F63EB1" w:rsidP="008F1995">
      <w:pPr>
        <w:spacing w:line="360" w:lineRule="auto"/>
        <w:rPr>
          <w:rFonts w:ascii="Arial" w:hAnsi="Arial" w:cs="Arial"/>
          <w:sz w:val="22"/>
          <w:szCs w:val="22"/>
        </w:rPr>
      </w:pPr>
      <w:r w:rsidRPr="002C5897">
        <w:rPr>
          <w:rFonts w:ascii="Arial" w:hAnsi="Arial" w:cs="Arial"/>
          <w:sz w:val="22"/>
          <w:szCs w:val="22"/>
        </w:rPr>
        <w:lastRenderedPageBreak/>
        <w:t xml:space="preserve">Westerhof, G.J. and </w:t>
      </w:r>
      <w:proofErr w:type="spellStart"/>
      <w:r w:rsidRPr="002C5897">
        <w:rPr>
          <w:rFonts w:ascii="Arial" w:hAnsi="Arial" w:cs="Arial"/>
          <w:sz w:val="22"/>
          <w:szCs w:val="22"/>
        </w:rPr>
        <w:t>Bohlmeijer</w:t>
      </w:r>
      <w:proofErr w:type="spellEnd"/>
      <w:r w:rsidRPr="002C5897">
        <w:rPr>
          <w:rFonts w:ascii="Arial" w:hAnsi="Arial" w:cs="Arial"/>
          <w:sz w:val="22"/>
          <w:szCs w:val="22"/>
        </w:rPr>
        <w:t xml:space="preserve">, E.T. (2014) ‘Celebrating fifty years of research and applications in reminiscence and life review: State of the art and new directions’, </w:t>
      </w:r>
      <w:r w:rsidRPr="002C5897">
        <w:rPr>
          <w:rFonts w:ascii="Arial" w:hAnsi="Arial" w:cs="Arial"/>
          <w:i/>
          <w:iCs/>
          <w:sz w:val="22"/>
          <w:szCs w:val="22"/>
        </w:rPr>
        <w:t>Journal of Aging Studies</w:t>
      </w:r>
      <w:r w:rsidRPr="002C5897">
        <w:rPr>
          <w:rFonts w:ascii="Arial" w:hAnsi="Arial" w:cs="Arial"/>
          <w:sz w:val="22"/>
          <w:szCs w:val="22"/>
        </w:rPr>
        <w:t>, 29, pp. 107–114</w:t>
      </w:r>
    </w:p>
    <w:p w14:paraId="56B54C08" w14:textId="77777777" w:rsidR="001F6B8C" w:rsidRPr="008F1995" w:rsidRDefault="002C5897" w:rsidP="008F1995">
      <w:pPr>
        <w:spacing w:line="360" w:lineRule="auto"/>
        <w:rPr>
          <w:rFonts w:ascii="Arial" w:hAnsi="Arial" w:cs="Arial"/>
          <w:b/>
          <w:bCs/>
          <w:sz w:val="22"/>
          <w:szCs w:val="22"/>
        </w:rPr>
      </w:pPr>
      <w:r w:rsidRPr="002C5897">
        <w:rPr>
          <w:rFonts w:ascii="Arial" w:hAnsi="Arial" w:cs="Arial"/>
          <w:b/>
          <w:bCs/>
          <w:sz w:val="22"/>
          <w:szCs w:val="22"/>
        </w:rPr>
        <w:t>Summary:</w:t>
      </w:r>
    </w:p>
    <w:p w14:paraId="6375A180" w14:textId="7059CA81" w:rsidR="00F63EB1" w:rsidRPr="008F1995" w:rsidRDefault="007F10F0" w:rsidP="008F1995">
      <w:pPr>
        <w:spacing w:line="360" w:lineRule="auto"/>
        <w:rPr>
          <w:rFonts w:ascii="Arial" w:hAnsi="Arial" w:cs="Arial"/>
          <w:sz w:val="22"/>
          <w:szCs w:val="22"/>
        </w:rPr>
      </w:pPr>
      <w:r w:rsidRPr="008F1995">
        <w:rPr>
          <w:rFonts w:ascii="Arial" w:hAnsi="Arial" w:cs="Arial"/>
          <w:sz w:val="22"/>
          <w:szCs w:val="22"/>
        </w:rPr>
        <w:t xml:space="preserve">Erikson’s Stages of Psychosocial Development is a theory which was introduces in the 1950s by Erik Erikson, a psychologist. This work was built of Freuds theory of </w:t>
      </w:r>
      <w:r w:rsidR="00F63EB1" w:rsidRPr="008F1995">
        <w:rPr>
          <w:rFonts w:ascii="Arial" w:hAnsi="Arial" w:cs="Arial"/>
          <w:sz w:val="22"/>
          <w:szCs w:val="22"/>
        </w:rPr>
        <w:t>psychosexual</w:t>
      </w:r>
      <w:r w:rsidRPr="008F1995">
        <w:rPr>
          <w:rFonts w:ascii="Arial" w:hAnsi="Arial" w:cs="Arial"/>
          <w:sz w:val="22"/>
          <w:szCs w:val="22"/>
        </w:rPr>
        <w:t xml:space="preserve"> development., Erikson’s</w:t>
      </w:r>
      <w:r w:rsidR="001F6B8C" w:rsidRPr="008F1995">
        <w:rPr>
          <w:rFonts w:ascii="Arial" w:hAnsi="Arial" w:cs="Arial"/>
          <w:sz w:val="22"/>
          <w:szCs w:val="22"/>
        </w:rPr>
        <w:t xml:space="preserve"> psychosocial</w:t>
      </w:r>
      <w:r w:rsidR="001F6B8C" w:rsidRPr="008F1995">
        <w:rPr>
          <w:rFonts w:ascii="Arial" w:hAnsi="Arial" w:cs="Arial"/>
          <w:b/>
          <w:bCs/>
          <w:sz w:val="22"/>
          <w:szCs w:val="22"/>
        </w:rPr>
        <w:t xml:space="preserve"> </w:t>
      </w:r>
      <w:r w:rsidR="001F6B8C" w:rsidRPr="008F1995">
        <w:rPr>
          <w:rFonts w:ascii="Arial" w:hAnsi="Arial" w:cs="Arial"/>
          <w:sz w:val="22"/>
          <w:szCs w:val="22"/>
        </w:rPr>
        <w:t xml:space="preserve">theory states that there </w:t>
      </w:r>
      <w:proofErr w:type="gramStart"/>
      <w:r w:rsidR="001F6B8C" w:rsidRPr="008F1995">
        <w:rPr>
          <w:rFonts w:ascii="Arial" w:hAnsi="Arial" w:cs="Arial"/>
          <w:sz w:val="22"/>
          <w:szCs w:val="22"/>
        </w:rPr>
        <w:t>is</w:t>
      </w:r>
      <w:proofErr w:type="gramEnd"/>
      <w:r w:rsidR="001F6B8C" w:rsidRPr="008F1995">
        <w:rPr>
          <w:rFonts w:ascii="Arial" w:hAnsi="Arial" w:cs="Arial"/>
          <w:sz w:val="22"/>
          <w:szCs w:val="22"/>
        </w:rPr>
        <w:t xml:space="preserve"> stages on how personality develops, these stages start from as early as infant stage to adult stage. Erikson divided these into </w:t>
      </w:r>
      <w:r w:rsidR="00F21194" w:rsidRPr="008F1995">
        <w:rPr>
          <w:rFonts w:ascii="Arial" w:hAnsi="Arial" w:cs="Arial"/>
          <w:sz w:val="22"/>
          <w:szCs w:val="22"/>
        </w:rPr>
        <w:t>8 (Table 1)</w:t>
      </w:r>
      <w:r w:rsidR="001F6B8C" w:rsidRPr="008F1995">
        <w:rPr>
          <w:rFonts w:ascii="Arial" w:hAnsi="Arial" w:cs="Arial"/>
          <w:sz w:val="22"/>
          <w:szCs w:val="22"/>
        </w:rPr>
        <w:t xml:space="preserve"> which each represent an age demographic. </w:t>
      </w:r>
      <w:r w:rsidR="00380138" w:rsidRPr="008F1995">
        <w:rPr>
          <w:rFonts w:ascii="Arial" w:hAnsi="Arial" w:cs="Arial"/>
          <w:sz w:val="22"/>
          <w:szCs w:val="22"/>
        </w:rPr>
        <w:t xml:space="preserve">In later adulthood (older than 65) the stage is called ego integrity vs despair, this is when an individual critically assesses their life, as to whether it was successful or unsuccessful, if successful, individuals feel fulfilled and accomplished, while those that find it unsuccessful, will feel regret </w:t>
      </w:r>
      <w:r w:rsidR="002C5897" w:rsidRPr="002C5897">
        <w:rPr>
          <w:rFonts w:ascii="Arial" w:hAnsi="Arial" w:cs="Arial"/>
          <w:sz w:val="22"/>
          <w:szCs w:val="22"/>
        </w:rPr>
        <w:t>(Erikson, 1982).</w:t>
      </w:r>
      <w:r w:rsidR="00F63EB1" w:rsidRPr="008F1995">
        <w:rPr>
          <w:rFonts w:ascii="Arial" w:hAnsi="Arial" w:cs="Arial"/>
          <w:sz w:val="22"/>
          <w:szCs w:val="22"/>
        </w:rPr>
        <w:t xml:space="preserve"> Corradi 2024 agrees strongly with Erikson’s theory and states that this theory enables the distinction of individuals regardless of their stage by assessing these social milestones. Though this theory is very useful some schools of thought have criticised it as culturally stunted, and overly deterministic. It also argues that these stages can vary between genders and cultures. </w:t>
      </w:r>
    </w:p>
    <w:p w14:paraId="33F4C23E" w14:textId="32C18B2F" w:rsidR="002C5897" w:rsidRPr="008F1995" w:rsidRDefault="002C5897" w:rsidP="008F1995">
      <w:pPr>
        <w:spacing w:line="360" w:lineRule="auto"/>
        <w:rPr>
          <w:rFonts w:ascii="Arial" w:hAnsi="Arial" w:cs="Arial"/>
          <w:sz w:val="22"/>
          <w:szCs w:val="22"/>
        </w:rPr>
      </w:pPr>
    </w:p>
    <w:p w14:paraId="05DE802F" w14:textId="708B6172" w:rsidR="00380138" w:rsidRPr="008F1995" w:rsidRDefault="00380138" w:rsidP="008F1995">
      <w:pPr>
        <w:spacing w:line="360" w:lineRule="auto"/>
        <w:rPr>
          <w:rFonts w:ascii="Arial" w:hAnsi="Arial" w:cs="Arial"/>
          <w:sz w:val="22"/>
          <w:szCs w:val="22"/>
        </w:rPr>
      </w:pPr>
      <w:r w:rsidRPr="008F1995">
        <w:rPr>
          <w:rFonts w:ascii="Arial" w:hAnsi="Arial" w:cs="Arial"/>
          <w:sz w:val="22"/>
          <w:szCs w:val="22"/>
        </w:rPr>
        <w:t>Table 1. Erikson's Psychosocial Development theory</w:t>
      </w:r>
      <w:r w:rsidRPr="008F1995">
        <w:rPr>
          <w:rFonts w:ascii="Arial" w:hAnsi="Arial" w:cs="Arial"/>
          <w:b/>
          <w:bCs/>
          <w:sz w:val="22"/>
          <w:szCs w:val="22"/>
        </w:rPr>
        <w:t xml:space="preserve"> </w:t>
      </w:r>
    </w:p>
    <w:tbl>
      <w:tblPr>
        <w:tblStyle w:val="TableGrid"/>
        <w:tblW w:w="0" w:type="auto"/>
        <w:tblInd w:w="720" w:type="dxa"/>
        <w:tblLook w:val="04A0" w:firstRow="1" w:lastRow="0" w:firstColumn="1" w:lastColumn="0" w:noHBand="0" w:noVBand="1"/>
      </w:tblPr>
      <w:tblGrid>
        <w:gridCol w:w="4717"/>
        <w:gridCol w:w="3579"/>
      </w:tblGrid>
      <w:tr w:rsidR="00380138" w:rsidRPr="008F1995" w14:paraId="35F585E7" w14:textId="77777777" w:rsidTr="00380138">
        <w:tc>
          <w:tcPr>
            <w:tcW w:w="4717" w:type="dxa"/>
          </w:tcPr>
          <w:p w14:paraId="4C6CE705" w14:textId="7C73F855" w:rsidR="00380138" w:rsidRPr="008F1995" w:rsidRDefault="00F21194" w:rsidP="008F1995">
            <w:pPr>
              <w:spacing w:line="360" w:lineRule="auto"/>
              <w:rPr>
                <w:rFonts w:ascii="Arial" w:hAnsi="Arial" w:cs="Arial"/>
                <w:b/>
                <w:bCs/>
                <w:sz w:val="22"/>
                <w:szCs w:val="22"/>
              </w:rPr>
            </w:pPr>
            <w:r w:rsidRPr="008F1995">
              <w:rPr>
                <w:rFonts w:ascii="Arial" w:hAnsi="Arial" w:cs="Arial"/>
                <w:b/>
                <w:bCs/>
                <w:sz w:val="22"/>
                <w:szCs w:val="22"/>
              </w:rPr>
              <w:t>Age</w:t>
            </w:r>
          </w:p>
        </w:tc>
        <w:tc>
          <w:tcPr>
            <w:tcW w:w="3579" w:type="dxa"/>
          </w:tcPr>
          <w:p w14:paraId="08E78C14" w14:textId="3B18F7D4" w:rsidR="00380138" w:rsidRPr="008F1995" w:rsidRDefault="00F21194" w:rsidP="008F1995">
            <w:pPr>
              <w:spacing w:line="360" w:lineRule="auto"/>
              <w:rPr>
                <w:rFonts w:ascii="Arial" w:hAnsi="Arial" w:cs="Arial"/>
                <w:sz w:val="22"/>
                <w:szCs w:val="22"/>
              </w:rPr>
            </w:pPr>
            <w:r w:rsidRPr="008F1995">
              <w:rPr>
                <w:rFonts w:ascii="Arial" w:hAnsi="Arial" w:cs="Arial"/>
                <w:sz w:val="22"/>
                <w:szCs w:val="22"/>
              </w:rPr>
              <w:t>Psychosocial stage</w:t>
            </w:r>
          </w:p>
        </w:tc>
      </w:tr>
      <w:tr w:rsidR="00380138" w:rsidRPr="008F1995" w14:paraId="7269A3B9" w14:textId="4ED0D21C" w:rsidTr="00380138">
        <w:tc>
          <w:tcPr>
            <w:tcW w:w="4717" w:type="dxa"/>
          </w:tcPr>
          <w:p w14:paraId="62946814" w14:textId="2B4936B9" w:rsidR="00380138" w:rsidRPr="008F1995" w:rsidRDefault="00380138" w:rsidP="008F1995">
            <w:pPr>
              <w:spacing w:line="360" w:lineRule="auto"/>
              <w:rPr>
                <w:rFonts w:ascii="Arial" w:hAnsi="Arial" w:cs="Arial"/>
                <w:sz w:val="22"/>
                <w:szCs w:val="22"/>
              </w:rPr>
            </w:pPr>
            <w:r w:rsidRPr="00380138">
              <w:rPr>
                <w:rFonts w:ascii="Arial" w:hAnsi="Arial" w:cs="Arial"/>
                <w:b/>
                <w:bCs/>
                <w:sz w:val="22"/>
                <w:szCs w:val="22"/>
              </w:rPr>
              <w:t>Infant to 18 months</w:t>
            </w:r>
          </w:p>
        </w:tc>
        <w:tc>
          <w:tcPr>
            <w:tcW w:w="3579" w:type="dxa"/>
          </w:tcPr>
          <w:p w14:paraId="3C1966A5" w14:textId="4EFEF9EB"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Trust vs. Mistrust</w:t>
            </w:r>
          </w:p>
        </w:tc>
      </w:tr>
      <w:tr w:rsidR="00380138" w:rsidRPr="008F1995" w14:paraId="747A7451" w14:textId="3583A60D" w:rsidTr="00380138">
        <w:tc>
          <w:tcPr>
            <w:tcW w:w="4717" w:type="dxa"/>
          </w:tcPr>
          <w:p w14:paraId="59BAF5F4" w14:textId="4F064CEA" w:rsidR="00380138" w:rsidRPr="008F1995" w:rsidRDefault="00380138" w:rsidP="008F1995">
            <w:pPr>
              <w:spacing w:line="360" w:lineRule="auto"/>
              <w:rPr>
                <w:rFonts w:ascii="Arial" w:hAnsi="Arial" w:cs="Arial"/>
                <w:sz w:val="22"/>
                <w:szCs w:val="22"/>
              </w:rPr>
            </w:pPr>
            <w:r w:rsidRPr="00380138">
              <w:rPr>
                <w:rFonts w:ascii="Arial" w:hAnsi="Arial" w:cs="Arial"/>
                <w:b/>
                <w:bCs/>
                <w:sz w:val="22"/>
                <w:szCs w:val="22"/>
              </w:rPr>
              <w:t>18 months to 3 years</w:t>
            </w:r>
          </w:p>
        </w:tc>
        <w:tc>
          <w:tcPr>
            <w:tcW w:w="3579" w:type="dxa"/>
          </w:tcPr>
          <w:p w14:paraId="16861FF6" w14:textId="23453F52"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Autonomy vs. Shame &amp; Doubt.</w:t>
            </w:r>
          </w:p>
        </w:tc>
      </w:tr>
      <w:tr w:rsidR="00380138" w:rsidRPr="008F1995" w14:paraId="17868E8D" w14:textId="3284CEAD" w:rsidTr="00380138">
        <w:tc>
          <w:tcPr>
            <w:tcW w:w="4717" w:type="dxa"/>
          </w:tcPr>
          <w:p w14:paraId="18CD5019" w14:textId="7F227BB5" w:rsidR="00380138" w:rsidRPr="008F1995" w:rsidRDefault="00380138" w:rsidP="008F1995">
            <w:pPr>
              <w:spacing w:line="360" w:lineRule="auto"/>
              <w:rPr>
                <w:rFonts w:ascii="Arial" w:hAnsi="Arial" w:cs="Arial"/>
                <w:sz w:val="22"/>
                <w:szCs w:val="22"/>
              </w:rPr>
            </w:pPr>
            <w:r w:rsidRPr="00380138">
              <w:rPr>
                <w:rFonts w:ascii="Arial" w:hAnsi="Arial" w:cs="Arial"/>
                <w:b/>
                <w:bCs/>
                <w:sz w:val="22"/>
                <w:szCs w:val="22"/>
              </w:rPr>
              <w:t>3 to 5 years</w:t>
            </w:r>
          </w:p>
        </w:tc>
        <w:tc>
          <w:tcPr>
            <w:tcW w:w="3579" w:type="dxa"/>
          </w:tcPr>
          <w:p w14:paraId="2BF98011" w14:textId="5E4E3C67"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Initiative vs. Guilt.</w:t>
            </w:r>
          </w:p>
        </w:tc>
      </w:tr>
      <w:tr w:rsidR="00380138" w:rsidRPr="008F1995" w14:paraId="3C87D0A8" w14:textId="1DB2CF04" w:rsidTr="00380138">
        <w:tc>
          <w:tcPr>
            <w:tcW w:w="4717" w:type="dxa"/>
          </w:tcPr>
          <w:p w14:paraId="201764EE" w14:textId="6CF0C9D1" w:rsidR="00380138" w:rsidRPr="008F1995" w:rsidRDefault="00380138" w:rsidP="008F1995">
            <w:pPr>
              <w:spacing w:line="360" w:lineRule="auto"/>
              <w:rPr>
                <w:rFonts w:ascii="Arial" w:hAnsi="Arial" w:cs="Arial"/>
                <w:sz w:val="22"/>
                <w:szCs w:val="22"/>
              </w:rPr>
            </w:pPr>
            <w:r w:rsidRPr="00380138">
              <w:rPr>
                <w:rFonts w:ascii="Arial" w:hAnsi="Arial" w:cs="Arial"/>
                <w:b/>
                <w:bCs/>
                <w:sz w:val="22"/>
                <w:szCs w:val="22"/>
              </w:rPr>
              <w:t>5 to 13 years</w:t>
            </w:r>
          </w:p>
        </w:tc>
        <w:tc>
          <w:tcPr>
            <w:tcW w:w="3579" w:type="dxa"/>
          </w:tcPr>
          <w:p w14:paraId="6FBC80D3" w14:textId="5F1B8F91"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Industry vs. Inferiority</w:t>
            </w:r>
          </w:p>
        </w:tc>
      </w:tr>
      <w:tr w:rsidR="00380138" w:rsidRPr="008F1995" w14:paraId="1993097C" w14:textId="2DA71D95" w:rsidTr="00380138">
        <w:tc>
          <w:tcPr>
            <w:tcW w:w="4717" w:type="dxa"/>
          </w:tcPr>
          <w:p w14:paraId="415CA0D6" w14:textId="69CACF5B" w:rsidR="00380138" w:rsidRPr="008F1995" w:rsidRDefault="00380138" w:rsidP="008F1995">
            <w:pPr>
              <w:tabs>
                <w:tab w:val="center" w:pos="2250"/>
              </w:tabs>
              <w:spacing w:line="360" w:lineRule="auto"/>
              <w:rPr>
                <w:rFonts w:ascii="Arial" w:hAnsi="Arial" w:cs="Arial"/>
                <w:sz w:val="22"/>
                <w:szCs w:val="22"/>
              </w:rPr>
            </w:pPr>
            <w:r w:rsidRPr="00380138">
              <w:rPr>
                <w:rFonts w:ascii="Arial" w:hAnsi="Arial" w:cs="Arial"/>
                <w:b/>
                <w:bCs/>
                <w:sz w:val="22"/>
                <w:szCs w:val="22"/>
              </w:rPr>
              <w:t>13 to 21 years</w:t>
            </w:r>
          </w:p>
        </w:tc>
        <w:tc>
          <w:tcPr>
            <w:tcW w:w="3579" w:type="dxa"/>
          </w:tcPr>
          <w:p w14:paraId="7F26AB93" w14:textId="575D42A9"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Identity vs. Role Confusion</w:t>
            </w:r>
          </w:p>
        </w:tc>
      </w:tr>
      <w:tr w:rsidR="00380138" w:rsidRPr="008F1995" w14:paraId="774D10EC" w14:textId="09912D6D" w:rsidTr="00380138">
        <w:tc>
          <w:tcPr>
            <w:tcW w:w="4717" w:type="dxa"/>
          </w:tcPr>
          <w:p w14:paraId="38DFA86C" w14:textId="1FC3D946" w:rsidR="00380138" w:rsidRPr="008F1995" w:rsidRDefault="00380138" w:rsidP="008F1995">
            <w:pPr>
              <w:spacing w:line="360" w:lineRule="auto"/>
              <w:rPr>
                <w:rFonts w:ascii="Arial" w:hAnsi="Arial" w:cs="Arial"/>
                <w:sz w:val="22"/>
                <w:szCs w:val="22"/>
              </w:rPr>
            </w:pPr>
            <w:r w:rsidRPr="00380138">
              <w:rPr>
                <w:rFonts w:ascii="Arial" w:hAnsi="Arial" w:cs="Arial"/>
                <w:b/>
                <w:bCs/>
                <w:sz w:val="22"/>
                <w:szCs w:val="22"/>
              </w:rPr>
              <w:t>21 to 39 years</w:t>
            </w:r>
          </w:p>
        </w:tc>
        <w:tc>
          <w:tcPr>
            <w:tcW w:w="3579" w:type="dxa"/>
          </w:tcPr>
          <w:p w14:paraId="21886E5D" w14:textId="2E389861"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Intimacy vs. Isolation</w:t>
            </w:r>
          </w:p>
        </w:tc>
      </w:tr>
      <w:tr w:rsidR="00380138" w:rsidRPr="008F1995" w14:paraId="26922803" w14:textId="09FEAF5E" w:rsidTr="00380138">
        <w:tc>
          <w:tcPr>
            <w:tcW w:w="4717" w:type="dxa"/>
          </w:tcPr>
          <w:p w14:paraId="628F17D5" w14:textId="10B5F0FB" w:rsidR="00380138" w:rsidRPr="008F1995" w:rsidRDefault="00380138" w:rsidP="008F1995">
            <w:pPr>
              <w:spacing w:line="360" w:lineRule="auto"/>
              <w:rPr>
                <w:rFonts w:ascii="Arial" w:hAnsi="Arial" w:cs="Arial"/>
                <w:sz w:val="22"/>
                <w:szCs w:val="22"/>
              </w:rPr>
            </w:pPr>
            <w:r w:rsidRPr="00380138">
              <w:rPr>
                <w:rFonts w:ascii="Arial" w:hAnsi="Arial" w:cs="Arial"/>
                <w:b/>
                <w:bCs/>
                <w:sz w:val="22"/>
                <w:szCs w:val="22"/>
              </w:rPr>
              <w:t>40 to 65 years</w:t>
            </w:r>
          </w:p>
        </w:tc>
        <w:tc>
          <w:tcPr>
            <w:tcW w:w="3579" w:type="dxa"/>
          </w:tcPr>
          <w:p w14:paraId="0A9A6ADD" w14:textId="4E21BCE6"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Generativity vs. Stagnation</w:t>
            </w:r>
          </w:p>
        </w:tc>
      </w:tr>
      <w:tr w:rsidR="00380138" w:rsidRPr="008F1995" w14:paraId="6EBC3578" w14:textId="61025F39" w:rsidTr="00380138">
        <w:tc>
          <w:tcPr>
            <w:tcW w:w="4717" w:type="dxa"/>
          </w:tcPr>
          <w:p w14:paraId="5015C891" w14:textId="68510637" w:rsidR="00380138" w:rsidRPr="008F1995" w:rsidRDefault="00380138" w:rsidP="008F1995">
            <w:pPr>
              <w:spacing w:line="360" w:lineRule="auto"/>
              <w:rPr>
                <w:rFonts w:ascii="Arial" w:hAnsi="Arial" w:cs="Arial"/>
                <w:sz w:val="22"/>
                <w:szCs w:val="22"/>
              </w:rPr>
            </w:pPr>
            <w:r w:rsidRPr="00380138">
              <w:rPr>
                <w:rFonts w:ascii="Arial" w:hAnsi="Arial" w:cs="Arial"/>
                <w:b/>
                <w:bCs/>
                <w:sz w:val="22"/>
                <w:szCs w:val="22"/>
              </w:rPr>
              <w:t>65 and older</w:t>
            </w:r>
          </w:p>
        </w:tc>
        <w:tc>
          <w:tcPr>
            <w:tcW w:w="3579" w:type="dxa"/>
          </w:tcPr>
          <w:p w14:paraId="330BFDBA" w14:textId="5EFC043D" w:rsidR="00380138" w:rsidRPr="008F1995" w:rsidRDefault="00380138" w:rsidP="008F1995">
            <w:pPr>
              <w:spacing w:line="360" w:lineRule="auto"/>
              <w:rPr>
                <w:rFonts w:ascii="Arial" w:hAnsi="Arial" w:cs="Arial"/>
                <w:b/>
                <w:bCs/>
                <w:sz w:val="22"/>
                <w:szCs w:val="22"/>
              </w:rPr>
            </w:pPr>
            <w:r w:rsidRPr="00380138">
              <w:rPr>
                <w:rFonts w:ascii="Arial" w:hAnsi="Arial" w:cs="Arial"/>
                <w:sz w:val="22"/>
                <w:szCs w:val="22"/>
              </w:rPr>
              <w:t>Ego Integrity vs. Despair</w:t>
            </w:r>
          </w:p>
        </w:tc>
      </w:tr>
    </w:tbl>
    <w:p w14:paraId="75863EE3" w14:textId="40782478" w:rsidR="00F21194" w:rsidRPr="008F1995" w:rsidRDefault="00F21194" w:rsidP="008F1995">
      <w:pPr>
        <w:spacing w:line="360" w:lineRule="auto"/>
        <w:rPr>
          <w:rFonts w:ascii="Arial" w:hAnsi="Arial" w:cs="Arial"/>
          <w:b/>
          <w:bCs/>
          <w:sz w:val="22"/>
          <w:szCs w:val="22"/>
        </w:rPr>
      </w:pPr>
    </w:p>
    <w:p w14:paraId="29CF28C8" w14:textId="374D8EC0" w:rsidR="00F63EB1" w:rsidRPr="008F1995" w:rsidRDefault="00F63EB1" w:rsidP="008F1995">
      <w:pPr>
        <w:spacing w:line="360" w:lineRule="auto"/>
        <w:rPr>
          <w:rFonts w:ascii="Arial" w:hAnsi="Arial" w:cs="Arial"/>
          <w:sz w:val="22"/>
          <w:szCs w:val="22"/>
        </w:rPr>
      </w:pPr>
      <w:r w:rsidRPr="008F1995">
        <w:rPr>
          <w:rFonts w:ascii="Arial" w:hAnsi="Arial" w:cs="Arial"/>
          <w:sz w:val="22"/>
          <w:szCs w:val="22"/>
        </w:rPr>
        <w:t>R</w:t>
      </w:r>
      <w:r w:rsidRPr="002C5897">
        <w:rPr>
          <w:rFonts w:ascii="Arial" w:hAnsi="Arial" w:cs="Arial"/>
          <w:b/>
          <w:bCs/>
          <w:sz w:val="22"/>
          <w:szCs w:val="22"/>
        </w:rPr>
        <w:t xml:space="preserve">elevance to </w:t>
      </w:r>
      <w:r w:rsidRPr="008F1995">
        <w:rPr>
          <w:rFonts w:ascii="Arial" w:hAnsi="Arial" w:cs="Arial"/>
          <w:b/>
          <w:bCs/>
          <w:sz w:val="22"/>
          <w:szCs w:val="22"/>
        </w:rPr>
        <w:t>supporting older adults</w:t>
      </w:r>
      <w:r w:rsidRPr="008F1995">
        <w:rPr>
          <w:rFonts w:ascii="Arial" w:hAnsi="Arial" w:cs="Arial"/>
          <w:sz w:val="22"/>
          <w:szCs w:val="22"/>
        </w:rPr>
        <w:t xml:space="preserve">: </w:t>
      </w:r>
      <w:r w:rsidR="009927A3" w:rsidRPr="008F1995">
        <w:rPr>
          <w:rFonts w:ascii="Arial" w:hAnsi="Arial" w:cs="Arial"/>
          <w:sz w:val="22"/>
          <w:szCs w:val="22"/>
        </w:rPr>
        <w:t>This theory is very important in social care, it can help support adults that are experiencing loss, loneliness</w:t>
      </w:r>
      <w:r w:rsidR="00284005" w:rsidRPr="008F1995">
        <w:rPr>
          <w:rFonts w:ascii="Arial" w:hAnsi="Arial" w:cs="Arial"/>
          <w:sz w:val="22"/>
          <w:szCs w:val="22"/>
        </w:rPr>
        <w:t>, regret</w:t>
      </w:r>
      <w:r w:rsidR="009927A3" w:rsidRPr="008F1995">
        <w:rPr>
          <w:rFonts w:ascii="Arial" w:hAnsi="Arial" w:cs="Arial"/>
          <w:sz w:val="22"/>
          <w:szCs w:val="22"/>
        </w:rPr>
        <w:t xml:space="preserve"> or a sense of an incomplete life. Ego integrity can be promoted through helping them review and remember some important milestones in their lives.  If applied in care settings, health professionals must always ensure that care is person centred. </w:t>
      </w:r>
      <w:r w:rsidRPr="002C5897">
        <w:rPr>
          <w:rFonts w:ascii="Arial" w:hAnsi="Arial" w:cs="Arial"/>
          <w:sz w:val="22"/>
          <w:szCs w:val="22"/>
        </w:rPr>
        <w:t xml:space="preserve">Westerhof and </w:t>
      </w:r>
      <w:proofErr w:type="spellStart"/>
      <w:r w:rsidRPr="002C5897">
        <w:rPr>
          <w:rFonts w:ascii="Arial" w:hAnsi="Arial" w:cs="Arial"/>
          <w:sz w:val="22"/>
          <w:szCs w:val="22"/>
        </w:rPr>
        <w:t>Bohlmeijer</w:t>
      </w:r>
      <w:proofErr w:type="spellEnd"/>
      <w:r w:rsidRPr="002C5897">
        <w:rPr>
          <w:rFonts w:ascii="Arial" w:hAnsi="Arial" w:cs="Arial"/>
          <w:sz w:val="22"/>
          <w:szCs w:val="22"/>
        </w:rPr>
        <w:t xml:space="preserve"> (2014)</w:t>
      </w:r>
      <w:r w:rsidRPr="008F1995">
        <w:rPr>
          <w:rFonts w:ascii="Arial" w:hAnsi="Arial" w:cs="Arial"/>
          <w:sz w:val="22"/>
          <w:szCs w:val="22"/>
        </w:rPr>
        <w:t xml:space="preserve"> in agreement </w:t>
      </w:r>
      <w:r w:rsidRPr="008F1995">
        <w:rPr>
          <w:rFonts w:ascii="Arial" w:hAnsi="Arial" w:cs="Arial"/>
          <w:sz w:val="22"/>
          <w:szCs w:val="22"/>
        </w:rPr>
        <w:lastRenderedPageBreak/>
        <w:t>with Eriksons theory</w:t>
      </w:r>
      <w:r w:rsidRPr="002C5897">
        <w:rPr>
          <w:rFonts w:ascii="Arial" w:hAnsi="Arial" w:cs="Arial"/>
          <w:sz w:val="22"/>
          <w:szCs w:val="22"/>
        </w:rPr>
        <w:t xml:space="preserve"> </w:t>
      </w:r>
      <w:r w:rsidRPr="008F1995">
        <w:rPr>
          <w:rFonts w:ascii="Arial" w:hAnsi="Arial" w:cs="Arial"/>
          <w:sz w:val="22"/>
          <w:szCs w:val="22"/>
        </w:rPr>
        <w:t>looks at ways to enhance the ego integrity stage, through reminiscing. They express the important of deep and structured reflection on past events and experiences in enhancing and improving mood and reducing end of life depression. Their observations are in in line with the concept of Eriksons ego integrity</w:t>
      </w:r>
    </w:p>
    <w:p w14:paraId="276383F1" w14:textId="0B5C3915" w:rsidR="009927A3" w:rsidRPr="008F1995" w:rsidRDefault="009927A3" w:rsidP="008F1995">
      <w:pPr>
        <w:spacing w:line="360" w:lineRule="auto"/>
        <w:rPr>
          <w:rFonts w:ascii="Arial" w:hAnsi="Arial" w:cs="Arial"/>
          <w:sz w:val="22"/>
          <w:szCs w:val="22"/>
        </w:rPr>
      </w:pPr>
    </w:p>
    <w:p w14:paraId="52524D56" w14:textId="77777777" w:rsidR="00612B03" w:rsidRPr="002C5897" w:rsidRDefault="00612B03" w:rsidP="008F1995">
      <w:pPr>
        <w:spacing w:line="360" w:lineRule="auto"/>
        <w:rPr>
          <w:rFonts w:ascii="Arial" w:hAnsi="Arial" w:cs="Arial"/>
          <w:b/>
          <w:bCs/>
          <w:sz w:val="22"/>
          <w:szCs w:val="22"/>
        </w:rPr>
      </w:pPr>
      <w:r w:rsidRPr="002C5897">
        <w:rPr>
          <w:rFonts w:ascii="Arial" w:hAnsi="Arial" w:cs="Arial"/>
          <w:b/>
          <w:bCs/>
          <w:sz w:val="22"/>
          <w:szCs w:val="22"/>
        </w:rPr>
        <w:t>Havighurst’s Activity Theory</w:t>
      </w:r>
    </w:p>
    <w:p w14:paraId="3A6DD062" w14:textId="77777777" w:rsidR="00612B03" w:rsidRPr="008F1995" w:rsidRDefault="00612B03" w:rsidP="008F1995">
      <w:pPr>
        <w:spacing w:line="360" w:lineRule="auto"/>
        <w:rPr>
          <w:rFonts w:ascii="Arial" w:hAnsi="Arial" w:cs="Arial"/>
          <w:sz w:val="22"/>
          <w:szCs w:val="22"/>
        </w:rPr>
      </w:pPr>
      <w:proofErr w:type="gramStart"/>
      <w:r w:rsidRPr="002C5897">
        <w:rPr>
          <w:rFonts w:ascii="Arial" w:hAnsi="Arial" w:cs="Arial"/>
          <w:b/>
          <w:bCs/>
          <w:sz w:val="22"/>
          <w:szCs w:val="22"/>
        </w:rPr>
        <w:t>Reference :</w:t>
      </w:r>
      <w:proofErr w:type="gramEnd"/>
      <w:r w:rsidRPr="008F1995">
        <w:rPr>
          <w:rFonts w:ascii="Arial" w:hAnsi="Arial" w:cs="Arial"/>
          <w:b/>
          <w:bCs/>
          <w:sz w:val="22"/>
          <w:szCs w:val="22"/>
        </w:rPr>
        <w:t xml:space="preserve"> </w:t>
      </w:r>
      <w:r w:rsidRPr="008F1995">
        <w:rPr>
          <w:rFonts w:ascii="Arial" w:hAnsi="Arial" w:cs="Arial"/>
          <w:sz w:val="22"/>
          <w:szCs w:val="22"/>
        </w:rPr>
        <w:t>Havighurst, R. J. (1961). Successful aging. </w:t>
      </w:r>
      <w:r w:rsidRPr="008F1995">
        <w:rPr>
          <w:rFonts w:ascii="Arial" w:hAnsi="Arial" w:cs="Arial"/>
          <w:i/>
          <w:iCs/>
          <w:sz w:val="22"/>
          <w:szCs w:val="22"/>
        </w:rPr>
        <w:t>The Gerontologist, 1,</w:t>
      </w:r>
      <w:r w:rsidRPr="008F1995">
        <w:rPr>
          <w:rFonts w:ascii="Arial" w:hAnsi="Arial" w:cs="Arial"/>
          <w:sz w:val="22"/>
          <w:szCs w:val="22"/>
        </w:rPr>
        <w:t> 8–13. </w:t>
      </w:r>
      <w:hyperlink r:id="rId9" w:tgtFrame="_blank" w:history="1">
        <w:r w:rsidRPr="008F1995">
          <w:rPr>
            <w:rStyle w:val="Hyperlink"/>
            <w:rFonts w:ascii="Arial" w:hAnsi="Arial" w:cs="Arial"/>
            <w:sz w:val="22"/>
            <w:szCs w:val="22"/>
          </w:rPr>
          <w:t>https://doi.org/10.1093/geront/1.1.8</w:t>
        </w:r>
      </w:hyperlink>
    </w:p>
    <w:p w14:paraId="21E007E9" w14:textId="77777777" w:rsidR="00612B03" w:rsidRPr="008F1995" w:rsidRDefault="00612B03" w:rsidP="008F1995">
      <w:pPr>
        <w:spacing w:line="360" w:lineRule="auto"/>
        <w:rPr>
          <w:rFonts w:ascii="Arial" w:hAnsi="Arial" w:cs="Arial"/>
          <w:sz w:val="22"/>
          <w:szCs w:val="22"/>
        </w:rPr>
      </w:pPr>
      <w:r w:rsidRPr="008F1995">
        <w:rPr>
          <w:rFonts w:ascii="Arial" w:hAnsi="Arial" w:cs="Arial"/>
          <w:sz w:val="22"/>
          <w:szCs w:val="22"/>
        </w:rPr>
        <w:t>ADAMS, K.B., LEIBBRANDT, S. and MOON, H. (2011) ‘A critical review of the literature on social and leisure activity and wellbeing in later life’, </w:t>
      </w:r>
      <w:r w:rsidRPr="008F1995">
        <w:rPr>
          <w:rFonts w:ascii="Arial" w:hAnsi="Arial" w:cs="Arial"/>
          <w:i/>
          <w:iCs/>
          <w:sz w:val="22"/>
          <w:szCs w:val="22"/>
        </w:rPr>
        <w:t>Ageing and Society</w:t>
      </w:r>
      <w:r w:rsidRPr="008F1995">
        <w:rPr>
          <w:rFonts w:ascii="Arial" w:hAnsi="Arial" w:cs="Arial"/>
          <w:sz w:val="22"/>
          <w:szCs w:val="22"/>
        </w:rPr>
        <w:t>, 31(4), pp. 683–712. doi:10.1017/S0144686X10001091</w:t>
      </w:r>
    </w:p>
    <w:p w14:paraId="2A9C33FD" w14:textId="77777777" w:rsidR="00612B03" w:rsidRPr="008F1995" w:rsidRDefault="00612B03" w:rsidP="008F1995">
      <w:pPr>
        <w:spacing w:line="360" w:lineRule="auto"/>
        <w:rPr>
          <w:rFonts w:ascii="Arial" w:hAnsi="Arial" w:cs="Arial"/>
          <w:sz w:val="22"/>
          <w:szCs w:val="22"/>
        </w:rPr>
      </w:pPr>
      <w:r w:rsidRPr="002C5897">
        <w:rPr>
          <w:rFonts w:ascii="Arial" w:hAnsi="Arial" w:cs="Arial"/>
          <w:b/>
          <w:bCs/>
          <w:sz w:val="22"/>
          <w:szCs w:val="22"/>
        </w:rPr>
        <w:t>Summary:</w:t>
      </w:r>
      <w:r w:rsidRPr="002C5897">
        <w:rPr>
          <w:rFonts w:ascii="Arial" w:hAnsi="Arial" w:cs="Arial"/>
          <w:sz w:val="22"/>
          <w:szCs w:val="22"/>
        </w:rPr>
        <w:br/>
      </w:r>
      <w:r w:rsidRPr="008F1995">
        <w:rPr>
          <w:rFonts w:ascii="Arial" w:hAnsi="Arial" w:cs="Arial"/>
          <w:sz w:val="22"/>
          <w:szCs w:val="22"/>
        </w:rPr>
        <w:t xml:space="preserve">The activity theory of ageing was introduced in 1953 and states that the continued involvement in social activities induces successful ageing (Havighurst,1961). It also argues that this involvement in social activities promotes wellbeing. It is very different from the disengagement theory by Cumming and Henry, which promotes removing the elderly from society, and argues that this may lead to poor mental health. </w:t>
      </w:r>
      <w:r w:rsidRPr="002C5897">
        <w:rPr>
          <w:rFonts w:ascii="Arial" w:hAnsi="Arial" w:cs="Arial"/>
          <w:sz w:val="22"/>
          <w:szCs w:val="22"/>
        </w:rPr>
        <w:t>Adams et al. (2011</w:t>
      </w:r>
      <w:r w:rsidRPr="008F1995">
        <w:rPr>
          <w:rFonts w:ascii="Arial" w:hAnsi="Arial" w:cs="Arial"/>
          <w:sz w:val="22"/>
          <w:szCs w:val="22"/>
        </w:rPr>
        <w:t>) agree completely with this theory and emphasise the urgent need for social activity in adult care.</w:t>
      </w:r>
    </w:p>
    <w:p w14:paraId="4A78FC5C" w14:textId="64E657AB" w:rsidR="00F21194" w:rsidRPr="008F1995" w:rsidRDefault="00612B03" w:rsidP="008F1995">
      <w:pPr>
        <w:spacing w:line="360" w:lineRule="auto"/>
        <w:rPr>
          <w:rFonts w:ascii="Arial" w:hAnsi="Arial" w:cs="Arial"/>
          <w:sz w:val="22"/>
          <w:szCs w:val="22"/>
        </w:rPr>
      </w:pPr>
      <w:r w:rsidRPr="008F1995">
        <w:rPr>
          <w:rFonts w:ascii="Arial" w:hAnsi="Arial" w:cs="Arial"/>
          <w:sz w:val="22"/>
          <w:szCs w:val="22"/>
        </w:rPr>
        <w:t>R</w:t>
      </w:r>
      <w:r w:rsidRPr="002C5897">
        <w:rPr>
          <w:rFonts w:ascii="Arial" w:hAnsi="Arial" w:cs="Arial"/>
          <w:b/>
          <w:bCs/>
          <w:sz w:val="22"/>
          <w:szCs w:val="22"/>
        </w:rPr>
        <w:t xml:space="preserve">elevance to </w:t>
      </w:r>
      <w:r w:rsidRPr="008F1995">
        <w:rPr>
          <w:rFonts w:ascii="Arial" w:hAnsi="Arial" w:cs="Arial"/>
          <w:b/>
          <w:bCs/>
          <w:sz w:val="22"/>
          <w:szCs w:val="22"/>
        </w:rPr>
        <w:t>supporting older adults</w:t>
      </w:r>
      <w:r w:rsidRPr="002C5897">
        <w:rPr>
          <w:rFonts w:ascii="Arial" w:hAnsi="Arial" w:cs="Arial"/>
          <w:b/>
          <w:bCs/>
          <w:sz w:val="22"/>
          <w:szCs w:val="22"/>
        </w:rPr>
        <w:t>:</w:t>
      </w:r>
      <w:r w:rsidRPr="002C5897">
        <w:rPr>
          <w:rFonts w:ascii="Arial" w:hAnsi="Arial" w:cs="Arial"/>
          <w:sz w:val="22"/>
          <w:szCs w:val="22"/>
        </w:rPr>
        <w:br/>
      </w:r>
      <w:r w:rsidRPr="008F1995">
        <w:rPr>
          <w:rFonts w:ascii="Arial" w:hAnsi="Arial" w:cs="Arial"/>
          <w:sz w:val="22"/>
          <w:szCs w:val="22"/>
        </w:rPr>
        <w:t xml:space="preserve">This theory is very common and widely used in most care settings, as it promotes a wide range of social activities. This theory widely promotes involvement in social activities and suggests that these contribute to better wellbeing. It is argued however that the theory does not consider those adults that have limited cognitive or physical ability to participate. These activities must be in line with person centred acre and ensure everyone is included. </w:t>
      </w:r>
      <w:r w:rsidRPr="002C5897">
        <w:rPr>
          <w:rFonts w:ascii="Arial" w:hAnsi="Arial" w:cs="Arial"/>
          <w:sz w:val="22"/>
          <w:szCs w:val="22"/>
        </w:rPr>
        <w:t>Adams et al. (2011</w:t>
      </w:r>
      <w:r w:rsidRPr="008F1995">
        <w:rPr>
          <w:rFonts w:ascii="Arial" w:hAnsi="Arial" w:cs="Arial"/>
          <w:sz w:val="22"/>
          <w:szCs w:val="22"/>
        </w:rPr>
        <w:t xml:space="preserve">) backs </w:t>
      </w:r>
      <w:r w:rsidRPr="002C5897">
        <w:rPr>
          <w:rFonts w:ascii="Arial" w:hAnsi="Arial" w:cs="Arial"/>
          <w:sz w:val="22"/>
          <w:szCs w:val="22"/>
        </w:rPr>
        <w:t>Havighurst’s theory</w:t>
      </w:r>
      <w:r w:rsidRPr="008F1995">
        <w:rPr>
          <w:rFonts w:ascii="Arial" w:hAnsi="Arial" w:cs="Arial"/>
          <w:sz w:val="22"/>
          <w:szCs w:val="22"/>
        </w:rPr>
        <w:t xml:space="preserve"> by providing proof by linking activities and improved mental healt</w:t>
      </w:r>
      <w:r w:rsidR="008F1995">
        <w:rPr>
          <w:rFonts w:ascii="Arial" w:hAnsi="Arial" w:cs="Arial"/>
          <w:sz w:val="22"/>
          <w:szCs w:val="22"/>
        </w:rPr>
        <w:t>h.</w:t>
      </w:r>
    </w:p>
    <w:p w14:paraId="0900F670" w14:textId="77777777" w:rsidR="008F1995" w:rsidRDefault="008F1995" w:rsidP="008F1995">
      <w:pPr>
        <w:spacing w:line="360" w:lineRule="auto"/>
        <w:rPr>
          <w:rFonts w:ascii="Arial" w:hAnsi="Arial" w:cs="Arial"/>
          <w:b/>
          <w:bCs/>
          <w:sz w:val="22"/>
          <w:szCs w:val="22"/>
        </w:rPr>
      </w:pPr>
    </w:p>
    <w:p w14:paraId="1C020133" w14:textId="4BD6C2EE" w:rsidR="002C5897" w:rsidRPr="002C5897" w:rsidRDefault="002C5897" w:rsidP="008F1995">
      <w:pPr>
        <w:spacing w:line="360" w:lineRule="auto"/>
        <w:rPr>
          <w:rFonts w:ascii="Arial" w:hAnsi="Arial" w:cs="Arial"/>
          <w:sz w:val="22"/>
          <w:szCs w:val="22"/>
        </w:rPr>
      </w:pPr>
      <w:r w:rsidRPr="002C5897">
        <w:rPr>
          <w:rFonts w:ascii="Arial" w:hAnsi="Arial" w:cs="Arial"/>
          <w:b/>
          <w:bCs/>
          <w:sz w:val="22"/>
          <w:szCs w:val="22"/>
        </w:rPr>
        <w:t xml:space="preserve">PART B: </w:t>
      </w:r>
      <w:r w:rsidR="00612B03" w:rsidRPr="008F1995">
        <w:rPr>
          <w:rFonts w:ascii="Arial" w:hAnsi="Arial" w:cs="Arial"/>
          <w:b/>
          <w:bCs/>
          <w:sz w:val="22"/>
          <w:szCs w:val="22"/>
        </w:rPr>
        <w:t>REPORT</w:t>
      </w:r>
    </w:p>
    <w:p w14:paraId="36327C1E" w14:textId="77777777" w:rsidR="00EC4695" w:rsidRPr="008F1995" w:rsidRDefault="00EC4695" w:rsidP="008F1995">
      <w:pPr>
        <w:spacing w:line="360" w:lineRule="auto"/>
        <w:rPr>
          <w:rFonts w:ascii="Arial" w:hAnsi="Arial" w:cs="Arial"/>
          <w:b/>
          <w:bCs/>
          <w:sz w:val="22"/>
          <w:szCs w:val="22"/>
        </w:rPr>
      </w:pPr>
      <w:r w:rsidRPr="00EC4695">
        <w:rPr>
          <w:rFonts w:ascii="Arial" w:hAnsi="Arial" w:cs="Arial"/>
          <w:b/>
          <w:bCs/>
          <w:sz w:val="22"/>
          <w:szCs w:val="22"/>
        </w:rPr>
        <w:t>Introduction</w:t>
      </w:r>
    </w:p>
    <w:p w14:paraId="717826DB" w14:textId="666C06AB" w:rsidR="00EC4695" w:rsidRPr="00EC4695" w:rsidRDefault="00F0658C" w:rsidP="008F1995">
      <w:pPr>
        <w:spacing w:line="360" w:lineRule="auto"/>
        <w:rPr>
          <w:rFonts w:ascii="Arial" w:hAnsi="Arial" w:cs="Arial"/>
          <w:sz w:val="22"/>
          <w:szCs w:val="22"/>
        </w:rPr>
      </w:pPr>
      <w:r w:rsidRPr="008F1995">
        <w:rPr>
          <w:rFonts w:ascii="Arial" w:hAnsi="Arial" w:cs="Arial"/>
          <w:sz w:val="22"/>
          <w:szCs w:val="22"/>
        </w:rPr>
        <w:t xml:space="preserve">Adults in residential care may encounter some challenges, some of them may include physical limitations, depression, loneliness or even feeling forgotten. This makes physiological wellbeing a very important priority. Havighurst’s activity theory is a well-known </w:t>
      </w:r>
      <w:r w:rsidRPr="008F1995">
        <w:rPr>
          <w:rFonts w:ascii="Arial" w:hAnsi="Arial" w:cs="Arial"/>
          <w:sz w:val="22"/>
          <w:szCs w:val="22"/>
        </w:rPr>
        <w:lastRenderedPageBreak/>
        <w:t>theory that supports wellbeing through social interaction. This theory has been proven to show successful ageing and increased wellness if implemented correctly. The addition of physical, social and cognitive activities can improve life satisfaction.</w:t>
      </w:r>
    </w:p>
    <w:p w14:paraId="39F5D701" w14:textId="77777777" w:rsidR="00EC4695" w:rsidRPr="00EC4695" w:rsidRDefault="00EC4695" w:rsidP="008F1995">
      <w:pPr>
        <w:spacing w:line="360" w:lineRule="auto"/>
        <w:rPr>
          <w:rFonts w:ascii="Arial" w:hAnsi="Arial" w:cs="Arial"/>
          <w:b/>
          <w:bCs/>
          <w:sz w:val="22"/>
          <w:szCs w:val="22"/>
        </w:rPr>
      </w:pPr>
      <w:r w:rsidRPr="00EC4695">
        <w:rPr>
          <w:rFonts w:ascii="Arial" w:hAnsi="Arial" w:cs="Arial"/>
          <w:b/>
          <w:bCs/>
          <w:sz w:val="22"/>
          <w:szCs w:val="22"/>
        </w:rPr>
        <w:t>Application of Activity Theory in Practice</w:t>
      </w:r>
    </w:p>
    <w:p w14:paraId="27460639" w14:textId="556C8071" w:rsidR="00EC4695" w:rsidRPr="00EC4695" w:rsidRDefault="00EC4695" w:rsidP="008F1995">
      <w:pPr>
        <w:spacing w:line="360" w:lineRule="auto"/>
        <w:rPr>
          <w:rFonts w:ascii="Arial" w:hAnsi="Arial" w:cs="Arial"/>
          <w:sz w:val="22"/>
          <w:szCs w:val="22"/>
        </w:rPr>
      </w:pPr>
      <w:r w:rsidRPr="00EC4695">
        <w:rPr>
          <w:rFonts w:ascii="Arial" w:hAnsi="Arial" w:cs="Arial"/>
          <w:sz w:val="22"/>
          <w:szCs w:val="22"/>
        </w:rPr>
        <w:t xml:space="preserve">Havighurst’s Activity Theory can be applied in care homes by encouraging older adults to remain actively engaged in meaningful activities, tailored </w:t>
      </w:r>
      <w:r w:rsidR="00F0658C" w:rsidRPr="008F1995">
        <w:rPr>
          <w:rFonts w:ascii="Arial" w:hAnsi="Arial" w:cs="Arial"/>
          <w:sz w:val="22"/>
          <w:szCs w:val="22"/>
        </w:rPr>
        <w:t xml:space="preserve">(patient centred) </w:t>
      </w:r>
      <w:r w:rsidRPr="00EC4695">
        <w:rPr>
          <w:rFonts w:ascii="Arial" w:hAnsi="Arial" w:cs="Arial"/>
          <w:sz w:val="22"/>
          <w:szCs w:val="22"/>
        </w:rPr>
        <w:t>to their abilities and preferences.</w:t>
      </w:r>
    </w:p>
    <w:p w14:paraId="44698FC6" w14:textId="1F5F0E48" w:rsidR="00EC4695" w:rsidRPr="00EC4695" w:rsidRDefault="00F0658C" w:rsidP="008F1995">
      <w:pPr>
        <w:spacing w:line="360" w:lineRule="auto"/>
        <w:rPr>
          <w:rFonts w:ascii="Arial" w:hAnsi="Arial" w:cs="Arial"/>
          <w:sz w:val="22"/>
          <w:szCs w:val="22"/>
        </w:rPr>
      </w:pPr>
      <w:r w:rsidRPr="008F1995">
        <w:rPr>
          <w:rFonts w:ascii="Arial" w:hAnsi="Arial" w:cs="Arial"/>
          <w:sz w:val="22"/>
          <w:szCs w:val="22"/>
        </w:rPr>
        <w:t>This theory can be implemented by promoting</w:t>
      </w:r>
      <w:r w:rsidR="00EC4695" w:rsidRPr="00EC4695">
        <w:rPr>
          <w:rFonts w:ascii="Arial" w:hAnsi="Arial" w:cs="Arial"/>
          <w:sz w:val="22"/>
          <w:szCs w:val="22"/>
        </w:rPr>
        <w:t>:</w:t>
      </w:r>
    </w:p>
    <w:p w14:paraId="20BD7B52" w14:textId="256DBBCC" w:rsidR="00EC4695" w:rsidRPr="00EC4695" w:rsidRDefault="00EC4695" w:rsidP="008F1995">
      <w:pPr>
        <w:numPr>
          <w:ilvl w:val="0"/>
          <w:numId w:val="4"/>
        </w:numPr>
        <w:spacing w:line="360" w:lineRule="auto"/>
        <w:rPr>
          <w:rFonts w:ascii="Arial" w:hAnsi="Arial" w:cs="Arial"/>
          <w:sz w:val="22"/>
          <w:szCs w:val="22"/>
        </w:rPr>
      </w:pPr>
      <w:r w:rsidRPr="00EC4695">
        <w:rPr>
          <w:rFonts w:ascii="Arial" w:hAnsi="Arial" w:cs="Arial"/>
          <w:sz w:val="22"/>
          <w:szCs w:val="22"/>
        </w:rPr>
        <w:t>Social engagement, such as conversations, group activities</w:t>
      </w:r>
      <w:r w:rsidR="00F0658C" w:rsidRPr="008F1995">
        <w:rPr>
          <w:rFonts w:ascii="Arial" w:hAnsi="Arial" w:cs="Arial"/>
          <w:sz w:val="22"/>
          <w:szCs w:val="22"/>
        </w:rPr>
        <w:t xml:space="preserve"> (painting, bingo, games</w:t>
      </w:r>
      <w:r w:rsidRPr="00EC4695">
        <w:rPr>
          <w:rFonts w:ascii="Arial" w:hAnsi="Arial" w:cs="Arial"/>
          <w:sz w:val="22"/>
          <w:szCs w:val="22"/>
        </w:rPr>
        <w:t>, and family involvement</w:t>
      </w:r>
    </w:p>
    <w:p w14:paraId="2030AAD8" w14:textId="77777777" w:rsidR="00EC4695" w:rsidRPr="00EC4695" w:rsidRDefault="00EC4695" w:rsidP="008F1995">
      <w:pPr>
        <w:numPr>
          <w:ilvl w:val="0"/>
          <w:numId w:val="4"/>
        </w:numPr>
        <w:spacing w:line="360" w:lineRule="auto"/>
        <w:rPr>
          <w:rFonts w:ascii="Arial" w:hAnsi="Arial" w:cs="Arial"/>
          <w:sz w:val="22"/>
          <w:szCs w:val="22"/>
        </w:rPr>
      </w:pPr>
      <w:r w:rsidRPr="00EC4695">
        <w:rPr>
          <w:rFonts w:ascii="Arial" w:hAnsi="Arial" w:cs="Arial"/>
          <w:sz w:val="22"/>
          <w:szCs w:val="22"/>
        </w:rPr>
        <w:t>Cognitive stimulation, including reading, puzzles, or memory-based activities</w:t>
      </w:r>
    </w:p>
    <w:p w14:paraId="0616E0D6" w14:textId="77777777" w:rsidR="00EC4695" w:rsidRPr="00EC4695" w:rsidRDefault="00EC4695" w:rsidP="008F1995">
      <w:pPr>
        <w:numPr>
          <w:ilvl w:val="0"/>
          <w:numId w:val="4"/>
        </w:numPr>
        <w:spacing w:line="360" w:lineRule="auto"/>
        <w:rPr>
          <w:rFonts w:ascii="Arial" w:hAnsi="Arial" w:cs="Arial"/>
          <w:sz w:val="22"/>
          <w:szCs w:val="22"/>
        </w:rPr>
      </w:pPr>
      <w:r w:rsidRPr="00EC4695">
        <w:rPr>
          <w:rFonts w:ascii="Arial" w:hAnsi="Arial" w:cs="Arial"/>
          <w:sz w:val="22"/>
          <w:szCs w:val="22"/>
        </w:rPr>
        <w:t>Creative activities, such as music, art, or storytelling</w:t>
      </w:r>
    </w:p>
    <w:p w14:paraId="36BC2658" w14:textId="77777777" w:rsidR="00EC4695" w:rsidRPr="00EC4695" w:rsidRDefault="00EC4695" w:rsidP="008F1995">
      <w:pPr>
        <w:numPr>
          <w:ilvl w:val="0"/>
          <w:numId w:val="4"/>
        </w:numPr>
        <w:spacing w:line="360" w:lineRule="auto"/>
        <w:rPr>
          <w:rFonts w:ascii="Arial" w:hAnsi="Arial" w:cs="Arial"/>
          <w:sz w:val="22"/>
          <w:szCs w:val="22"/>
        </w:rPr>
      </w:pPr>
      <w:r w:rsidRPr="00EC4695">
        <w:rPr>
          <w:rFonts w:ascii="Arial" w:hAnsi="Arial" w:cs="Arial"/>
          <w:sz w:val="22"/>
          <w:szCs w:val="22"/>
        </w:rPr>
        <w:t>Personalised activities, based on the individual’s past interests and life experiences</w:t>
      </w:r>
    </w:p>
    <w:p w14:paraId="6B17C513" w14:textId="3B4067DA" w:rsidR="00EC4695" w:rsidRPr="00EC4695" w:rsidRDefault="00F0658C" w:rsidP="008F1995">
      <w:pPr>
        <w:spacing w:line="360" w:lineRule="auto"/>
        <w:rPr>
          <w:rFonts w:ascii="Arial" w:hAnsi="Arial" w:cs="Arial"/>
          <w:sz w:val="22"/>
          <w:szCs w:val="22"/>
        </w:rPr>
      </w:pPr>
      <w:r w:rsidRPr="008F1995">
        <w:rPr>
          <w:rFonts w:ascii="Arial" w:hAnsi="Arial" w:cs="Arial"/>
          <w:sz w:val="22"/>
          <w:szCs w:val="22"/>
        </w:rPr>
        <w:t xml:space="preserve">It is important to note that activities should not be generic but shaped based on </w:t>
      </w:r>
      <w:r w:rsidR="00DA615B" w:rsidRPr="008F1995">
        <w:rPr>
          <w:rFonts w:ascii="Arial" w:hAnsi="Arial" w:cs="Arial"/>
          <w:sz w:val="22"/>
          <w:szCs w:val="22"/>
        </w:rPr>
        <w:t>everyone.</w:t>
      </w:r>
      <w:r w:rsidR="00EC4695" w:rsidRPr="00EC4695">
        <w:rPr>
          <w:rFonts w:ascii="Arial" w:hAnsi="Arial" w:cs="Arial"/>
          <w:sz w:val="22"/>
          <w:szCs w:val="22"/>
        </w:rPr>
        <w:t xml:space="preserve"> This aligns with person-centred care, where activities are adapted to suit </w:t>
      </w:r>
      <w:r w:rsidR="00DA615B" w:rsidRPr="008F1995">
        <w:rPr>
          <w:rFonts w:ascii="Arial" w:hAnsi="Arial" w:cs="Arial"/>
          <w:sz w:val="22"/>
          <w:szCs w:val="22"/>
        </w:rPr>
        <w:t>everyone’s</w:t>
      </w:r>
      <w:r w:rsidR="00EC4695" w:rsidRPr="00EC4695">
        <w:rPr>
          <w:rFonts w:ascii="Arial" w:hAnsi="Arial" w:cs="Arial"/>
          <w:sz w:val="22"/>
          <w:szCs w:val="22"/>
        </w:rPr>
        <w:t xml:space="preserve"> needs, abilities, and preferences</w:t>
      </w:r>
      <w:r w:rsidR="008F1995" w:rsidRPr="008F1995">
        <w:t xml:space="preserve"> </w:t>
      </w:r>
      <w:r w:rsidR="008F1995" w:rsidRPr="008F1995">
        <w:rPr>
          <w:rFonts w:ascii="Arial" w:hAnsi="Arial" w:cs="Arial"/>
          <w:sz w:val="22"/>
          <w:szCs w:val="22"/>
        </w:rPr>
        <w:t>(Adams et al., 2011)</w:t>
      </w:r>
      <w:r w:rsidR="00EC4695" w:rsidRPr="00EC4695">
        <w:rPr>
          <w:rFonts w:ascii="Arial" w:hAnsi="Arial" w:cs="Arial"/>
          <w:sz w:val="22"/>
          <w:szCs w:val="22"/>
        </w:rPr>
        <w:t>.</w:t>
      </w:r>
      <w:r w:rsidR="00DA615B" w:rsidRPr="008F1995">
        <w:rPr>
          <w:rFonts w:ascii="Arial" w:hAnsi="Arial" w:cs="Arial"/>
          <w:sz w:val="22"/>
          <w:szCs w:val="22"/>
        </w:rPr>
        <w:t xml:space="preserve"> For general inclusivity it is important to understand the physical needs of each person and then adapt activities accordingly. Even those that are not very active should be involved. For example, if some people lack physical independence, in terms of walking, activities can be less active ones like painting, bingo or listening to someone play music. </w:t>
      </w:r>
    </w:p>
    <w:p w14:paraId="638E68BC" w14:textId="7DCA5434" w:rsidR="00EC4695" w:rsidRPr="00EC4695" w:rsidRDefault="00EC4695" w:rsidP="008F1995">
      <w:pPr>
        <w:spacing w:line="360" w:lineRule="auto"/>
        <w:rPr>
          <w:rFonts w:ascii="Arial" w:hAnsi="Arial" w:cs="Arial"/>
          <w:b/>
          <w:bCs/>
          <w:sz w:val="22"/>
          <w:szCs w:val="22"/>
        </w:rPr>
      </w:pPr>
    </w:p>
    <w:p w14:paraId="6954D7F3" w14:textId="77777777" w:rsidR="00EC4695" w:rsidRPr="00EC4695" w:rsidRDefault="00EC4695" w:rsidP="008F1995">
      <w:pPr>
        <w:spacing w:line="360" w:lineRule="auto"/>
        <w:rPr>
          <w:rFonts w:ascii="Arial" w:hAnsi="Arial" w:cs="Arial"/>
          <w:b/>
          <w:bCs/>
          <w:sz w:val="22"/>
          <w:szCs w:val="22"/>
        </w:rPr>
      </w:pPr>
      <w:r w:rsidRPr="00EC4695">
        <w:rPr>
          <w:rFonts w:ascii="Arial" w:hAnsi="Arial" w:cs="Arial"/>
          <w:b/>
          <w:bCs/>
          <w:sz w:val="22"/>
          <w:szCs w:val="22"/>
        </w:rPr>
        <w:t>Case Scenario</w:t>
      </w:r>
    </w:p>
    <w:p w14:paraId="76ED7571" w14:textId="1A278ED4" w:rsidR="00EC4695" w:rsidRPr="00EC4695" w:rsidRDefault="00EC4695" w:rsidP="008F1995">
      <w:pPr>
        <w:spacing w:line="360" w:lineRule="auto"/>
        <w:rPr>
          <w:rFonts w:ascii="Arial" w:hAnsi="Arial" w:cs="Arial"/>
          <w:sz w:val="22"/>
          <w:szCs w:val="22"/>
        </w:rPr>
      </w:pPr>
      <w:r w:rsidRPr="00EC4695">
        <w:rPr>
          <w:rFonts w:ascii="Arial" w:hAnsi="Arial" w:cs="Arial"/>
          <w:sz w:val="22"/>
          <w:szCs w:val="22"/>
        </w:rPr>
        <w:t>An older adult living in a residential care home is bed-bound and receives multiple care visits daily. Although her physical needs are met, she experiences loneliness and reduced engagement in daily life.</w:t>
      </w:r>
      <w:r w:rsidR="00DA615B" w:rsidRPr="008F1995">
        <w:rPr>
          <w:rFonts w:ascii="Arial" w:hAnsi="Arial" w:cs="Arial"/>
          <w:sz w:val="22"/>
          <w:szCs w:val="22"/>
        </w:rPr>
        <w:t xml:space="preserve"> This has made them reserved and withdrawn from everything.</w:t>
      </w:r>
    </w:p>
    <w:p w14:paraId="52241934" w14:textId="35045A30" w:rsidR="00DA615B" w:rsidRPr="008F1995" w:rsidRDefault="00DA615B" w:rsidP="008F1995">
      <w:pPr>
        <w:spacing w:line="360" w:lineRule="auto"/>
        <w:rPr>
          <w:rFonts w:ascii="Arial" w:hAnsi="Arial" w:cs="Arial"/>
          <w:sz w:val="22"/>
          <w:szCs w:val="22"/>
        </w:rPr>
      </w:pPr>
      <w:r w:rsidRPr="008F1995">
        <w:rPr>
          <w:rFonts w:ascii="Arial" w:hAnsi="Arial" w:cs="Arial"/>
          <w:sz w:val="22"/>
          <w:szCs w:val="22"/>
        </w:rPr>
        <w:t xml:space="preserve">In this scenario there is a need to understand the adult. </w:t>
      </w:r>
      <w:r w:rsidR="00EC4695" w:rsidRPr="00EC4695">
        <w:rPr>
          <w:rFonts w:ascii="Arial" w:hAnsi="Arial" w:cs="Arial"/>
          <w:sz w:val="22"/>
          <w:szCs w:val="22"/>
        </w:rPr>
        <w:t>Using Havighurst’s Activity Theory</w:t>
      </w:r>
      <w:r w:rsidRPr="008F1995">
        <w:rPr>
          <w:rFonts w:ascii="Arial" w:hAnsi="Arial" w:cs="Arial"/>
          <w:sz w:val="22"/>
          <w:szCs w:val="22"/>
        </w:rPr>
        <w:t xml:space="preserve"> some activities that suit them but also interest them should be added to their care plan. These may be minimal at first, like having informal chats about her past, her favourite things, watching tv shows with carers </w:t>
      </w:r>
      <w:r w:rsidR="00F935B4" w:rsidRPr="008F1995">
        <w:rPr>
          <w:rFonts w:ascii="Arial" w:hAnsi="Arial" w:cs="Arial"/>
          <w:sz w:val="22"/>
          <w:szCs w:val="22"/>
        </w:rPr>
        <w:t>and</w:t>
      </w:r>
      <w:r w:rsidRPr="008F1995">
        <w:rPr>
          <w:rFonts w:ascii="Arial" w:hAnsi="Arial" w:cs="Arial"/>
          <w:sz w:val="22"/>
          <w:szCs w:val="22"/>
        </w:rPr>
        <w:t xml:space="preserve"> including family visits into her routine. Though these activities may seem minimal, they will provide enough emotional stimulation to help her get back into the care community and feel more connected. Overtime, there will be an evident change in this </w:t>
      </w:r>
      <w:r w:rsidR="00F935B4" w:rsidRPr="008F1995">
        <w:rPr>
          <w:rFonts w:ascii="Arial" w:hAnsi="Arial" w:cs="Arial"/>
          <w:sz w:val="22"/>
          <w:szCs w:val="22"/>
        </w:rPr>
        <w:t>individuals’</w:t>
      </w:r>
      <w:r w:rsidRPr="008F1995">
        <w:rPr>
          <w:rFonts w:ascii="Arial" w:hAnsi="Arial" w:cs="Arial"/>
          <w:sz w:val="22"/>
          <w:szCs w:val="22"/>
        </w:rPr>
        <w:t xml:space="preserve"> moods, </w:t>
      </w:r>
      <w:proofErr w:type="gramStart"/>
      <w:r w:rsidRPr="008F1995">
        <w:rPr>
          <w:rFonts w:ascii="Arial" w:hAnsi="Arial" w:cs="Arial"/>
          <w:sz w:val="22"/>
          <w:szCs w:val="22"/>
        </w:rPr>
        <w:t>and also</w:t>
      </w:r>
      <w:proofErr w:type="gramEnd"/>
      <w:r w:rsidRPr="008F1995">
        <w:rPr>
          <w:rFonts w:ascii="Arial" w:hAnsi="Arial" w:cs="Arial"/>
          <w:sz w:val="22"/>
          <w:szCs w:val="22"/>
        </w:rPr>
        <w:t xml:space="preserve"> their willingness to participate in activities. This </w:t>
      </w:r>
      <w:r w:rsidR="00F935B4" w:rsidRPr="008F1995">
        <w:rPr>
          <w:rFonts w:ascii="Arial" w:hAnsi="Arial" w:cs="Arial"/>
          <w:sz w:val="22"/>
          <w:szCs w:val="22"/>
        </w:rPr>
        <w:lastRenderedPageBreak/>
        <w:t>highlights that activities do not have to be strenuous and even those that are limited physically can benefit significantly from the activity theory.</w:t>
      </w:r>
    </w:p>
    <w:p w14:paraId="5464EDE6" w14:textId="77777777" w:rsidR="00EC4695" w:rsidRPr="008F1995" w:rsidRDefault="00EC4695" w:rsidP="008F1995">
      <w:pPr>
        <w:spacing w:line="360" w:lineRule="auto"/>
        <w:rPr>
          <w:rFonts w:ascii="Arial" w:hAnsi="Arial" w:cs="Arial"/>
          <w:b/>
          <w:bCs/>
          <w:sz w:val="22"/>
          <w:szCs w:val="22"/>
        </w:rPr>
      </w:pPr>
      <w:r w:rsidRPr="00EC4695">
        <w:rPr>
          <w:rFonts w:ascii="Arial" w:hAnsi="Arial" w:cs="Arial"/>
          <w:b/>
          <w:bCs/>
          <w:sz w:val="22"/>
          <w:szCs w:val="22"/>
        </w:rPr>
        <w:t>Challenges in Applying the Theory</w:t>
      </w:r>
    </w:p>
    <w:p w14:paraId="1126660C" w14:textId="27816856" w:rsidR="00EC4695" w:rsidRPr="00EC4695" w:rsidRDefault="00F935B4" w:rsidP="008F1995">
      <w:pPr>
        <w:spacing w:line="360" w:lineRule="auto"/>
        <w:rPr>
          <w:rFonts w:ascii="Arial" w:hAnsi="Arial" w:cs="Arial"/>
          <w:sz w:val="22"/>
          <w:szCs w:val="22"/>
        </w:rPr>
      </w:pPr>
      <w:r w:rsidRPr="008F1995">
        <w:rPr>
          <w:rFonts w:ascii="Arial" w:hAnsi="Arial" w:cs="Arial"/>
          <w:sz w:val="22"/>
          <w:szCs w:val="22"/>
        </w:rPr>
        <w:t xml:space="preserve">It is very important to note that changing or adding new activities to an adult’s schedule is not an easy task, and there might be some resistance at first. Additionally, some activities may not be received well, not everything introduced to them may work at first. Another challenge which is an ongoing challenge in the UK is the availability of staff </w:t>
      </w:r>
      <w:proofErr w:type="gramStart"/>
      <w:r w:rsidRPr="008F1995">
        <w:rPr>
          <w:rFonts w:ascii="Arial" w:hAnsi="Arial" w:cs="Arial"/>
          <w:sz w:val="22"/>
          <w:szCs w:val="22"/>
        </w:rPr>
        <w:t>and also</w:t>
      </w:r>
      <w:proofErr w:type="gramEnd"/>
      <w:r w:rsidRPr="008F1995">
        <w:rPr>
          <w:rFonts w:ascii="Arial" w:hAnsi="Arial" w:cs="Arial"/>
          <w:sz w:val="22"/>
          <w:szCs w:val="22"/>
        </w:rPr>
        <w:t xml:space="preserve"> their limited time with the adult. Care workers will often focus on the </w:t>
      </w:r>
      <w:r w:rsidR="008F1995" w:rsidRPr="008F1995">
        <w:rPr>
          <w:rFonts w:ascii="Arial" w:hAnsi="Arial" w:cs="Arial"/>
          <w:sz w:val="22"/>
          <w:szCs w:val="22"/>
        </w:rPr>
        <w:t>personal</w:t>
      </w:r>
      <w:r w:rsidRPr="008F1995">
        <w:rPr>
          <w:rFonts w:ascii="Arial" w:hAnsi="Arial" w:cs="Arial"/>
          <w:sz w:val="22"/>
          <w:szCs w:val="22"/>
        </w:rPr>
        <w:t xml:space="preserve"> care tasks leaving out activities of engagement. Another</w:t>
      </w:r>
      <w:r w:rsidR="00EC4695" w:rsidRPr="00EC4695">
        <w:rPr>
          <w:rFonts w:ascii="Arial" w:hAnsi="Arial" w:cs="Arial"/>
          <w:sz w:val="22"/>
          <w:szCs w:val="22"/>
        </w:rPr>
        <w:t xml:space="preserve"> challenge is that some residents may have physical or cognitive limitations, which can restrict their ability to participate in traditional activities</w:t>
      </w:r>
      <w:r w:rsidR="00EC4695" w:rsidRPr="00EC4695">
        <w:rPr>
          <w:rFonts w:ascii="Arial" w:hAnsi="Arial" w:cs="Arial"/>
          <w:b/>
          <w:bCs/>
          <w:sz w:val="22"/>
          <w:szCs w:val="22"/>
        </w:rPr>
        <w:t>.</w:t>
      </w:r>
    </w:p>
    <w:p w14:paraId="02DE63FA" w14:textId="77777777" w:rsidR="00EC4695" w:rsidRPr="00EC4695" w:rsidRDefault="00EC4695" w:rsidP="008F1995">
      <w:pPr>
        <w:spacing w:line="360" w:lineRule="auto"/>
        <w:rPr>
          <w:rFonts w:ascii="Arial" w:hAnsi="Arial" w:cs="Arial"/>
          <w:sz w:val="22"/>
          <w:szCs w:val="22"/>
        </w:rPr>
      </w:pPr>
      <w:r w:rsidRPr="00EC4695">
        <w:rPr>
          <w:rFonts w:ascii="Arial" w:hAnsi="Arial" w:cs="Arial"/>
          <w:sz w:val="22"/>
          <w:szCs w:val="22"/>
        </w:rPr>
        <w:t>To overcome these challenges, care professionals can:</w:t>
      </w:r>
    </w:p>
    <w:p w14:paraId="28AE153C" w14:textId="77777777" w:rsidR="00EC4695" w:rsidRPr="00EC4695" w:rsidRDefault="00EC4695" w:rsidP="008F1995">
      <w:pPr>
        <w:numPr>
          <w:ilvl w:val="0"/>
          <w:numId w:val="5"/>
        </w:numPr>
        <w:spacing w:line="360" w:lineRule="auto"/>
        <w:rPr>
          <w:rFonts w:ascii="Arial" w:hAnsi="Arial" w:cs="Arial"/>
          <w:sz w:val="22"/>
          <w:szCs w:val="22"/>
        </w:rPr>
      </w:pPr>
      <w:r w:rsidRPr="00EC4695">
        <w:rPr>
          <w:rFonts w:ascii="Arial" w:hAnsi="Arial" w:cs="Arial"/>
          <w:sz w:val="22"/>
          <w:szCs w:val="22"/>
        </w:rPr>
        <w:t>Integrate activities into routine care, such as talking to residents during personal care</w:t>
      </w:r>
    </w:p>
    <w:p w14:paraId="3971671B" w14:textId="0D8BE17A" w:rsidR="00EC4695" w:rsidRPr="00EC4695" w:rsidRDefault="00EC4695" w:rsidP="008F1995">
      <w:pPr>
        <w:numPr>
          <w:ilvl w:val="0"/>
          <w:numId w:val="5"/>
        </w:numPr>
        <w:spacing w:line="360" w:lineRule="auto"/>
        <w:rPr>
          <w:rFonts w:ascii="Arial" w:hAnsi="Arial" w:cs="Arial"/>
          <w:sz w:val="22"/>
          <w:szCs w:val="22"/>
        </w:rPr>
      </w:pPr>
      <w:r w:rsidRPr="00EC4695">
        <w:rPr>
          <w:rFonts w:ascii="Arial" w:hAnsi="Arial" w:cs="Arial"/>
          <w:sz w:val="22"/>
          <w:szCs w:val="22"/>
        </w:rPr>
        <w:t>Use simple, low-resource activities, such as conversation or music</w:t>
      </w:r>
      <w:r w:rsidR="008F1995" w:rsidRPr="008F1995">
        <w:rPr>
          <w:rFonts w:ascii="Arial" w:hAnsi="Arial" w:cs="Arial"/>
          <w:sz w:val="22"/>
          <w:szCs w:val="22"/>
        </w:rPr>
        <w:t>, looking at family pictures</w:t>
      </w:r>
    </w:p>
    <w:p w14:paraId="4E8D4C27" w14:textId="77777777" w:rsidR="00EC4695" w:rsidRPr="00EC4695" w:rsidRDefault="00EC4695" w:rsidP="008F1995">
      <w:pPr>
        <w:numPr>
          <w:ilvl w:val="0"/>
          <w:numId w:val="5"/>
        </w:numPr>
        <w:spacing w:line="360" w:lineRule="auto"/>
        <w:rPr>
          <w:rFonts w:ascii="Arial" w:hAnsi="Arial" w:cs="Arial"/>
          <w:sz w:val="22"/>
          <w:szCs w:val="22"/>
        </w:rPr>
      </w:pPr>
      <w:r w:rsidRPr="00EC4695">
        <w:rPr>
          <w:rFonts w:ascii="Arial" w:hAnsi="Arial" w:cs="Arial"/>
          <w:sz w:val="22"/>
          <w:szCs w:val="22"/>
        </w:rPr>
        <w:t>Encourage family involvement, which can enhance social interaction</w:t>
      </w:r>
    </w:p>
    <w:p w14:paraId="1DAF49BD" w14:textId="77777777" w:rsidR="00EC4695" w:rsidRPr="00EC4695" w:rsidRDefault="00EC4695" w:rsidP="008F1995">
      <w:pPr>
        <w:numPr>
          <w:ilvl w:val="0"/>
          <w:numId w:val="5"/>
        </w:numPr>
        <w:spacing w:line="360" w:lineRule="auto"/>
        <w:rPr>
          <w:rFonts w:ascii="Arial" w:hAnsi="Arial" w:cs="Arial"/>
          <w:sz w:val="22"/>
          <w:szCs w:val="22"/>
        </w:rPr>
      </w:pPr>
      <w:r w:rsidRPr="00EC4695">
        <w:rPr>
          <w:rFonts w:ascii="Arial" w:hAnsi="Arial" w:cs="Arial"/>
          <w:sz w:val="22"/>
          <w:szCs w:val="22"/>
        </w:rPr>
        <w:t>Adapt activities to suit individual abilities, ensuring inclusivity</w:t>
      </w:r>
    </w:p>
    <w:p w14:paraId="40E0B2AD" w14:textId="1C33F804" w:rsidR="00EC4695" w:rsidRPr="00EC4695" w:rsidRDefault="00EC4695" w:rsidP="008F1995">
      <w:pPr>
        <w:spacing w:line="360" w:lineRule="auto"/>
        <w:rPr>
          <w:rFonts w:ascii="Arial" w:hAnsi="Arial" w:cs="Arial"/>
          <w:sz w:val="22"/>
          <w:szCs w:val="22"/>
        </w:rPr>
      </w:pPr>
      <w:r w:rsidRPr="00EC4695">
        <w:rPr>
          <w:rFonts w:ascii="Arial" w:hAnsi="Arial" w:cs="Arial"/>
          <w:sz w:val="22"/>
          <w:szCs w:val="22"/>
        </w:rPr>
        <w:t>By embedding activity into daily care, professionals can ensure that engagement becomes a natural part of care delivery rather than an additional task.</w:t>
      </w:r>
    </w:p>
    <w:p w14:paraId="07337616" w14:textId="77777777" w:rsidR="00EC4695" w:rsidRPr="00EC4695" w:rsidRDefault="00EC4695" w:rsidP="008F1995">
      <w:pPr>
        <w:spacing w:line="360" w:lineRule="auto"/>
        <w:rPr>
          <w:rFonts w:ascii="Arial" w:hAnsi="Arial" w:cs="Arial"/>
          <w:b/>
          <w:bCs/>
          <w:sz w:val="22"/>
          <w:szCs w:val="22"/>
        </w:rPr>
      </w:pPr>
      <w:r w:rsidRPr="00EC4695">
        <w:rPr>
          <w:rFonts w:ascii="Arial" w:hAnsi="Arial" w:cs="Arial"/>
          <w:b/>
          <w:bCs/>
          <w:sz w:val="22"/>
          <w:szCs w:val="22"/>
        </w:rPr>
        <w:t>Conclusion</w:t>
      </w:r>
    </w:p>
    <w:p w14:paraId="50380EA4" w14:textId="26598273" w:rsidR="0059432D" w:rsidRDefault="00EC4695" w:rsidP="008F1995">
      <w:pPr>
        <w:spacing w:line="360" w:lineRule="auto"/>
        <w:rPr>
          <w:rFonts w:ascii="Arial" w:hAnsi="Arial" w:cs="Arial"/>
          <w:sz w:val="22"/>
          <w:szCs w:val="22"/>
        </w:rPr>
      </w:pPr>
      <w:r w:rsidRPr="00EC4695">
        <w:rPr>
          <w:rFonts w:ascii="Arial" w:hAnsi="Arial" w:cs="Arial"/>
          <w:sz w:val="22"/>
          <w:szCs w:val="22"/>
        </w:rPr>
        <w:t xml:space="preserve">Havighurst’s Activity Theory </w:t>
      </w:r>
      <w:r w:rsidR="008F1995" w:rsidRPr="008F1995">
        <w:rPr>
          <w:rFonts w:ascii="Arial" w:hAnsi="Arial" w:cs="Arial"/>
          <w:sz w:val="22"/>
          <w:szCs w:val="22"/>
        </w:rPr>
        <w:t xml:space="preserve">is very successful in care settings, and it </w:t>
      </w:r>
      <w:r w:rsidRPr="00EC4695">
        <w:rPr>
          <w:rFonts w:ascii="Arial" w:hAnsi="Arial" w:cs="Arial"/>
          <w:sz w:val="22"/>
          <w:szCs w:val="22"/>
        </w:rPr>
        <w:t xml:space="preserve">provides a practical and effective </w:t>
      </w:r>
      <w:r w:rsidR="008F1995" w:rsidRPr="008F1995">
        <w:rPr>
          <w:rFonts w:ascii="Arial" w:hAnsi="Arial" w:cs="Arial"/>
          <w:sz w:val="22"/>
          <w:szCs w:val="22"/>
        </w:rPr>
        <w:t>structure</w:t>
      </w:r>
      <w:r w:rsidRPr="00EC4695">
        <w:rPr>
          <w:rFonts w:ascii="Arial" w:hAnsi="Arial" w:cs="Arial"/>
          <w:sz w:val="22"/>
          <w:szCs w:val="22"/>
        </w:rPr>
        <w:t xml:space="preserve"> for promoting psychological wellbeing in older adults living in residential care. By encouraging </w:t>
      </w:r>
      <w:r w:rsidR="008F1995" w:rsidRPr="008F1995">
        <w:rPr>
          <w:rFonts w:ascii="Arial" w:hAnsi="Arial" w:cs="Arial"/>
          <w:sz w:val="22"/>
          <w:szCs w:val="22"/>
        </w:rPr>
        <w:t>intentional</w:t>
      </w:r>
      <w:r w:rsidRPr="00EC4695">
        <w:rPr>
          <w:rFonts w:ascii="Arial" w:hAnsi="Arial" w:cs="Arial"/>
          <w:sz w:val="22"/>
          <w:szCs w:val="22"/>
        </w:rPr>
        <w:t xml:space="preserve"> engagement and </w:t>
      </w:r>
      <w:r w:rsidR="008F1995" w:rsidRPr="008F1995">
        <w:rPr>
          <w:rFonts w:ascii="Arial" w:hAnsi="Arial" w:cs="Arial"/>
          <w:sz w:val="22"/>
          <w:szCs w:val="22"/>
        </w:rPr>
        <w:t xml:space="preserve">shaping these </w:t>
      </w:r>
      <w:r w:rsidRPr="00EC4695">
        <w:rPr>
          <w:rFonts w:ascii="Arial" w:hAnsi="Arial" w:cs="Arial"/>
          <w:sz w:val="22"/>
          <w:szCs w:val="22"/>
        </w:rPr>
        <w:t>activities to individual needs, care professionals can reduce loneliness and improve quality of life. Despite challenges such as time constraints, integrating activity into everyday care can make a significant difference to residents’ emotional wellbeing.</w:t>
      </w:r>
    </w:p>
    <w:p w14:paraId="509C90D1" w14:textId="77777777" w:rsidR="008F1995" w:rsidRPr="008F1995" w:rsidRDefault="008F1995" w:rsidP="008F1995">
      <w:pPr>
        <w:spacing w:line="360" w:lineRule="auto"/>
        <w:rPr>
          <w:rFonts w:ascii="Arial" w:hAnsi="Arial" w:cs="Arial"/>
          <w:sz w:val="22"/>
          <w:szCs w:val="22"/>
        </w:rPr>
      </w:pPr>
    </w:p>
    <w:p w14:paraId="216C7D1E" w14:textId="77777777" w:rsidR="008F1995" w:rsidRPr="008F1995" w:rsidRDefault="008F1995" w:rsidP="008F1995">
      <w:pPr>
        <w:spacing w:line="360" w:lineRule="auto"/>
        <w:rPr>
          <w:rFonts w:ascii="Arial" w:hAnsi="Arial" w:cs="Arial"/>
          <w:sz w:val="22"/>
          <w:szCs w:val="22"/>
        </w:rPr>
      </w:pPr>
      <w:r w:rsidRPr="008F1995">
        <w:rPr>
          <w:rFonts w:ascii="Arial" w:hAnsi="Arial" w:cs="Arial"/>
          <w:sz w:val="22"/>
          <w:szCs w:val="22"/>
        </w:rPr>
        <w:t xml:space="preserve">References </w:t>
      </w:r>
    </w:p>
    <w:p w14:paraId="5A089D8C" w14:textId="77777777" w:rsidR="008F1995" w:rsidRPr="008F1995" w:rsidRDefault="008F1995" w:rsidP="008F1995">
      <w:pPr>
        <w:spacing w:line="360" w:lineRule="auto"/>
        <w:rPr>
          <w:rFonts w:ascii="Arial" w:hAnsi="Arial" w:cs="Arial"/>
          <w:sz w:val="22"/>
          <w:szCs w:val="22"/>
        </w:rPr>
      </w:pPr>
      <w:r w:rsidRPr="008F1995">
        <w:rPr>
          <w:rFonts w:ascii="Arial" w:hAnsi="Arial" w:cs="Arial"/>
          <w:sz w:val="22"/>
          <w:szCs w:val="22"/>
        </w:rPr>
        <w:t>ADAMS, K.B., LEIBBRANDT, S. and MOON, H. (2011) ‘A critical review of the literature on social and leisure activity and wellbeing in later life’, </w:t>
      </w:r>
      <w:r w:rsidRPr="008F1995">
        <w:rPr>
          <w:rFonts w:ascii="Arial" w:hAnsi="Arial" w:cs="Arial"/>
          <w:i/>
          <w:iCs/>
          <w:sz w:val="22"/>
          <w:szCs w:val="22"/>
        </w:rPr>
        <w:t>Ageing and Society</w:t>
      </w:r>
      <w:r w:rsidRPr="008F1995">
        <w:rPr>
          <w:rFonts w:ascii="Arial" w:hAnsi="Arial" w:cs="Arial"/>
          <w:sz w:val="22"/>
          <w:szCs w:val="22"/>
        </w:rPr>
        <w:t>, 31(4), pp. 683–712. doi:10.1017/S0144686X10001091</w:t>
      </w:r>
    </w:p>
    <w:p w14:paraId="1790DFCD" w14:textId="77777777" w:rsidR="008F1995" w:rsidRPr="008F1995" w:rsidRDefault="008F1995" w:rsidP="008F1995">
      <w:pPr>
        <w:spacing w:line="360" w:lineRule="auto"/>
        <w:rPr>
          <w:rFonts w:ascii="Arial" w:hAnsi="Arial" w:cs="Arial"/>
          <w:sz w:val="22"/>
          <w:szCs w:val="22"/>
        </w:rPr>
      </w:pPr>
      <w:r w:rsidRPr="008F1995">
        <w:rPr>
          <w:rFonts w:ascii="Arial" w:hAnsi="Arial" w:cs="Arial"/>
          <w:sz w:val="22"/>
          <w:szCs w:val="22"/>
        </w:rPr>
        <w:lastRenderedPageBreak/>
        <w:t>Corradi R. B. (2024). Psychoanalytic Contributions to Psychodynamic Psychiatry and Psychotherapy: Erik Erikson's Psychosocial Developmental Theory. </w:t>
      </w:r>
      <w:r w:rsidRPr="008F1995">
        <w:rPr>
          <w:rFonts w:ascii="Arial" w:hAnsi="Arial" w:cs="Arial"/>
          <w:i/>
          <w:iCs/>
          <w:sz w:val="22"/>
          <w:szCs w:val="22"/>
        </w:rPr>
        <w:t>Psychodynamic psychiatry</w:t>
      </w:r>
      <w:r w:rsidRPr="008F1995">
        <w:rPr>
          <w:rFonts w:ascii="Arial" w:hAnsi="Arial" w:cs="Arial"/>
          <w:sz w:val="22"/>
          <w:szCs w:val="22"/>
        </w:rPr>
        <w:t>, </w:t>
      </w:r>
      <w:r w:rsidRPr="008F1995">
        <w:rPr>
          <w:rFonts w:ascii="Arial" w:hAnsi="Arial" w:cs="Arial"/>
          <w:i/>
          <w:iCs/>
          <w:sz w:val="22"/>
          <w:szCs w:val="22"/>
        </w:rPr>
        <w:t>52</w:t>
      </w:r>
      <w:r w:rsidRPr="008F1995">
        <w:rPr>
          <w:rFonts w:ascii="Arial" w:hAnsi="Arial" w:cs="Arial"/>
          <w:sz w:val="22"/>
          <w:szCs w:val="22"/>
        </w:rPr>
        <w:t xml:space="preserve">(1), 18–24. </w:t>
      </w:r>
      <w:hyperlink r:id="rId10" w:history="1">
        <w:r w:rsidRPr="008F1995">
          <w:rPr>
            <w:rStyle w:val="Hyperlink"/>
            <w:rFonts w:ascii="Arial" w:hAnsi="Arial" w:cs="Arial"/>
            <w:sz w:val="22"/>
            <w:szCs w:val="22"/>
          </w:rPr>
          <w:t>https://doi.org/10.1521/pdps.2024.52.1.18</w:t>
        </w:r>
      </w:hyperlink>
    </w:p>
    <w:p w14:paraId="2BE66A14" w14:textId="77777777" w:rsidR="008F1995" w:rsidRPr="008F1995" w:rsidRDefault="008F1995" w:rsidP="008F1995">
      <w:pPr>
        <w:spacing w:line="360" w:lineRule="auto"/>
        <w:rPr>
          <w:rFonts w:ascii="Arial" w:hAnsi="Arial" w:cs="Arial"/>
          <w:sz w:val="22"/>
          <w:szCs w:val="22"/>
        </w:rPr>
      </w:pPr>
      <w:r w:rsidRPr="002C5897">
        <w:rPr>
          <w:rFonts w:ascii="Arial" w:hAnsi="Arial" w:cs="Arial"/>
          <w:sz w:val="22"/>
          <w:szCs w:val="22"/>
        </w:rPr>
        <w:t xml:space="preserve">Erikson, E.H. (1982) </w:t>
      </w:r>
      <w:r w:rsidRPr="002C5897">
        <w:rPr>
          <w:rFonts w:ascii="Arial" w:hAnsi="Arial" w:cs="Arial"/>
          <w:i/>
          <w:iCs/>
          <w:sz w:val="22"/>
          <w:szCs w:val="22"/>
        </w:rPr>
        <w:t>The life cycle completed</w:t>
      </w:r>
      <w:r w:rsidRPr="002C5897">
        <w:rPr>
          <w:rFonts w:ascii="Arial" w:hAnsi="Arial" w:cs="Arial"/>
          <w:sz w:val="22"/>
          <w:szCs w:val="22"/>
        </w:rPr>
        <w:t>. New York: W.W. Norton &amp; Company.</w:t>
      </w:r>
    </w:p>
    <w:p w14:paraId="41805A5B" w14:textId="77777777" w:rsidR="008F1995" w:rsidRPr="008F1995" w:rsidRDefault="008F1995" w:rsidP="008F1995">
      <w:pPr>
        <w:spacing w:line="360" w:lineRule="auto"/>
        <w:rPr>
          <w:rFonts w:ascii="Arial" w:hAnsi="Arial" w:cs="Arial"/>
          <w:sz w:val="22"/>
          <w:szCs w:val="22"/>
        </w:rPr>
      </w:pPr>
      <w:r w:rsidRPr="008F1995">
        <w:rPr>
          <w:rFonts w:ascii="Arial" w:hAnsi="Arial" w:cs="Arial"/>
          <w:sz w:val="22"/>
          <w:szCs w:val="22"/>
        </w:rPr>
        <w:t>Havighurst, R. J. (1961). Successful aging. </w:t>
      </w:r>
      <w:r w:rsidRPr="008F1995">
        <w:rPr>
          <w:rFonts w:ascii="Arial" w:hAnsi="Arial" w:cs="Arial"/>
          <w:i/>
          <w:iCs/>
          <w:sz w:val="22"/>
          <w:szCs w:val="22"/>
        </w:rPr>
        <w:t>The Gerontologist, 1,</w:t>
      </w:r>
      <w:r w:rsidRPr="008F1995">
        <w:rPr>
          <w:rFonts w:ascii="Arial" w:hAnsi="Arial" w:cs="Arial"/>
          <w:sz w:val="22"/>
          <w:szCs w:val="22"/>
        </w:rPr>
        <w:t> 8–13. </w:t>
      </w:r>
      <w:hyperlink r:id="rId11" w:tgtFrame="_blank" w:history="1">
        <w:r w:rsidRPr="008F1995">
          <w:rPr>
            <w:rStyle w:val="Hyperlink"/>
            <w:rFonts w:ascii="Arial" w:hAnsi="Arial" w:cs="Arial"/>
            <w:sz w:val="22"/>
            <w:szCs w:val="22"/>
          </w:rPr>
          <w:t>https://doi.org/10.1093/geront/1.1.8</w:t>
        </w:r>
      </w:hyperlink>
    </w:p>
    <w:p w14:paraId="74172DC5" w14:textId="77777777" w:rsidR="008F1995" w:rsidRPr="008F1995" w:rsidRDefault="008F1995" w:rsidP="008F1995">
      <w:pPr>
        <w:spacing w:line="360" w:lineRule="auto"/>
        <w:rPr>
          <w:rFonts w:ascii="Arial" w:hAnsi="Arial" w:cs="Arial"/>
          <w:sz w:val="22"/>
          <w:szCs w:val="22"/>
        </w:rPr>
      </w:pPr>
      <w:r w:rsidRPr="002C5897">
        <w:rPr>
          <w:rFonts w:ascii="Arial" w:hAnsi="Arial" w:cs="Arial"/>
          <w:sz w:val="22"/>
          <w:szCs w:val="22"/>
        </w:rPr>
        <w:t xml:space="preserve">Westerhof, G.J. and </w:t>
      </w:r>
      <w:proofErr w:type="spellStart"/>
      <w:r w:rsidRPr="002C5897">
        <w:rPr>
          <w:rFonts w:ascii="Arial" w:hAnsi="Arial" w:cs="Arial"/>
          <w:sz w:val="22"/>
          <w:szCs w:val="22"/>
        </w:rPr>
        <w:t>Bohlmeijer</w:t>
      </w:r>
      <w:proofErr w:type="spellEnd"/>
      <w:r w:rsidRPr="002C5897">
        <w:rPr>
          <w:rFonts w:ascii="Arial" w:hAnsi="Arial" w:cs="Arial"/>
          <w:sz w:val="22"/>
          <w:szCs w:val="22"/>
        </w:rPr>
        <w:t xml:space="preserve">, E.T. (2014) ‘Celebrating fifty years of research and applications in reminiscence and life review: State of the art and new directions’, </w:t>
      </w:r>
      <w:r w:rsidRPr="002C5897">
        <w:rPr>
          <w:rFonts w:ascii="Arial" w:hAnsi="Arial" w:cs="Arial"/>
          <w:i/>
          <w:iCs/>
          <w:sz w:val="22"/>
          <w:szCs w:val="22"/>
        </w:rPr>
        <w:t>Journal of Aging Studies</w:t>
      </w:r>
      <w:r w:rsidRPr="002C5897">
        <w:rPr>
          <w:rFonts w:ascii="Arial" w:hAnsi="Arial" w:cs="Arial"/>
          <w:sz w:val="22"/>
          <w:szCs w:val="22"/>
        </w:rPr>
        <w:t>, 29, pp. 107–114.</w:t>
      </w:r>
    </w:p>
    <w:p w14:paraId="3843E12B" w14:textId="77777777" w:rsidR="008F1995" w:rsidRPr="002C5897" w:rsidRDefault="008F1995" w:rsidP="008F1995">
      <w:pPr>
        <w:spacing w:line="360" w:lineRule="auto"/>
        <w:rPr>
          <w:rFonts w:ascii="Arial" w:hAnsi="Arial" w:cs="Arial"/>
          <w:sz w:val="22"/>
          <w:szCs w:val="22"/>
        </w:rPr>
      </w:pPr>
    </w:p>
    <w:p w14:paraId="1F21F92D" w14:textId="77777777" w:rsidR="008F1995" w:rsidRPr="002C5897" w:rsidRDefault="008F1995" w:rsidP="008F1995">
      <w:pPr>
        <w:spacing w:line="360" w:lineRule="auto"/>
        <w:rPr>
          <w:rFonts w:ascii="Arial" w:hAnsi="Arial" w:cs="Arial"/>
          <w:sz w:val="22"/>
          <w:szCs w:val="22"/>
        </w:rPr>
      </w:pPr>
    </w:p>
    <w:p w14:paraId="24ECA1D0" w14:textId="77777777" w:rsidR="008F1995" w:rsidRPr="008F1995" w:rsidRDefault="008F1995" w:rsidP="008F1995">
      <w:pPr>
        <w:spacing w:line="360" w:lineRule="auto"/>
        <w:rPr>
          <w:rFonts w:ascii="Arial" w:hAnsi="Arial" w:cs="Arial"/>
          <w:sz w:val="22"/>
          <w:szCs w:val="22"/>
        </w:rPr>
      </w:pPr>
    </w:p>
    <w:sectPr w:rsidR="008F1995" w:rsidRPr="008F1995" w:rsidSect="00776DA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9423E" w14:textId="77777777" w:rsidR="004B7456" w:rsidRDefault="004B7456" w:rsidP="009927A3">
      <w:pPr>
        <w:spacing w:after="0" w:line="240" w:lineRule="auto"/>
      </w:pPr>
      <w:r>
        <w:separator/>
      </w:r>
    </w:p>
  </w:endnote>
  <w:endnote w:type="continuationSeparator" w:id="0">
    <w:p w14:paraId="6BEBCFCE" w14:textId="77777777" w:rsidR="004B7456" w:rsidRDefault="004B7456" w:rsidP="00992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8949696"/>
      <w:docPartObj>
        <w:docPartGallery w:val="Page Numbers (Bottom of Page)"/>
        <w:docPartUnique/>
      </w:docPartObj>
    </w:sdtPr>
    <w:sdtEndPr>
      <w:rPr>
        <w:noProof/>
      </w:rPr>
    </w:sdtEndPr>
    <w:sdtContent>
      <w:p w14:paraId="26A97750" w14:textId="10B7416F" w:rsidR="00612B03" w:rsidRDefault="00612B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4ACB00" w14:textId="77777777" w:rsidR="00612B03" w:rsidRDefault="00612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245F7" w14:textId="77777777" w:rsidR="004B7456" w:rsidRDefault="004B7456" w:rsidP="009927A3">
      <w:pPr>
        <w:spacing w:after="0" w:line="240" w:lineRule="auto"/>
      </w:pPr>
      <w:r>
        <w:separator/>
      </w:r>
    </w:p>
  </w:footnote>
  <w:footnote w:type="continuationSeparator" w:id="0">
    <w:p w14:paraId="488A9FEB" w14:textId="77777777" w:rsidR="004B7456" w:rsidRDefault="004B7456" w:rsidP="00992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50AB8"/>
    <w:multiLevelType w:val="multilevel"/>
    <w:tmpl w:val="CF86E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D037FC"/>
    <w:multiLevelType w:val="multilevel"/>
    <w:tmpl w:val="D870E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AD5ED2"/>
    <w:multiLevelType w:val="multilevel"/>
    <w:tmpl w:val="C34A8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B048E9"/>
    <w:multiLevelType w:val="multilevel"/>
    <w:tmpl w:val="A0149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A27A5B"/>
    <w:multiLevelType w:val="multilevel"/>
    <w:tmpl w:val="B42ED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0527386">
    <w:abstractNumId w:val="1"/>
  </w:num>
  <w:num w:numId="2" w16cid:durableId="1222862844">
    <w:abstractNumId w:val="2"/>
  </w:num>
  <w:num w:numId="3" w16cid:durableId="1209413702">
    <w:abstractNumId w:val="3"/>
  </w:num>
  <w:num w:numId="4" w16cid:durableId="1145586037">
    <w:abstractNumId w:val="0"/>
  </w:num>
  <w:num w:numId="5" w16cid:durableId="19084200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897"/>
    <w:rsid w:val="000D79F4"/>
    <w:rsid w:val="001F6B8C"/>
    <w:rsid w:val="002769B9"/>
    <w:rsid w:val="00284005"/>
    <w:rsid w:val="002C5897"/>
    <w:rsid w:val="003515D3"/>
    <w:rsid w:val="00380138"/>
    <w:rsid w:val="00453AE0"/>
    <w:rsid w:val="004A3D6A"/>
    <w:rsid w:val="004B7456"/>
    <w:rsid w:val="005465AE"/>
    <w:rsid w:val="0059432D"/>
    <w:rsid w:val="00612B03"/>
    <w:rsid w:val="00736D4E"/>
    <w:rsid w:val="00776DAE"/>
    <w:rsid w:val="007F10F0"/>
    <w:rsid w:val="008F1995"/>
    <w:rsid w:val="009927A3"/>
    <w:rsid w:val="009E5443"/>
    <w:rsid w:val="00DA615B"/>
    <w:rsid w:val="00E26D23"/>
    <w:rsid w:val="00EA760E"/>
    <w:rsid w:val="00EC4695"/>
    <w:rsid w:val="00F0658C"/>
    <w:rsid w:val="00F21194"/>
    <w:rsid w:val="00F60233"/>
    <w:rsid w:val="00F63EB1"/>
    <w:rsid w:val="00F93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04B92"/>
  <w15:chartTrackingRefBased/>
  <w15:docId w15:val="{C200CD0F-9969-4CF4-86F7-79A2447FC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8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8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8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8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8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8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8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8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8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8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8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8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8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8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8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8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8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897"/>
    <w:rPr>
      <w:rFonts w:eastAsiaTheme="majorEastAsia" w:cstheme="majorBidi"/>
      <w:color w:val="272727" w:themeColor="text1" w:themeTint="D8"/>
    </w:rPr>
  </w:style>
  <w:style w:type="paragraph" w:styleId="Title">
    <w:name w:val="Title"/>
    <w:basedOn w:val="Normal"/>
    <w:next w:val="Normal"/>
    <w:link w:val="TitleChar"/>
    <w:uiPriority w:val="10"/>
    <w:qFormat/>
    <w:rsid w:val="002C58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8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8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8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897"/>
    <w:pPr>
      <w:spacing w:before="160"/>
      <w:jc w:val="center"/>
    </w:pPr>
    <w:rPr>
      <w:i/>
      <w:iCs/>
      <w:color w:val="404040" w:themeColor="text1" w:themeTint="BF"/>
    </w:rPr>
  </w:style>
  <w:style w:type="character" w:customStyle="1" w:styleId="QuoteChar">
    <w:name w:val="Quote Char"/>
    <w:basedOn w:val="DefaultParagraphFont"/>
    <w:link w:val="Quote"/>
    <w:uiPriority w:val="29"/>
    <w:rsid w:val="002C5897"/>
    <w:rPr>
      <w:i/>
      <w:iCs/>
      <w:color w:val="404040" w:themeColor="text1" w:themeTint="BF"/>
    </w:rPr>
  </w:style>
  <w:style w:type="paragraph" w:styleId="ListParagraph">
    <w:name w:val="List Paragraph"/>
    <w:basedOn w:val="Normal"/>
    <w:uiPriority w:val="34"/>
    <w:qFormat/>
    <w:rsid w:val="002C5897"/>
    <w:pPr>
      <w:ind w:left="720"/>
      <w:contextualSpacing/>
    </w:pPr>
  </w:style>
  <w:style w:type="character" w:styleId="IntenseEmphasis">
    <w:name w:val="Intense Emphasis"/>
    <w:basedOn w:val="DefaultParagraphFont"/>
    <w:uiPriority w:val="21"/>
    <w:qFormat/>
    <w:rsid w:val="002C5897"/>
    <w:rPr>
      <w:i/>
      <w:iCs/>
      <w:color w:val="0F4761" w:themeColor="accent1" w:themeShade="BF"/>
    </w:rPr>
  </w:style>
  <w:style w:type="paragraph" w:styleId="IntenseQuote">
    <w:name w:val="Intense Quote"/>
    <w:basedOn w:val="Normal"/>
    <w:next w:val="Normal"/>
    <w:link w:val="IntenseQuoteChar"/>
    <w:uiPriority w:val="30"/>
    <w:qFormat/>
    <w:rsid w:val="002C58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897"/>
    <w:rPr>
      <w:i/>
      <w:iCs/>
      <w:color w:val="0F4761" w:themeColor="accent1" w:themeShade="BF"/>
    </w:rPr>
  </w:style>
  <w:style w:type="character" w:styleId="IntenseReference">
    <w:name w:val="Intense Reference"/>
    <w:basedOn w:val="DefaultParagraphFont"/>
    <w:uiPriority w:val="32"/>
    <w:qFormat/>
    <w:rsid w:val="002C5897"/>
    <w:rPr>
      <w:b/>
      <w:bCs/>
      <w:smallCaps/>
      <w:color w:val="0F4761" w:themeColor="accent1" w:themeShade="BF"/>
      <w:spacing w:val="5"/>
    </w:rPr>
  </w:style>
  <w:style w:type="table" w:styleId="TableGrid">
    <w:name w:val="Table Grid"/>
    <w:basedOn w:val="TableNormal"/>
    <w:uiPriority w:val="39"/>
    <w:rsid w:val="003801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2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7A3"/>
  </w:style>
  <w:style w:type="paragraph" w:styleId="Footer">
    <w:name w:val="footer"/>
    <w:basedOn w:val="Normal"/>
    <w:link w:val="FooterChar"/>
    <w:uiPriority w:val="99"/>
    <w:unhideWhenUsed/>
    <w:rsid w:val="00992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7A3"/>
  </w:style>
  <w:style w:type="character" w:styleId="Hyperlink">
    <w:name w:val="Hyperlink"/>
    <w:basedOn w:val="DefaultParagraphFont"/>
    <w:uiPriority w:val="99"/>
    <w:unhideWhenUsed/>
    <w:rsid w:val="009927A3"/>
    <w:rPr>
      <w:color w:val="467886" w:themeColor="hyperlink"/>
      <w:u w:val="single"/>
    </w:rPr>
  </w:style>
  <w:style w:type="character" w:styleId="UnresolvedMention">
    <w:name w:val="Unresolved Mention"/>
    <w:basedOn w:val="DefaultParagraphFont"/>
    <w:uiPriority w:val="99"/>
    <w:semiHidden/>
    <w:unhideWhenUsed/>
    <w:rsid w:val="009927A3"/>
    <w:rPr>
      <w:color w:val="605E5C"/>
      <w:shd w:val="clear" w:color="auto" w:fill="E1DFDD"/>
    </w:rPr>
  </w:style>
  <w:style w:type="paragraph" w:styleId="NoSpacing">
    <w:name w:val="No Spacing"/>
    <w:link w:val="NoSpacingChar"/>
    <w:uiPriority w:val="1"/>
    <w:qFormat/>
    <w:rsid w:val="00776DA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76DA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21/pdps.2024.52.1.18"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93/geront/1.1.8" TargetMode="External"/><Relationship Id="rId5" Type="http://schemas.openxmlformats.org/officeDocument/2006/relationships/webSettings" Target="webSettings.xml"/><Relationship Id="rId10" Type="http://schemas.openxmlformats.org/officeDocument/2006/relationships/hyperlink" Target="https://doi.org/10.1521/pdps.2024.52.1.18" TargetMode="External"/><Relationship Id="rId4" Type="http://schemas.openxmlformats.org/officeDocument/2006/relationships/settings" Target="settings.xml"/><Relationship Id="rId9" Type="http://schemas.openxmlformats.org/officeDocument/2006/relationships/hyperlink" Target="https://psycnet.apa.org/doi/10.1093/geront/1.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302026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1</Pages>
  <Words>1512</Words>
  <Characters>8625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LCHS4010</dc:subject>
  <dc:creator>Majawa Shaun,</dc:creator>
  <cp:keywords/>
  <dc:description/>
  <cp:lastModifiedBy>Madalitso Majawa (2432520)</cp:lastModifiedBy>
  <cp:revision>3</cp:revision>
  <dcterms:created xsi:type="dcterms:W3CDTF">2026-03-22T18:47:00Z</dcterms:created>
  <dcterms:modified xsi:type="dcterms:W3CDTF">2026-03-23T21:57:00Z</dcterms:modified>
</cp:coreProperties>
</file>