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02A43" w:rsidRDefault="00202A43" w:rsidP="00202A43">
      <w:pPr>
        <w:spacing w:line="256" w:lineRule="auto"/>
        <w:jc w:val="left"/>
      </w:pPr>
      <w:r>
        <w:rPr>
          <w:noProof/>
          <w:lang w:eastAsia="en-GB"/>
        </w:rPr>
        <w:drawing>
          <wp:inline distT="0" distB="0" distL="0" distR="0" wp14:anchorId="087FA624" wp14:editId="241562F6">
            <wp:extent cx="1648460" cy="616585"/>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648460" cy="616585"/>
                    </a:xfrm>
                    <a:prstGeom prst="rect">
                      <a:avLst/>
                    </a:prstGeom>
                    <a:noFill/>
                    <a:ln>
                      <a:noFill/>
                    </a:ln>
                  </pic:spPr>
                </pic:pic>
              </a:graphicData>
            </a:graphic>
          </wp:inline>
        </w:drawing>
      </w:r>
    </w:p>
    <w:p w:rsidR="00202A43" w:rsidRDefault="00202A43" w:rsidP="00202A43">
      <w:pPr>
        <w:jc w:val="center"/>
        <w:rPr>
          <w:sz w:val="40"/>
          <w:szCs w:val="40"/>
        </w:rPr>
      </w:pPr>
    </w:p>
    <w:p w:rsidR="00202A43" w:rsidRDefault="00202A43" w:rsidP="00202A43">
      <w:pPr>
        <w:jc w:val="center"/>
        <w:rPr>
          <w:sz w:val="40"/>
          <w:szCs w:val="40"/>
        </w:rPr>
      </w:pPr>
    </w:p>
    <w:p w:rsidR="00202A43" w:rsidRDefault="00202A43" w:rsidP="00202A43">
      <w:pPr>
        <w:jc w:val="center"/>
        <w:rPr>
          <w:sz w:val="40"/>
          <w:szCs w:val="40"/>
        </w:rPr>
      </w:pPr>
    </w:p>
    <w:p w:rsidR="00202A43" w:rsidRDefault="00202A43" w:rsidP="00202A43">
      <w:pPr>
        <w:jc w:val="center"/>
        <w:rPr>
          <w:sz w:val="40"/>
          <w:szCs w:val="40"/>
        </w:rPr>
      </w:pPr>
      <w:r>
        <w:rPr>
          <w:sz w:val="40"/>
          <w:szCs w:val="40"/>
        </w:rPr>
        <w:t>BA International Hotel Management</w:t>
      </w:r>
    </w:p>
    <w:p w:rsidR="00202A43" w:rsidRDefault="00202A43" w:rsidP="00202A43">
      <w:pPr>
        <w:jc w:val="center"/>
        <w:rPr>
          <w:b/>
          <w:sz w:val="36"/>
          <w:szCs w:val="36"/>
        </w:rPr>
      </w:pPr>
      <w:r>
        <w:rPr>
          <w:sz w:val="36"/>
          <w:szCs w:val="36"/>
        </w:rPr>
        <w:t>Module title: Entrepreneurship BHIH5001</w:t>
      </w:r>
    </w:p>
    <w:p w:rsidR="00202A43" w:rsidRDefault="00202A43" w:rsidP="00202A43">
      <w:pPr>
        <w:jc w:val="center"/>
        <w:rPr>
          <w:rFonts w:cs="Times New Roman"/>
          <w:color w:val="000000" w:themeColor="text1"/>
          <w:sz w:val="32"/>
          <w:szCs w:val="32"/>
          <w:shd w:val="clear" w:color="auto" w:fill="FFFFFF"/>
        </w:rPr>
      </w:pPr>
      <w:r>
        <w:rPr>
          <w:rFonts w:cs="Times New Roman"/>
          <w:b/>
          <w:color w:val="000000" w:themeColor="text1"/>
          <w:sz w:val="32"/>
          <w:szCs w:val="32"/>
        </w:rPr>
        <w:t>Student Name: Saiyful Alam Chowdhury</w:t>
      </w:r>
    </w:p>
    <w:p w:rsidR="00202A43" w:rsidRDefault="00202A43" w:rsidP="00202A43">
      <w:pPr>
        <w:jc w:val="center"/>
        <w:rPr>
          <w:rFonts w:cs="Times New Roman"/>
          <w:b/>
          <w:color w:val="000000" w:themeColor="text1"/>
          <w:sz w:val="32"/>
          <w:szCs w:val="32"/>
        </w:rPr>
      </w:pPr>
      <w:r>
        <w:rPr>
          <w:rFonts w:cs="Times New Roman"/>
          <w:b/>
          <w:bCs/>
          <w:color w:val="000000" w:themeColor="text1"/>
          <w:sz w:val="32"/>
          <w:szCs w:val="32"/>
          <w:shd w:val="clear" w:color="auto" w:fill="FFFFFF"/>
        </w:rPr>
        <w:t>Student ID</w:t>
      </w:r>
      <w:r>
        <w:rPr>
          <w:rFonts w:cs="Times New Roman"/>
          <w:color w:val="000000" w:themeColor="text1"/>
          <w:sz w:val="32"/>
          <w:szCs w:val="32"/>
          <w:shd w:val="clear" w:color="auto" w:fill="FFFFFF"/>
        </w:rPr>
        <w:t>: 2132062</w:t>
      </w:r>
    </w:p>
    <w:p w:rsidR="00202A43" w:rsidRDefault="00202A43" w:rsidP="00202A43">
      <w:pPr>
        <w:jc w:val="center"/>
        <w:rPr>
          <w:rFonts w:cs="Times New Roman"/>
          <w:b/>
          <w:color w:val="000000" w:themeColor="text1"/>
          <w:sz w:val="32"/>
          <w:szCs w:val="32"/>
        </w:rPr>
      </w:pPr>
      <w:r>
        <w:rPr>
          <w:rFonts w:cs="Times New Roman"/>
          <w:b/>
          <w:color w:val="000000" w:themeColor="text1"/>
          <w:sz w:val="32"/>
          <w:szCs w:val="32"/>
        </w:rPr>
        <w:t xml:space="preserve">Lecturers name: </w:t>
      </w:r>
      <w:r>
        <w:rPr>
          <w:rFonts w:cs="Times New Roman"/>
          <w:color w:val="000000" w:themeColor="text1"/>
          <w:sz w:val="32"/>
          <w:szCs w:val="32"/>
        </w:rPr>
        <w:t>Chris Wilkin</w:t>
      </w:r>
    </w:p>
    <w:p w:rsidR="00202A43" w:rsidRDefault="00202A43" w:rsidP="00202A43"/>
    <w:p w:rsidR="00202A43" w:rsidRDefault="00202A43" w:rsidP="00202A43"/>
    <w:p w:rsidR="00202A43" w:rsidRDefault="00202A43" w:rsidP="00202A43"/>
    <w:p w:rsidR="00202A43" w:rsidRDefault="00202A43" w:rsidP="00202A43"/>
    <w:p w:rsidR="00202A43" w:rsidRDefault="00202A43" w:rsidP="00202A43"/>
    <w:p w:rsidR="00202A43" w:rsidRDefault="00202A43" w:rsidP="00202A43"/>
    <w:p w:rsidR="00202A43" w:rsidRDefault="00202A43" w:rsidP="00202A43"/>
    <w:p w:rsidR="00202A43" w:rsidRDefault="00202A43" w:rsidP="00202A43"/>
    <w:p w:rsidR="00202A43" w:rsidRDefault="00202A43" w:rsidP="00202A43"/>
    <w:p w:rsidR="00202A43" w:rsidRDefault="00202A43" w:rsidP="00202A43">
      <w:pPr>
        <w:spacing w:line="256" w:lineRule="auto"/>
        <w:jc w:val="left"/>
        <w:rPr>
          <w:b/>
        </w:rPr>
      </w:pPr>
      <w:r>
        <w:rPr>
          <w:b/>
        </w:rPr>
        <w:br w:type="page"/>
      </w:r>
    </w:p>
    <w:p w:rsidR="00202A43" w:rsidRDefault="00202A43" w:rsidP="00202A43">
      <w:pPr>
        <w:rPr>
          <w:b/>
        </w:rPr>
      </w:pPr>
      <w:r>
        <w:rPr>
          <w:b/>
        </w:rPr>
        <w:lastRenderedPageBreak/>
        <w:t>Part-1: Essay</w:t>
      </w:r>
    </w:p>
    <w:p w:rsidR="00202A43" w:rsidRDefault="00202A43" w:rsidP="00202A43">
      <w:r>
        <w:t>The cozy nicely touches the heart and informs the soul because it nestles in the colourful fabric of our neighbourhood. Imagine an intimate setting that features a blend of the smell of freshly ground coffee with the aroma of the freshest and finest seasonal local ingredients available. Every of the dish, in this, is a storytelling - a story of the land, farmers, and the craft that cultivate it. "The Nook" is not only a place to eat, it is a haven; a haven, where friends meet, families unite, and strangers blend with "our curtainment".</w:t>
      </w:r>
      <w:r>
        <w:br/>
        <w:t>At "The Nook," our ethos is simple yet profound: to align the offered dining space with the goal of more than providing a subsidence. For us, food isn't only about satisfying the physical hunger. It is also about the non-material needs of the body — to be full not only of food, but also of soul. This is the reason for a very accurate menu, being cooked of the best that we have to offer, such as farm fresh products and artisanal cheeses, even homemade delicacies (</w:t>
      </w:r>
      <w:r>
        <w:rPr>
          <w:rFonts w:eastAsia="Times New Roman"/>
        </w:rPr>
        <w:t>Arnesen, 2018)</w:t>
      </w:r>
      <w:r>
        <w:t>. Every dish we serve signifies our passion to excellence on the plate with undiluted flavours that also pay our tributes to the environment sustainability.</w:t>
      </w:r>
    </w:p>
    <w:p w:rsidR="00202A43" w:rsidRDefault="00202A43" w:rsidP="00202A43">
      <w:r>
        <w:t>However, "The Nook", indeed, is much more than a place for a meal. It's a place where cordiality and conviviality are embodied, where words can flow abundantly and will last a lifetime (Lehtinen, 2012). We have basically created a space that can accommodate all our guests who want to hang out after a leisurely brunch with friends, while other couples can enjoy a Romantic dinner for two or those who are looking to have fun can attend the community events that we organize and all will find a warm welcome and a comfy table.</w:t>
      </w:r>
    </w:p>
    <w:p w:rsidR="00202A43" w:rsidRDefault="00202A43" w:rsidP="00202A43">
      <w:r>
        <w:t>"The Nook’s” success can be attributed to several intertwined principles such as sustainability, community engagement, and technological innovation which are firmly built into its core foundation (</w:t>
      </w:r>
      <w:r>
        <w:rPr>
          <w:rFonts w:eastAsia="Times New Roman"/>
        </w:rPr>
        <w:t>Rodgers, 2008).</w:t>
      </w:r>
      <w:r>
        <w:t xml:space="preserve"> We realize that our prosperity and our destiny are guided by the wholeness and vigour of the surrounding ecosystem and that is the reasoning why we do not hesitate in collaborating with nearby farmers and producers. Besides local sourcing, we make sure that our dishes are always fresh and full of the best ingredients and provide support to our community and cut down our own footprint. To be environmentally responsible in every aspect we apply eco-friendly packaging, energy-efficient appliances, as well as other measures of our impact on </w:t>
      </w:r>
      <w:r>
        <w:lastRenderedPageBreak/>
        <w:t>environment. Low and behold, we will promote reduction of food wastage by menu planning and composting ideas, which will end up being nonsense to every morsel that walks thru our kitchen. Our events give the residents a chance to experience their ever-young community's arts, culture and specialty foods.</w:t>
      </w:r>
    </w:p>
    <w:p w:rsidR="00202A43" w:rsidRDefault="00202A43" w:rsidP="00202A43">
      <w:r>
        <w:t>"The Nook" establishes direct links with the nearby farms and food suppliers. This way they have supply chain that is both lasting and strengthening the local economy. Among the things this collaboration serves, it ensures access to the freshest ingredients having the most flavourful taste that is most important in the quality of the dishes served (</w:t>
      </w:r>
      <w:r>
        <w:rPr>
          <w:rFonts w:eastAsia="Times New Roman"/>
        </w:rPr>
        <w:t>Goryushkina et al., 2019).</w:t>
      </w:r>
      <w:r>
        <w:t xml:space="preserve"> Partnership with local artists aims not just in beautifying the area but also creating a sense of belonging to the community, which helps to make the restaurant a site for cultural events. Such agencies which are essential to creating a distinct and versatile personality for “The Nook” in just one click, expanding its outreach and overall engagement with the target market through tailored campaigns, thus bringing new customers and a larger digital impression.</w:t>
      </w:r>
    </w:p>
    <w:p w:rsidR="00202A43" w:rsidRDefault="00202A43" w:rsidP="00202A43">
      <w:r>
        <w:t xml:space="preserve">At the heart of "The Nook's" operations are its key activities: local sourcing, menu curation, event hosting, and social media management. Sourcing ingredients locally does not just indicate the restaurant's focus on freshness but also on sustainability whilst the rotation of the menus according to seasonality is aimed at putting the skills of the culinary team at display (Abubakar, 2016). </w:t>
      </w:r>
    </w:p>
    <w:p w:rsidR="00202A43" w:rsidRDefault="00202A43" w:rsidP="00202A43">
      <w:r>
        <w:t xml:space="preserve">The backbone of "The Nook" lies in its key resources: the people and affected state and digital means. Privately owned eateries are the pillars of our hospitality industry, whose skilled chefs and attentive service team set the stage for repeat customers' entrance by their mouth-watering meals. Cooking place that has the latest facilities and equipment ensures that the menu is always aligned with nature and dining hall in such a way that guests will always come back for another delicacy. The online booking system is an essential digital asset that simplifies the process of reserving tables and helps make monitoring tables more efficient. "Nook" has a all-rounded unique value proposition such as fresh ingredients, gourmet recipes, and adding value to the community will attract people seeking a quality dining experience and those who desire more from life. When it comes to fresh ingredients, we do not compromise and therefore, the prime value of our offer is our unshakable principle to provide local sourcing products only (Wijaya et al., 2013). We keep close ties with close and local </w:t>
      </w:r>
      <w:r>
        <w:lastRenderedPageBreak/>
        <w:t>farmers and producers to make sure that every dish that lands on our menu represents the best that the season has to offer and how to use it smartly. The fondness of freshness we aim at not only gives a lift to the flavour intensity but also helps in the development of small businesses while at the same time reducing the food mileage and reduction of the environmental footprint (Filimonau &amp; Delysia, 2019).</w:t>
      </w:r>
    </w:p>
    <w:p w:rsidR="00202A43" w:rsidRDefault="00202A43" w:rsidP="00202A43">
      <w:r>
        <w:t>To be a success, "The Nook" must positively focus its efforts on establishing and maintaining lasting relationships with repeat customers. The main contributor to this is that our service is more of a personalised one that not only focuses on the transactions. Not only regulars are recognised, but the dining experience is also tailored to the customer’s personal tastes. Furthermore, customers are welcomed into the community through special events like art exhibitions or live music concerts (Chathoth &amp; Olsen, 2003). Moreover, "The Nook" will maintain a strong presence across social media and interact with customers here (Kim, Ng, &amp; Kim, 2009).</w:t>
      </w:r>
    </w:p>
    <w:p w:rsidR="00202A43" w:rsidRDefault="00202A43" w:rsidP="00202A43">
      <w:r>
        <w:t>"The Nook" recognizes the fact that its customers are quite heterogeneous, hence its multiple channel to segment approach. Bricks-and-mortar restaurant is the earliest gallery which has long been providing the warm and comfortable environment for indulging the dining. An online booking site with user-friendly platform provides convenience for customers who make reservations easily and do this at their own comfort level  (Piazzi, 2013). Social media channels act as the common grounds for engagement, news updates and linkages, civilians coming together to ride on the current local food culture and take pictures of the food they eat in their phones, hence introducing "The Nook" to a wider audience, attracting more food lovers to join the community around the restaurant (Grouching et al., 2019).</w:t>
      </w:r>
    </w:p>
    <w:p w:rsidR="00202A43" w:rsidRDefault="00202A43" w:rsidP="00202A43">
      <w:r>
        <w:t>“The Nook”, in particular, addresses the issues of three major customer segments. To start up, the local residents in search for high quality dining out become the most sought after customers, stimulated by the restaurant's giving emphasis to freshness and origin (</w:t>
      </w:r>
      <w:r>
        <w:rPr>
          <w:rFonts w:eastAsia="Times New Roman"/>
        </w:rPr>
        <w:t>Shen, 2014).</w:t>
      </w:r>
      <w:r>
        <w:t xml:space="preserve"> Next in the food fans who prioritize the gastronomic talent and seasonality that is a I feature of " The Nook" is the main market segment. Whereas community members frequently search for such venues to have some diner and short talk there search ends at "The Nook," the venue that plays the role of the community hub (Sigala, 2005).</w:t>
      </w:r>
    </w:p>
    <w:p w:rsidR="00202A43" w:rsidRDefault="00202A43" w:rsidP="00202A43">
      <w:r>
        <w:lastRenderedPageBreak/>
        <w:t>"The nook building" incurs both initial and operational costs commanding the expense management. Run initially start cost is big, including many capital expense such as rental improvement and kitchen stuff, building better base for the entire operations (</w:t>
      </w:r>
      <w:r>
        <w:rPr>
          <w:rFonts w:eastAsia="Times New Roman"/>
        </w:rPr>
        <w:t>Asabere and Doku, 2013).</w:t>
      </w:r>
      <w:r>
        <w:t xml:space="preserve"> Continually cost of operation is in strengthening control which musical ingredients are purchased from local suppliers, staff salaries, utilities, and targeted marketing efforts are the biggest part of monetary expenses (Filimonau &amp; Delysia, 2019). </w:t>
      </w:r>
    </w:p>
    <w:p w:rsidR="00202A43" w:rsidRDefault="00202A43" w:rsidP="00202A43">
      <w:r>
        <w:t>Diversification should be at the core of “The Nook” revenue, covering dining, event facility and merchandise sales (</w:t>
      </w:r>
      <w:r>
        <w:rPr>
          <w:rFonts w:eastAsia="Times New Roman"/>
        </w:rPr>
        <w:t xml:space="preserve">Girotto et al., </w:t>
      </w:r>
      <w:r>
        <w:t>. A dinner event that also takes reservation from the community which is part of the income from the sale dining out. This is then complemented by hosting various events and activities such as art exhibitions and produce tasting that aim to enhance community engagement (Grande &amp; Camprubi, 2022). The sale of branded eco-friendly utensils and other branded merchandise also promotes another revenue stream (Ivkov et al., 2016).</w:t>
      </w:r>
    </w:p>
    <w:p w:rsidR="00202A43" w:rsidRDefault="00202A43" w:rsidP="00202A43">
      <w:r>
        <w:t>Food hygiene and safety certification will get primary attention and all our food-handling staff would be made to take appropriate food hygiene certifications. Our Nook will fall under the inspection of the local authority’s Environmental Health Office, and eventually ascertain a Food Safety Hygiene rating. This is our way of making sure our service maintains high sanitary conditions (Muller, 2016). Safety and security regulations will be followed to bring the same into compliance with the responsibilities of the specified laws and regulations in order to create a safe environment for the customers and the employees (Masocha, 2019). All employees would be given clearly written employment contracts which comply with British employment laws including the minimum wages set by the National Living Wage. A public liability insurance will be purchased and obtain from the authority that the business will be protected from any legal claim and a Fire Safety Certificate (Delannon, Raufflet, &amp; Baba, 2016).</w:t>
      </w:r>
    </w:p>
    <w:p w:rsidR="00202A43" w:rsidRDefault="00202A43" w:rsidP="00202A43">
      <w:r>
        <w:t xml:space="preserve">“The Nook” is all set to furnish the Eco-friendly and innovative atmosphere that our target customers would look for in their dining experience. Through intensive use of indigenous foods, online menus, and a variety of community involvement, we are the ideal candidate to create a distinctive identity in a saturated restaurant sector. We prioritize consistently high-quality, sustainable, and exemplary service that recognizes the uniqueness of every customer that keeps "The Nook" as the "favorite place" or </w:t>
      </w:r>
      <w:r>
        <w:lastRenderedPageBreak/>
        <w:t>"well-loved spot" for people around here. As part of our crew, we've been ready to make this happen, to deliver to you delicious, healthy and at the same time community-focused food.</w:t>
      </w:r>
    </w:p>
    <w:p w:rsidR="00202A43" w:rsidRDefault="00202A43" w:rsidP="00202A43">
      <w:pPr>
        <w:pStyle w:val="NormalWeb"/>
      </w:pPr>
    </w:p>
    <w:p w:rsidR="00202A43" w:rsidRDefault="00202A43" w:rsidP="00202A43">
      <w:pPr>
        <w:pStyle w:val="NormalWeb"/>
      </w:pPr>
    </w:p>
    <w:p w:rsidR="00202A43" w:rsidRDefault="00202A43" w:rsidP="00202A43">
      <w:pPr>
        <w:rPr>
          <w:b/>
        </w:rPr>
      </w:pPr>
    </w:p>
    <w:p w:rsidR="00202A43" w:rsidRDefault="00202A43" w:rsidP="00202A43">
      <w:pPr>
        <w:spacing w:line="256" w:lineRule="auto"/>
        <w:jc w:val="left"/>
        <w:rPr>
          <w:b/>
        </w:rPr>
      </w:pPr>
      <w:r>
        <w:rPr>
          <w:b/>
        </w:rPr>
        <w:br w:type="page"/>
      </w:r>
    </w:p>
    <w:p w:rsidR="00202A43" w:rsidRDefault="00202A43" w:rsidP="00202A43">
      <w:pPr>
        <w:rPr>
          <w:b/>
        </w:rPr>
      </w:pPr>
      <w:r>
        <w:rPr>
          <w:b/>
        </w:rPr>
        <w:lastRenderedPageBreak/>
        <w:t>Part-2: Reflection</w:t>
      </w:r>
    </w:p>
    <w:p w:rsidR="00202A43" w:rsidRDefault="00202A43" w:rsidP="00202A43">
      <w:r>
        <w:t>Upon reviewing my GET2 test results, I embark on a contemplative journey, examining the nuances of my enterprising nature. The outcome, demarcated as "Occasionally Enterprising" with a precise score of 57%, imparts a multifaceted insight into my entrepreneurial capacities and inclinations. This reflection is an intimate discourse with myself, an exploration of what these results signify about my path ahead. Here i use Gibb's reflective cycle model to reflect my own experiences, strengths and shortcomings.</w:t>
      </w:r>
    </w:p>
    <w:p w:rsidR="00202A43" w:rsidRDefault="00202A43" w:rsidP="00202A43">
      <w:r>
        <w:t>GET2 test reveals 'I am the occasional Enterpriser' as I have a score of 57% which can be taken as a hint that I inherit many entrepreneurial talents but those may not be displayed at every instance. While at the same time this test result (Are you an entrepreneur?) which is the total score of 39, puts me in the category of those two kinds of people that can have my own business, but sometimes I may be too cautious.</w:t>
      </w:r>
    </w:p>
    <w:p w:rsidR="00202A43" w:rsidRDefault="00202A43" w:rsidP="00202A43">
      <w:pPr>
        <w:rPr>
          <w:b/>
          <w:bCs/>
        </w:rPr>
      </w:pPr>
      <w:r>
        <w:t>Feeling process gives a certain chance to measure and the way how I look at myself but also an underlying thought about overcoming the yet to be passed thresholds. For the entrepreneurial journey is about self-rediscovery as well as business management; it happens so that the outcomes turn into the catalyst of self-reflection and remind people that they should not take this way for granted (</w:t>
      </w:r>
      <w:r>
        <w:rPr>
          <w:rFonts w:eastAsia="Times New Roman"/>
        </w:rPr>
        <w:t>Muller, 2016)</w:t>
      </w:r>
      <w:r>
        <w:t>. Engagement sincerely with those my personality competences and then at the same time, self-awareness step in to remind me about those debited marks (</w:t>
      </w:r>
      <w:r>
        <w:rPr>
          <w:rFonts w:eastAsia="Times New Roman"/>
        </w:rPr>
        <w:t>Girotto et al., 2015).</w:t>
      </w:r>
    </w:p>
    <w:p w:rsidR="00202A43" w:rsidRDefault="00202A43" w:rsidP="00202A43">
      <w:r>
        <w:t>While both evaluations reflect the highs and lows of my abilities and inclinations that are to be elements of an entrepreneur, the good ones though are the confidence for success and creativity that the self-evaluation opportunities give. While the result has those meanings of independence and logical risks, I must also acknowledge those hidden side of meaning that I can use to move my origin - enterprising tendency which is just a habit to be enhanced into consistent and continuous entrepreneur action.</w:t>
      </w:r>
    </w:p>
    <w:p w:rsidR="00202A43" w:rsidRDefault="00202A43" w:rsidP="00202A43">
      <w:r>
        <w:t>Moderate scores which I scored indicate my concern towards balanced approach while venturing into the entrepreneurship world. While I do feel encouraged by my creative ability and what I have achieved as well as I accept the fact that (I may) lack the drive to take risks as well as I might have done in setting up a business venture. It appears as if this my route is comprised of indecision by deciding the middle way or better putting pragmatism in place with creativity.</w:t>
      </w:r>
    </w:p>
    <w:p w:rsidR="00202A43" w:rsidRDefault="00202A43" w:rsidP="00202A43">
      <w:r>
        <w:lastRenderedPageBreak/>
        <w:t>On my Action Plan. To harness my entrepreneurial spirit, I resolve to seek opportunities that challenge my comfort zones. I plan to embrace projects that demand innovative thinking and offer a degree of risk that can lead to substantial learning and growth. By setting incremental goals that expand my autonomy and decision-making, I will cultivate a more pronounced entrepreneurial identity.</w:t>
      </w:r>
    </w:p>
    <w:p w:rsidR="00202A43" w:rsidRDefault="00202A43" w:rsidP="00202A43">
      <w:r>
        <w:t>My focus now shifts to a proactive enhancement of my entrepreneurial traits. I will engage in continuous learning, seek mentors who exemplify the autonomy I strive for, and immerse myself in environments that foster creativity. Through this, I will evolve not just in my entrepreneurial endeavors but also in my personal development, embodying the enterprising potential that my GET2 test results have illuminated.</w:t>
      </w:r>
    </w:p>
    <w:p w:rsidR="00202A43" w:rsidRDefault="00202A43" w:rsidP="00202A43">
      <w:pPr>
        <w:pStyle w:val="NormalWeb"/>
      </w:pPr>
    </w:p>
    <w:p w:rsidR="00202A43" w:rsidRDefault="00202A43" w:rsidP="00202A43"/>
    <w:p w:rsidR="00202A43" w:rsidRDefault="00202A43" w:rsidP="00202A43"/>
    <w:p w:rsidR="00202A43" w:rsidRDefault="00202A43" w:rsidP="00202A43"/>
    <w:p w:rsidR="00202A43" w:rsidRDefault="00202A43" w:rsidP="00202A43"/>
    <w:p w:rsidR="00202A43" w:rsidRDefault="00202A43" w:rsidP="00202A43"/>
    <w:p w:rsidR="00202A43" w:rsidRDefault="00202A43" w:rsidP="00202A43"/>
    <w:p w:rsidR="00202A43" w:rsidRDefault="00202A43" w:rsidP="00202A43"/>
    <w:p w:rsidR="00202A43" w:rsidRDefault="00202A43" w:rsidP="00202A43"/>
    <w:p w:rsidR="00202A43" w:rsidRDefault="00202A43" w:rsidP="00202A43"/>
    <w:p w:rsidR="00202A43" w:rsidRDefault="00202A43" w:rsidP="00202A43"/>
    <w:p w:rsidR="00202A43" w:rsidRDefault="00202A43" w:rsidP="00202A43"/>
    <w:p w:rsidR="00202A43" w:rsidRDefault="00202A43" w:rsidP="00202A43">
      <w:pPr>
        <w:pStyle w:val="Heading1"/>
      </w:pPr>
      <w:r>
        <w:t xml:space="preserve">Reference </w:t>
      </w:r>
    </w:p>
    <w:p w:rsidR="00202A43" w:rsidRDefault="00202A43" w:rsidP="00202A43">
      <w:pPr>
        <w:rPr>
          <w:rFonts w:eastAsia="Times New Roman"/>
          <w:szCs w:val="24"/>
        </w:rPr>
      </w:pPr>
      <w:r>
        <w:rPr>
          <w:rFonts w:eastAsia="Times New Roman"/>
        </w:rPr>
        <w:t xml:space="preserve">Abubakar, S., (2016). </w:t>
      </w:r>
      <w:r>
        <w:rPr>
          <w:rFonts w:eastAsia="Times New Roman"/>
          <w:i/>
          <w:iCs/>
        </w:rPr>
        <w:t>Eco-Friendly Packaging in Restaurants in Accra-Application, Attitudes and Challenges</w:t>
      </w:r>
      <w:r>
        <w:rPr>
          <w:rFonts w:eastAsia="Times New Roman"/>
        </w:rPr>
        <w:t xml:space="preserve"> (Doctoral dissertation).</w:t>
      </w:r>
      <w:r>
        <w:rPr>
          <w:rFonts w:eastAsia="Times New Roman"/>
          <w:szCs w:val="24"/>
        </w:rPr>
        <w:t xml:space="preserve"> Available at: </w:t>
      </w:r>
      <w:hyperlink r:id="rId6" w:history="1">
        <w:r>
          <w:rPr>
            <w:rStyle w:val="Hyperlink"/>
            <w:rFonts w:eastAsia="Times New Roman"/>
            <w:szCs w:val="24"/>
          </w:rPr>
          <w:t>https://ir.knust.edu.gh/handle/123456789/11411</w:t>
        </w:r>
      </w:hyperlink>
      <w:r>
        <w:rPr>
          <w:rFonts w:eastAsia="Times New Roman"/>
          <w:szCs w:val="24"/>
        </w:rPr>
        <w:t>.</w:t>
      </w:r>
    </w:p>
    <w:p w:rsidR="00202A43" w:rsidRDefault="00202A43" w:rsidP="00202A43">
      <w:pPr>
        <w:rPr>
          <w:rFonts w:eastAsia="Times New Roman"/>
          <w:szCs w:val="24"/>
        </w:rPr>
      </w:pPr>
      <w:r>
        <w:rPr>
          <w:rFonts w:eastAsia="Times New Roman"/>
        </w:rPr>
        <w:lastRenderedPageBreak/>
        <w:t xml:space="preserve">Arnesen, E.E., (2018). </w:t>
      </w:r>
      <w:r>
        <w:rPr>
          <w:rFonts w:eastAsia="Times New Roman"/>
          <w:i/>
          <w:iCs/>
        </w:rPr>
        <w:t>Holistic sustainability in the restaurant industry: implications of focusing on the social dimension</w:t>
      </w:r>
      <w:r>
        <w:rPr>
          <w:rFonts w:eastAsia="Times New Roman"/>
        </w:rPr>
        <w:t xml:space="preserve"> (Master's thesis, Norwegian University of Life Sciences, Ås).</w:t>
      </w:r>
      <w:r>
        <w:rPr>
          <w:rFonts w:eastAsia="Times New Roman"/>
          <w:szCs w:val="24"/>
        </w:rPr>
        <w:t xml:space="preserve"> Available at: </w:t>
      </w:r>
      <w:hyperlink r:id="rId7" w:history="1">
        <w:r>
          <w:rPr>
            <w:rStyle w:val="Hyperlink"/>
            <w:rFonts w:eastAsia="Times New Roman"/>
            <w:szCs w:val="24"/>
          </w:rPr>
          <w:t>http://hdl.handle.net/11250/2592925</w:t>
        </w:r>
      </w:hyperlink>
    </w:p>
    <w:p w:rsidR="00202A43" w:rsidRDefault="00202A43" w:rsidP="00202A43">
      <w:pPr>
        <w:rPr>
          <w:rFonts w:eastAsia="Times New Roman"/>
          <w:szCs w:val="24"/>
        </w:rPr>
      </w:pPr>
      <w:r>
        <w:rPr>
          <w:rFonts w:eastAsia="Times New Roman"/>
        </w:rPr>
        <w:t xml:space="preserve">Asabere, N.Y. and Doku, V., (2013). Measuring customer relationship management (CRM) in the hospitality industry of some selected hotels in Accra, Ghana: the role of information and communication technologies (ICTs). </w:t>
      </w:r>
      <w:r>
        <w:rPr>
          <w:rFonts w:eastAsia="Times New Roman"/>
          <w:i/>
          <w:iCs/>
        </w:rPr>
        <w:t>International Journal of Application or Innovation in Engineering &amp; Management (IJAIEM)</w:t>
      </w:r>
      <w:r>
        <w:rPr>
          <w:rFonts w:eastAsia="Times New Roman"/>
        </w:rPr>
        <w:t xml:space="preserve">, </w:t>
      </w:r>
      <w:r>
        <w:rPr>
          <w:rFonts w:eastAsia="Times New Roman"/>
          <w:i/>
          <w:iCs/>
        </w:rPr>
        <w:t>2</w:t>
      </w:r>
      <w:r>
        <w:rPr>
          <w:rFonts w:eastAsia="Times New Roman"/>
        </w:rPr>
        <w:t>(3), pp.19-28.</w:t>
      </w:r>
      <w:r>
        <w:rPr>
          <w:rFonts w:eastAsia="Times New Roman"/>
          <w:szCs w:val="24"/>
        </w:rPr>
        <w:t xml:space="preserve"> </w:t>
      </w:r>
    </w:p>
    <w:p w:rsidR="00202A43" w:rsidRDefault="00202A43" w:rsidP="00202A43">
      <w:pPr>
        <w:rPr>
          <w:rFonts w:eastAsia="Times New Roman"/>
          <w:szCs w:val="24"/>
        </w:rPr>
      </w:pPr>
      <w:r>
        <w:rPr>
          <w:rFonts w:eastAsia="Times New Roman"/>
        </w:rPr>
        <w:t xml:space="preserve">Chathoth, P.K. and Olsen, M.D., (2003). Strategic alliances: a hospitality industry perspective. </w:t>
      </w:r>
      <w:r>
        <w:rPr>
          <w:rFonts w:eastAsia="Times New Roman"/>
          <w:i/>
          <w:iCs/>
        </w:rPr>
        <w:t>International Journal of Hospitality Management</w:t>
      </w:r>
      <w:r>
        <w:rPr>
          <w:rFonts w:eastAsia="Times New Roman"/>
        </w:rPr>
        <w:t xml:space="preserve">, </w:t>
      </w:r>
      <w:r>
        <w:rPr>
          <w:rFonts w:eastAsia="Times New Roman"/>
          <w:i/>
          <w:iCs/>
        </w:rPr>
        <w:t>22</w:t>
      </w:r>
      <w:r>
        <w:rPr>
          <w:rFonts w:eastAsia="Times New Roman"/>
        </w:rPr>
        <w:t>(4), pp.419-434.</w:t>
      </w:r>
      <w:r>
        <w:rPr>
          <w:rFonts w:eastAsia="Times New Roman"/>
          <w:szCs w:val="24"/>
        </w:rPr>
        <w:t xml:space="preserve"> Available at: https://doi.org/10.1016/j.ijhm.2003.07.001</w:t>
      </w:r>
    </w:p>
    <w:p w:rsidR="00202A43" w:rsidRDefault="00202A43" w:rsidP="00202A43">
      <w:pPr>
        <w:rPr>
          <w:rFonts w:eastAsia="Times New Roman"/>
          <w:szCs w:val="24"/>
        </w:rPr>
      </w:pPr>
      <w:r>
        <w:rPr>
          <w:rFonts w:eastAsia="Times New Roman"/>
        </w:rPr>
        <w:t xml:space="preserve">Delannon, N., Raufflet, E. and Baba, S., (2016). Corporate community engagement strategies and organizational arrangements: A multiple case study in Canada. </w:t>
      </w:r>
      <w:r>
        <w:rPr>
          <w:rFonts w:eastAsia="Times New Roman"/>
          <w:i/>
          <w:iCs/>
        </w:rPr>
        <w:t>Journal of Cleaner Production</w:t>
      </w:r>
      <w:r>
        <w:rPr>
          <w:rFonts w:eastAsia="Times New Roman"/>
        </w:rPr>
        <w:t xml:space="preserve">, </w:t>
      </w:r>
      <w:r>
        <w:rPr>
          <w:rFonts w:eastAsia="Times New Roman"/>
          <w:i/>
          <w:iCs/>
        </w:rPr>
        <w:t>129</w:t>
      </w:r>
      <w:r>
        <w:rPr>
          <w:rFonts w:eastAsia="Times New Roman"/>
        </w:rPr>
        <w:t>, pp.714-723.</w:t>
      </w:r>
      <w:r>
        <w:rPr>
          <w:rFonts w:eastAsia="Times New Roman"/>
          <w:szCs w:val="24"/>
        </w:rPr>
        <w:t xml:space="preserve"> Available at: </w:t>
      </w:r>
      <w:hyperlink r:id="rId8" w:history="1">
        <w:r>
          <w:rPr>
            <w:rStyle w:val="Hyperlink"/>
            <w:rFonts w:eastAsia="Times New Roman"/>
            <w:szCs w:val="24"/>
          </w:rPr>
          <w:t>https://doi.org/10.1016/j.jclepro.2016.03.047</w:t>
        </w:r>
      </w:hyperlink>
      <w:r>
        <w:rPr>
          <w:rFonts w:eastAsia="Times New Roman"/>
          <w:szCs w:val="24"/>
        </w:rPr>
        <w:t>.</w:t>
      </w:r>
    </w:p>
    <w:p w:rsidR="00202A43" w:rsidRDefault="00202A43" w:rsidP="00202A43">
      <w:pPr>
        <w:rPr>
          <w:rFonts w:eastAsia="Times New Roman"/>
          <w:szCs w:val="24"/>
        </w:rPr>
      </w:pPr>
      <w:r>
        <w:rPr>
          <w:rFonts w:eastAsia="Times New Roman"/>
        </w:rPr>
        <w:t xml:space="preserve">Filimonau, V. and Delysia, A., (2019). Food waste management in hospitality operations: A critical review. </w:t>
      </w:r>
      <w:r>
        <w:rPr>
          <w:rFonts w:eastAsia="Times New Roman"/>
          <w:i/>
          <w:iCs/>
        </w:rPr>
        <w:t>Tourism management</w:t>
      </w:r>
      <w:r>
        <w:rPr>
          <w:rFonts w:eastAsia="Times New Roman"/>
        </w:rPr>
        <w:t xml:space="preserve">, </w:t>
      </w:r>
      <w:r>
        <w:rPr>
          <w:rFonts w:eastAsia="Times New Roman"/>
          <w:i/>
          <w:iCs/>
        </w:rPr>
        <w:t>71</w:t>
      </w:r>
      <w:r>
        <w:rPr>
          <w:rFonts w:eastAsia="Times New Roman"/>
        </w:rPr>
        <w:t>, pp.234-245.</w:t>
      </w:r>
      <w:r>
        <w:rPr>
          <w:rFonts w:eastAsia="Times New Roman"/>
          <w:szCs w:val="24"/>
        </w:rPr>
        <w:t xml:space="preserve"> Available at: https://doi.org/10.1016/j.tourman.2018.10.009.</w:t>
      </w:r>
    </w:p>
    <w:p w:rsidR="00202A43" w:rsidRDefault="00202A43" w:rsidP="00202A43">
      <w:pPr>
        <w:rPr>
          <w:rFonts w:eastAsia="Times New Roman"/>
        </w:rPr>
      </w:pPr>
      <w:r>
        <w:rPr>
          <w:rFonts w:eastAsia="Times New Roman"/>
        </w:rPr>
        <w:t xml:space="preserve">Goryushkina, N., Voinova, N., Voronkova, O., Sitnov, A., Shichiyakh, R. and Gordeyeva, O., (2019). Theoretical aspects of entrepreneurial education for hospitality industry. </w:t>
      </w:r>
      <w:r>
        <w:rPr>
          <w:rFonts w:eastAsia="Times New Roman"/>
          <w:i/>
          <w:iCs/>
        </w:rPr>
        <w:t>Journal of Environmental Management &amp; Tourism</w:t>
      </w:r>
      <w:r>
        <w:rPr>
          <w:rFonts w:eastAsia="Times New Roman"/>
        </w:rPr>
        <w:t xml:space="preserve">, </w:t>
      </w:r>
      <w:r>
        <w:rPr>
          <w:rFonts w:eastAsia="Times New Roman"/>
          <w:i/>
          <w:iCs/>
        </w:rPr>
        <w:t>10</w:t>
      </w:r>
      <w:r>
        <w:rPr>
          <w:rFonts w:eastAsia="Times New Roman"/>
        </w:rPr>
        <w:t>(4 (36)), pp.835-841.</w:t>
      </w:r>
      <w:r>
        <w:rPr>
          <w:rFonts w:eastAsia="Times New Roman"/>
          <w:szCs w:val="24"/>
        </w:rPr>
        <w:t xml:space="preserve"> Available at: </w:t>
      </w:r>
      <w:r>
        <w:rPr>
          <w:rFonts w:eastAsia="Times New Roman"/>
        </w:rPr>
        <w:t xml:space="preserve">DOI:10.14505/jemt.10.4(36).14. </w:t>
      </w:r>
    </w:p>
    <w:p w:rsidR="00202A43" w:rsidRDefault="00202A43" w:rsidP="00202A43">
      <w:pPr>
        <w:rPr>
          <w:rFonts w:eastAsia="Times New Roman"/>
          <w:szCs w:val="24"/>
        </w:rPr>
      </w:pPr>
      <w:r>
        <w:rPr>
          <w:rFonts w:eastAsia="Times New Roman"/>
        </w:rPr>
        <w:t xml:space="preserve">Girotto, F., Alibardi, L. and Cossu, R., (2015). Food waste generation and industrial uses: A review. </w:t>
      </w:r>
      <w:r>
        <w:rPr>
          <w:rFonts w:eastAsia="Times New Roman"/>
          <w:i/>
          <w:iCs/>
        </w:rPr>
        <w:t>Waste management</w:t>
      </w:r>
      <w:r>
        <w:rPr>
          <w:rFonts w:eastAsia="Times New Roman"/>
        </w:rPr>
        <w:t xml:space="preserve">, </w:t>
      </w:r>
      <w:r>
        <w:rPr>
          <w:rFonts w:eastAsia="Times New Roman"/>
          <w:i/>
          <w:iCs/>
        </w:rPr>
        <w:t>45</w:t>
      </w:r>
      <w:r>
        <w:rPr>
          <w:rFonts w:eastAsia="Times New Roman"/>
        </w:rPr>
        <w:t>, pp.32-41.</w:t>
      </w:r>
      <w:r>
        <w:rPr>
          <w:rFonts w:eastAsia="Times New Roman"/>
          <w:szCs w:val="24"/>
        </w:rPr>
        <w:t xml:space="preserve"> Available at: https://doi.org/10.1016/j.wasman.2015.06.008</w:t>
      </w:r>
    </w:p>
    <w:p w:rsidR="00202A43" w:rsidRDefault="00202A43" w:rsidP="00202A43">
      <w:pPr>
        <w:rPr>
          <w:rFonts w:eastAsia="Times New Roman"/>
        </w:rPr>
      </w:pPr>
      <w:r>
        <w:rPr>
          <w:rFonts w:eastAsia="Times New Roman"/>
        </w:rPr>
        <w:t xml:space="preserve">Grande, K. and Camprubi, R., (2022). Analysing the business model canvas of the camping industry using cluster analysis. </w:t>
      </w:r>
      <w:r>
        <w:rPr>
          <w:rFonts w:eastAsia="Times New Roman"/>
          <w:i/>
          <w:iCs/>
        </w:rPr>
        <w:t>Tourism and Hospitality Research</w:t>
      </w:r>
      <w:r>
        <w:rPr>
          <w:rFonts w:eastAsia="Times New Roman"/>
        </w:rPr>
        <w:t xml:space="preserve">, p.14673584221141301. Available at: </w:t>
      </w:r>
      <w:hyperlink r:id="rId9" w:history="1">
        <w:r>
          <w:rPr>
            <w:rStyle w:val="Hyperlink"/>
            <w:rFonts w:eastAsia="Times New Roman"/>
          </w:rPr>
          <w:t>https://doi.org/10.1177/14673584221141301</w:t>
        </w:r>
      </w:hyperlink>
      <w:r>
        <w:rPr>
          <w:rFonts w:eastAsia="Times New Roman"/>
        </w:rPr>
        <w:t>.</w:t>
      </w:r>
    </w:p>
    <w:p w:rsidR="00202A43" w:rsidRDefault="00202A43" w:rsidP="00202A43">
      <w:pPr>
        <w:rPr>
          <w:rFonts w:eastAsia="Times New Roman"/>
          <w:szCs w:val="24"/>
        </w:rPr>
      </w:pPr>
      <w:r>
        <w:rPr>
          <w:rFonts w:eastAsia="Times New Roman"/>
        </w:rPr>
        <w:t xml:space="preserve">Kim, W.G., Ng, C.Y.N. and Kim, Y.S., (2009). Influence of institutional DINESERV on customer satisfaction, return intention, and word-of-mouth. </w:t>
      </w:r>
      <w:r>
        <w:rPr>
          <w:rFonts w:eastAsia="Times New Roman"/>
          <w:i/>
          <w:iCs/>
        </w:rPr>
        <w:t xml:space="preserve">international journal of </w:t>
      </w:r>
      <w:r>
        <w:rPr>
          <w:rFonts w:eastAsia="Times New Roman"/>
          <w:i/>
          <w:iCs/>
        </w:rPr>
        <w:lastRenderedPageBreak/>
        <w:t>hospitality management</w:t>
      </w:r>
      <w:r>
        <w:rPr>
          <w:rFonts w:eastAsia="Times New Roman"/>
        </w:rPr>
        <w:t xml:space="preserve">, </w:t>
      </w:r>
      <w:r>
        <w:rPr>
          <w:rFonts w:eastAsia="Times New Roman"/>
          <w:i/>
          <w:iCs/>
        </w:rPr>
        <w:t>28</w:t>
      </w:r>
      <w:r>
        <w:rPr>
          <w:rFonts w:eastAsia="Times New Roman"/>
        </w:rPr>
        <w:t>(1), pp.10-17.</w:t>
      </w:r>
      <w:r>
        <w:rPr>
          <w:rFonts w:eastAsia="Times New Roman"/>
          <w:szCs w:val="24"/>
        </w:rPr>
        <w:t xml:space="preserve"> Available at: https://doi.org/10.1016/j.ijhm.2008.03.005</w:t>
      </w:r>
    </w:p>
    <w:p w:rsidR="00202A43" w:rsidRDefault="00202A43" w:rsidP="00202A43">
      <w:pPr>
        <w:rPr>
          <w:rStyle w:val="Hyperlink"/>
        </w:rPr>
      </w:pPr>
      <w:r>
        <w:rPr>
          <w:rFonts w:eastAsia="Times New Roman"/>
        </w:rPr>
        <w:t xml:space="preserve">Lehtinen, U., (2012). Sustainability and local food procurement: a case study of Finnish public catering. </w:t>
      </w:r>
      <w:r>
        <w:rPr>
          <w:rFonts w:eastAsia="Times New Roman"/>
          <w:i/>
          <w:iCs/>
        </w:rPr>
        <w:t>British Food Journal</w:t>
      </w:r>
      <w:r>
        <w:rPr>
          <w:rFonts w:eastAsia="Times New Roman"/>
        </w:rPr>
        <w:t xml:space="preserve">, </w:t>
      </w:r>
      <w:r>
        <w:rPr>
          <w:rFonts w:eastAsia="Times New Roman"/>
          <w:i/>
          <w:iCs/>
        </w:rPr>
        <w:t>114</w:t>
      </w:r>
      <w:r>
        <w:rPr>
          <w:rFonts w:eastAsia="Times New Roman"/>
        </w:rPr>
        <w:t>(8), pp.1053-1071.</w:t>
      </w:r>
      <w:r>
        <w:rPr>
          <w:rFonts w:eastAsia="Times New Roman"/>
          <w:szCs w:val="24"/>
        </w:rPr>
        <w:t xml:space="preserve"> Available at: </w:t>
      </w:r>
      <w:hyperlink r:id="rId10" w:history="1">
        <w:r>
          <w:rPr>
            <w:rStyle w:val="Hyperlink"/>
            <w:rFonts w:eastAsia="Times New Roman"/>
            <w:szCs w:val="24"/>
          </w:rPr>
          <w:t>https://doi.org/10.1108/00070701211252048</w:t>
        </w:r>
      </w:hyperlink>
    </w:p>
    <w:p w:rsidR="00202A43" w:rsidRDefault="00202A43" w:rsidP="00202A43">
      <w:r>
        <w:rPr>
          <w:rFonts w:eastAsia="Times New Roman"/>
        </w:rPr>
        <w:t xml:space="preserve">Ivkov, M., Blešić, I., Simat, K., Demirović, D. and Božić, S., (2016). Innovations in the restaurant industry–an exploratory study. </w:t>
      </w:r>
      <w:r>
        <w:rPr>
          <w:rFonts w:eastAsia="Times New Roman"/>
          <w:i/>
          <w:iCs/>
        </w:rPr>
        <w:t>Economics of Agriculture</w:t>
      </w:r>
      <w:r>
        <w:rPr>
          <w:rFonts w:eastAsia="Times New Roman"/>
        </w:rPr>
        <w:t xml:space="preserve">, </w:t>
      </w:r>
      <w:r>
        <w:rPr>
          <w:rFonts w:eastAsia="Times New Roman"/>
          <w:i/>
          <w:iCs/>
        </w:rPr>
        <w:t>63</w:t>
      </w:r>
      <w:r>
        <w:rPr>
          <w:rFonts w:eastAsia="Times New Roman"/>
        </w:rPr>
        <w:t>(4), pp.1169-1186.</w:t>
      </w:r>
      <w:r>
        <w:rPr>
          <w:rFonts w:eastAsia="Times New Roman"/>
          <w:szCs w:val="24"/>
        </w:rPr>
        <w:t xml:space="preserve"> Available at: </w:t>
      </w:r>
      <w:hyperlink r:id="rId11" w:history="1">
        <w:r>
          <w:rPr>
            <w:rStyle w:val="Hyperlink"/>
            <w:rFonts w:eastAsia="Times New Roman"/>
            <w:szCs w:val="24"/>
          </w:rPr>
          <w:t>https://doi.org/10.5937/ekoPolj1604169I</w:t>
        </w:r>
      </w:hyperlink>
      <w:r>
        <w:rPr>
          <w:rFonts w:eastAsia="Times New Roman"/>
          <w:szCs w:val="24"/>
        </w:rPr>
        <w:t>.</w:t>
      </w:r>
    </w:p>
    <w:p w:rsidR="00202A43" w:rsidRDefault="00202A43" w:rsidP="00202A43">
      <w:pPr>
        <w:rPr>
          <w:rFonts w:eastAsia="Times New Roman"/>
        </w:rPr>
      </w:pPr>
      <w:r>
        <w:rPr>
          <w:rFonts w:eastAsia="Times New Roman"/>
        </w:rPr>
        <w:t xml:space="preserve">Masocha, R., (2019). Social sustainability practices on small businesses in developing economies: A case of South Africa. </w:t>
      </w:r>
      <w:r>
        <w:rPr>
          <w:rFonts w:eastAsia="Times New Roman"/>
          <w:i/>
          <w:iCs/>
        </w:rPr>
        <w:t>Sustainability</w:t>
      </w:r>
      <w:r>
        <w:rPr>
          <w:rFonts w:eastAsia="Times New Roman"/>
        </w:rPr>
        <w:t xml:space="preserve">, </w:t>
      </w:r>
      <w:r>
        <w:rPr>
          <w:rFonts w:eastAsia="Times New Roman"/>
          <w:i/>
          <w:iCs/>
        </w:rPr>
        <w:t>11</w:t>
      </w:r>
      <w:r>
        <w:rPr>
          <w:rFonts w:eastAsia="Times New Roman"/>
        </w:rPr>
        <w:t>(12), p.3257.</w:t>
      </w:r>
      <w:r>
        <w:rPr>
          <w:rFonts w:eastAsia="Times New Roman"/>
          <w:szCs w:val="24"/>
        </w:rPr>
        <w:t xml:space="preserve"> </w:t>
      </w:r>
      <w:r>
        <w:rPr>
          <w:rFonts w:eastAsia="Times New Roman"/>
        </w:rPr>
        <w:t xml:space="preserve">Available at: </w:t>
      </w:r>
      <w:hyperlink r:id="rId12" w:history="1">
        <w:r>
          <w:rPr>
            <w:rStyle w:val="Hyperlink"/>
            <w:rFonts w:eastAsia="Times New Roman"/>
          </w:rPr>
          <w:t>https://doi.org/10.3390/su11123257</w:t>
        </w:r>
      </w:hyperlink>
      <w:r>
        <w:rPr>
          <w:rFonts w:eastAsia="Times New Roman"/>
        </w:rPr>
        <w:t>.</w:t>
      </w:r>
    </w:p>
    <w:p w:rsidR="00202A43" w:rsidRDefault="00202A43" w:rsidP="00202A43">
      <w:pPr>
        <w:rPr>
          <w:rFonts w:eastAsia="Times New Roman"/>
          <w:szCs w:val="24"/>
        </w:rPr>
      </w:pPr>
      <w:r>
        <w:rPr>
          <w:rFonts w:eastAsia="Times New Roman"/>
        </w:rPr>
        <w:t xml:space="preserve">Murray, A. and Johnsen, S., (2011). Community hospitality initiatives:‘Make a cup of tea first, ask questions later’. </w:t>
      </w:r>
      <w:r>
        <w:rPr>
          <w:rFonts w:eastAsia="Times New Roman"/>
          <w:i/>
          <w:iCs/>
        </w:rPr>
        <w:t>Psychodynamic Practice</w:t>
      </w:r>
      <w:r>
        <w:rPr>
          <w:rFonts w:eastAsia="Times New Roman"/>
        </w:rPr>
        <w:t xml:space="preserve">, </w:t>
      </w:r>
      <w:r>
        <w:rPr>
          <w:rFonts w:eastAsia="Times New Roman"/>
          <w:i/>
          <w:iCs/>
        </w:rPr>
        <w:t>17</w:t>
      </w:r>
      <w:r>
        <w:rPr>
          <w:rFonts w:eastAsia="Times New Roman"/>
        </w:rPr>
        <w:t>(3), pp.325-329.</w:t>
      </w:r>
      <w:r>
        <w:rPr>
          <w:rFonts w:eastAsia="Times New Roman"/>
          <w:szCs w:val="24"/>
        </w:rPr>
        <w:t xml:space="preserve"> Available at:</w:t>
      </w:r>
    </w:p>
    <w:p w:rsidR="00202A43" w:rsidRDefault="00202A43" w:rsidP="00202A43">
      <w:pPr>
        <w:rPr>
          <w:rFonts w:eastAsia="Times New Roman"/>
          <w:szCs w:val="24"/>
        </w:rPr>
      </w:pPr>
      <w:r>
        <w:rPr>
          <w:rFonts w:eastAsia="Times New Roman"/>
        </w:rPr>
        <w:t xml:space="preserve">Muller, C.J., (2016). </w:t>
      </w:r>
      <w:r>
        <w:rPr>
          <w:rFonts w:eastAsia="Times New Roman"/>
          <w:i/>
          <w:iCs/>
        </w:rPr>
        <w:t>Digital marketing for small businesses: from zero to online superhero; how an unknown business can become popular overnight</w:t>
      </w:r>
      <w:r>
        <w:rPr>
          <w:rFonts w:eastAsia="Times New Roman"/>
        </w:rPr>
        <w:t xml:space="preserve"> (Bachelor's thesis, University of Twente).</w:t>
      </w:r>
      <w:r>
        <w:rPr>
          <w:rFonts w:eastAsia="Times New Roman"/>
          <w:szCs w:val="24"/>
        </w:rPr>
        <w:t xml:space="preserve"> Available at: https://doi.org/10.1080/14753634.2011.587608</w:t>
      </w:r>
    </w:p>
    <w:p w:rsidR="00202A43" w:rsidRDefault="00202A43" w:rsidP="00202A43">
      <w:pPr>
        <w:rPr>
          <w:rStyle w:val="Hyperlink"/>
        </w:rPr>
      </w:pPr>
      <w:r>
        <w:rPr>
          <w:rFonts w:eastAsia="Times New Roman"/>
        </w:rPr>
        <w:t xml:space="preserve">Piazzi, F., (2013). </w:t>
      </w:r>
      <w:r>
        <w:rPr>
          <w:rFonts w:eastAsia="Times New Roman"/>
          <w:i/>
          <w:iCs/>
        </w:rPr>
        <w:t>Building relationships with the local community: approaches to community engagement at Australian folk festivals</w:t>
      </w:r>
      <w:r>
        <w:rPr>
          <w:rFonts w:eastAsia="Times New Roman"/>
        </w:rPr>
        <w:t xml:space="preserve"> (Doctoral dissertations). Available at: </w:t>
      </w:r>
      <w:hyperlink r:id="rId13" w:history="1">
        <w:r>
          <w:rPr>
            <w:rStyle w:val="Hyperlink"/>
            <w:rFonts w:eastAsia="Times New Roman"/>
          </w:rPr>
          <w:t>http://hdl.handle.net/10453/29228</w:t>
        </w:r>
      </w:hyperlink>
    </w:p>
    <w:p w:rsidR="00202A43" w:rsidRDefault="00202A43" w:rsidP="00202A43">
      <w:pPr>
        <w:rPr>
          <w:rStyle w:val="Hyperlink"/>
          <w:rFonts w:eastAsia="Times New Roman"/>
          <w:szCs w:val="24"/>
        </w:rPr>
      </w:pPr>
      <w:r>
        <w:rPr>
          <w:rFonts w:eastAsia="Times New Roman"/>
        </w:rPr>
        <w:t xml:space="preserve">Rodgers, S., (2008). Technological innovation supporting different food production philosophies in the food service sectors. </w:t>
      </w:r>
      <w:r>
        <w:rPr>
          <w:rFonts w:eastAsia="Times New Roman"/>
          <w:i/>
          <w:iCs/>
        </w:rPr>
        <w:t>International Journal of Contemporary Hospitality Management</w:t>
      </w:r>
      <w:r>
        <w:rPr>
          <w:rFonts w:eastAsia="Times New Roman"/>
        </w:rPr>
        <w:t xml:space="preserve">, </w:t>
      </w:r>
      <w:r>
        <w:rPr>
          <w:rFonts w:eastAsia="Times New Roman"/>
          <w:i/>
          <w:iCs/>
        </w:rPr>
        <w:t>20</w:t>
      </w:r>
      <w:r>
        <w:rPr>
          <w:rFonts w:eastAsia="Times New Roman"/>
        </w:rPr>
        <w:t>(1), pp.19-34.</w:t>
      </w:r>
      <w:r>
        <w:rPr>
          <w:rFonts w:eastAsia="Times New Roman"/>
          <w:szCs w:val="24"/>
        </w:rPr>
        <w:t xml:space="preserve"> Available at: https://doi.org/10.1108/09596110810848541</w:t>
      </w:r>
    </w:p>
    <w:p w:rsidR="00202A43" w:rsidRDefault="00202A43" w:rsidP="00202A43">
      <w:r>
        <w:rPr>
          <w:rFonts w:eastAsia="Times New Roman"/>
        </w:rPr>
        <w:t xml:space="preserve">Shen, B., (2014). Sustainable fashion supply chain: Lessons from H&amp;M. </w:t>
      </w:r>
      <w:r>
        <w:rPr>
          <w:rFonts w:eastAsia="Times New Roman"/>
          <w:i/>
          <w:iCs/>
        </w:rPr>
        <w:t>Sustainability</w:t>
      </w:r>
      <w:r>
        <w:rPr>
          <w:rFonts w:eastAsia="Times New Roman"/>
        </w:rPr>
        <w:t xml:space="preserve">, </w:t>
      </w:r>
      <w:r>
        <w:rPr>
          <w:rFonts w:eastAsia="Times New Roman"/>
          <w:i/>
          <w:iCs/>
        </w:rPr>
        <w:t>6</w:t>
      </w:r>
      <w:r>
        <w:rPr>
          <w:rFonts w:eastAsia="Times New Roman"/>
        </w:rPr>
        <w:t>(9), pp.6236-6249.</w:t>
      </w:r>
      <w:r>
        <w:rPr>
          <w:rFonts w:eastAsia="Times New Roman"/>
          <w:szCs w:val="24"/>
        </w:rPr>
        <w:t xml:space="preserve"> Available at: https://doi.org/10.3390/su6096236</w:t>
      </w:r>
    </w:p>
    <w:p w:rsidR="00202A43" w:rsidRDefault="00202A43" w:rsidP="00202A43">
      <w:pPr>
        <w:rPr>
          <w:rFonts w:eastAsia="Times New Roman"/>
          <w:szCs w:val="24"/>
        </w:rPr>
      </w:pPr>
      <w:r>
        <w:rPr>
          <w:rFonts w:eastAsia="Times New Roman"/>
        </w:rPr>
        <w:t xml:space="preserve">Sigala, M., (2005). Integrating customer relationship management in hotel operations: managerial and operational implications. </w:t>
      </w:r>
      <w:r>
        <w:rPr>
          <w:rFonts w:eastAsia="Times New Roman"/>
          <w:i/>
          <w:iCs/>
        </w:rPr>
        <w:t xml:space="preserve">International Journal of Hospitality </w:t>
      </w:r>
      <w:r>
        <w:rPr>
          <w:rFonts w:eastAsia="Times New Roman"/>
          <w:i/>
          <w:iCs/>
        </w:rPr>
        <w:lastRenderedPageBreak/>
        <w:t>Management</w:t>
      </w:r>
      <w:r>
        <w:rPr>
          <w:rFonts w:eastAsia="Times New Roman"/>
        </w:rPr>
        <w:t xml:space="preserve">, </w:t>
      </w:r>
      <w:r>
        <w:rPr>
          <w:rFonts w:eastAsia="Times New Roman"/>
          <w:i/>
          <w:iCs/>
        </w:rPr>
        <w:t>24</w:t>
      </w:r>
      <w:r>
        <w:rPr>
          <w:rFonts w:eastAsia="Times New Roman"/>
        </w:rPr>
        <w:t>(3), pp.391-413.</w:t>
      </w:r>
      <w:r>
        <w:rPr>
          <w:rFonts w:eastAsia="Times New Roman"/>
          <w:szCs w:val="24"/>
        </w:rPr>
        <w:t xml:space="preserve"> Available at: https://doi.org/10.1016/j.ijhm.2004.08.008.</w:t>
      </w:r>
    </w:p>
    <w:p w:rsidR="00202A43" w:rsidRDefault="00202A43" w:rsidP="00202A43">
      <w:pPr>
        <w:rPr>
          <w:rFonts w:eastAsia="Times New Roman"/>
          <w:szCs w:val="24"/>
        </w:rPr>
      </w:pPr>
      <w:r>
        <w:rPr>
          <w:rFonts w:eastAsia="Times New Roman"/>
        </w:rPr>
        <w:t xml:space="preserve">Wijaya, S., King, B., Nguyen, T.H. and Morrison, A., (2013). International visitor dining experiences: A conceptual framework. </w:t>
      </w:r>
      <w:r>
        <w:rPr>
          <w:rFonts w:eastAsia="Times New Roman"/>
          <w:i/>
          <w:iCs/>
        </w:rPr>
        <w:t>Journal of Hospitality and Tourism Management</w:t>
      </w:r>
      <w:r>
        <w:rPr>
          <w:rFonts w:eastAsia="Times New Roman"/>
        </w:rPr>
        <w:t xml:space="preserve">, </w:t>
      </w:r>
      <w:r>
        <w:rPr>
          <w:rFonts w:eastAsia="Times New Roman"/>
          <w:i/>
          <w:iCs/>
        </w:rPr>
        <w:t>20</w:t>
      </w:r>
      <w:r>
        <w:rPr>
          <w:rFonts w:eastAsia="Times New Roman"/>
        </w:rPr>
        <w:t>, pp.34-42.</w:t>
      </w:r>
      <w:r>
        <w:rPr>
          <w:rFonts w:eastAsia="Times New Roman"/>
          <w:szCs w:val="24"/>
        </w:rPr>
        <w:t xml:space="preserve"> Available at: </w:t>
      </w:r>
      <w:hyperlink r:id="rId14" w:history="1">
        <w:r>
          <w:rPr>
            <w:rStyle w:val="Hyperlink"/>
            <w:rFonts w:eastAsia="Times New Roman"/>
            <w:szCs w:val="24"/>
          </w:rPr>
          <w:t>https://doi.org/10.1016/j.jhtm.2013.07.001</w:t>
        </w:r>
      </w:hyperlink>
      <w:r>
        <w:rPr>
          <w:rFonts w:eastAsia="Times New Roman"/>
          <w:szCs w:val="24"/>
        </w:rPr>
        <w:t>.</w:t>
      </w:r>
    </w:p>
    <w:p w:rsidR="00202A43" w:rsidRDefault="00202A43" w:rsidP="00202A43"/>
    <w:p w:rsidR="00202A43" w:rsidRDefault="00202A43" w:rsidP="00202A43"/>
    <w:p w:rsidR="00202A43" w:rsidRDefault="00202A43" w:rsidP="00202A43"/>
    <w:p w:rsidR="00202A43" w:rsidRDefault="00202A43" w:rsidP="00202A43"/>
    <w:p w:rsidR="00202A43" w:rsidRDefault="00202A43" w:rsidP="00202A43"/>
    <w:p w:rsidR="00202A43" w:rsidRDefault="00202A43" w:rsidP="00202A43"/>
    <w:p w:rsidR="00202A43" w:rsidRDefault="00202A43" w:rsidP="00202A43"/>
    <w:p w:rsidR="00202A43" w:rsidRDefault="00202A43" w:rsidP="00202A43"/>
    <w:p w:rsidR="00202A43" w:rsidRDefault="00202A43" w:rsidP="00202A43">
      <w:pPr>
        <w:pStyle w:val="Heading1"/>
      </w:pPr>
      <w:r>
        <w:t xml:space="preserve">Appendix </w:t>
      </w:r>
    </w:p>
    <w:p w:rsidR="00202A43" w:rsidRDefault="00202A43" w:rsidP="00202A43">
      <w:pPr>
        <w:rPr>
          <w:b/>
          <w:bCs/>
          <w:lang w:val="en-US"/>
        </w:rPr>
      </w:pPr>
      <w:r>
        <w:rPr>
          <w:b/>
          <w:bCs/>
          <w:lang w:val="en-US"/>
        </w:rPr>
        <w:t xml:space="preserve">1. Breakdown of Cost Structure </w:t>
      </w:r>
    </w:p>
    <w:p w:rsidR="00202A43" w:rsidRDefault="00202A43" w:rsidP="00202A43">
      <w:pPr>
        <w:pStyle w:val="NormalWeb"/>
        <w:rPr>
          <w:rFonts w:asciiTheme="minorBidi" w:hAnsiTheme="minorBidi" w:cstheme="minorBidi"/>
        </w:rPr>
      </w:pPr>
      <w:r>
        <w:rPr>
          <w:rFonts w:asciiTheme="minorBidi" w:hAnsiTheme="minorBidi" w:cstheme="minorBidi"/>
        </w:rPr>
        <w:t>Here is a detailed breakdown of "The Nook's" cost structure in table format:</w:t>
      </w:r>
    </w:p>
    <w:tbl>
      <w:tblPr>
        <w:tblStyle w:val="PlainTable1"/>
        <w:tblW w:w="7269" w:type="dxa"/>
        <w:jc w:val="center"/>
        <w:tblInd w:w="0" w:type="dxa"/>
        <w:tblLook w:val="04A0" w:firstRow="1" w:lastRow="0" w:firstColumn="1" w:lastColumn="0" w:noHBand="0" w:noVBand="1"/>
      </w:tblPr>
      <w:tblGrid>
        <w:gridCol w:w="3938"/>
        <w:gridCol w:w="3331"/>
      </w:tblGrid>
      <w:tr w:rsidR="00202A43" w:rsidTr="00DC6ED6">
        <w:trPr>
          <w:cnfStyle w:val="100000000000" w:firstRow="1" w:lastRow="0" w:firstColumn="0" w:lastColumn="0" w:oddVBand="0" w:evenVBand="0" w:oddHBand="0" w:evenHBand="0" w:firstRowFirstColumn="0" w:firstRowLastColumn="0" w:lastRowFirstColumn="0" w:lastRowLastColumn="0"/>
          <w:trHeight w:val="457"/>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202A43" w:rsidRDefault="00202A43" w:rsidP="00DC6ED6">
            <w:pPr>
              <w:jc w:val="center"/>
              <w:rPr>
                <w:rFonts w:asciiTheme="minorBidi" w:eastAsia="Times New Roman" w:hAnsiTheme="minorBidi"/>
                <w:b w:val="0"/>
                <w:bCs w:val="0"/>
              </w:rPr>
            </w:pPr>
            <w:r>
              <w:rPr>
                <w:rFonts w:asciiTheme="minorBidi" w:eastAsia="Times New Roman" w:hAnsiTheme="minorBidi"/>
                <w:b w:val="0"/>
                <w:bCs w:val="0"/>
              </w:rPr>
              <w:t>Cost Category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202A43" w:rsidRDefault="00202A43" w:rsidP="00DC6ED6">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rPr>
            </w:pPr>
            <w:r>
              <w:rPr>
                <w:rFonts w:asciiTheme="minorBidi" w:eastAsia="Times New Roman" w:hAnsiTheme="minorBidi"/>
                <w:b w:val="0"/>
                <w:bCs w:val="0"/>
              </w:rPr>
              <w:t>Estimated Costs</w:t>
            </w:r>
          </w:p>
        </w:tc>
      </w:tr>
      <w:tr w:rsidR="00202A43" w:rsidTr="00DC6ED6">
        <w:trPr>
          <w:cnfStyle w:val="000000100000" w:firstRow="0" w:lastRow="0" w:firstColumn="0" w:lastColumn="0" w:oddVBand="0" w:evenVBand="0" w:oddHBand="1" w:evenHBand="0" w:firstRowFirstColumn="0" w:firstRowLastColumn="0" w:lastRowFirstColumn="0" w:lastRowLastColumn="0"/>
          <w:trHeight w:val="637"/>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202A43" w:rsidRDefault="00202A43" w:rsidP="00DC6ED6">
            <w:pPr>
              <w:jc w:val="left"/>
              <w:rPr>
                <w:rFonts w:eastAsia="Times New Roman"/>
                <w:b w:val="0"/>
                <w:bCs w:val="0"/>
              </w:rPr>
            </w:pPr>
            <w:r>
              <w:rPr>
                <w:rFonts w:eastAsia="Times New Roman"/>
              </w:rPr>
              <w:t>Leasehold Improvements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202A43" w:rsidRDefault="00202A43" w:rsidP="00DC6ED6">
            <w:pPr>
              <w:cnfStyle w:val="000000100000" w:firstRow="0" w:lastRow="0" w:firstColumn="0" w:lastColumn="0" w:oddVBand="0" w:evenVBand="0" w:oddHBand="1" w:evenHBand="0" w:firstRowFirstColumn="0" w:firstRowLastColumn="0" w:lastRowFirstColumn="0" w:lastRowLastColumn="0"/>
              <w:rPr>
                <w:rFonts w:eastAsia="Times New Roman"/>
              </w:rPr>
            </w:pPr>
            <w:r>
              <w:rPr>
                <w:rFonts w:eastAsia="Times New Roman"/>
              </w:rPr>
              <w:t>£10,000 - £15,000</w:t>
            </w:r>
          </w:p>
        </w:tc>
      </w:tr>
      <w:tr w:rsidR="00202A43" w:rsidTr="00DC6ED6">
        <w:trPr>
          <w:trHeight w:val="620"/>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202A43" w:rsidRDefault="00202A43" w:rsidP="00DC6ED6">
            <w:pPr>
              <w:rPr>
                <w:rFonts w:eastAsia="Times New Roman"/>
              </w:rPr>
            </w:pPr>
            <w:r>
              <w:rPr>
                <w:rFonts w:eastAsia="Times New Roman"/>
              </w:rPr>
              <w:t>Kitchen Equipment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202A43" w:rsidRDefault="00202A43" w:rsidP="00DC6ED6">
            <w:pPr>
              <w:cnfStyle w:val="000000000000" w:firstRow="0" w:lastRow="0" w:firstColumn="0" w:lastColumn="0" w:oddVBand="0" w:evenVBand="0" w:oddHBand="0" w:evenHBand="0" w:firstRowFirstColumn="0" w:firstRowLastColumn="0" w:lastRowFirstColumn="0" w:lastRowLastColumn="0"/>
              <w:rPr>
                <w:rFonts w:eastAsia="Times New Roman"/>
              </w:rPr>
            </w:pPr>
            <w:r>
              <w:rPr>
                <w:rFonts w:eastAsia="Times New Roman"/>
              </w:rPr>
              <w:t>£5,000 - £10,000</w:t>
            </w:r>
          </w:p>
        </w:tc>
      </w:tr>
      <w:tr w:rsidR="00202A43" w:rsidTr="00DC6ED6">
        <w:trPr>
          <w:cnfStyle w:val="000000100000" w:firstRow="0" w:lastRow="0" w:firstColumn="0" w:lastColumn="0" w:oddVBand="0" w:evenVBand="0" w:oddHBand="1" w:evenHBand="0" w:firstRowFirstColumn="0" w:firstRowLastColumn="0" w:lastRowFirstColumn="0" w:lastRowLastColumn="0"/>
          <w:trHeight w:val="637"/>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202A43" w:rsidRDefault="00202A43" w:rsidP="00DC6ED6">
            <w:pPr>
              <w:rPr>
                <w:rFonts w:eastAsia="Times New Roman"/>
              </w:rPr>
            </w:pPr>
            <w:r>
              <w:rPr>
                <w:rFonts w:eastAsia="Times New Roman"/>
              </w:rPr>
              <w:t>Ingredient Purchases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202A43" w:rsidRDefault="00202A43" w:rsidP="00DC6ED6">
            <w:pPr>
              <w:cnfStyle w:val="000000100000" w:firstRow="0" w:lastRow="0" w:firstColumn="0" w:lastColumn="0" w:oddVBand="0" w:evenVBand="0" w:oddHBand="1" w:evenHBand="0" w:firstRowFirstColumn="0" w:firstRowLastColumn="0" w:lastRowFirstColumn="0" w:lastRowLastColumn="0"/>
              <w:rPr>
                <w:rFonts w:eastAsia="Times New Roman"/>
              </w:rPr>
            </w:pPr>
            <w:r>
              <w:rPr>
                <w:rFonts w:eastAsia="Times New Roman"/>
              </w:rPr>
              <w:t>£2,000 - £3,000/month</w:t>
            </w:r>
          </w:p>
        </w:tc>
      </w:tr>
      <w:tr w:rsidR="00202A43" w:rsidTr="00DC6ED6">
        <w:trPr>
          <w:trHeight w:val="637"/>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202A43" w:rsidRDefault="00202A43" w:rsidP="00DC6ED6">
            <w:pPr>
              <w:rPr>
                <w:rFonts w:eastAsia="Times New Roman"/>
              </w:rPr>
            </w:pPr>
            <w:r>
              <w:rPr>
                <w:rFonts w:eastAsia="Times New Roman"/>
              </w:rPr>
              <w:t>Staff Salaries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202A43" w:rsidRDefault="00202A43" w:rsidP="00DC6ED6">
            <w:pPr>
              <w:cnfStyle w:val="000000000000" w:firstRow="0" w:lastRow="0" w:firstColumn="0" w:lastColumn="0" w:oddVBand="0" w:evenVBand="0" w:oddHBand="0" w:evenHBand="0" w:firstRowFirstColumn="0" w:firstRowLastColumn="0" w:lastRowFirstColumn="0" w:lastRowLastColumn="0"/>
              <w:rPr>
                <w:rFonts w:eastAsia="Times New Roman"/>
              </w:rPr>
            </w:pPr>
            <w:r>
              <w:rPr>
                <w:rFonts w:eastAsia="Times New Roman"/>
              </w:rPr>
              <w:t>£3,000 - £4,000/month</w:t>
            </w:r>
          </w:p>
        </w:tc>
      </w:tr>
      <w:tr w:rsidR="00202A43" w:rsidTr="00DC6ED6">
        <w:trPr>
          <w:cnfStyle w:val="000000100000" w:firstRow="0" w:lastRow="0" w:firstColumn="0" w:lastColumn="0" w:oddVBand="0" w:evenVBand="0" w:oddHBand="1" w:evenHBand="0" w:firstRowFirstColumn="0" w:firstRowLastColumn="0" w:lastRowFirstColumn="0" w:lastRowLastColumn="0"/>
          <w:trHeight w:val="637"/>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202A43" w:rsidRDefault="00202A43" w:rsidP="00DC6ED6">
            <w:pPr>
              <w:rPr>
                <w:rFonts w:eastAsia="Times New Roman"/>
              </w:rPr>
            </w:pPr>
            <w:r>
              <w:rPr>
                <w:rFonts w:eastAsia="Times New Roman"/>
              </w:rPr>
              <w:t>Utilities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202A43" w:rsidRDefault="00202A43" w:rsidP="00DC6ED6">
            <w:pPr>
              <w:cnfStyle w:val="000000100000" w:firstRow="0" w:lastRow="0" w:firstColumn="0" w:lastColumn="0" w:oddVBand="0" w:evenVBand="0" w:oddHBand="1" w:evenHBand="0" w:firstRowFirstColumn="0" w:firstRowLastColumn="0" w:lastRowFirstColumn="0" w:lastRowLastColumn="0"/>
              <w:rPr>
                <w:rFonts w:eastAsia="Times New Roman"/>
              </w:rPr>
            </w:pPr>
            <w:r>
              <w:rPr>
                <w:rFonts w:eastAsia="Times New Roman"/>
              </w:rPr>
              <w:t>£500 - £700/month</w:t>
            </w:r>
          </w:p>
        </w:tc>
      </w:tr>
      <w:tr w:rsidR="00202A43" w:rsidTr="00DC6ED6">
        <w:trPr>
          <w:trHeight w:val="620"/>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202A43" w:rsidRDefault="00202A43" w:rsidP="00DC6ED6">
            <w:pPr>
              <w:rPr>
                <w:rFonts w:eastAsia="Times New Roman"/>
              </w:rPr>
            </w:pPr>
            <w:r>
              <w:rPr>
                <w:rFonts w:eastAsia="Times New Roman"/>
              </w:rPr>
              <w:t>Marketing Efforts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202A43" w:rsidRDefault="00202A43" w:rsidP="00DC6ED6">
            <w:pPr>
              <w:cnfStyle w:val="000000000000" w:firstRow="0" w:lastRow="0" w:firstColumn="0" w:lastColumn="0" w:oddVBand="0" w:evenVBand="0" w:oddHBand="0" w:evenHBand="0" w:firstRowFirstColumn="0" w:firstRowLastColumn="0" w:lastRowFirstColumn="0" w:lastRowLastColumn="0"/>
              <w:rPr>
                <w:rFonts w:eastAsia="Times New Roman"/>
              </w:rPr>
            </w:pPr>
            <w:r>
              <w:rPr>
                <w:rFonts w:eastAsia="Times New Roman"/>
              </w:rPr>
              <w:t>£1,000 - £1,500/month</w:t>
            </w:r>
          </w:p>
        </w:tc>
      </w:tr>
    </w:tbl>
    <w:p w:rsidR="00202A43" w:rsidRDefault="00202A43" w:rsidP="00202A43">
      <w:pPr>
        <w:rPr>
          <w:lang w:val="en-US"/>
        </w:rPr>
      </w:pPr>
    </w:p>
    <w:p w:rsidR="00202A43" w:rsidRDefault="00202A43" w:rsidP="00202A43">
      <w:pPr>
        <w:rPr>
          <w:b/>
          <w:bCs/>
          <w:lang w:val="en-US"/>
        </w:rPr>
      </w:pPr>
      <w:r>
        <w:rPr>
          <w:b/>
          <w:bCs/>
          <w:lang w:val="en-US"/>
        </w:rPr>
        <w:lastRenderedPageBreak/>
        <w:t xml:space="preserve">2. SWOT analysis </w:t>
      </w:r>
    </w:p>
    <w:tbl>
      <w:tblPr>
        <w:tblStyle w:val="GridTable4"/>
        <w:tblW w:w="0" w:type="auto"/>
        <w:jc w:val="center"/>
        <w:tblInd w:w="0" w:type="dxa"/>
        <w:tblLook w:val="04A0" w:firstRow="1" w:lastRow="0" w:firstColumn="1" w:lastColumn="0" w:noHBand="0" w:noVBand="1"/>
      </w:tblPr>
      <w:tblGrid>
        <w:gridCol w:w="4048"/>
        <w:gridCol w:w="4968"/>
      </w:tblGrid>
      <w:tr w:rsidR="00202A43" w:rsidTr="00DC6ED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202A43" w:rsidRDefault="00202A43" w:rsidP="00DC6ED6">
            <w:pPr>
              <w:pStyle w:val="ListParagraph"/>
              <w:numPr>
                <w:ilvl w:val="0"/>
                <w:numId w:val="1"/>
              </w:numPr>
              <w:jc w:val="center"/>
              <w:rPr>
                <w:rFonts w:eastAsia="Times New Roman"/>
                <w:szCs w:val="24"/>
                <w:lang w:val="en-GB"/>
              </w:rPr>
            </w:pPr>
            <w:r>
              <w:rPr>
                <w:rFonts w:eastAsia="Times New Roman"/>
              </w:rPr>
              <w:t>Strengths</w:t>
            </w:r>
          </w:p>
        </w:tc>
        <w:tc>
          <w:tcPr>
            <w:tcW w:w="0" w:type="auto"/>
            <w:hideMark/>
          </w:tcPr>
          <w:p w:rsidR="00202A43" w:rsidRDefault="00202A43" w:rsidP="00DC6ED6">
            <w:pPr>
              <w:jc w:val="center"/>
              <w:cnfStyle w:val="100000000000" w:firstRow="1" w:lastRow="0" w:firstColumn="0" w:lastColumn="0" w:oddVBand="0" w:evenVBand="0" w:oddHBand="0" w:evenHBand="0" w:firstRowFirstColumn="0" w:firstRowLastColumn="0" w:lastRowFirstColumn="0" w:lastRowLastColumn="0"/>
              <w:rPr>
                <w:rFonts w:eastAsia="Times New Roman"/>
                <w:b w:val="0"/>
                <w:bCs w:val="0"/>
              </w:rPr>
            </w:pPr>
            <w:r>
              <w:rPr>
                <w:rFonts w:eastAsia="Times New Roman"/>
                <w:b w:val="0"/>
                <w:bCs w:val="0"/>
              </w:rPr>
              <w:t>Weaknesses</w:t>
            </w:r>
          </w:p>
        </w:tc>
      </w:tr>
      <w:tr w:rsidR="00202A43" w:rsidTr="00DC6ED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rsidR="00202A43" w:rsidRDefault="00202A43" w:rsidP="00DC6ED6">
            <w:pPr>
              <w:jc w:val="left"/>
              <w:rPr>
                <w:rFonts w:eastAsia="Times New Roman"/>
                <w:b w:val="0"/>
                <w:bCs w:val="0"/>
              </w:rPr>
            </w:pPr>
            <w:r>
              <w:rPr>
                <w:rFonts w:eastAsia="Times New Roman"/>
              </w:rPr>
              <w:t>Locally sourced, seasonal ingredients</w:t>
            </w:r>
          </w:p>
        </w:tc>
        <w:tc>
          <w:tcPr>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rsidR="00202A43" w:rsidRDefault="00202A43" w:rsidP="00DC6ED6">
            <w:pPr>
              <w:cnfStyle w:val="000000100000" w:firstRow="0" w:lastRow="0" w:firstColumn="0" w:lastColumn="0" w:oddVBand="0" w:evenVBand="0" w:oddHBand="1" w:evenHBand="0" w:firstRowFirstColumn="0" w:firstRowLastColumn="0" w:lastRowFirstColumn="0" w:lastRowLastColumn="0"/>
              <w:rPr>
                <w:rFonts w:eastAsia="Times New Roman"/>
              </w:rPr>
            </w:pPr>
            <w:r>
              <w:rPr>
                <w:rFonts w:eastAsia="Times New Roman"/>
              </w:rPr>
              <w:t>Limited initial capital for extensive marketing</w:t>
            </w:r>
          </w:p>
        </w:tc>
      </w:tr>
      <w:tr w:rsidR="00202A43" w:rsidTr="00DC6ED6">
        <w:trPr>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rsidR="00202A43" w:rsidRDefault="00202A43" w:rsidP="00DC6ED6">
            <w:pPr>
              <w:rPr>
                <w:rFonts w:eastAsia="Times New Roman"/>
              </w:rPr>
            </w:pPr>
            <w:r>
              <w:rPr>
                <w:rFonts w:eastAsia="Times New Roman"/>
              </w:rPr>
              <w:t>Strong community engagement</w:t>
            </w:r>
          </w:p>
        </w:tc>
        <w:tc>
          <w:tcPr>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rsidR="00202A43" w:rsidRDefault="00202A43" w:rsidP="00DC6ED6">
            <w:pPr>
              <w:cnfStyle w:val="000000000000" w:firstRow="0" w:lastRow="0" w:firstColumn="0" w:lastColumn="0" w:oddVBand="0" w:evenVBand="0" w:oddHBand="0" w:evenHBand="0" w:firstRowFirstColumn="0" w:firstRowLastColumn="0" w:lastRowFirstColumn="0" w:lastRowLastColumn="0"/>
              <w:rPr>
                <w:rFonts w:eastAsia="Times New Roman"/>
              </w:rPr>
            </w:pPr>
            <w:r>
              <w:rPr>
                <w:rFonts w:eastAsia="Times New Roman"/>
              </w:rPr>
              <w:t>Reliance on local suppliers may limit variety</w:t>
            </w:r>
          </w:p>
        </w:tc>
      </w:tr>
      <w:tr w:rsidR="00202A43" w:rsidTr="00DC6ED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rsidR="00202A43" w:rsidRDefault="00202A43" w:rsidP="00DC6ED6">
            <w:pPr>
              <w:rPr>
                <w:rFonts w:eastAsia="Times New Roman"/>
              </w:rPr>
            </w:pPr>
            <w:r>
              <w:rPr>
                <w:rFonts w:eastAsia="Times New Roman"/>
              </w:rPr>
              <w:t>Unique dining experience</w:t>
            </w:r>
          </w:p>
        </w:tc>
        <w:tc>
          <w:tcPr>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rsidR="00202A43" w:rsidRDefault="00202A43" w:rsidP="00DC6ED6">
            <w:pPr>
              <w:cnfStyle w:val="000000100000" w:firstRow="0" w:lastRow="0" w:firstColumn="0" w:lastColumn="0" w:oddVBand="0" w:evenVBand="0" w:oddHBand="1" w:evenHBand="0" w:firstRowFirstColumn="0" w:firstRowLastColumn="0" w:lastRowFirstColumn="0" w:lastRowLastColumn="0"/>
              <w:rPr>
                <w:rFonts w:eastAsia="Times New Roman"/>
              </w:rPr>
            </w:pPr>
            <w:r>
              <w:rPr>
                <w:rFonts w:eastAsia="Times New Roman"/>
              </w:rPr>
              <w:t>Potential challenges in securing permits and licenses</w:t>
            </w:r>
          </w:p>
        </w:tc>
      </w:tr>
      <w:tr w:rsidR="00202A43" w:rsidTr="00DC6ED6">
        <w:trPr>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rsidR="00202A43" w:rsidRDefault="00202A43" w:rsidP="00DC6ED6">
            <w:pPr>
              <w:rPr>
                <w:rFonts w:eastAsia="Times New Roman"/>
              </w:rPr>
            </w:pPr>
            <w:r>
              <w:rPr>
                <w:rFonts w:eastAsia="Times New Roman"/>
              </w:rPr>
              <w:t>Cozy and welcoming ambiance</w:t>
            </w:r>
          </w:p>
        </w:tc>
        <w:tc>
          <w:tcPr>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rsidR="00202A43" w:rsidRDefault="00202A43" w:rsidP="00DC6ED6">
            <w:pPr>
              <w:cnfStyle w:val="000000000000" w:firstRow="0" w:lastRow="0" w:firstColumn="0" w:lastColumn="0" w:oddVBand="0" w:evenVBand="0" w:oddHBand="0" w:evenHBand="0" w:firstRowFirstColumn="0" w:firstRowLastColumn="0" w:lastRowFirstColumn="0" w:lastRowLastColumn="0"/>
              <w:rPr>
                <w:rFonts w:eastAsia="Times New Roman"/>
              </w:rPr>
            </w:pPr>
            <w:r>
              <w:rPr>
                <w:rFonts w:eastAsia="Times New Roman"/>
              </w:rPr>
              <w:t>Limited brand recognition initially</w:t>
            </w:r>
          </w:p>
        </w:tc>
      </w:tr>
    </w:tbl>
    <w:p w:rsidR="00202A43" w:rsidRDefault="00202A43" w:rsidP="00202A43">
      <w:pPr>
        <w:rPr>
          <w:rFonts w:eastAsia="Times New Roman"/>
          <w:vanish/>
        </w:rPr>
      </w:pPr>
    </w:p>
    <w:tbl>
      <w:tblPr>
        <w:tblStyle w:val="GridTable4"/>
        <w:tblW w:w="0" w:type="auto"/>
        <w:jc w:val="center"/>
        <w:tblInd w:w="0" w:type="dxa"/>
        <w:tblLook w:val="04A0" w:firstRow="1" w:lastRow="0" w:firstColumn="1" w:lastColumn="0" w:noHBand="0" w:noVBand="1"/>
      </w:tblPr>
      <w:tblGrid>
        <w:gridCol w:w="3884"/>
        <w:gridCol w:w="5132"/>
      </w:tblGrid>
      <w:tr w:rsidR="00202A43" w:rsidTr="00DC6ED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202A43" w:rsidRDefault="00202A43" w:rsidP="00DC6ED6">
            <w:pPr>
              <w:jc w:val="center"/>
              <w:rPr>
                <w:rFonts w:eastAsia="Times New Roman"/>
              </w:rPr>
            </w:pPr>
            <w:r>
              <w:rPr>
                <w:rFonts w:eastAsia="Times New Roman"/>
              </w:rPr>
              <w:t>Opportunities</w:t>
            </w:r>
          </w:p>
        </w:tc>
        <w:tc>
          <w:tcPr>
            <w:tcW w:w="0" w:type="auto"/>
            <w:hideMark/>
          </w:tcPr>
          <w:p w:rsidR="00202A43" w:rsidRDefault="00202A43" w:rsidP="00DC6ED6">
            <w:pPr>
              <w:jc w:val="center"/>
              <w:cnfStyle w:val="100000000000" w:firstRow="1" w:lastRow="0" w:firstColumn="0" w:lastColumn="0" w:oddVBand="0" w:evenVBand="0" w:oddHBand="0" w:evenHBand="0" w:firstRowFirstColumn="0" w:firstRowLastColumn="0" w:lastRowFirstColumn="0" w:lastRowLastColumn="0"/>
              <w:rPr>
                <w:rFonts w:eastAsia="Times New Roman"/>
                <w:b w:val="0"/>
                <w:bCs w:val="0"/>
              </w:rPr>
            </w:pPr>
            <w:r>
              <w:rPr>
                <w:rFonts w:eastAsia="Times New Roman"/>
                <w:b w:val="0"/>
                <w:bCs w:val="0"/>
              </w:rPr>
              <w:t>Threats</w:t>
            </w:r>
          </w:p>
        </w:tc>
      </w:tr>
      <w:tr w:rsidR="00202A43" w:rsidTr="00DC6ED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rsidR="00202A43" w:rsidRDefault="00202A43" w:rsidP="00DC6ED6">
            <w:pPr>
              <w:jc w:val="left"/>
              <w:rPr>
                <w:rFonts w:eastAsia="Times New Roman"/>
                <w:b w:val="0"/>
                <w:bCs w:val="0"/>
              </w:rPr>
            </w:pPr>
            <w:r>
              <w:rPr>
                <w:rFonts w:eastAsia="Times New Roman"/>
              </w:rPr>
              <w:t>Growing trend towards sustainability</w:t>
            </w:r>
          </w:p>
        </w:tc>
        <w:tc>
          <w:tcPr>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rsidR="00202A43" w:rsidRDefault="00202A43" w:rsidP="00DC6ED6">
            <w:pPr>
              <w:cnfStyle w:val="000000100000" w:firstRow="0" w:lastRow="0" w:firstColumn="0" w:lastColumn="0" w:oddVBand="0" w:evenVBand="0" w:oddHBand="1" w:evenHBand="0" w:firstRowFirstColumn="0" w:firstRowLastColumn="0" w:lastRowFirstColumn="0" w:lastRowLastColumn="0"/>
              <w:rPr>
                <w:rFonts w:eastAsia="Times New Roman"/>
              </w:rPr>
            </w:pPr>
            <w:r>
              <w:rPr>
                <w:rFonts w:eastAsia="Times New Roman"/>
              </w:rPr>
              <w:t>Intense competition from established restaurants</w:t>
            </w:r>
          </w:p>
        </w:tc>
      </w:tr>
      <w:tr w:rsidR="00202A43" w:rsidTr="00DC6ED6">
        <w:trPr>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rsidR="00202A43" w:rsidRDefault="00202A43" w:rsidP="00DC6ED6">
            <w:pPr>
              <w:rPr>
                <w:rFonts w:eastAsia="Times New Roman"/>
              </w:rPr>
            </w:pPr>
            <w:r>
              <w:rPr>
                <w:rFonts w:eastAsia="Times New Roman"/>
              </w:rPr>
              <w:t>Increasing demand for community</w:t>
            </w:r>
          </w:p>
        </w:tc>
        <w:tc>
          <w:tcPr>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rsidR="00202A43" w:rsidRDefault="00202A43" w:rsidP="00DC6ED6">
            <w:pPr>
              <w:cnfStyle w:val="000000000000" w:firstRow="0" w:lastRow="0" w:firstColumn="0" w:lastColumn="0" w:oddVBand="0" w:evenVBand="0" w:oddHBand="0" w:evenHBand="0" w:firstRowFirstColumn="0" w:firstRowLastColumn="0" w:lastRowFirstColumn="0" w:lastRowLastColumn="0"/>
              <w:rPr>
                <w:rFonts w:eastAsia="Times New Roman"/>
              </w:rPr>
            </w:pPr>
            <w:r>
              <w:rPr>
                <w:rFonts w:eastAsia="Times New Roman"/>
              </w:rPr>
              <w:t>Fluctuations in food prices and supply chain disruptions</w:t>
            </w:r>
          </w:p>
        </w:tc>
      </w:tr>
      <w:tr w:rsidR="00202A43" w:rsidTr="00DC6ED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rsidR="00202A43" w:rsidRDefault="00202A43" w:rsidP="00DC6ED6">
            <w:pPr>
              <w:rPr>
                <w:rFonts w:eastAsia="Times New Roman"/>
              </w:rPr>
            </w:pPr>
            <w:r>
              <w:rPr>
                <w:rFonts w:eastAsia="Times New Roman"/>
              </w:rPr>
              <w:t>Potential for partnerships with</w:t>
            </w:r>
          </w:p>
        </w:tc>
        <w:tc>
          <w:tcPr>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rsidR="00202A43" w:rsidRDefault="00202A43" w:rsidP="00DC6ED6">
            <w:pPr>
              <w:cnfStyle w:val="000000100000" w:firstRow="0" w:lastRow="0" w:firstColumn="0" w:lastColumn="0" w:oddVBand="0" w:evenVBand="0" w:oddHBand="1" w:evenHBand="0" w:firstRowFirstColumn="0" w:firstRowLastColumn="0" w:lastRowFirstColumn="0" w:lastRowLastColumn="0"/>
              <w:rPr>
                <w:rFonts w:eastAsia="Times New Roman"/>
              </w:rPr>
            </w:pPr>
            <w:r>
              <w:rPr>
                <w:rFonts w:eastAsia="Times New Roman"/>
              </w:rPr>
              <w:t>Regulatory changes impacting food industry</w:t>
            </w:r>
          </w:p>
        </w:tc>
      </w:tr>
      <w:tr w:rsidR="00202A43" w:rsidTr="00DC6ED6">
        <w:trPr>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rsidR="00202A43" w:rsidRDefault="00202A43" w:rsidP="00DC6ED6">
            <w:pPr>
              <w:rPr>
                <w:rFonts w:eastAsia="Times New Roman"/>
              </w:rPr>
            </w:pPr>
            <w:r>
              <w:rPr>
                <w:rFonts w:eastAsia="Times New Roman"/>
              </w:rPr>
              <w:t>local businesses and organizations</w:t>
            </w:r>
          </w:p>
        </w:tc>
        <w:tc>
          <w:tcPr>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rsidR="00202A43" w:rsidRDefault="00202A43" w:rsidP="00DC6ED6">
            <w:pPr>
              <w:cnfStyle w:val="000000000000" w:firstRow="0" w:lastRow="0" w:firstColumn="0" w:lastColumn="0" w:oddVBand="0" w:evenVBand="0" w:oddHBand="0" w:evenHBand="0" w:firstRowFirstColumn="0" w:firstRowLastColumn="0" w:lastRowFirstColumn="0" w:lastRowLastColumn="0"/>
              <w:rPr>
                <w:rFonts w:eastAsia="Times New Roman"/>
              </w:rPr>
            </w:pPr>
            <w:r>
              <w:rPr>
                <w:rFonts w:eastAsia="Times New Roman"/>
              </w:rPr>
              <w:t>Economic downturn affecting consumer spending</w:t>
            </w:r>
          </w:p>
        </w:tc>
      </w:tr>
    </w:tbl>
    <w:p w:rsidR="00202A43" w:rsidRDefault="00202A43" w:rsidP="00202A43">
      <w:pPr>
        <w:rPr>
          <w:lang w:val="en-US"/>
        </w:rPr>
      </w:pPr>
    </w:p>
    <w:p w:rsidR="00202A43" w:rsidRDefault="00202A43" w:rsidP="00202A43">
      <w:pPr>
        <w:rPr>
          <w:b/>
          <w:bCs/>
          <w:lang w:val="en-US"/>
        </w:rPr>
      </w:pPr>
    </w:p>
    <w:p w:rsidR="00202A43" w:rsidRDefault="00202A43" w:rsidP="00202A43">
      <w:pPr>
        <w:rPr>
          <w:b/>
          <w:bCs/>
          <w:lang w:val="en-US"/>
        </w:rPr>
      </w:pPr>
    </w:p>
    <w:p w:rsidR="00202A43" w:rsidRDefault="00202A43" w:rsidP="00202A43">
      <w:pPr>
        <w:rPr>
          <w:b/>
          <w:bCs/>
          <w:lang w:val="en-US"/>
        </w:rPr>
      </w:pPr>
    </w:p>
    <w:p w:rsidR="00202A43" w:rsidRDefault="00202A43" w:rsidP="00202A43">
      <w:pPr>
        <w:rPr>
          <w:b/>
          <w:bCs/>
          <w:lang w:val="en-US"/>
        </w:rPr>
      </w:pPr>
    </w:p>
    <w:p w:rsidR="00202A43" w:rsidRDefault="00202A43" w:rsidP="00202A43">
      <w:pPr>
        <w:rPr>
          <w:b/>
          <w:bCs/>
          <w:lang w:val="en-US"/>
        </w:rPr>
      </w:pPr>
    </w:p>
    <w:p w:rsidR="00202A43" w:rsidRDefault="00202A43" w:rsidP="00202A43">
      <w:pPr>
        <w:rPr>
          <w:b/>
          <w:bCs/>
          <w:lang w:val="en-US"/>
        </w:rPr>
      </w:pPr>
    </w:p>
    <w:p w:rsidR="00202A43" w:rsidRDefault="00202A43" w:rsidP="00202A43">
      <w:pPr>
        <w:rPr>
          <w:b/>
          <w:bCs/>
          <w:lang w:val="en-US"/>
        </w:rPr>
      </w:pPr>
    </w:p>
    <w:p w:rsidR="00202A43" w:rsidRDefault="00202A43" w:rsidP="00202A43">
      <w:pPr>
        <w:rPr>
          <w:b/>
          <w:bCs/>
          <w:lang w:val="en-US"/>
        </w:rPr>
      </w:pPr>
    </w:p>
    <w:p w:rsidR="00202A43" w:rsidRDefault="00202A43" w:rsidP="00202A43">
      <w:pPr>
        <w:rPr>
          <w:b/>
          <w:bCs/>
          <w:lang w:val="en-US"/>
        </w:rPr>
      </w:pPr>
    </w:p>
    <w:p w:rsidR="00202A43" w:rsidRDefault="00202A43" w:rsidP="00202A43">
      <w:pPr>
        <w:rPr>
          <w:b/>
          <w:bCs/>
          <w:lang w:val="en-US"/>
        </w:rPr>
      </w:pPr>
    </w:p>
    <w:p w:rsidR="00202A43" w:rsidRDefault="00202A43" w:rsidP="00202A43">
      <w:pPr>
        <w:rPr>
          <w:b/>
          <w:bCs/>
          <w:lang w:val="en-US"/>
        </w:rPr>
      </w:pPr>
    </w:p>
    <w:p w:rsidR="00202A43" w:rsidRDefault="00202A43" w:rsidP="00202A43">
      <w:pPr>
        <w:rPr>
          <w:b/>
          <w:bCs/>
          <w:lang w:val="en-US"/>
        </w:rPr>
      </w:pPr>
    </w:p>
    <w:p w:rsidR="00202A43" w:rsidRDefault="00202A43" w:rsidP="00202A43">
      <w:pPr>
        <w:rPr>
          <w:b/>
          <w:bCs/>
          <w:lang w:val="en-US"/>
        </w:rPr>
      </w:pPr>
    </w:p>
    <w:p w:rsidR="00202A43" w:rsidRDefault="00202A43" w:rsidP="00202A43">
      <w:pPr>
        <w:rPr>
          <w:b/>
          <w:bCs/>
          <w:lang w:val="en-US"/>
        </w:rPr>
      </w:pPr>
    </w:p>
    <w:p w:rsidR="00202A43" w:rsidRDefault="00202A43" w:rsidP="00202A43">
      <w:pPr>
        <w:rPr>
          <w:b/>
          <w:bCs/>
          <w:lang w:val="en-US"/>
        </w:rPr>
      </w:pPr>
    </w:p>
    <w:p w:rsidR="00202A43" w:rsidRDefault="00202A43" w:rsidP="00202A43">
      <w:pPr>
        <w:rPr>
          <w:b/>
          <w:bCs/>
          <w:lang w:val="en-US"/>
        </w:rPr>
      </w:pPr>
      <w:r>
        <w:rPr>
          <w:b/>
          <w:bCs/>
          <w:lang w:val="en-US"/>
        </w:rPr>
        <w:t>3. BUSINESS MODEL PLAN</w:t>
      </w:r>
    </w:p>
    <w:p w:rsidR="00202A43" w:rsidRDefault="00202A43" w:rsidP="00202A43">
      <w:r>
        <w:rPr>
          <w:noProof/>
          <w:lang w:eastAsia="en-GB"/>
        </w:rPr>
        <w:drawing>
          <wp:inline distT="0" distB="0" distL="0" distR="0" wp14:anchorId="63822D77" wp14:editId="14170D9E">
            <wp:extent cx="5943600" cy="211963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119630"/>
                    </a:xfrm>
                    <a:prstGeom prst="rect">
                      <a:avLst/>
                    </a:prstGeom>
                    <a:noFill/>
                    <a:ln>
                      <a:noFill/>
                    </a:ln>
                  </pic:spPr>
                </pic:pic>
              </a:graphicData>
            </a:graphic>
          </wp:inline>
        </w:drawing>
      </w:r>
      <w:r>
        <w:rPr>
          <w:noProof/>
          <w:lang w:eastAsia="en-GB"/>
        </w:rPr>
        <w:drawing>
          <wp:inline distT="0" distB="0" distL="0" distR="0" wp14:anchorId="537222A4" wp14:editId="5CA7C8EA">
            <wp:extent cx="5936615" cy="2133600"/>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36615" cy="2133600"/>
                    </a:xfrm>
                    <a:prstGeom prst="rect">
                      <a:avLst/>
                    </a:prstGeom>
                    <a:noFill/>
                    <a:ln>
                      <a:noFill/>
                    </a:ln>
                  </pic:spPr>
                </pic:pic>
              </a:graphicData>
            </a:graphic>
          </wp:inline>
        </w:drawing>
      </w:r>
      <w:r>
        <w:rPr>
          <w:noProof/>
          <w:lang w:eastAsia="en-GB"/>
        </w:rPr>
        <w:drawing>
          <wp:inline distT="0" distB="0" distL="0" distR="0" wp14:anchorId="2BD3A2F5" wp14:editId="711F64B2">
            <wp:extent cx="5950585" cy="196024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50585" cy="1960245"/>
                    </a:xfrm>
                    <a:prstGeom prst="rect">
                      <a:avLst/>
                    </a:prstGeom>
                    <a:noFill/>
                    <a:ln>
                      <a:noFill/>
                    </a:ln>
                  </pic:spPr>
                </pic:pic>
              </a:graphicData>
            </a:graphic>
          </wp:inline>
        </w:drawing>
      </w:r>
    </w:p>
    <w:p w:rsidR="00202A43" w:rsidRDefault="00202A43" w:rsidP="00202A43"/>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p>
    <w:p w:rsidR="00202A43" w:rsidRDefault="00202A43" w:rsidP="00202A43">
      <w:pPr>
        <w:rPr>
          <w:b/>
          <w:bCs/>
        </w:rPr>
      </w:pPr>
      <w:r>
        <w:rPr>
          <w:b/>
          <w:bCs/>
        </w:rPr>
        <w:lastRenderedPageBreak/>
        <w:t xml:space="preserve">Test Result </w:t>
      </w:r>
    </w:p>
    <w:p w:rsidR="00202A43" w:rsidRDefault="00202A43" w:rsidP="00202A43">
      <w:pPr>
        <w:rPr>
          <w:b/>
          <w:bCs/>
        </w:rPr>
      </w:pPr>
      <w:r>
        <w:rPr>
          <w:noProof/>
          <w:lang w:eastAsia="en-GB"/>
        </w:rPr>
        <w:drawing>
          <wp:inline distT="0" distB="0" distL="0" distR="0" wp14:anchorId="5C66FCBE" wp14:editId="75FAFD6E">
            <wp:extent cx="4281170" cy="7620000"/>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111023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81170" cy="7620000"/>
                    </a:xfrm>
                    <a:prstGeom prst="rect">
                      <a:avLst/>
                    </a:prstGeom>
                    <a:noFill/>
                    <a:ln>
                      <a:noFill/>
                    </a:ln>
                  </pic:spPr>
                </pic:pic>
              </a:graphicData>
            </a:graphic>
          </wp:inline>
        </w:drawing>
      </w:r>
    </w:p>
    <w:p w:rsidR="00202A43" w:rsidRDefault="00202A43" w:rsidP="00202A43">
      <w:r>
        <w:rPr>
          <w:noProof/>
          <w:lang w:eastAsia="en-GB"/>
        </w:rPr>
        <w:lastRenderedPageBreak/>
        <w:drawing>
          <wp:inline distT="0" distB="0" distL="0" distR="0" wp14:anchorId="38D96131" wp14:editId="067274F0">
            <wp:extent cx="4523740" cy="82365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23740" cy="8236585"/>
                    </a:xfrm>
                    <a:prstGeom prst="rect">
                      <a:avLst/>
                    </a:prstGeom>
                    <a:noFill/>
                    <a:ln>
                      <a:noFill/>
                    </a:ln>
                  </pic:spPr>
                </pic:pic>
              </a:graphicData>
            </a:graphic>
          </wp:inline>
        </w:drawing>
      </w:r>
      <w:r>
        <w:rPr>
          <w:noProof/>
          <w:lang w:eastAsia="en-GB"/>
        </w:rPr>
        <w:lastRenderedPageBreak/>
        <w:drawing>
          <wp:inline distT="0" distB="0" distL="0" distR="0" wp14:anchorId="6FFCD062" wp14:editId="50D33E74">
            <wp:extent cx="5943600" cy="768921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7689215"/>
                    </a:xfrm>
                    <a:prstGeom prst="rect">
                      <a:avLst/>
                    </a:prstGeom>
                    <a:noFill/>
                    <a:ln>
                      <a:noFill/>
                    </a:ln>
                  </pic:spPr>
                </pic:pic>
              </a:graphicData>
            </a:graphic>
          </wp:inline>
        </w:drawing>
      </w:r>
      <w:r>
        <w:rPr>
          <w:noProof/>
          <w:lang w:eastAsia="en-GB"/>
        </w:rPr>
        <w:lastRenderedPageBreak/>
        <w:drawing>
          <wp:inline distT="0" distB="0" distL="0" distR="0" wp14:anchorId="530FD5E9" wp14:editId="218E2975">
            <wp:extent cx="5943600" cy="4724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4724400"/>
                    </a:xfrm>
                    <a:prstGeom prst="rect">
                      <a:avLst/>
                    </a:prstGeom>
                    <a:noFill/>
                    <a:ln>
                      <a:noFill/>
                    </a:ln>
                  </pic:spPr>
                </pic:pic>
              </a:graphicData>
            </a:graphic>
          </wp:inline>
        </w:drawing>
      </w:r>
    </w:p>
    <w:p w:rsidR="00202A43" w:rsidRDefault="00202A43" w:rsidP="00202A43"/>
    <w:p w:rsidR="00202A43" w:rsidRDefault="00202A43" w:rsidP="00202A43"/>
    <w:p w:rsidR="00202A43" w:rsidRDefault="00202A43" w:rsidP="00202A43"/>
    <w:p w:rsidR="00202A43" w:rsidRDefault="00202A43" w:rsidP="00202A43"/>
    <w:p w:rsidR="00202A43" w:rsidRDefault="00202A43" w:rsidP="00202A43"/>
    <w:p w:rsidR="00202A43" w:rsidRDefault="00202A43" w:rsidP="00202A43"/>
    <w:p w:rsidR="00202A43" w:rsidRDefault="00202A43" w:rsidP="00202A43"/>
    <w:p w:rsidR="00202A43" w:rsidRDefault="00202A43" w:rsidP="00202A43"/>
    <w:p w:rsidR="00202A43" w:rsidRDefault="00202A43" w:rsidP="00202A43">
      <w:pPr>
        <w:pStyle w:val="NormalWeb"/>
        <w:spacing w:before="0" w:beforeAutospacing="0" w:after="0" w:afterAutospacing="0"/>
        <w:ind w:left="720"/>
        <w:rPr>
          <w:rFonts w:ascii="Calibri" w:hAnsi="Calibri" w:cs="Calibri"/>
          <w:color w:val="000000"/>
          <w:sz w:val="20"/>
          <w:szCs w:val="20"/>
        </w:rPr>
      </w:pPr>
    </w:p>
    <w:p w:rsidR="00202A43" w:rsidRDefault="00202A43" w:rsidP="00202A43">
      <w:pPr>
        <w:rPr>
          <w:lang w:val="en-US"/>
        </w:rPr>
      </w:pPr>
    </w:p>
    <w:p w:rsidR="00202A43" w:rsidRDefault="00202A43" w:rsidP="00202A43"/>
    <w:p w:rsidR="006D11F5" w:rsidRPr="00202A43" w:rsidRDefault="006D11F5" w:rsidP="00202A43">
      <w:bookmarkStart w:id="0" w:name="_GoBack"/>
      <w:bookmarkEnd w:id="0"/>
    </w:p>
    <w:sectPr w:rsidR="006D11F5" w:rsidRPr="00202A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CC5A27"/>
    <w:multiLevelType w:val="hybridMultilevel"/>
    <w:tmpl w:val="2B6644A6"/>
    <w:lvl w:ilvl="0" w:tplc="FFFFFFF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11F5"/>
    <w:rsid w:val="00202A43"/>
    <w:rsid w:val="006D11F5"/>
    <w:rsid w:val="00A2185D"/>
    <w:rsid w:val="00FF24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F11DBF3-FFB2-4AD7-8407-8469BD1F6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2185D"/>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A2185D"/>
    <w:pPr>
      <w:keepNext/>
      <w:keepLines/>
      <w:spacing w:after="0"/>
      <w:jc w:val="center"/>
      <w:outlineLvl w:val="0"/>
    </w:pPr>
    <w:rPr>
      <w:rFonts w:eastAsiaTheme="majorEastAsia" w:cstheme="majorBidi"/>
      <w:b/>
      <w:color w:val="2E74B5" w:themeColor="accent1" w:themeShade="BF"/>
      <w:sz w:val="36"/>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85D"/>
    <w:rPr>
      <w:rFonts w:ascii="Arial" w:eastAsiaTheme="majorEastAsia" w:hAnsi="Arial" w:cstheme="majorBidi"/>
      <w:b/>
      <w:color w:val="2E74B5" w:themeColor="accent1" w:themeShade="BF"/>
      <w:sz w:val="36"/>
      <w:szCs w:val="32"/>
      <w:lang w:val="en-US"/>
    </w:rPr>
  </w:style>
  <w:style w:type="character" w:styleId="Hyperlink">
    <w:name w:val="Hyperlink"/>
    <w:basedOn w:val="DefaultParagraphFont"/>
    <w:uiPriority w:val="99"/>
    <w:semiHidden/>
    <w:unhideWhenUsed/>
    <w:rsid w:val="00A2185D"/>
    <w:rPr>
      <w:color w:val="0563C1" w:themeColor="hyperlink"/>
      <w:u w:val="single"/>
    </w:rPr>
  </w:style>
  <w:style w:type="paragraph" w:styleId="NormalWeb">
    <w:name w:val="Normal (Web)"/>
    <w:basedOn w:val="Normal"/>
    <w:uiPriority w:val="99"/>
    <w:semiHidden/>
    <w:unhideWhenUsed/>
    <w:rsid w:val="00A2185D"/>
    <w:pPr>
      <w:spacing w:before="100" w:beforeAutospacing="1" w:after="100" w:afterAutospacing="1" w:line="240" w:lineRule="auto"/>
      <w:jc w:val="left"/>
    </w:pPr>
    <w:rPr>
      <w:rFonts w:ascii="Times New Roman" w:eastAsiaTheme="minorEastAsia" w:hAnsi="Times New Roman" w:cs="Times New Roman"/>
      <w:szCs w:val="24"/>
      <w:lang w:val="en-US"/>
    </w:rPr>
  </w:style>
  <w:style w:type="paragraph" w:styleId="ListParagraph">
    <w:name w:val="List Paragraph"/>
    <w:basedOn w:val="Normal"/>
    <w:uiPriority w:val="34"/>
    <w:qFormat/>
    <w:rsid w:val="00A2185D"/>
    <w:pPr>
      <w:ind w:left="720"/>
      <w:contextualSpacing/>
    </w:pPr>
  </w:style>
  <w:style w:type="table" w:styleId="PlainTable1">
    <w:name w:val="Plain Table 1"/>
    <w:basedOn w:val="TableNormal"/>
    <w:uiPriority w:val="41"/>
    <w:rsid w:val="00A2185D"/>
    <w:pPr>
      <w:spacing w:after="0" w:line="240" w:lineRule="auto"/>
    </w:pPr>
    <w:rPr>
      <w:lang w:val="en-US"/>
    </w:r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
    <w:name w:val="Grid Table 4"/>
    <w:basedOn w:val="TableNormal"/>
    <w:uiPriority w:val="49"/>
    <w:rsid w:val="00A2185D"/>
    <w:pPr>
      <w:spacing w:after="0" w:line="240" w:lineRule="auto"/>
    </w:pPr>
    <w:rPr>
      <w:lang w:val="en-US"/>
    </w:rPr>
    <w:tblPr>
      <w:tblStyleRowBandSize w:val="1"/>
      <w:tblStyleColBandSize w:val="1"/>
      <w:tblInd w:w="0" w:type="nil"/>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3042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clepro.2016.03.047" TargetMode="External"/><Relationship Id="rId13" Type="http://schemas.openxmlformats.org/officeDocument/2006/relationships/hyperlink" Target="http://hdl.handle.net/10453/29228" TargetMode="External"/><Relationship Id="rId18" Type="http://schemas.openxmlformats.org/officeDocument/2006/relationships/image" Target="media/image5.jpeg"/><Relationship Id="rId3" Type="http://schemas.openxmlformats.org/officeDocument/2006/relationships/settings" Target="settings.xml"/><Relationship Id="rId21" Type="http://schemas.openxmlformats.org/officeDocument/2006/relationships/image" Target="media/image8.jpeg"/><Relationship Id="rId7" Type="http://schemas.openxmlformats.org/officeDocument/2006/relationships/hyperlink" Target="http://hdl.handle.net/11250/2592925" TargetMode="External"/><Relationship Id="rId12" Type="http://schemas.openxmlformats.org/officeDocument/2006/relationships/hyperlink" Target="https://doi.org/10.3390/su11123257" TargetMode="External"/><Relationship Id="rId17"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image" Target="media/image7.jpeg"/><Relationship Id="rId1" Type="http://schemas.openxmlformats.org/officeDocument/2006/relationships/numbering" Target="numbering.xml"/><Relationship Id="rId6" Type="http://schemas.openxmlformats.org/officeDocument/2006/relationships/hyperlink" Target="https://ir.knust.edu.gh/handle/123456789/11411" TargetMode="External"/><Relationship Id="rId11" Type="http://schemas.openxmlformats.org/officeDocument/2006/relationships/hyperlink" Target="https://doi.org/10.5937/ekoPolj1604169I" TargetMode="External"/><Relationship Id="rId5" Type="http://schemas.openxmlformats.org/officeDocument/2006/relationships/image" Target="media/image1.png"/><Relationship Id="rId15" Type="http://schemas.openxmlformats.org/officeDocument/2006/relationships/image" Target="media/image2.jpeg"/><Relationship Id="rId23" Type="http://schemas.openxmlformats.org/officeDocument/2006/relationships/theme" Target="theme/theme1.xml"/><Relationship Id="rId10" Type="http://schemas.openxmlformats.org/officeDocument/2006/relationships/hyperlink" Target="https://doi.org/10.1108/00070701211252048" TargetMode="External"/><Relationship Id="rId19"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hyperlink" Target="https://doi.org/10.1177/14673584221141301" TargetMode="External"/><Relationship Id="rId14" Type="http://schemas.openxmlformats.org/officeDocument/2006/relationships/hyperlink" Target="https://doi.org/10.1016/j.jhtm.2013.07.00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19</Pages>
  <Words>3019</Words>
  <Characters>17212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2024-02-19T11:25:00Z</dcterms:created>
  <dcterms:modified xsi:type="dcterms:W3CDTF">2024-03-01T13:09:00Z</dcterms:modified>
</cp:coreProperties>
</file>